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0pt;margin-top:.749983pt;width:595.35pt;height:841.2pt;mso-position-horizontal-relative:page;mso-position-vertical-relative:page;z-index:-904528" coordorigin="0,15" coordsize="11907,16824">
            <v:shape style="position:absolute;left:0;top:15;width:11906;height:16823" type="#_x0000_t75" stroked="false">
              <v:imagedata r:id="rId5" o:title=""/>
            </v:shape>
            <v:shape style="position:absolute;left:2590;top:6345;width:6870;height:254" type="#_x0000_t75" stroked="false">
              <v:imagedata r:id="rId6" o:title=""/>
            </v:shape>
            <v:shape style="position:absolute;left:4222;top:2640;width:3463;height:2095" type="#_x0000_t75" stroked="false">
              <v:imagedata r:id="rId7" o:title=""/>
            </v:shape>
            <v:group style="position:absolute;left:2174;top:9171;width:7680;height:1860" coordorigin="2174,9171" coordsize="7680,1860">
              <v:shape style="position:absolute;left:2174;top:9171;width:7680;height:1860" coordorigin="2174,9171" coordsize="7680,1860" path="m2174,11031l9854,11031,9854,9171,2174,9171,2174,11031xe" filled="true" fillcolor="#ffffff" stroked="false">
                <v:path arrowok="t"/>
                <v:fill type="solid"/>
              </v:shape>
              <v:shape style="position:absolute;left:10713;top:16134;width:1190;height:536" type="#_x0000_t75" stroked="false">
                <v:imagedata r:id="rId8"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tabs>
          <w:tab w:pos="8438" w:val="left" w:leader="none"/>
        </w:tabs>
        <w:spacing w:line="479" w:lineRule="exact" w:before="0"/>
        <w:ind w:left="3" w:right="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color w:val="1F3863"/>
          <w:sz w:val="36"/>
          <w:szCs w:val="36"/>
        </w:rPr>
        <w:t>中科院</w:t>
        <w:tab/>
        <w:t>成都信</w:t>
      </w:r>
      <w:r>
        <w:rPr>
          <w:rFonts w:ascii="Microsoft JhengHei" w:hAnsi="Microsoft JhengHei" w:cs="Microsoft JhengHei" w:eastAsia="Microsoft JhengHei" w:hint="default"/>
          <w:sz w:val="36"/>
          <w:szCs w:val="36"/>
        </w:rPr>
      </w:r>
    </w:p>
    <w:p>
      <w:pPr>
        <w:tabs>
          <w:tab w:pos="8438" w:val="left" w:leader="none"/>
        </w:tabs>
        <w:spacing w:before="1"/>
        <w:ind w:left="3" w:right="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color w:val="1F3863"/>
          <w:sz w:val="36"/>
          <w:szCs w:val="36"/>
        </w:rPr>
        <w:t>息技术</w:t>
        <w:tab/>
        <w:t>股份有</w:t>
      </w:r>
      <w:r>
        <w:rPr>
          <w:rFonts w:ascii="Microsoft JhengHei" w:hAnsi="Microsoft JhengHei" w:cs="Microsoft JhengHei" w:eastAsia="Microsoft JhengHei" w:hint="default"/>
          <w:sz w:val="36"/>
          <w:szCs w:val="36"/>
        </w:rPr>
      </w:r>
    </w:p>
    <w:p>
      <w:pPr>
        <w:spacing w:before="0"/>
        <w:ind w:left="3" w:right="5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color w:val="1F3863"/>
          <w:sz w:val="36"/>
          <w:szCs w:val="36"/>
        </w:rPr>
        <w:t>限公司</w:t>
      </w:r>
      <w:r>
        <w:rPr>
          <w:rFonts w:ascii="Microsoft JhengHei" w:hAnsi="Microsoft JhengHei" w:cs="Microsoft JhengHei" w:eastAsia="Microsoft JhengHei" w:hint="default"/>
          <w:sz w:val="36"/>
          <w:szCs w:val="36"/>
        </w:rPr>
      </w:r>
    </w:p>
    <w:p>
      <w:pPr>
        <w:spacing w:line="240" w:lineRule="auto" w:before="2"/>
        <w:rPr>
          <w:rFonts w:ascii="Microsoft JhengHei" w:hAnsi="Microsoft JhengHei" w:cs="Microsoft JhengHei" w:eastAsia="Microsoft JhengHei" w:hint="default"/>
          <w:b/>
          <w:bCs/>
          <w:sz w:val="23"/>
          <w:szCs w:val="23"/>
        </w:rPr>
      </w:pPr>
    </w:p>
    <w:p>
      <w:pPr>
        <w:spacing w:before="0"/>
        <w:ind w:left="3" w:right="61" w:firstLine="0"/>
        <w:jc w:val="center"/>
        <w:rPr>
          <w:rFonts w:ascii="Microsoft JhengHei" w:hAnsi="Microsoft JhengHei" w:cs="Microsoft JhengHei" w:eastAsia="Microsoft JhengHei" w:hint="default"/>
          <w:sz w:val="36"/>
          <w:szCs w:val="36"/>
        </w:rPr>
      </w:pPr>
      <w:r>
        <w:rPr>
          <w:rFonts w:ascii="Arial" w:hAnsi="Arial" w:cs="Arial" w:eastAsia="Arial" w:hint="default"/>
          <w:b/>
          <w:bCs/>
          <w:color w:val="1F3863"/>
          <w:sz w:val="36"/>
          <w:szCs w:val="36"/>
        </w:rPr>
        <w:t>2018</w:t>
      </w:r>
      <w:r>
        <w:rPr>
          <w:rFonts w:ascii="Arial" w:hAnsi="Arial" w:cs="Arial" w:eastAsia="Arial" w:hint="default"/>
          <w:b/>
          <w:bCs/>
          <w:color w:val="1F3863"/>
          <w:spacing w:val="-10"/>
          <w:sz w:val="36"/>
          <w:szCs w:val="36"/>
        </w:rPr>
        <w:t> </w:t>
      </w:r>
      <w:r>
        <w:rPr>
          <w:rFonts w:ascii="Microsoft JhengHei" w:hAnsi="Microsoft JhengHei" w:cs="Microsoft JhengHei" w:eastAsia="Microsoft JhengHei" w:hint="default"/>
          <w:b/>
          <w:bCs/>
          <w:color w:val="1F3863"/>
          <w:sz w:val="36"/>
          <w:szCs w:val="36"/>
        </w:rPr>
        <w:t>年年度报告</w:t>
      </w:r>
      <w:r>
        <w:rPr>
          <w:rFonts w:ascii="Microsoft JhengHei" w:hAnsi="Microsoft JhengHei" w:cs="Microsoft JhengHei" w:eastAsia="Microsoft JhengHei" w:hint="default"/>
          <w:sz w:val="36"/>
          <w:szCs w:val="36"/>
        </w:rPr>
      </w:r>
    </w:p>
    <w:p>
      <w:pPr>
        <w:pStyle w:val="Heading2"/>
        <w:spacing w:line="240" w:lineRule="auto" w:before="76"/>
        <w:ind w:left="3" w:right="60"/>
        <w:jc w:val="center"/>
        <w:rPr>
          <w:rFonts w:ascii="Times New Roman" w:hAnsi="Times New Roman" w:cs="Times New Roman" w:eastAsia="Times New Roman" w:hint="default"/>
          <w:b w:val="0"/>
          <w:bCs w:val="0"/>
        </w:rPr>
      </w:pPr>
      <w:r>
        <w:rPr>
          <w:rFonts w:ascii="Times New Roman"/>
        </w:rPr>
        <w:t>2019-008</w:t>
      </w:r>
      <w:r>
        <w:rPr>
          <w:rFonts w:ascii="Times New Roman"/>
          <w:b w:val="0"/>
        </w:rPr>
      </w:r>
    </w:p>
    <w:p>
      <w:pPr>
        <w:spacing w:line="240" w:lineRule="auto" w:before="5"/>
        <w:rPr>
          <w:rFonts w:ascii="Times New Roman" w:hAnsi="Times New Roman" w:cs="Times New Roman" w:eastAsia="Times New Roman" w:hint="default"/>
          <w:b/>
          <w:bCs/>
          <w:sz w:val="19"/>
          <w:szCs w:val="19"/>
        </w:rPr>
      </w:pPr>
    </w:p>
    <w:p>
      <w:pPr>
        <w:spacing w:line="1860" w:lineRule="exact"/>
        <w:ind w:left="10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shapetype id="_x0000_t202" o:spt="202" coordsize="21600,21600" path="m,l,21600r21600,l21600,xe">
            <v:stroke joinstyle="miter"/>
            <v:path gradientshapeok="t" o:connecttype="rect"/>
          </v:shapetype>
          <v:shape style="width:384pt;height:93pt;mso-position-horizontal-relative:char;mso-position-vertical-relative:line" type="#_x0000_t202" filled="true" fillcolor="#ffffff" stroked="true" strokeweight="1.25pt" strokecolor="#000000">
            <w10:anchorlock/>
            <v:textbox inset="0,0,0,0">
              <w:txbxContent>
                <w:p>
                  <w:pPr>
                    <w:spacing w:line="268" w:lineRule="auto" w:before="38"/>
                    <w:ind w:left="145" w:right="207"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公司董事会、监事会及董事、监事、高级管理人员保证</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z w:val="28"/>
                      <w:szCs w:val="28"/>
                    </w:rPr>
                    <w:t>本年度报告内容的真实、准确、完整，不存在虚假记载、误</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z w:val="28"/>
                      <w:szCs w:val="28"/>
                    </w:rPr>
                    <w:t>导性陈述或者重大遗漏，并承担个别和连带的法律责任。</w:t>
                  </w:r>
                  <w:r>
                    <w:rPr>
                      <w:rFonts w:ascii="Microsoft JhengHei" w:hAnsi="Microsoft JhengHei" w:cs="Microsoft JhengHei" w:eastAsia="Microsoft JhengHei" w:hint="default"/>
                      <w:sz w:val="28"/>
                      <w:szCs w:val="28"/>
                    </w:rPr>
                  </w:r>
                </w:p>
              </w:txbxContent>
            </v:textbox>
            <v:fill type="solid"/>
          </v:shape>
        </w:pict>
      </w:r>
      <w:r>
        <w:rPr>
          <w:rFonts w:ascii="Times New Roman" w:hAnsi="Times New Roman" w:cs="Times New Roman" w:eastAsia="Times New Roman" w:hint="default"/>
          <w:position w:val="-36"/>
          <w:sz w:val="20"/>
          <w:szCs w:val="20"/>
        </w:rPr>
      </w:r>
    </w:p>
    <w:p>
      <w:pPr>
        <w:spacing w:after="0" w:line="1860" w:lineRule="exact"/>
        <w:rPr>
          <w:rFonts w:ascii="Times New Roman" w:hAnsi="Times New Roman" w:cs="Times New Roman" w:eastAsia="Times New Roman" w:hint="default"/>
          <w:sz w:val="20"/>
          <w:szCs w:val="20"/>
        </w:rPr>
        <w:sectPr>
          <w:type w:val="continuous"/>
          <w:pgSz w:w="11910" w:h="16840"/>
          <w:pgMar w:top="1580" w:bottom="280" w:left="1120" w:right="106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598" w:lineRule="exact" w:before="0"/>
        <w:ind w:left="3396" w:right="4798" w:firstLine="0"/>
        <w:jc w:val="center"/>
        <w:rPr>
          <w:rFonts w:ascii="Microsoft JhengHei" w:hAnsi="Microsoft JhengHei" w:cs="Microsoft JhengHei" w:eastAsia="Microsoft JhengHei" w:hint="default"/>
          <w:sz w:val="36"/>
          <w:szCs w:val="36"/>
        </w:rPr>
      </w:pPr>
      <w:r>
        <w:rPr>
          <w:rFonts w:ascii="Arial" w:hAnsi="Arial" w:cs="Arial" w:eastAsia="Arial" w:hint="default"/>
          <w:b/>
          <w:bCs/>
          <w:color w:val="1F3863"/>
          <w:sz w:val="36"/>
          <w:szCs w:val="36"/>
        </w:rPr>
        <w:t>2019 </w:t>
      </w:r>
      <w:r>
        <w:rPr>
          <w:rFonts w:ascii="Microsoft JhengHei" w:hAnsi="Microsoft JhengHei" w:cs="Microsoft JhengHei" w:eastAsia="Microsoft JhengHei" w:hint="default"/>
          <w:b/>
          <w:bCs/>
          <w:color w:val="1F3863"/>
          <w:sz w:val="36"/>
          <w:szCs w:val="36"/>
        </w:rPr>
        <w:t>年 </w:t>
      </w:r>
      <w:r>
        <w:rPr>
          <w:rFonts w:ascii="Arial" w:hAnsi="Arial" w:cs="Arial" w:eastAsia="Arial" w:hint="default"/>
          <w:b/>
          <w:bCs/>
          <w:color w:val="1F3863"/>
          <w:sz w:val="36"/>
          <w:szCs w:val="36"/>
        </w:rPr>
        <w:t>3</w:t>
      </w:r>
      <w:r>
        <w:rPr>
          <w:rFonts w:ascii="Arial" w:hAnsi="Arial" w:cs="Arial" w:eastAsia="Arial" w:hint="default"/>
          <w:b/>
          <w:bCs/>
          <w:color w:val="1F3863"/>
          <w:spacing w:val="-20"/>
          <w:sz w:val="36"/>
          <w:szCs w:val="36"/>
        </w:rPr>
        <w:t> </w:t>
      </w:r>
      <w:r>
        <w:rPr>
          <w:rFonts w:ascii="Microsoft JhengHei" w:hAnsi="Microsoft JhengHei" w:cs="Microsoft JhengHei" w:eastAsia="Microsoft JhengHei" w:hint="default"/>
          <w:b/>
          <w:bCs/>
          <w:color w:val="1F3863"/>
          <w:sz w:val="36"/>
          <w:szCs w:val="36"/>
        </w:rPr>
        <w:t>月</w:t>
      </w:r>
      <w:r>
        <w:rPr>
          <w:rFonts w:ascii="Microsoft JhengHei" w:hAnsi="Microsoft JhengHei" w:cs="Microsoft JhengHei" w:eastAsia="Microsoft JhengHei" w:hint="default"/>
          <w:sz w:val="36"/>
          <w:szCs w:val="36"/>
        </w:rPr>
      </w:r>
    </w:p>
    <w:p>
      <w:pPr>
        <w:spacing w:after="0" w:line="598" w:lineRule="exact"/>
        <w:jc w:val="center"/>
        <w:rPr>
          <w:rFonts w:ascii="Microsoft JhengHei" w:hAnsi="Microsoft JhengHei" w:cs="Microsoft JhengHei" w:eastAsia="Microsoft JhengHei" w:hint="default"/>
          <w:sz w:val="36"/>
          <w:szCs w:val="36"/>
        </w:rPr>
        <w:sectPr>
          <w:footerReference w:type="default" r:id="rId9"/>
          <w:pgSz w:w="11910" w:h="16840"/>
          <w:pgMar w:footer="504" w:header="0" w:top="1580" w:bottom="700" w:left="16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2"/>
          <w:szCs w:val="22"/>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公司负责人王晓宇、主管会计工作负责人刘小兵及会计机构负责人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彭庶星声明：保证年度报告中财务报告的真实、准确、完整。</w:t>
      </w:r>
      <w:r>
        <w:rPr>
          <w:rFonts w:ascii="宋体" w:hAnsi="宋体" w:cs="宋体" w:eastAsia="宋体" w:hint="default"/>
          <w:sz w:val="28"/>
          <w:szCs w:val="28"/>
        </w:rPr>
      </w:r>
    </w:p>
    <w:p>
      <w:pPr>
        <w:spacing w:before="14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索继栓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因公务原因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90"/>
                <w:sz w:val="18"/>
                <w:szCs w:val="18"/>
              </w:rPr>
              <w:t> </w:t>
            </w:r>
            <w:r>
              <w:rPr>
                <w:rFonts w:ascii="宋体" w:hAnsi="宋体" w:cs="宋体" w:eastAsia="宋体" w:hint="default"/>
                <w:sz w:val="18"/>
                <w:szCs w:val="18"/>
              </w:rPr>
              <w:t>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  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因公务原因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黄泽永</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史志明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因公务原因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付忠良</w:t>
            </w:r>
          </w:p>
        </w:tc>
      </w:tr>
    </w:tbl>
    <w:p>
      <w:pPr>
        <w:spacing w:line="240" w:lineRule="auto" w:before="2"/>
        <w:rPr>
          <w:rFonts w:ascii="宋体" w:hAnsi="宋体" w:cs="宋体" w:eastAsia="宋体" w:hint="default"/>
          <w:b/>
          <w:bCs/>
          <w:sz w:val="13"/>
          <w:szCs w:val="13"/>
        </w:rPr>
      </w:pPr>
    </w:p>
    <w:p>
      <w:pPr>
        <w:spacing w:line="408" w:lineRule="auto" w:before="13"/>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本年度报告中涉及未来计划或规划等前瞻性陈述的，均不构成公司对投资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者的实质承诺，敬请投资者及相关人士对此保持足够的风险认识，充分理解计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划、预测与承诺之间的差异，注意投资风险。</w:t>
      </w:r>
      <w:r>
        <w:rPr>
          <w:rFonts w:ascii="宋体" w:hAnsi="宋体" w:cs="宋体" w:eastAsia="宋体" w:hint="default"/>
          <w:sz w:val="28"/>
          <w:szCs w:val="28"/>
        </w:rPr>
      </w:r>
    </w:p>
    <w:p>
      <w:pPr>
        <w:spacing w:line="398" w:lineRule="auto" w:before="160"/>
        <w:ind w:left="154" w:right="1132" w:firstLine="562"/>
        <w:jc w:val="both"/>
        <w:rPr>
          <w:rFonts w:ascii="宋体" w:hAnsi="宋体" w:cs="宋体" w:eastAsia="宋体" w:hint="default"/>
          <w:sz w:val="28"/>
          <w:szCs w:val="28"/>
        </w:rPr>
      </w:pPr>
      <w:r>
        <w:rPr>
          <w:rFonts w:ascii="宋体" w:hAnsi="宋体" w:cs="宋体" w:eastAsia="宋体" w:hint="default"/>
          <w:b/>
          <w:bCs/>
          <w:spacing w:val="3"/>
          <w:sz w:val="28"/>
          <w:szCs w:val="28"/>
        </w:rPr>
        <w:t>公司在本报告第四节</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
          <w:sz w:val="28"/>
          <w:szCs w:val="28"/>
        </w:rPr>
        <w:t>经营情况讨论与分析</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spacing w:val="38"/>
          <w:sz w:val="28"/>
          <w:szCs w:val="28"/>
        </w:rPr>
        <w:t> </w:t>
      </w:r>
      <w:r>
        <w:rPr>
          <w:rFonts w:ascii="宋体" w:hAnsi="宋体" w:cs="宋体" w:eastAsia="宋体" w:hint="default"/>
          <w:b/>
          <w:bCs/>
          <w:spacing w:val="3"/>
          <w:sz w:val="28"/>
          <w:szCs w:val="28"/>
        </w:rPr>
        <w:t>中</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公司未来发展的展望</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分，详细描述了公司经营中可能存在的风险及应对措施，敬请投资者关注相关</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内容。</w:t>
      </w:r>
      <w:r>
        <w:rPr>
          <w:rFonts w:ascii="宋体" w:hAnsi="宋体" w:cs="宋体" w:eastAsia="宋体" w:hint="default"/>
          <w:sz w:val="28"/>
          <w:szCs w:val="28"/>
        </w:rPr>
      </w:r>
    </w:p>
    <w:p>
      <w:pPr>
        <w:spacing w:before="17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180000000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8"/>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10"/>
          <w:footerReference w:type="default" r:id="rId11"/>
          <w:pgSz w:w="11910" w:h="16840"/>
          <w:pgMar w:header="877" w:footer="979" w:top="1100" w:bottom="1160" w:left="980" w:right="0"/>
          <w:pgNumType w:start="3"/>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108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7</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30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51</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86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93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94</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107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3"/>
              </w:rPr>
              <w:t>115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r>
            <w:r>
              <w:rPr>
                <w:rFonts w:ascii="Times New Roman" w:hAnsi="Times New Roman" w:cs="Times New Roman" w:eastAsia="Times New Roman" w:hint="default"/>
                <w:spacing w:val="-3"/>
              </w:rPr>
              <w:t>116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205</w:t>
            </w:r>
          </w:hyperlink>
        </w:p>
        <w:p>
          <w:pPr/>
          <w:r>
            <w:fldChar w:fldCharType="end"/>
          </w:r>
        </w:p>
      </w:sdtContent>
    </w:sdt>
    <w:p>
      <w:pPr>
        <w:spacing w:after="0"/>
        <w:sectPr>
          <w:pgSz w:w="11910" w:h="16840"/>
          <w:pgMar w:header="877" w:footer="979" w:top="1100" w:bottom="1160" w:left="980" w:right="0"/>
        </w:sectPr>
      </w:pPr>
    </w:p>
    <w:p>
      <w:pPr>
        <w:spacing w:before="893"/>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中科信息、本集团、本公司、母公司、公司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89"/>
              <w:jc w:val="left"/>
              <w:rPr>
                <w:rFonts w:ascii="宋体" w:hAnsi="宋体" w:cs="宋体" w:eastAsia="宋体" w:hint="default"/>
                <w:sz w:val="18"/>
                <w:szCs w:val="18"/>
              </w:rPr>
            </w:pPr>
            <w:r>
              <w:rPr>
                <w:rFonts w:ascii="宋体" w:hAnsi="宋体" w:cs="宋体" w:eastAsia="宋体" w:hint="default"/>
                <w:sz w:val="18"/>
                <w:szCs w:val="18"/>
              </w:rPr>
              <w:t>中国科学院控股有限公司，曾用名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中国科学院国有资产经营有限责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，中科信息控股股东</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中国科学院</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宇中投资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成都宇中投资管理中心（有限合伙</w:t>
            </w:r>
            <w:r>
              <w:rPr>
                <w:rFonts w:ascii="宋体" w:hAnsi="宋体" w:cs="宋体" w:eastAsia="宋体" w:hint="default"/>
                <w:spacing w:val="-90"/>
                <w:sz w:val="18"/>
                <w:szCs w:val="18"/>
              </w:rPr>
              <w:t>）</w:t>
            </w:r>
            <w:r>
              <w:rPr>
                <w:rFonts w:ascii="宋体" w:hAnsi="宋体" w:cs="宋体" w:eastAsia="宋体" w:hint="default"/>
                <w:sz w:val="18"/>
                <w:szCs w:val="18"/>
              </w:rPr>
              <w:t>，中科信息股东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四川埃徳凯森科技有限公司，中科信息股东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恒合经纬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深圳市恒合经纬投资管理合伙企业（有限合伙</w:t>
            </w:r>
            <w:r>
              <w:rPr>
                <w:rFonts w:ascii="宋体" w:hAnsi="宋体" w:cs="宋体" w:eastAsia="宋体" w:hint="default"/>
                <w:spacing w:val="-90"/>
                <w:sz w:val="18"/>
                <w:szCs w:val="18"/>
              </w:rPr>
              <w:t>）</w:t>
            </w:r>
            <w:r>
              <w:rPr>
                <w:rFonts w:ascii="宋体" w:hAnsi="宋体" w:cs="宋体" w:eastAsia="宋体" w:hint="default"/>
                <w:sz w:val="18"/>
                <w:szCs w:val="18"/>
              </w:rPr>
              <w:t>，中科信息股东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联升创投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上海联升创业投资有限公司，中科信息股东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成都中科石油工程技术股份有限公司，中科信息控股子公司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成都中科信息技术有限公司，中科信息全资子公司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中科院金华信息技术有限公司，中科信息全资子公司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深圳市中钞科信金融科技有限公司，中科信息对外投资企业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中钞长城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中钞长城金融设备控股有限公司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信达投资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深圳市信达投资发展有限公司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瑞拓科技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人民币元，特别注明的除外</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09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算法</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51"/>
              <w:ind w:left="27" w:right="-9"/>
              <w:jc w:val="both"/>
              <w:rPr>
                <w:rFonts w:ascii="宋体" w:hAnsi="宋体" w:cs="宋体" w:eastAsia="宋体" w:hint="default"/>
                <w:sz w:val="18"/>
                <w:szCs w:val="18"/>
              </w:rPr>
            </w:pPr>
            <w:r>
              <w:rPr>
                <w:rFonts w:ascii="宋体" w:hAnsi="宋体" w:cs="宋体" w:eastAsia="宋体" w:hint="default"/>
                <w:spacing w:val="-3"/>
                <w:sz w:val="18"/>
                <w:szCs w:val="18"/>
              </w:rPr>
              <w:t>算法（</w:t>
            </w:r>
            <w:r>
              <w:rPr>
                <w:rFonts w:ascii="Times New Roman" w:hAnsi="Times New Roman" w:cs="Times New Roman" w:eastAsia="Times New Roman" w:hint="default"/>
                <w:spacing w:val="-3"/>
                <w:sz w:val="18"/>
                <w:szCs w:val="18"/>
              </w:rPr>
              <w:t>Algorithm</w:t>
            </w:r>
            <w:r>
              <w:rPr>
                <w:rFonts w:ascii="宋体" w:hAnsi="宋体" w:cs="宋体" w:eastAsia="宋体" w:hint="default"/>
                <w:spacing w:val="-3"/>
                <w:sz w:val="18"/>
                <w:szCs w:val="18"/>
              </w:rPr>
              <w:t>），一般是指求解某类计算、分析或推理问题的策略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机制，一般利用计算机技术，形成一系列解决问题的清晰指令，能够</w:t>
            </w:r>
            <w:r>
              <w:rPr>
                <w:rFonts w:ascii="宋体" w:hAnsi="宋体" w:cs="宋体" w:eastAsia="宋体" w:hint="default"/>
                <w:sz w:val="18"/>
                <w:szCs w:val="18"/>
              </w:rPr>
              <w:t> 对一定规范的输入，在有限时间内获得所要求的输出。一个算法的优 劣可以用空间复杂度与时间复杂度来衡量。针对问题的不同，可以有 很多算法，比如机器学习算法就是一类从数据中自动分析获得规律， 并利用规律对未知数据进行预测的算法。再比如模式识别算法就是通 过计算机用数学技术方法来研究客体模式（如视觉和听觉信息）的自 动处理和判读。</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09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计算机自动推理</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计算机自动推理是计算机科学的一个分支，属于人工智能学科研究的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一种，它的主要研究方向是利用计算机进行自动化的逻辑证明，其内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容一般可分为演绎推理和非演绎推理。</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智能识别及分析技术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智能识别及分析技术是面向智能化生产、服务与管理的应用计算机技</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0" w:right="1139" w:firstLine="0"/>
        <w:jc w:val="right"/>
        <w:rPr>
          <w:rFonts w:ascii="宋体" w:hAnsi="宋体" w:cs="宋体" w:eastAsia="宋体" w:hint="default"/>
          <w:sz w:val="18"/>
          <w:szCs w:val="18"/>
        </w:rPr>
      </w:pPr>
      <w:r>
        <w:rPr/>
        <w:pict>
          <v:shape style="position:absolute;margin-left:56.459999pt;margin-top:-389.208282pt;width:479.25pt;height:440.1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术，主要解决目标特征数据自动采集、海量数据归纳与分析、复杂图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像理解与机器学习问题。</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机器视觉技术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是一门涉及人工智能、神经生物学、心理物理学、计算机科学、图像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处理、模式识别等诸多领域的交叉学科。机器视觉主要用计算机来模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拟人的视觉功能，从客观事物的图像中提取信息，进行处理并加以理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解，最终用于实际检测、测量和控制。</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GIS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地理信息系统（</w:t>
                        </w:r>
                        <w:r>
                          <w:rPr>
                            <w:rFonts w:ascii="Times New Roman" w:hAnsi="Times New Roman" w:cs="Times New Roman" w:eastAsia="Times New Roman" w:hint="default"/>
                            <w:sz w:val="18"/>
                            <w:szCs w:val="18"/>
                          </w:rPr>
                          <w:t>Geographic </w:t>
                        </w:r>
                        <w:r>
                          <w:rPr>
                            <w:rFonts w:ascii="Times New Roman" w:hAnsi="Times New Roman" w:cs="Times New Roman" w:eastAsia="Times New Roman" w:hint="default"/>
                            <w:spacing w:val="-1"/>
                            <w:sz w:val="18"/>
                            <w:szCs w:val="18"/>
                          </w:rPr>
                          <w:t>Information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System</w:t>
                        </w:r>
                        <w:r>
                          <w:rPr>
                            <w:rFonts w:ascii="宋体" w:hAnsi="宋体" w:cs="宋体" w:eastAsia="宋体" w:hint="default"/>
                            <w:spacing w:val="-6"/>
                            <w:w w:val="99"/>
                            <w:sz w:val="18"/>
                            <w:szCs w:val="18"/>
                          </w:rPr>
                          <w:t>），是以地理空间数据</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pacing w:val="-2"/>
                            <w:sz w:val="18"/>
                            <w:szCs w:val="18"/>
                          </w:rPr>
                          <w:t>库为基础，在计算机软硬件的支持下，运用系统工程和信息科学的理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论，科学管理和综合分析具有空间内涵的地理数据，以提供管理、决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策等所需信息的技术系统。</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both"/>
                          <w:rPr>
                            <w:rFonts w:ascii="宋体" w:hAnsi="宋体" w:cs="宋体" w:eastAsia="宋体" w:hint="default"/>
                            <w:sz w:val="18"/>
                            <w:szCs w:val="18"/>
                          </w:rPr>
                        </w:pPr>
                        <w:r>
                          <w:rPr>
                            <w:rFonts w:ascii="宋体" w:hAnsi="宋体" w:cs="宋体" w:eastAsia="宋体" w:hint="default"/>
                            <w:spacing w:val="-3"/>
                            <w:sz w:val="18"/>
                            <w:szCs w:val="18"/>
                          </w:rPr>
                          <w:t>通过各种信息传感设备，如传感器、射频识别（</w:t>
                        </w:r>
                        <w:r>
                          <w:rPr>
                            <w:rFonts w:ascii="Times New Roman" w:hAnsi="Times New Roman" w:cs="Times New Roman" w:eastAsia="Times New Roman" w:hint="default"/>
                            <w:spacing w:val="-3"/>
                            <w:sz w:val="18"/>
                            <w:szCs w:val="18"/>
                          </w:rPr>
                          <w:t>RFID</w:t>
                        </w:r>
                        <w:r>
                          <w:rPr>
                            <w:rFonts w:ascii="宋体" w:hAnsi="宋体" w:cs="宋体" w:eastAsia="宋体" w:hint="default"/>
                            <w:spacing w:val="-3"/>
                            <w:sz w:val="18"/>
                            <w:szCs w:val="18"/>
                          </w:rPr>
                          <w:t>）技术、全球定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位系统、红外感应器、激光扫描器、气体感应器等各种装置与技术， 实时采集任何需要监控、连接、互动的物体或过程，采集其声、光、 </w:t>
                        </w:r>
                        <w:r>
                          <w:rPr>
                            <w:rFonts w:ascii="宋体" w:hAnsi="宋体" w:cs="宋体" w:eastAsia="宋体" w:hint="default"/>
                            <w:spacing w:val="-2"/>
                            <w:sz w:val="18"/>
                            <w:szCs w:val="18"/>
                          </w:rPr>
                          <w:t>热、电、力学、化学、生物、位置等各种需要的信息，与互联网结合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形成的一个巨大网络。其目的是实现物与物、物与人，所有的物品与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网络的连接，方便识别、管理和控制。</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SCADA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Supervisory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Control</w:t>
                        </w:r>
                        <w:r>
                          <w:rPr>
                            <w:rFonts w:ascii="Times New Roman" w:hAnsi="Times New Roman" w:cs="Times New Roman" w:eastAsia="Times New Roman" w:hint="default"/>
                            <w:w w:val="99"/>
                            <w:sz w:val="18"/>
                            <w:szCs w:val="18"/>
                          </w:rPr>
                          <w:t> And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Acquisition</w:t>
                        </w:r>
                        <w:r>
                          <w:rPr>
                            <w:rFonts w:ascii="Times New Roman" w:hAnsi="Times New Roman" w:cs="Times New Roman" w:eastAsia="Times New Roman" w:hint="default"/>
                            <w:w w:val="99"/>
                            <w:sz w:val="18"/>
                            <w:szCs w:val="18"/>
                          </w:rPr>
                          <w:t> </w:t>
                        </w:r>
                        <w:r>
                          <w:rPr>
                            <w:rFonts w:ascii="宋体" w:hAnsi="宋体" w:cs="宋体" w:eastAsia="宋体" w:hint="default"/>
                            <w:spacing w:val="-7"/>
                            <w:w w:val="99"/>
                            <w:sz w:val="18"/>
                            <w:szCs w:val="18"/>
                          </w:rPr>
                          <w:t>系统，即数据采集与监视控制</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z w:val="18"/>
                            <w:szCs w:val="18"/>
                          </w:rPr>
                          <w:t>系统，应用领域很广，可以应用于电力、冶金、石油、化工、燃气、</w:t>
                        </w:r>
                        <w:r>
                          <w:rPr>
                            <w:rFonts w:ascii="宋体" w:hAnsi="宋体" w:cs="宋体" w:eastAsia="宋体" w:hint="default"/>
                            <w:w w:val="99"/>
                            <w:sz w:val="18"/>
                            <w:szCs w:val="18"/>
                          </w:rPr>
                          <w:t> </w:t>
                        </w:r>
                        <w:r>
                          <w:rPr>
                            <w:rFonts w:ascii="宋体" w:hAnsi="宋体" w:cs="宋体" w:eastAsia="宋体" w:hint="default"/>
                            <w:sz w:val="18"/>
                            <w:szCs w:val="18"/>
                          </w:rPr>
                          <w:t>铁路等领域的数据采集与监视控制以及过程控制等诸多领域。</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CNG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Supervisory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Control</w:t>
                        </w:r>
                        <w:r>
                          <w:rPr>
                            <w:rFonts w:ascii="Times New Roman" w:hAnsi="Times New Roman" w:cs="Times New Roman" w:eastAsia="Times New Roman" w:hint="default"/>
                            <w:w w:val="99"/>
                            <w:sz w:val="18"/>
                            <w:szCs w:val="18"/>
                          </w:rPr>
                          <w:t> And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Acquisition</w:t>
                        </w:r>
                        <w:r>
                          <w:rPr>
                            <w:rFonts w:ascii="Times New Roman" w:hAnsi="Times New Roman" w:cs="Times New Roman" w:eastAsia="Times New Roman" w:hint="default"/>
                            <w:w w:val="99"/>
                            <w:sz w:val="18"/>
                            <w:szCs w:val="18"/>
                          </w:rPr>
                          <w:t> </w:t>
                        </w:r>
                        <w:r>
                          <w:rPr>
                            <w:rFonts w:ascii="宋体" w:hAnsi="宋体" w:cs="宋体" w:eastAsia="宋体" w:hint="default"/>
                            <w:spacing w:val="-7"/>
                            <w:w w:val="99"/>
                            <w:sz w:val="18"/>
                            <w:szCs w:val="18"/>
                          </w:rPr>
                          <w:t>系统，即数据采集与监视控制</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z w:val="18"/>
                            <w:szCs w:val="18"/>
                          </w:rPr>
                          <w:t>系统，应用领域很广，可以应用于电力、冶金、石油、化工、燃气、</w:t>
                        </w:r>
                        <w:r>
                          <w:rPr>
                            <w:rFonts w:ascii="宋体" w:hAnsi="宋体" w:cs="宋体" w:eastAsia="宋体" w:hint="default"/>
                            <w:w w:val="99"/>
                            <w:sz w:val="18"/>
                            <w:szCs w:val="18"/>
                          </w:rPr>
                          <w:t> </w:t>
                        </w:r>
                        <w:r>
                          <w:rPr>
                            <w:rFonts w:ascii="宋体" w:hAnsi="宋体" w:cs="宋体" w:eastAsia="宋体" w:hint="default"/>
                            <w:sz w:val="18"/>
                            <w:szCs w:val="18"/>
                          </w:rPr>
                          <w:t>铁路等领域的数据采集与监视控制以及过程控制等诸多领域。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LNG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液化天然气。</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RFID</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Identification</w:t>
                        </w:r>
                        <w:r>
                          <w:rPr>
                            <w:rFonts w:ascii="宋体" w:hAnsi="宋体" w:cs="宋体" w:eastAsia="宋体" w:hint="default"/>
                            <w:sz w:val="18"/>
                            <w:szCs w:val="18"/>
                          </w:rPr>
                          <w:t>，又称无线射频识别，是一种通信技术 </w:t>
                        </w:r>
                        <w:r>
                          <w:rPr>
                            <w:rFonts w:ascii="宋体" w:hAnsi="宋体" w:cs="宋体" w:eastAsia="宋体" w:hint="default"/>
                            <w:spacing w:val="-2"/>
                            <w:sz w:val="18"/>
                            <w:szCs w:val="18"/>
                          </w:rPr>
                          <w:t>可通过无线电讯号识别特定目标并读写相关数据，而无需识别系统与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特定目标之间建立机械或光学接触。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0448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300678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中科信息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Chengdu</w:t>
            </w:r>
            <w:r>
              <w:rPr>
                <w:rFonts w:ascii="Times New Roman"/>
                <w:spacing w:val="-4"/>
                <w:sz w:val="18"/>
              </w:rPr>
              <w:t> </w:t>
            </w:r>
            <w:r>
              <w:rPr>
                <w:rFonts w:ascii="Times New Roman"/>
                <w:sz w:val="18"/>
              </w:rPr>
              <w:t>Information</w:t>
            </w:r>
            <w:r>
              <w:rPr>
                <w:rFonts w:ascii="Times New Roman"/>
                <w:spacing w:val="-8"/>
                <w:sz w:val="18"/>
              </w:rPr>
              <w:t> </w:t>
            </w:r>
            <w:r>
              <w:rPr>
                <w:rFonts w:ascii="Times New Roman"/>
                <w:sz w:val="18"/>
              </w:rPr>
              <w:t>Technology</w:t>
            </w:r>
            <w:r>
              <w:rPr>
                <w:rFonts w:ascii="Times New Roman"/>
                <w:spacing w:val="-4"/>
                <w:sz w:val="18"/>
              </w:rPr>
              <w:t> </w:t>
            </w:r>
            <w:r>
              <w:rPr>
                <w:rFonts w:ascii="Times New Roman"/>
                <w:sz w:val="18"/>
              </w:rPr>
              <w:t>of</w:t>
            </w:r>
            <w:r>
              <w:rPr>
                <w:rFonts w:ascii="Times New Roman"/>
                <w:spacing w:val="-4"/>
                <w:sz w:val="18"/>
              </w:rPr>
              <w:t> </w:t>
            </w:r>
            <w:r>
              <w:rPr>
                <w:rFonts w:ascii="Times New Roman"/>
                <w:sz w:val="18"/>
              </w:rPr>
              <w:t>Chinese</w:t>
            </w:r>
            <w:r>
              <w:rPr>
                <w:rFonts w:ascii="Times New Roman"/>
                <w:spacing w:val="-13"/>
                <w:sz w:val="18"/>
              </w:rPr>
              <w:t> </w:t>
            </w:r>
            <w:r>
              <w:rPr>
                <w:rFonts w:ascii="Times New Roman"/>
                <w:sz w:val="18"/>
              </w:rPr>
              <w:t>Academy</w:t>
            </w:r>
            <w:r>
              <w:rPr>
                <w:rFonts w:ascii="Times New Roman"/>
                <w:spacing w:val="-3"/>
                <w:sz w:val="18"/>
              </w:rPr>
              <w:t> </w:t>
            </w:r>
            <w:r>
              <w:rPr>
                <w:rFonts w:ascii="Times New Roman"/>
                <w:sz w:val="18"/>
              </w:rPr>
              <w:t>of</w:t>
            </w:r>
            <w:r>
              <w:rPr>
                <w:rFonts w:ascii="Times New Roman"/>
                <w:spacing w:val="-4"/>
                <w:sz w:val="18"/>
              </w:rPr>
              <w:t> </w:t>
            </w:r>
            <w:r>
              <w:rPr>
                <w:rFonts w:ascii="Times New Roman"/>
                <w:sz w:val="18"/>
              </w:rPr>
              <w:t>Sciences</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CASIT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王晓宇</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成都高新区天晖路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号晶科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610041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610041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2">
              <w:r>
                <w:rPr>
                  <w:rFonts w:ascii="Times New Roman"/>
                  <w:sz w:val="18"/>
                </w:rPr>
                <w:t>http://www.casit.com.cn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3">
              <w:r>
                <w:rPr>
                  <w:rFonts w:ascii="Times New Roman"/>
                  <w:sz w:val="18"/>
                </w:rPr>
                <w:t>dsh@casit.com.cn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吴琳琳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028-85221773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028-85135151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028-85229357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028-85229357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dsh@casit.com.cn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dsh@casit.com.cn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、巨潮资讯</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号中科院成都信息技术股份有限公司董 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区域</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申军、刘浪</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北京市西城区金融大街兴盛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谭杰伦、杜畅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344,467,451.37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290,694,326.03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244,081,189.12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46,807,199.75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42,536,330.87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38,761,009.22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29,870,797.16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30,991,792.18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34,152,256.14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-12,732,925.39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12,052,326.74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-205.65%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-20,974,759.17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0.5168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0.5168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731,029,892.72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689,087,643.31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454,026,764.27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566,646,168.39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524,838,968.64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334,127,637.77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43,903,521.62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47,395,935.09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58,645,918.44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194,522,076.22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563,291.64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11,994,617.40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689,248.00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33,560,042.71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-179,754.88</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10,282,253.39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-1,036,339.91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20,804,638.56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-24,934,665.71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-9,440,237.47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-26,397,247.28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48,039,225.07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-6,041.03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-4,653.70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-65,313.91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18,579,485.98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14,636,150.28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4,527,797.70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738,308.22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57,697.00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-901,771.02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36,004.14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753,913.40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2,409,802.39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2,478,558.73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683,516.80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23,245.19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-257,367.72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-15,072.69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16,936,402.59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11,544,538.69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4,608,753.08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408" w:lineRule="auto" w:before="155"/>
        <w:ind w:right="0" w:firstLine="420"/>
        <w:jc w:val="left"/>
      </w:pPr>
      <w:r>
        <w:rPr>
          <w:spacing w:val="-1"/>
        </w:rPr>
        <w:t>公司主营业务是以智能识别及分析技术为核心，为客户提供信息化解决方案（包括软件及硬件）及相</w:t>
      </w:r>
      <w:r>
        <w:rPr/>
        <w:t> 关服务，目前主要应用在现场会议领域、烟草领域、印钞检测领域、油气领域、政府及其他领域。</w:t>
      </w:r>
    </w:p>
    <w:p>
      <w:pPr>
        <w:pStyle w:val="Heading3"/>
        <w:spacing w:line="240" w:lineRule="auto" w:before="23"/>
        <w:ind w:left="441" w:right="0"/>
        <w:jc w:val="left"/>
      </w:pPr>
      <w:r>
        <w:rPr/>
        <w:t>（一）公司业务架构：</w:t>
      </w:r>
    </w:p>
    <w:p>
      <w:pPr>
        <w:spacing w:line="240" w:lineRule="auto" w:before="7"/>
        <w:rPr>
          <w:rFonts w:ascii="宋体" w:hAnsi="宋体" w:cs="宋体" w:eastAsia="宋体" w:hint="default"/>
          <w:sz w:val="13"/>
          <w:szCs w:val="13"/>
        </w:rPr>
      </w:pPr>
    </w:p>
    <w:p>
      <w:pPr>
        <w:spacing w:line="4551" w:lineRule="exact"/>
        <w:ind w:left="1307"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2962763" cy="2890361"/>
            <wp:effectExtent l="0" t="0" r="0" b="0"/>
            <wp:docPr id="1" name="image5.png" descr=""/>
            <wp:cNvGraphicFramePr>
              <a:graphicFrameLocks noChangeAspect="1"/>
            </wp:cNvGraphicFramePr>
            <a:graphic>
              <a:graphicData uri="http://schemas.openxmlformats.org/drawingml/2006/picture">
                <pic:pic>
                  <pic:nvPicPr>
                    <pic:cNvPr id="2" name="image5.png"/>
                    <pic:cNvPicPr/>
                  </pic:nvPicPr>
                  <pic:blipFill>
                    <a:blip r:embed="rId15" cstate="print"/>
                    <a:stretch>
                      <a:fillRect/>
                    </a:stretch>
                  </pic:blipFill>
                  <pic:spPr>
                    <a:xfrm>
                      <a:off x="0" y="0"/>
                      <a:ext cx="2962763" cy="2890361"/>
                    </a:xfrm>
                    <a:prstGeom prst="rect">
                      <a:avLst/>
                    </a:prstGeom>
                  </pic:spPr>
                </pic:pic>
              </a:graphicData>
            </a:graphic>
          </wp:inline>
        </w:drawing>
      </w:r>
      <w:r>
        <w:rPr>
          <w:rFonts w:ascii="宋体" w:hAnsi="宋体" w:cs="宋体" w:eastAsia="宋体" w:hint="default"/>
          <w:position w:val="-90"/>
          <w:sz w:val="20"/>
          <w:szCs w:val="20"/>
        </w:rPr>
      </w:r>
    </w:p>
    <w:p>
      <w:pPr>
        <w:pStyle w:val="Heading3"/>
        <w:spacing w:line="240" w:lineRule="auto" w:before="147"/>
        <w:ind w:left="1018" w:right="0"/>
        <w:jc w:val="left"/>
      </w:pPr>
      <w:r>
        <w:rPr/>
        <w:t>（注：报告期内公司印钞检测业务由联营企业中钞科信实施）</w:t>
      </w:r>
    </w:p>
    <w:p>
      <w:pPr>
        <w:pStyle w:val="BodyText"/>
        <w:spacing w:line="475" w:lineRule="auto" w:before="197"/>
        <w:ind w:left="595" w:right="1118" w:hanging="202"/>
        <w:jc w:val="left"/>
      </w:pPr>
      <w:r>
        <w:rPr>
          <w:sz w:val="24"/>
          <w:szCs w:val="24"/>
        </w:rPr>
        <w:t>（二） 报告期内公司从事的主要业务 </w:t>
      </w:r>
      <w:r>
        <w:rPr>
          <w:rFonts w:ascii="Times New Roman" w:hAnsi="Times New Roman" w:cs="Times New Roman" w:eastAsia="Times New Roman" w:hint="default"/>
        </w:rPr>
        <w:t>1</w:t>
      </w:r>
      <w:r>
        <w:rPr/>
        <w:t>、应用于现场会议领域的数字会议系列产品与信息化整体解决方案 </w:t>
      </w:r>
      <w:r>
        <w:rPr>
          <w:spacing w:val="-1"/>
        </w:rPr>
        <w:t>数字会议系统产品，包括</w:t>
      </w:r>
      <w:r>
        <w:rPr>
          <w:rFonts w:ascii="Times New Roman" w:hAnsi="Times New Roman" w:cs="Times New Roman" w:eastAsia="Times New Roman" w:hint="default"/>
          <w:spacing w:val="-1"/>
        </w:rPr>
        <w:t>RFID/</w:t>
      </w:r>
      <w:r>
        <w:rPr>
          <w:spacing w:val="-1"/>
        </w:rPr>
        <w:t>人脸识别报到系统、有线</w:t>
      </w:r>
      <w:r>
        <w:rPr>
          <w:rFonts w:ascii="Times New Roman" w:hAnsi="Times New Roman" w:cs="Times New Roman" w:eastAsia="Times New Roman" w:hint="default"/>
          <w:spacing w:val="-1"/>
        </w:rPr>
        <w:t>/</w:t>
      </w:r>
      <w:r>
        <w:rPr>
          <w:spacing w:val="-1"/>
        </w:rPr>
        <w:t>无线电子表决系统、智能电子选举系统等会</w:t>
      </w:r>
    </w:p>
    <w:p>
      <w:pPr>
        <w:pStyle w:val="BodyText"/>
        <w:spacing w:line="224" w:lineRule="exact"/>
        <w:ind w:right="0"/>
        <w:jc w:val="left"/>
      </w:pPr>
      <w:r>
        <w:rPr/>
        <w:t>议全流程各子系统；现场会议服务，包括携带相关硬件设备（如报到系统、表决系统、智能票箱、计票通</w:t>
      </w:r>
    </w:p>
    <w:p>
      <w:pPr>
        <w:spacing w:line="240" w:lineRule="auto" w:before="10"/>
        <w:rPr>
          <w:rFonts w:ascii="宋体" w:hAnsi="宋体" w:cs="宋体" w:eastAsia="宋体" w:hint="default"/>
          <w:sz w:val="14"/>
          <w:szCs w:val="14"/>
        </w:rPr>
      </w:pPr>
    </w:p>
    <w:p>
      <w:pPr>
        <w:pStyle w:val="BodyText"/>
        <w:spacing w:line="240" w:lineRule="auto"/>
        <w:ind w:right="0"/>
        <w:jc w:val="left"/>
      </w:pPr>
      <w:r>
        <w:rPr/>
        <w:t>等）为客户提供包括表决、报到、选举等在内的现场会议服务。</w:t>
      </w:r>
    </w:p>
    <w:p>
      <w:pPr>
        <w:spacing w:line="240" w:lineRule="auto" w:before="13"/>
        <w:rPr>
          <w:rFonts w:ascii="宋体" w:hAnsi="宋体" w:cs="宋体" w:eastAsia="宋体" w:hint="default"/>
          <w:sz w:val="23"/>
          <w:szCs w:val="23"/>
        </w:rPr>
      </w:pPr>
    </w:p>
    <w:p>
      <w:pPr>
        <w:pStyle w:val="BodyText"/>
        <w:spacing w:line="386" w:lineRule="auto"/>
        <w:ind w:right="0" w:firstLine="441"/>
        <w:jc w:val="left"/>
      </w:pPr>
      <w:r>
        <w:rPr>
          <w:spacing w:val="-3"/>
        </w:rPr>
        <w:t>解决方案包括应用于现场会议的集中式大会选举、电子表决、基层</w:t>
      </w:r>
      <w:r>
        <w:rPr>
          <w:rFonts w:ascii="Times New Roman" w:hAnsi="Times New Roman" w:cs="Times New Roman" w:eastAsia="Times New Roman" w:hint="default"/>
          <w:spacing w:val="-3"/>
        </w:rPr>
        <w:t>/</w:t>
      </w:r>
      <w:r>
        <w:rPr>
          <w:spacing w:val="-3"/>
        </w:rPr>
        <w:t>社区等分散式选举、基于人脸识别</w:t>
      </w:r>
      <w:r>
        <w:rPr/>
        <w:t> 和</w:t>
      </w:r>
      <w:r>
        <w:rPr>
          <w:rFonts w:ascii="Times New Roman" w:hAnsi="Times New Roman" w:cs="Times New Roman" w:eastAsia="Times New Roman" w:hint="default"/>
        </w:rPr>
        <w:t>RFID</w:t>
      </w:r>
      <w:r>
        <w:rPr/>
        <w:t>技术的通道式签到系统解决方案。相关产品还包括通用表格识别系统、干部考评系统等。</w:t>
      </w:r>
    </w:p>
    <w:p>
      <w:pPr>
        <w:spacing w:after="0" w:line="386"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93" w:lineRule="auto" w:before="35"/>
        <w:ind w:right="1130" w:firstLine="441"/>
        <w:jc w:val="both"/>
      </w:pPr>
      <w:r>
        <w:rPr>
          <w:spacing w:val="-1"/>
        </w:rPr>
        <w:t>报告期内，公司第九代电子选举系统继为党的</w:t>
      </w:r>
      <w:r>
        <w:rPr>
          <w:rFonts w:ascii="Times New Roman" w:hAnsi="Times New Roman" w:cs="Times New Roman" w:eastAsia="Times New Roman" w:hint="default"/>
          <w:spacing w:val="-1"/>
        </w:rPr>
        <w:t>“</w:t>
      </w:r>
      <w:r>
        <w:rPr>
          <w:spacing w:val="-1"/>
        </w:rPr>
        <w:t>十九大</w:t>
      </w:r>
      <w:r>
        <w:rPr>
          <w:rFonts w:ascii="Times New Roman" w:hAnsi="Times New Roman" w:cs="Times New Roman" w:eastAsia="Times New Roman" w:hint="default"/>
          <w:spacing w:val="-1"/>
        </w:rPr>
        <w:t>”</w:t>
      </w:r>
      <w:r>
        <w:rPr>
          <w:spacing w:val="-1"/>
        </w:rPr>
        <w:t>服务取得圆满成功之后，与电子表决系统一起</w:t>
      </w:r>
      <w:r>
        <w:rPr/>
        <w:t> 再一次成功服务于十三届全国</w:t>
      </w:r>
      <w:r>
        <w:rPr>
          <w:rFonts w:ascii="Times New Roman" w:hAnsi="Times New Roman" w:cs="Times New Roman" w:eastAsia="Times New Roman" w:hint="default"/>
        </w:rPr>
        <w:t>“</w:t>
      </w:r>
      <w:r>
        <w:rPr/>
        <w:t>两会</w:t>
      </w:r>
      <w:r>
        <w:rPr>
          <w:rFonts w:ascii="Times New Roman" w:hAnsi="Times New Roman" w:cs="Times New Roman" w:eastAsia="Times New Roman" w:hint="default"/>
        </w:rPr>
        <w:t>”</w:t>
      </w:r>
      <w:r>
        <w:rPr/>
        <w:t>，受到党和国家领导人、与会代表的高度肯定。在数字会议业务领域 </w:t>
      </w:r>
      <w:r>
        <w:rPr>
          <w:spacing w:val="-1"/>
        </w:rPr>
        <w:t>业绩增长迅速，缓解了换届选举需求淡旺季对本业务的周期性影响。新型大席位表决系统争取到省市级表</w:t>
      </w:r>
      <w:r>
        <w:rPr>
          <w:spacing w:val="-81"/>
        </w:rPr>
        <w:t> </w:t>
      </w:r>
      <w:r>
        <w:rPr>
          <w:spacing w:val="-81"/>
        </w:rPr>
      </w:r>
      <w:r>
        <w:rPr/>
        <w:t>决大项目</w:t>
      </w:r>
      <w:r>
        <w:rPr>
          <w:rFonts w:ascii="Times New Roman" w:hAnsi="Times New Roman" w:cs="Times New Roman" w:eastAsia="Times New Roman" w:hint="default"/>
        </w:rPr>
        <w:t>,</w:t>
      </w:r>
      <w:r>
        <w:rPr/>
        <w:t>业务快速增长；基于</w:t>
      </w:r>
      <w:r>
        <w:rPr>
          <w:rFonts w:ascii="Times New Roman" w:hAnsi="Times New Roman" w:cs="Times New Roman" w:eastAsia="Times New Roman" w:hint="default"/>
        </w:rPr>
        <w:t>“</w:t>
      </w:r>
      <w:r>
        <w:rPr/>
        <w:t>计票通</w:t>
      </w:r>
      <w:r>
        <w:rPr>
          <w:rFonts w:ascii="Times New Roman" w:hAnsi="Times New Roman" w:cs="Times New Roman" w:eastAsia="Times New Roman" w:hint="default"/>
        </w:rPr>
        <w:t>”</w:t>
      </w:r>
      <w:r>
        <w:rPr/>
        <w:t>的基层选举市场持续扩大，</w:t>
      </w:r>
      <w:r>
        <w:rPr>
          <w:rFonts w:ascii="Times New Roman" w:hAnsi="Times New Roman" w:cs="Times New Roman" w:eastAsia="Times New Roman" w:hint="default"/>
        </w:rPr>
        <w:t>2018</w:t>
      </w:r>
      <w:r>
        <w:rPr/>
        <w:t>年累计服务超过</w:t>
      </w:r>
      <w:r>
        <w:rPr>
          <w:rFonts w:ascii="Times New Roman" w:hAnsi="Times New Roman" w:cs="Times New Roman" w:eastAsia="Times New Roman" w:hint="default"/>
        </w:rPr>
        <w:t>500</w:t>
      </w:r>
      <w:r>
        <w:rPr/>
        <w:t>个社区。</w:t>
      </w:r>
    </w:p>
    <w:p>
      <w:pPr>
        <w:pStyle w:val="BodyText"/>
        <w:spacing w:line="386" w:lineRule="auto" w:before="28"/>
        <w:ind w:left="595" w:right="1071"/>
        <w:jc w:val="left"/>
      </w:pPr>
      <w:r>
        <w:rPr>
          <w:rFonts w:ascii="Times New Roman" w:hAnsi="Times New Roman" w:cs="Times New Roman" w:eastAsia="Times New Roman" w:hint="default"/>
        </w:rPr>
        <w:t>2</w:t>
      </w:r>
      <w:r>
        <w:rPr/>
        <w:t>、应用于烟草领域覆盖农</w:t>
      </w:r>
      <w:r>
        <w:rPr>
          <w:rFonts w:ascii="Times New Roman" w:hAnsi="Times New Roman" w:cs="Times New Roman" w:eastAsia="Times New Roman" w:hint="default"/>
        </w:rPr>
        <w:t>-</w:t>
      </w:r>
      <w:r>
        <w:rPr/>
        <w:t>工</w:t>
      </w:r>
      <w:r>
        <w:rPr>
          <w:rFonts w:ascii="Times New Roman" w:hAnsi="Times New Roman" w:cs="Times New Roman" w:eastAsia="Times New Roman" w:hint="default"/>
        </w:rPr>
        <w:t>-</w:t>
      </w:r>
      <w:r>
        <w:rPr/>
        <w:t>商全产业链的信息化产品与整体解决方案 公司为烟草行业提供包括农业、工业和商业全产业链信息化建设整体解决方案和烟草智能制造服务，</w:t>
      </w:r>
    </w:p>
    <w:p>
      <w:pPr>
        <w:pStyle w:val="BodyText"/>
        <w:spacing w:line="403" w:lineRule="auto" w:before="65"/>
        <w:ind w:right="1129"/>
        <w:jc w:val="both"/>
      </w:pPr>
      <w:r>
        <w:rPr>
          <w:spacing w:val="-1"/>
        </w:rPr>
        <w:t>提供包括行业信息化规划、信息化基础平台建设、行业信息化深度应用、卷烟智能化生产、卷烟物流信息</w:t>
      </w:r>
      <w:r>
        <w:rPr>
          <w:spacing w:val="-86"/>
        </w:rPr>
        <w:t> </w:t>
      </w:r>
      <w:r>
        <w:rPr>
          <w:spacing w:val="-86"/>
        </w:rPr>
      </w:r>
      <w:r>
        <w:rPr>
          <w:spacing w:val="-1"/>
        </w:rPr>
        <w:t>化等众多技术、产品和服务。典型产品有烟叶种植专家分析系统、烟叶数字化仓储及物流综合平台、一体</w:t>
      </w:r>
      <w:r>
        <w:rPr>
          <w:spacing w:val="-86"/>
        </w:rPr>
        <w:t> </w:t>
      </w:r>
      <w:r>
        <w:rPr>
          <w:spacing w:val="-86"/>
        </w:rPr>
      </w:r>
      <w:r>
        <w:rPr>
          <w:spacing w:val="-1"/>
        </w:rPr>
        <w:t>化烟叶收购系统、卷烟厂卷接包车间生产数据采集及智能诊断分析系统、卷烟辅料生命周期跟踪及管理系</w:t>
      </w:r>
      <w:r>
        <w:rPr>
          <w:spacing w:val="-81"/>
        </w:rPr>
        <w:t> </w:t>
      </w:r>
      <w:r>
        <w:rPr>
          <w:spacing w:val="-81"/>
        </w:rPr>
      </w:r>
      <w:r>
        <w:rPr>
          <w:spacing w:val="-2"/>
        </w:rPr>
        <w:t>统、烟草工业大数据平台、烟箱缺条检测系统、卷烟研发信息管理系统、基于工业大数据的</w:t>
      </w:r>
      <w:r>
        <w:rPr>
          <w:rFonts w:ascii="Times New Roman" w:hAnsi="Times New Roman" w:cs="Times New Roman" w:eastAsia="Times New Roman" w:hint="default"/>
          <w:spacing w:val="-2"/>
        </w:rPr>
        <w:t>TiPM</w:t>
      </w:r>
      <w:r>
        <w:rPr>
          <w:spacing w:val="-2"/>
        </w:rPr>
        <w:t>智慧设备</w:t>
      </w:r>
      <w:r>
        <w:rPr>
          <w:spacing w:val="-101"/>
        </w:rPr>
        <w:t> </w:t>
      </w:r>
      <w:r>
        <w:rPr>
          <w:spacing w:val="-1"/>
        </w:rPr>
        <w:t>管理系统，以及烟草行业数据中心平台、行业私有云平台规划与建设、信息化基础设施运维管理、烟草物</w:t>
      </w:r>
      <w:r>
        <w:rPr>
          <w:spacing w:val="-85"/>
        </w:rPr>
        <w:t> </w:t>
      </w:r>
      <w:r>
        <w:rPr>
          <w:spacing w:val="-85"/>
        </w:rPr>
      </w:r>
      <w:r>
        <w:rPr/>
        <w:t>流园区信息化基础设施建设等等。</w:t>
      </w:r>
    </w:p>
    <w:p>
      <w:pPr>
        <w:pStyle w:val="BodyText"/>
        <w:spacing w:line="408" w:lineRule="auto" w:before="50"/>
        <w:ind w:right="1110" w:firstLine="441"/>
        <w:jc w:val="both"/>
      </w:pPr>
      <w:r>
        <w:rPr>
          <w:spacing w:val="-1"/>
        </w:rPr>
        <w:t>报告期内，公司在烟草行业智能制造领域取得新突破，成功实施浙江中烟杭州卷烟厂智慧设备管理系</w:t>
      </w:r>
      <w:r>
        <w:rPr/>
        <w:t> </w:t>
      </w:r>
      <w:r>
        <w:rPr>
          <w:spacing w:val="-1"/>
        </w:rPr>
        <w:t>统项目，通过智慧设备管理引擎驱动设备管理的自主维护和专用维护活动的高效有序开展；通过设备健康</w:t>
      </w:r>
      <w:r>
        <w:rPr>
          <w:spacing w:val="-81"/>
        </w:rPr>
        <w:t> </w:t>
      </w:r>
      <w:r>
        <w:rPr>
          <w:spacing w:val="-81"/>
        </w:rPr>
      </w:r>
      <w:r>
        <w:rPr/>
        <w:t>指数的持续监控，实现设备的预防维护和故障预警；通过知识引擎的决策辅助，实现设备管理的智能化。 </w:t>
      </w:r>
      <w:r>
        <w:rPr>
          <w:spacing w:val="-1"/>
        </w:rPr>
        <w:t>入选浙江中烟软件供应商和科研供应商信息库。四川中烟、洛阳卷烟厂等智慧园区信息化建设项目顺利实</w:t>
      </w:r>
      <w:r>
        <w:rPr>
          <w:spacing w:val="-81"/>
        </w:rPr>
        <w:t> </w:t>
      </w:r>
      <w:r>
        <w:rPr>
          <w:spacing w:val="-81"/>
        </w:rPr>
      </w:r>
      <w:r>
        <w:rPr/>
        <w:t>施。川渝两地业务发展稳定，凉山、攀枝花、泸州三地的无人烟叶收购线试点项目取得成功。</w:t>
      </w:r>
    </w:p>
    <w:p>
      <w:pPr>
        <w:pStyle w:val="BodyText"/>
        <w:spacing w:line="386" w:lineRule="auto" w:before="46"/>
        <w:ind w:left="634" w:right="1120"/>
        <w:jc w:val="left"/>
      </w:pPr>
      <w:r>
        <w:rPr>
          <w:rFonts w:ascii="Times New Roman" w:hAnsi="Times New Roman" w:cs="Times New Roman" w:eastAsia="Times New Roman" w:hint="default"/>
        </w:rPr>
        <w:t>3</w:t>
      </w:r>
      <w:r>
        <w:rPr/>
        <w:t>、应用于印钞检测领域的全生产流程在线质量检测产品与整体解决方案 </w:t>
      </w:r>
      <w:r>
        <w:rPr>
          <w:spacing w:val="-2"/>
        </w:rPr>
        <w:t>公司在国内率先将高速机器视觉与智能分析技术应用于印钞质量在线检测。公司应用于印钞检测领域</w:t>
      </w:r>
    </w:p>
    <w:p>
      <w:pPr>
        <w:pStyle w:val="BodyText"/>
        <w:spacing w:line="408" w:lineRule="auto" w:before="65"/>
        <w:ind w:right="1110"/>
        <w:jc w:val="both"/>
      </w:pPr>
      <w:r>
        <w:rPr/>
        <w:t>的产品涵盖了从造纸、印刷、胶印到检封整个工艺流程，钞票大张质量检查机、印钞凹印在线检测系统、 </w:t>
      </w:r>
      <w:r>
        <w:rPr>
          <w:spacing w:val="-1"/>
        </w:rPr>
        <w:t>纸机在线质量检测系统、分切质量在线检测系统、钞票清分图像处理核心部件已在行业中广泛应用。公司</w:t>
      </w:r>
      <w:r>
        <w:rPr>
          <w:spacing w:val="-83"/>
        </w:rPr>
        <w:t> </w:t>
      </w:r>
      <w:r>
        <w:rPr>
          <w:spacing w:val="-83"/>
        </w:rPr>
      </w:r>
      <w:r>
        <w:rPr/>
        <w:t>印钞检测领域的在线质量检测产品在国内处于领先水平。</w:t>
      </w:r>
    </w:p>
    <w:p>
      <w:pPr>
        <w:pStyle w:val="BodyText"/>
        <w:spacing w:line="408" w:lineRule="auto" w:before="46"/>
        <w:ind w:right="0" w:firstLine="480"/>
        <w:jc w:val="left"/>
      </w:pPr>
      <w:r>
        <w:rPr>
          <w:spacing w:val="-5"/>
        </w:rPr>
        <w:t>公司印钞行业业务主要由联营企业中钞科信实施，报告期内，印钞行业检测业务较上年同期有所增长，</w:t>
      </w:r>
      <w:r>
        <w:rPr/>
        <w:t> 国际市场开拓成绩明显，凹印离线设备进入香港印钞行业，助力香港印钞行业正式进入机检时代。民用品 检机成功应用于印尼印钞公司，设备性能得到客户高度认可。公司成功攻克印钞涂布的机器视觉检测这一 国际技术难题，为业务拓展抢占了有利先机。</w:t>
      </w:r>
    </w:p>
    <w:p>
      <w:pPr>
        <w:pStyle w:val="BodyText"/>
        <w:spacing w:line="386" w:lineRule="auto" w:before="46"/>
        <w:ind w:left="634" w:right="1120"/>
        <w:jc w:val="left"/>
      </w:pPr>
      <w:r>
        <w:rPr>
          <w:rFonts w:ascii="Times New Roman" w:hAnsi="Times New Roman" w:cs="Times New Roman" w:eastAsia="Times New Roman" w:hint="default"/>
        </w:rPr>
        <w:t>4</w:t>
      </w:r>
      <w:r>
        <w:rPr/>
        <w:t>、应用于油气领域的油气田数字化生产管理产品与整体解决方案 </w:t>
      </w:r>
      <w:r>
        <w:rPr>
          <w:spacing w:val="-2"/>
        </w:rPr>
        <w:t>公司为油气领域客户提供油气田数字化生产管理整体解决方案，可实现电子巡井、自动采集、实时监</w:t>
      </w:r>
    </w:p>
    <w:p>
      <w:pPr>
        <w:pStyle w:val="BodyText"/>
        <w:spacing w:line="386" w:lineRule="auto" w:before="65"/>
        <w:ind w:right="1130"/>
        <w:jc w:val="both"/>
      </w:pPr>
      <w:r>
        <w:rPr/>
        <w:t>控、智能防御、高效管理、科学指挥等多种功能。公司提供的天然气管网集输及</w:t>
      </w:r>
      <w:r>
        <w:rPr>
          <w:rFonts w:ascii="Times New Roman" w:hAnsi="Times New Roman" w:cs="Times New Roman" w:eastAsia="Times New Roman" w:hint="default"/>
        </w:rPr>
        <w:t>CNG/LNG</w:t>
      </w:r>
      <w:r>
        <w:rPr/>
        <w:t>站控领域的数</w:t>
      </w:r>
      <w:r>
        <w:rPr>
          <w:spacing w:val="-25"/>
        </w:rPr>
        <w:t> </w:t>
      </w:r>
      <w:r>
        <w:rPr>
          <w:spacing w:val="-25"/>
        </w:rPr>
      </w:r>
      <w:r>
        <w:rPr/>
        <w:t>字化管理整体解决方案产品能够为天然气管网的日常生产、调度、维护、管理提供充分的技术支撑。</w:t>
      </w:r>
    </w:p>
    <w:p>
      <w:pPr>
        <w:spacing w:after="0" w:line="386"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98" w:lineRule="auto" w:before="35"/>
        <w:ind w:right="1131" w:firstLine="480"/>
        <w:jc w:val="both"/>
      </w:pPr>
      <w:r>
        <w:rPr>
          <w:spacing w:val="-2"/>
        </w:rPr>
        <w:t>天然气管网集输</w:t>
      </w:r>
      <w:r>
        <w:rPr>
          <w:rFonts w:ascii="Times New Roman" w:hAnsi="Times New Roman" w:cs="Times New Roman" w:eastAsia="Times New Roman" w:hint="default"/>
          <w:spacing w:val="-2"/>
        </w:rPr>
        <w:t>SCADA</w:t>
      </w:r>
      <w:r>
        <w:rPr>
          <w:spacing w:val="-2"/>
        </w:rPr>
        <w:t>系统、</w:t>
      </w:r>
      <w:r>
        <w:rPr>
          <w:rFonts w:ascii="Times New Roman" w:hAnsi="Times New Roman" w:cs="Times New Roman" w:eastAsia="Times New Roman" w:hint="default"/>
          <w:spacing w:val="-2"/>
        </w:rPr>
        <w:t>CNG/LNG</w:t>
      </w:r>
      <w:r>
        <w:rPr>
          <w:spacing w:val="-2"/>
        </w:rPr>
        <w:t>场站控制及生产调度管理系统、油气井台智能视频监控分析</w:t>
      </w:r>
      <w:r>
        <w:rPr/>
        <w:t> </w:t>
      </w:r>
      <w:r>
        <w:rPr>
          <w:spacing w:val="-1"/>
        </w:rPr>
        <w:t>系统、能源型企业三维管网综合管理平台、油气田大型地面工程信息化整体解决方案等产品为公司在油气</w:t>
      </w:r>
      <w:r>
        <w:rPr>
          <w:spacing w:val="-81"/>
        </w:rPr>
        <w:t> </w:t>
      </w:r>
      <w:r>
        <w:rPr>
          <w:spacing w:val="-81"/>
        </w:rPr>
      </w:r>
      <w:r>
        <w:rPr/>
        <w:t>领域的优势产品。</w:t>
      </w:r>
    </w:p>
    <w:p>
      <w:pPr>
        <w:pStyle w:val="BodyText"/>
        <w:spacing w:line="393" w:lineRule="auto" w:before="55"/>
        <w:ind w:right="1130" w:firstLine="480"/>
        <w:jc w:val="both"/>
      </w:pPr>
      <w:r>
        <w:rPr>
          <w:spacing w:val="-2"/>
        </w:rPr>
        <w:t>报告期内，公司塔里木油田业务新增订单增长快速，市场地位进一步巩固。自控通信、安防达标及作</w:t>
      </w:r>
      <w:r>
        <w:rPr/>
        <w:t> 业区生产系统等油田领域大项目的积极策划为拓展油气行业新市场打下良好基础；</w:t>
      </w:r>
      <w:r>
        <w:rPr>
          <w:rFonts w:ascii="Times New Roman" w:hAnsi="Times New Roman" w:cs="Times New Roman" w:eastAsia="Times New Roman" w:hint="default"/>
        </w:rPr>
        <w:t>“</w:t>
      </w:r>
      <w:r>
        <w:rPr/>
        <w:t>克拉作业区标准化平</w:t>
      </w:r>
      <w:r>
        <w:rPr>
          <w:spacing w:val="-14"/>
        </w:rPr>
        <w:t> </w:t>
      </w:r>
      <w:r>
        <w:rPr>
          <w:spacing w:val="-14"/>
        </w:rPr>
      </w:r>
      <w:r>
        <w:rPr/>
        <w:t>台配套工程</w:t>
      </w:r>
      <w:r>
        <w:rPr>
          <w:rFonts w:ascii="Times New Roman" w:hAnsi="Times New Roman" w:cs="Times New Roman" w:eastAsia="Times New Roman" w:hint="default"/>
        </w:rPr>
        <w:t>”</w:t>
      </w:r>
      <w:r>
        <w:rPr/>
        <w:t>项目，属于从人工操作向智能化控制转化的试点项目，涉及人脸识别与人体行为识别技术在</w:t>
      </w:r>
      <w:r>
        <w:rPr>
          <w:spacing w:val="-25"/>
        </w:rPr>
        <w:t> </w:t>
      </w:r>
      <w:r>
        <w:rPr>
          <w:spacing w:val="-25"/>
        </w:rPr>
      </w:r>
      <w:r>
        <w:rPr/>
        <w:t>油气生产领域的应用，必将为公司在塔里木油田的市场地位奠定更深厚基础。</w:t>
      </w:r>
    </w:p>
    <w:p>
      <w:pPr>
        <w:pStyle w:val="BodyText"/>
        <w:spacing w:line="386" w:lineRule="auto" w:before="58"/>
        <w:ind w:left="634" w:right="1120"/>
        <w:jc w:val="left"/>
      </w:pPr>
      <w:r>
        <w:rPr>
          <w:rFonts w:ascii="Times New Roman" w:hAnsi="Times New Roman" w:cs="Times New Roman" w:eastAsia="Times New Roman" w:hint="default"/>
        </w:rPr>
        <w:t>5</w:t>
      </w:r>
      <w:r>
        <w:rPr/>
        <w:t>、应用于政府及其它领域的产品 </w:t>
      </w:r>
      <w:r>
        <w:rPr>
          <w:spacing w:val="-2"/>
        </w:rPr>
        <w:t>公司以云计算、大数据、物联网和移动互联技术为依托，提供新型智慧城市关键技术、平台系统、运</w:t>
      </w:r>
    </w:p>
    <w:p>
      <w:pPr>
        <w:pStyle w:val="BodyText"/>
        <w:spacing w:line="408" w:lineRule="auto" w:before="65"/>
        <w:ind w:right="1023"/>
        <w:jc w:val="left"/>
      </w:pPr>
      <w:r>
        <w:rPr/>
        <w:t>维服务。在整合政务平台和数据基础上，公司基于大数据分析平台实现了政务信息数据的管理优化和应用 创新。公司提供智慧政务服务平台整体解决方案、省级政务大数据共享及民生服务平台系统、省级政法部 门信息化资源共享平台系统、视频大数据智能检索分析系统等，为智慧人大、智慧政协、智慧组工、智慧 统计和智慧教育建设提供技术、产品和服务。此外，公司还将智能识别与分析技术应用于医药、玻璃检测 </w:t>
      </w:r>
      <w:r>
        <w:rPr>
          <w:spacing w:val="-3"/>
        </w:rPr>
        <w:t>等领域，主要产品包括经食道超声模拟教学及临床技能培训系统、超薄大型透明材料边部高精度检测平台、</w:t>
      </w:r>
      <w:r>
        <w:rPr>
          <w:spacing w:val="-92"/>
        </w:rPr>
        <w:t> </w:t>
      </w:r>
      <w:r>
        <w:rPr>
          <w:spacing w:val="-92"/>
        </w:rPr>
      </w:r>
      <w:r>
        <w:rPr/>
        <w:t>主动式多源融合室内精准定位平台等。</w:t>
      </w:r>
    </w:p>
    <w:p>
      <w:pPr>
        <w:pStyle w:val="BodyText"/>
        <w:spacing w:line="408" w:lineRule="auto" w:before="46"/>
        <w:ind w:right="1023" w:firstLine="441"/>
        <w:jc w:val="left"/>
      </w:pPr>
      <w:r>
        <w:rPr/>
        <w:t>报告期内，公司以虚拟仿真医疗教学系统和统计大数据分析业务为代表的新行业业务在市场拓展方面 </w:t>
      </w:r>
      <w:r>
        <w:rPr>
          <w:spacing w:val="-3"/>
        </w:rPr>
        <w:t>取得了较大突破。经食管超声模拟教学系统继在上海、深圳、甘肃等地的多家三甲医院实现推广销售之后，</w:t>
      </w:r>
      <w:r>
        <w:rPr>
          <w:spacing w:val="-92"/>
        </w:rPr>
        <w:t> </w:t>
      </w:r>
      <w:r>
        <w:rPr>
          <w:spacing w:val="-92"/>
        </w:rPr>
      </w:r>
      <w:r>
        <w:rPr/>
        <w:t>又成功开辟四川、河南市场。面向断层解剖的临床超声数字人、围术期人体生命基本功能智能化动态监测</w:t>
      </w:r>
      <w:r>
        <w:rPr/>
        <w:t> 和调控解决方案相继问世，且达到世界前沿水平。 实施的成都市统计局、龙泉驿区统计局、锦江区统计</w:t>
      </w:r>
      <w:r>
        <w:rPr>
          <w:spacing w:val="-38"/>
        </w:rPr>
        <w:t> </w:t>
      </w:r>
      <w:r>
        <w:rPr>
          <w:spacing w:val="-38"/>
        </w:rPr>
      </w:r>
      <w:r>
        <w:rPr/>
        <w:t>局的大数据管理与区域经济大数据分析项目得到用户高度肯定，有效推动了统计调查方法创新，有力提高</w:t>
      </w:r>
      <w:r>
        <w:rPr/>
        <w:t> 了统计数据共享利用价值，为促进统计业务流程优化、构建统计服务新模式，做出了有益探索，在国家深 化统计管理体制改革的关键时期，助力地方统计工作迈入了大数据时代。</w:t>
      </w:r>
    </w:p>
    <w:p>
      <w:pPr>
        <w:pStyle w:val="BodyText"/>
        <w:spacing w:line="408" w:lineRule="auto" w:before="46"/>
        <w:ind w:left="595" w:right="1115" w:hanging="84"/>
        <w:jc w:val="left"/>
      </w:pPr>
      <w:r>
        <w:rPr/>
        <w:t>（三）主要经营模式 </w:t>
      </w:r>
      <w:r>
        <w:rPr>
          <w:spacing w:val="-1"/>
        </w:rPr>
        <w:t>公司主要以承接信息化项目的形式开展业务。公司信息化系统项目客户主要通过公开招标或邀标的方</w:t>
      </w:r>
    </w:p>
    <w:p>
      <w:pPr>
        <w:pStyle w:val="BodyText"/>
        <w:spacing w:line="408" w:lineRule="auto" w:before="46"/>
        <w:ind w:right="0"/>
        <w:jc w:val="left"/>
      </w:pPr>
      <w:r>
        <w:rPr>
          <w:spacing w:val="-1"/>
        </w:rPr>
        <w:t>式选择供应商，招投标也是公司获取信息化系统业务的主要方式。项目中标后，各事业部组织项目组开展</w:t>
      </w:r>
      <w:r>
        <w:rPr>
          <w:spacing w:val="-83"/>
        </w:rPr>
        <w:t> </w:t>
      </w:r>
      <w:r>
        <w:rPr>
          <w:spacing w:val="-83"/>
        </w:rPr>
      </w:r>
      <w:r>
        <w:rPr/>
        <w:t>项目方案设计、技术开发、软硬件采购、安装实施等工作，然后交付客户测试运行、验收。</w:t>
      </w:r>
    </w:p>
    <w:p>
      <w:pPr>
        <w:pStyle w:val="BodyText"/>
        <w:spacing w:line="484" w:lineRule="auto" w:before="166"/>
        <w:ind w:left="574" w:right="6762"/>
        <w:jc w:val="left"/>
      </w:pPr>
      <w:r>
        <w:rPr>
          <w:rFonts w:ascii="Times New Roman" w:hAnsi="Times New Roman" w:cs="Times New Roman" w:eastAsia="Times New Roman" w:hint="default"/>
        </w:rPr>
        <w:t>1</w:t>
      </w:r>
      <w:r>
        <w:rPr/>
        <w:t>、销售模式 公司销售为直销方式，具体流程如下：</w:t>
      </w:r>
    </w:p>
    <w:p>
      <w:pPr>
        <w:pStyle w:val="BodyText"/>
        <w:spacing w:line="240" w:lineRule="auto" w:before="99"/>
        <w:ind w:left="574" w:right="0"/>
        <w:jc w:val="left"/>
      </w:pPr>
      <w:r>
        <w:rPr/>
        <w:t>（</w:t>
      </w:r>
      <w:r>
        <w:rPr>
          <w:rFonts w:ascii="Times New Roman" w:hAnsi="Times New Roman" w:cs="Times New Roman" w:eastAsia="Times New Roman" w:hint="default"/>
        </w:rPr>
        <w:t>1</w:t>
      </w:r>
      <w:r>
        <w:rPr/>
        <w:t>）销售人员通过直访、项目信息发布平台、合作伙伴、设备供应商和业主邀标等多种形式获得项</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目销售线索，由市场部进行销售线索的筛选和分配；</w:t>
      </w:r>
    </w:p>
    <w:p>
      <w:pPr>
        <w:spacing w:line="240" w:lineRule="auto" w:before="12"/>
        <w:rPr>
          <w:rFonts w:ascii="宋体" w:hAnsi="宋体" w:cs="宋体" w:eastAsia="宋体" w:hint="default"/>
          <w:sz w:val="23"/>
          <w:szCs w:val="23"/>
        </w:rPr>
      </w:pPr>
    </w:p>
    <w:p>
      <w:pPr>
        <w:pStyle w:val="BodyText"/>
        <w:spacing w:line="240" w:lineRule="auto"/>
        <w:ind w:left="574" w:right="0"/>
        <w:jc w:val="left"/>
      </w:pPr>
      <w:r>
        <w:rPr/>
        <w:t>（</w:t>
      </w:r>
      <w:r>
        <w:rPr>
          <w:rFonts w:ascii="Times New Roman" w:hAnsi="Times New Roman" w:cs="Times New Roman" w:eastAsia="Times New Roman" w:hint="default"/>
        </w:rPr>
        <w:t>2</w:t>
      </w:r>
      <w:r>
        <w:rPr/>
        <w:t>）项目负责人组织销售团队了解和分析客户需求，制定解决方案并与客户进行沟通、技术交流；</w:t>
      </w:r>
    </w:p>
    <w:p>
      <w:pPr>
        <w:spacing w:line="240" w:lineRule="auto" w:before="10"/>
        <w:rPr>
          <w:rFonts w:ascii="宋体" w:hAnsi="宋体" w:cs="宋体" w:eastAsia="宋体" w:hint="default"/>
          <w:sz w:val="22"/>
          <w:szCs w:val="22"/>
        </w:rPr>
      </w:pPr>
    </w:p>
    <w:p>
      <w:pPr>
        <w:pStyle w:val="BodyText"/>
        <w:spacing w:line="240" w:lineRule="auto"/>
        <w:ind w:left="574" w:right="0"/>
        <w:jc w:val="left"/>
      </w:pPr>
      <w:r>
        <w:rPr/>
        <w:t>（</w:t>
      </w:r>
      <w:r>
        <w:rPr>
          <w:rFonts w:ascii="Times New Roman" w:hAnsi="Times New Roman" w:cs="Times New Roman" w:eastAsia="Times New Roman" w:hint="default"/>
        </w:rPr>
        <w:t>3</w:t>
      </w:r>
      <w:r>
        <w:rPr/>
        <w:t>）参加客户或客户委托招标代理机构组织的公开招标或邀请投标或单一来源采购谈判；</w:t>
      </w:r>
    </w:p>
    <w:p>
      <w:pPr>
        <w:spacing w:line="240" w:lineRule="auto" w:before="9"/>
        <w:rPr>
          <w:rFonts w:ascii="宋体" w:hAnsi="宋体" w:cs="宋体" w:eastAsia="宋体" w:hint="default"/>
          <w:sz w:val="22"/>
          <w:szCs w:val="22"/>
        </w:rPr>
      </w:pPr>
    </w:p>
    <w:p>
      <w:pPr>
        <w:pStyle w:val="BodyText"/>
        <w:spacing w:line="484" w:lineRule="auto"/>
        <w:ind w:left="574" w:right="3507"/>
        <w:jc w:val="left"/>
      </w:pPr>
      <w:r>
        <w:rPr/>
        <w:t>（</w:t>
      </w:r>
      <w:r>
        <w:rPr>
          <w:rFonts w:ascii="Times New Roman" w:hAnsi="Times New Roman" w:cs="Times New Roman" w:eastAsia="Times New Roman" w:hint="default"/>
        </w:rPr>
        <w:t>4</w:t>
      </w:r>
      <w:r>
        <w:rPr/>
        <w:t>）中标后依据投标文件与业主方进行合同商谈，并最终签订销售合同。 公司各类业务的定价方式如下：</w:t>
      </w:r>
    </w:p>
    <w:p>
      <w:pPr>
        <w:pStyle w:val="BodyText"/>
        <w:spacing w:line="240" w:lineRule="auto" w:before="99"/>
        <w:ind w:left="574" w:right="0"/>
        <w:jc w:val="left"/>
      </w:pPr>
      <w:r>
        <w:rPr/>
        <w:t>①</w:t>
      </w:r>
      <w:r>
        <w:rPr>
          <w:spacing w:val="-21"/>
        </w:rPr>
        <w:t> </w:t>
      </w:r>
      <w:r>
        <w:rPr/>
        <w:t>信息化解决方案</w:t>
      </w:r>
    </w:p>
    <w:p>
      <w:pPr>
        <w:spacing w:line="240" w:lineRule="auto" w:before="12"/>
        <w:rPr>
          <w:rFonts w:ascii="宋体" w:hAnsi="宋体" w:cs="宋体" w:eastAsia="宋体" w:hint="default"/>
          <w:sz w:val="23"/>
          <w:szCs w:val="23"/>
        </w:rPr>
      </w:pPr>
    </w:p>
    <w:p>
      <w:pPr>
        <w:pStyle w:val="BodyText"/>
        <w:spacing w:line="408" w:lineRule="auto"/>
        <w:ind w:right="1131" w:firstLine="420"/>
        <w:jc w:val="both"/>
      </w:pPr>
      <w:r>
        <w:rPr>
          <w:spacing w:val="-1"/>
        </w:rPr>
        <w:t>公司信息化解决方案是以客户的需求为出发点，以采购和集成部分设备或平台为基础，融入公司技术</w:t>
      </w:r>
      <w:r>
        <w:rPr/>
        <w:t> </w:t>
      </w:r>
      <w:r>
        <w:rPr>
          <w:spacing w:val="-1"/>
        </w:rPr>
        <w:t>或成果，形成满足客户需求的产品，为客户完成解决方案的部署和实施，完成产品交付。公司在综合考虑</w:t>
      </w:r>
      <w:r>
        <w:rPr>
          <w:spacing w:val="-86"/>
        </w:rPr>
        <w:t> </w:t>
      </w:r>
      <w:r>
        <w:rPr>
          <w:spacing w:val="-86"/>
        </w:rPr>
      </w:r>
      <w:r>
        <w:rPr>
          <w:spacing w:val="-1"/>
        </w:rPr>
        <w:t>采购成本和实施人员成本、公司融入技术成果的数量和实现难易程度等多种因素后，通过市场招投标等方</w:t>
      </w:r>
      <w:r>
        <w:rPr>
          <w:spacing w:val="-81"/>
        </w:rPr>
        <w:t> </w:t>
      </w:r>
      <w:r>
        <w:rPr>
          <w:spacing w:val="-81"/>
        </w:rPr>
      </w:r>
      <w:r>
        <w:rPr/>
        <w:t>式最终确定销售价格。</w:t>
      </w:r>
    </w:p>
    <w:p>
      <w:pPr>
        <w:pStyle w:val="BodyText"/>
        <w:spacing w:line="240" w:lineRule="auto" w:before="166"/>
        <w:ind w:left="574" w:right="0"/>
        <w:jc w:val="left"/>
      </w:pPr>
      <w:r>
        <w:rPr/>
        <w:t>②</w:t>
      </w:r>
      <w:r>
        <w:rPr>
          <w:spacing w:val="-21"/>
        </w:rPr>
        <w:t> </w:t>
      </w:r>
      <w:r>
        <w:rPr/>
        <w:t>技术服务与开发</w:t>
      </w:r>
    </w:p>
    <w:p>
      <w:pPr>
        <w:spacing w:line="240" w:lineRule="auto" w:before="12"/>
        <w:rPr>
          <w:rFonts w:ascii="宋体" w:hAnsi="宋体" w:cs="宋体" w:eastAsia="宋体" w:hint="default"/>
          <w:sz w:val="23"/>
          <w:szCs w:val="23"/>
        </w:rPr>
      </w:pPr>
    </w:p>
    <w:p>
      <w:pPr>
        <w:pStyle w:val="BodyText"/>
        <w:spacing w:line="408" w:lineRule="auto"/>
        <w:ind w:right="1027" w:firstLine="420"/>
        <w:jc w:val="both"/>
      </w:pPr>
      <w:r>
        <w:rPr/>
        <w:t>技术服务与开发主要是以公司自有核心技术或专有能力为主要内容，以客户的需求为目标，为客户提 供定制化的产品或服务，最终以提供专有产品或特定服务为形态完成交付。其定价方式综合考量了所使用 </w:t>
      </w:r>
      <w:r>
        <w:rPr>
          <w:spacing w:val="-3"/>
        </w:rPr>
        <w:t>核心技术或专有能力的价值、完成具体产品或服务的人员成本，通过市场招投标等方式最终确定销售价格。</w:t>
      </w:r>
    </w:p>
    <w:p>
      <w:pPr>
        <w:pStyle w:val="BodyText"/>
        <w:spacing w:line="484" w:lineRule="auto" w:before="166"/>
        <w:ind w:left="574" w:right="0"/>
        <w:jc w:val="left"/>
      </w:pPr>
      <w:r>
        <w:rPr>
          <w:rFonts w:ascii="Times New Roman" w:hAnsi="Times New Roman" w:cs="Times New Roman" w:eastAsia="Times New Roman" w:hint="default"/>
        </w:rPr>
        <w:t>2</w:t>
      </w:r>
      <w:r>
        <w:rPr/>
        <w:t>、生产及服务模式 </w:t>
      </w:r>
      <w:r>
        <w:rPr>
          <w:spacing w:val="-1"/>
        </w:rPr>
        <w:t>公司信息化业务主要以项目形式开展，并分为两类：信息化解决方案项目、技术服务与开发项目。具</w:t>
      </w:r>
    </w:p>
    <w:p>
      <w:pPr>
        <w:pStyle w:val="BodyText"/>
        <w:spacing w:line="254" w:lineRule="exact"/>
        <w:ind w:right="0"/>
        <w:jc w:val="left"/>
      </w:pPr>
      <w:r>
        <w:rPr/>
        <w:t>体如下：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0" w:right="1392"/>
        <w:jc w:val="right"/>
      </w:pPr>
      <w:r>
        <w:rPr/>
        <w:pict>
          <v:shape style="position:absolute;margin-left:73.620003pt;margin-top:-16.346357pt;width:449.25pt;height:69.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8"/>
                    <w:gridCol w:w="7110"/>
                  </w:tblGrid>
                  <w:tr>
                    <w:trPr>
                      <w:trHeight w:val="355" w:hRule="exact"/>
                    </w:trPr>
                    <w:tc>
                      <w:tcPr>
                        <w:tcW w:w="1838"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项目类型</w:t>
                        </w:r>
                        <w:r>
                          <w:rPr>
                            <w:rFonts w:ascii="宋体" w:hAnsi="宋体" w:cs="宋体" w:eastAsia="宋体" w:hint="default"/>
                            <w:sz w:val="21"/>
                            <w:szCs w:val="21"/>
                          </w:rPr>
                        </w:r>
                      </w:p>
                    </w:tc>
                    <w:tc>
                      <w:tcPr>
                        <w:tcW w:w="7110" w:type="dxa"/>
                        <w:tcBorders>
                          <w:top w:val="single" w:sz="6" w:space="0" w:color="000000"/>
                          <w:left w:val="single" w:sz="12" w:space="0" w:color="000000"/>
                          <w:bottom w:val="single" w:sz="12" w:space="0" w:color="000000"/>
                          <w:right w:val="single" w:sz="12" w:space="0" w:color="000000"/>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b/>
                            <w:bCs/>
                            <w:sz w:val="21"/>
                            <w:szCs w:val="21"/>
                          </w:rPr>
                          <w:t>工作内容</w:t>
                        </w:r>
                        <w:r>
                          <w:rPr>
                            <w:rFonts w:ascii="宋体" w:hAnsi="宋体" w:cs="宋体" w:eastAsia="宋体" w:hint="default"/>
                            <w:sz w:val="21"/>
                            <w:szCs w:val="21"/>
                          </w:rPr>
                        </w:r>
                      </w:p>
                    </w:tc>
                  </w:tr>
                  <w:tr>
                    <w:trPr>
                      <w:trHeight w:val="664" w:hRule="exact"/>
                    </w:trPr>
                    <w:tc>
                      <w:tcPr>
                        <w:tcW w:w="1838"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信息化解决方案</w:t>
                        </w:r>
                      </w:p>
                    </w:tc>
                    <w:tc>
                      <w:tcPr>
                        <w:tcW w:w="711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left="-5" w:right="0"/>
                          <w:jc w:val="left"/>
                          <w:rPr>
                            <w:rFonts w:ascii="宋体" w:hAnsi="宋体" w:cs="宋体" w:eastAsia="宋体" w:hint="default"/>
                            <w:sz w:val="21"/>
                            <w:szCs w:val="21"/>
                          </w:rPr>
                        </w:pPr>
                        <w:r>
                          <w:rPr>
                            <w:rFonts w:ascii="宋体" w:hAnsi="宋体" w:cs="宋体" w:eastAsia="宋体" w:hint="default"/>
                            <w:spacing w:val="-5"/>
                            <w:sz w:val="21"/>
                            <w:szCs w:val="21"/>
                          </w:rPr>
                          <w:t>主要包括信息化系统的方案设计、软件开发、传感器、服务器等电子信息设备</w:t>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其他设备、材料的采购、安装和调试工作，部分项目还包括施工建设内容。</w:t>
                        </w:r>
                      </w:p>
                    </w:tc>
                  </w:tr>
                  <w:tr>
                    <w:trPr>
                      <w:trHeight w:val="353" w:hRule="exact"/>
                    </w:trPr>
                    <w:tc>
                      <w:tcPr>
                        <w:tcW w:w="1838"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技术服务与开发</w:t>
                        </w:r>
                      </w:p>
                    </w:tc>
                    <w:tc>
                      <w:tcPr>
                        <w:tcW w:w="711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left="-5" w:right="0"/>
                          <w:jc w:val="left"/>
                          <w:rPr>
                            <w:rFonts w:ascii="宋体" w:hAnsi="宋体" w:cs="宋体" w:eastAsia="宋体" w:hint="default"/>
                            <w:sz w:val="21"/>
                            <w:szCs w:val="21"/>
                          </w:rPr>
                        </w:pPr>
                        <w:r>
                          <w:rPr>
                            <w:rFonts w:ascii="宋体" w:hAnsi="宋体" w:cs="宋体" w:eastAsia="宋体" w:hint="default"/>
                            <w:sz w:val="21"/>
                            <w:szCs w:val="21"/>
                          </w:rPr>
                          <w:t>主要包括技术开发、现场技术支持服务、信息化系统运维服务。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408" w:lineRule="auto" w:before="35"/>
        <w:ind w:right="1131" w:firstLine="420"/>
        <w:jc w:val="both"/>
      </w:pPr>
      <w:r>
        <w:rPr>
          <w:spacing w:val="-1"/>
        </w:rPr>
        <w:t>公司信息化解决方案项目中标后由各项目组进行系统解决方案的整体设计、相关软件系统的开发、传</w:t>
      </w:r>
      <w:r>
        <w:rPr/>
        <w:t> </w:t>
      </w:r>
      <w:r>
        <w:rPr>
          <w:spacing w:val="-1"/>
        </w:rPr>
        <w:t>感器、服务器等软硬件、材料的采购、安装和调试工作，部分项目还包括施工建设工作，然后将信息化系</w:t>
      </w:r>
      <w:r>
        <w:rPr>
          <w:spacing w:val="-83"/>
        </w:rPr>
        <w:t> </w:t>
      </w:r>
      <w:r>
        <w:rPr>
          <w:spacing w:val="-83"/>
        </w:rPr>
      </w:r>
      <w:r>
        <w:rPr/>
        <w:t>统交付客户试运行和验收。业务流程图如下：</w:t>
      </w:r>
    </w:p>
    <w:p>
      <w:pPr>
        <w:spacing w:after="0" w:line="408"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4485" w:lineRule="exact"/>
        <w:ind w:left="2720"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3123503" cy="2847975"/>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6" cstate="print"/>
                    <a:stretch>
                      <a:fillRect/>
                    </a:stretch>
                  </pic:blipFill>
                  <pic:spPr>
                    <a:xfrm>
                      <a:off x="0" y="0"/>
                      <a:ext cx="3123503" cy="284797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9"/>
        <w:rPr>
          <w:rFonts w:ascii="宋体" w:hAnsi="宋体" w:cs="宋体" w:eastAsia="宋体" w:hint="default"/>
          <w:sz w:val="9"/>
          <w:szCs w:val="9"/>
        </w:rPr>
      </w:pPr>
    </w:p>
    <w:p>
      <w:pPr>
        <w:pStyle w:val="BodyText"/>
        <w:spacing w:line="408" w:lineRule="auto" w:before="35"/>
        <w:ind w:right="1131" w:firstLine="420"/>
        <w:jc w:val="both"/>
      </w:pPr>
      <w:r>
        <w:rPr>
          <w:spacing w:val="-1"/>
        </w:rPr>
        <w:t>公司技术开发主要是根据客户的特定需求开发出具有针对性的信息系统。公司技术服务项目主要在烟</w:t>
      </w:r>
      <w:r>
        <w:rPr/>
        <w:t> </w:t>
      </w:r>
      <w:r>
        <w:rPr>
          <w:spacing w:val="-1"/>
        </w:rPr>
        <w:t>草行业和现场会议信息化领域。在烟草行业信息化领域，公司主要提供烟叶收购系统现场技术支持服务和</w:t>
      </w:r>
      <w:r>
        <w:rPr>
          <w:spacing w:val="-81"/>
        </w:rPr>
        <w:t> </w:t>
      </w:r>
      <w:r>
        <w:rPr>
          <w:spacing w:val="-81"/>
        </w:rPr>
      </w:r>
      <w:r>
        <w:rPr>
          <w:spacing w:val="-1"/>
        </w:rPr>
        <w:t>信息化系统运维服务；在现场数字会议领域，如客户不采购系统方案，公司派出技术团队携智能票箱等相</w:t>
      </w:r>
      <w:r>
        <w:rPr>
          <w:spacing w:val="-83"/>
        </w:rPr>
        <w:t> </w:t>
      </w:r>
      <w:r>
        <w:rPr>
          <w:spacing w:val="-83"/>
        </w:rPr>
      </w:r>
      <w:r>
        <w:rPr>
          <w:spacing w:val="-1"/>
        </w:rPr>
        <w:t>关设备提供现场技术服务（服务内容包括相关会议系统设备的准备、调试以及会议期间的正式使用、会后</w:t>
      </w:r>
      <w:r>
        <w:rPr>
          <w:spacing w:val="-83"/>
        </w:rPr>
        <w:t> </w:t>
      </w:r>
      <w:r>
        <w:rPr>
          <w:spacing w:val="-83"/>
        </w:rPr>
      </w:r>
      <w:r>
        <w:rPr/>
        <w:t>的物资整理归档等工作，确保会议系统设备在会议期间的正常运行）。</w:t>
      </w:r>
    </w:p>
    <w:p>
      <w:pPr>
        <w:pStyle w:val="BodyText"/>
        <w:spacing w:line="240" w:lineRule="auto" w:before="166"/>
        <w:ind w:left="574" w:right="0"/>
        <w:jc w:val="left"/>
      </w:pPr>
      <w:r>
        <w:rPr>
          <w:rFonts w:ascii="Times New Roman" w:hAnsi="Times New Roman" w:cs="Times New Roman" w:eastAsia="Times New Roman" w:hint="default"/>
        </w:rPr>
        <w:t>3</w:t>
      </w:r>
      <w:r>
        <w:rPr/>
        <w:t>、研发模式</w:t>
      </w:r>
    </w:p>
    <w:p>
      <w:pPr>
        <w:spacing w:line="240" w:lineRule="auto" w:before="9"/>
        <w:rPr>
          <w:rFonts w:ascii="宋体" w:hAnsi="宋体" w:cs="宋体" w:eastAsia="宋体" w:hint="default"/>
          <w:sz w:val="22"/>
          <w:szCs w:val="22"/>
        </w:rPr>
      </w:pPr>
    </w:p>
    <w:p>
      <w:pPr>
        <w:pStyle w:val="BodyText"/>
        <w:spacing w:line="403" w:lineRule="auto"/>
        <w:ind w:right="1023" w:firstLine="420"/>
        <w:jc w:val="left"/>
      </w:pPr>
      <w:r>
        <w:rPr>
          <w:spacing w:val="-3"/>
        </w:rPr>
        <w:t>公司施行公司</w:t>
      </w:r>
      <w:r>
        <w:rPr>
          <w:rFonts w:ascii="Times New Roman" w:hAnsi="Times New Roman" w:cs="Times New Roman" w:eastAsia="Times New Roman" w:hint="default"/>
          <w:spacing w:val="-3"/>
        </w:rPr>
        <w:t>-</w:t>
      </w:r>
      <w:r>
        <w:rPr>
          <w:spacing w:val="-3"/>
        </w:rPr>
        <w:t>事业部两级技术研发体系，研发流程包括主流程、子流程、文档模板三部分。其中主流</w:t>
      </w:r>
      <w:r>
        <w:rPr/>
        <w:t> 程由概念阶段、计划阶段、开发阶段、验证阶段、发布阶段、生命周期管理阶段六部分构成。通过建立科 </w:t>
      </w:r>
      <w:r>
        <w:rPr>
          <w:spacing w:val="-3"/>
        </w:rPr>
        <w:t>研项目管理系统，实施科研项目（含公司内部立项项目）的储备库、项目申报信息、项目申报、项目立项、</w:t>
      </w:r>
      <w:r>
        <w:rPr>
          <w:spacing w:val="-94"/>
        </w:rPr>
        <w:t> </w:t>
      </w:r>
      <w:r>
        <w:rPr>
          <w:spacing w:val="-94"/>
        </w:rPr>
      </w:r>
      <w:r>
        <w:rPr/>
        <w:t>项目过程、项目结题及项目成果等全过程的管理。公司同时制订了《科研项目管理办法》，针对研发项目</w:t>
      </w:r>
      <w:r>
        <w:rPr/>
        <w:t> 进行流程管理，在执行过程中进行持续优化。</w:t>
      </w:r>
    </w:p>
    <w:p>
      <w:pPr>
        <w:pStyle w:val="BodyText"/>
        <w:spacing w:line="484" w:lineRule="auto" w:before="170"/>
        <w:ind w:left="574" w:right="1118"/>
        <w:jc w:val="left"/>
      </w:pPr>
      <w:r>
        <w:rPr>
          <w:rFonts w:ascii="Times New Roman" w:hAnsi="Times New Roman" w:cs="Times New Roman" w:eastAsia="Times New Roman" w:hint="default"/>
        </w:rPr>
        <w:t>4</w:t>
      </w:r>
      <w:r>
        <w:rPr/>
        <w:t>、采购模式 </w:t>
      </w:r>
      <w:r>
        <w:rPr>
          <w:spacing w:val="-1"/>
        </w:rPr>
        <w:t>根据与客户签订的销售合同，项目实施团队拟定采购计划并上报相关管理部门审批；实施团队确定每</w:t>
      </w:r>
    </w:p>
    <w:p>
      <w:pPr>
        <w:pStyle w:val="BodyText"/>
        <w:spacing w:line="254" w:lineRule="exact"/>
        <w:ind w:right="0"/>
        <w:jc w:val="both"/>
      </w:pPr>
      <w:r>
        <w:rPr/>
        <w:t>个项目需要采购的产品和提供的服务，然后向对应的供应商询价、谈判，通过比选、竞价、招标等多种方</w:t>
      </w:r>
    </w:p>
    <w:p>
      <w:pPr>
        <w:spacing w:line="240" w:lineRule="auto" w:before="10"/>
        <w:rPr>
          <w:rFonts w:ascii="宋体" w:hAnsi="宋体" w:cs="宋体" w:eastAsia="宋体" w:hint="default"/>
          <w:sz w:val="14"/>
          <w:szCs w:val="14"/>
        </w:rPr>
      </w:pPr>
    </w:p>
    <w:p>
      <w:pPr>
        <w:pStyle w:val="BodyText"/>
        <w:spacing w:line="398" w:lineRule="auto"/>
        <w:ind w:right="1131"/>
        <w:jc w:val="both"/>
      </w:pPr>
      <w:r>
        <w:rPr/>
        <w:t>式确定供应商，并最终签订采购合同。采购内容主要包括：（</w:t>
      </w:r>
      <w:r>
        <w:rPr>
          <w:rFonts w:ascii="Times New Roman" w:hAnsi="Times New Roman" w:cs="Times New Roman" w:eastAsia="Times New Roman" w:hint="default"/>
        </w:rPr>
        <w:t>1</w:t>
      </w:r>
      <w:r>
        <w:rPr/>
        <w:t>）设备、软件及相关材料，主要包括信息</w:t>
      </w:r>
      <w:r>
        <w:rPr>
          <w:spacing w:val="-27"/>
        </w:rPr>
        <w:t> </w:t>
      </w:r>
      <w:r>
        <w:rPr>
          <w:spacing w:val="-27"/>
        </w:rPr>
      </w:r>
      <w:r>
        <w:rPr>
          <w:spacing w:val="-1"/>
        </w:rPr>
        <w:t>化系统建设中所需的传感器、网络设备、工控设备、服务器、小型机、存贮设备、软件开发平台和工具等</w:t>
      </w:r>
      <w:r>
        <w:rPr>
          <w:spacing w:val="-83"/>
        </w:rPr>
        <w:t> </w:t>
      </w:r>
      <w:r>
        <w:rPr>
          <w:spacing w:val="-83"/>
        </w:rPr>
      </w:r>
      <w:r>
        <w:rPr/>
        <w:t>设备、软件及其他设备、材料；（</w:t>
      </w:r>
      <w:r>
        <w:rPr>
          <w:rFonts w:ascii="Times New Roman" w:hAnsi="Times New Roman" w:cs="Times New Roman" w:eastAsia="Times New Roman" w:hint="default"/>
        </w:rPr>
        <w:t>2</w:t>
      </w:r>
      <w:r>
        <w:rPr/>
        <w:t>）服务，主要包括软件开发服务和劳务服务。</w:t>
      </w:r>
    </w:p>
    <w:p>
      <w:pPr>
        <w:pStyle w:val="BodyText"/>
        <w:spacing w:line="240" w:lineRule="auto" w:before="144"/>
        <w:ind w:left="574" w:right="0"/>
        <w:jc w:val="left"/>
      </w:pPr>
      <w:r>
        <w:rPr>
          <w:rFonts w:ascii="Times New Roman" w:hAnsi="Times New Roman" w:cs="Times New Roman" w:eastAsia="Times New Roman" w:hint="default"/>
        </w:rPr>
        <w:t>5</w:t>
      </w:r>
      <w:r>
        <w:rPr/>
        <w:t>、影响经营模式的主要因素</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firstLine="420"/>
        <w:jc w:val="left"/>
      </w:pPr>
      <w:r>
        <w:rPr>
          <w:spacing w:val="-1"/>
        </w:rPr>
        <w:t>公司目前采用的经营模式是结合下游客户在生产经营中对信息化系统的实际需求、信息化系统产品的</w:t>
      </w:r>
      <w:r>
        <w:rPr/>
        <w:t> 定制化特点、行业技术特点及公司业务构成等因素确定的，报告期内未发生重大变化。</w:t>
      </w:r>
    </w:p>
    <w:p>
      <w:pPr>
        <w:pStyle w:val="BodyText"/>
        <w:spacing w:line="513" w:lineRule="auto" w:before="166"/>
        <w:ind w:left="574" w:right="4767"/>
        <w:jc w:val="left"/>
      </w:pPr>
      <w:r>
        <w:rPr/>
        <w:t>（四）业绩驱动因素 </w:t>
      </w:r>
      <w:r>
        <w:rPr>
          <w:rFonts w:ascii="宋体" w:hAnsi="宋体" w:cs="宋体" w:eastAsia="宋体" w:hint="default"/>
        </w:rPr>
        <w:t>1</w:t>
      </w:r>
      <w:r>
        <w:rPr/>
        <w:t>、市场开拓效果明显，为经营业绩持续增长奠定坚实基础。</w:t>
      </w:r>
    </w:p>
    <w:p>
      <w:pPr>
        <w:pStyle w:val="BodyText"/>
        <w:spacing w:line="408" w:lineRule="auto" w:before="73"/>
        <w:ind w:right="0" w:firstLine="420"/>
        <w:jc w:val="left"/>
      </w:pPr>
      <w:r>
        <w:rPr/>
        <w:t>公司</w:t>
      </w:r>
      <w:r>
        <w:rPr>
          <w:rFonts w:ascii="宋体" w:hAnsi="宋体" w:cs="宋体" w:eastAsia="宋体" w:hint="default"/>
        </w:rPr>
        <w:t>2017</w:t>
      </w:r>
      <w:r>
        <w:rPr/>
        <w:t>年、</w:t>
      </w:r>
      <w:r>
        <w:rPr>
          <w:rFonts w:ascii="宋体" w:hAnsi="宋体" w:cs="宋体" w:eastAsia="宋体" w:hint="default"/>
        </w:rPr>
        <w:t>2018</w:t>
      </w:r>
      <w:r>
        <w:rPr/>
        <w:t>年新签合同额稳步增长。</w:t>
      </w:r>
      <w:r>
        <w:rPr>
          <w:rFonts w:ascii="宋体" w:hAnsi="宋体" w:cs="宋体" w:eastAsia="宋体" w:hint="default"/>
        </w:rPr>
        <w:t>2018</w:t>
      </w:r>
      <w:r>
        <w:rPr/>
        <w:t>年新签合同</w:t>
      </w:r>
      <w:r>
        <w:rPr>
          <w:rFonts w:ascii="宋体" w:hAnsi="宋体" w:cs="宋体" w:eastAsia="宋体" w:hint="default"/>
        </w:rPr>
        <w:t>3.69</w:t>
      </w:r>
      <w:r>
        <w:rPr/>
        <w:t>亿，较</w:t>
      </w:r>
      <w:r>
        <w:rPr>
          <w:rFonts w:ascii="宋体" w:hAnsi="宋体" w:cs="宋体" w:eastAsia="宋体" w:hint="default"/>
        </w:rPr>
        <w:t>2017</w:t>
      </w:r>
      <w:r>
        <w:rPr/>
        <w:t>年同比增长</w:t>
      </w:r>
      <w:r>
        <w:rPr>
          <w:rFonts w:ascii="宋体" w:hAnsi="宋体" w:cs="宋体" w:eastAsia="宋体" w:hint="default"/>
        </w:rPr>
        <w:t>15%</w:t>
      </w:r>
      <w:r>
        <w:rPr/>
        <w:t>；</w:t>
      </w:r>
      <w:r>
        <w:rPr>
          <w:rFonts w:ascii="宋体" w:hAnsi="宋体" w:cs="宋体" w:eastAsia="宋体" w:hint="default"/>
        </w:rPr>
        <w:t>2017</w:t>
      </w:r>
      <w:r>
        <w:rPr/>
        <w:t>年 新签合同</w:t>
      </w:r>
      <w:r>
        <w:rPr>
          <w:rFonts w:ascii="宋体" w:hAnsi="宋体" w:cs="宋体" w:eastAsia="宋体" w:hint="default"/>
        </w:rPr>
        <w:t>3.21</w:t>
      </w:r>
      <w:r>
        <w:rPr/>
        <w:t>亿，较</w:t>
      </w:r>
      <w:r>
        <w:rPr>
          <w:rFonts w:ascii="宋体" w:hAnsi="宋体" w:cs="宋体" w:eastAsia="宋体" w:hint="default"/>
        </w:rPr>
        <w:t>2016</w:t>
      </w:r>
      <w:r>
        <w:rPr/>
        <w:t>年同比增长</w:t>
      </w:r>
      <w:r>
        <w:rPr>
          <w:rFonts w:ascii="宋体" w:hAnsi="宋体" w:cs="宋体" w:eastAsia="宋体" w:hint="default"/>
        </w:rPr>
        <w:t>13%</w:t>
      </w:r>
      <w:r>
        <w:rPr/>
        <w:t>。在数字会议行业，公司加大数字会议产品营销力度，新签合同</w:t>
      </w:r>
      <w:r>
        <w:rPr>
          <w:spacing w:val="-36"/>
        </w:rPr>
        <w:t> </w:t>
      </w:r>
      <w:r>
        <w:rPr>
          <w:spacing w:val="-36"/>
        </w:rPr>
      </w:r>
      <w:r>
        <w:rPr/>
        <w:t>额</w:t>
      </w:r>
      <w:r>
        <w:rPr>
          <w:rFonts w:ascii="宋体" w:hAnsi="宋体" w:cs="宋体" w:eastAsia="宋体" w:hint="default"/>
        </w:rPr>
        <w:t>7001</w:t>
      </w:r>
      <w:r>
        <w:rPr/>
        <w:t>万元</w:t>
      </w:r>
      <w:r>
        <w:rPr>
          <w:rFonts w:ascii="宋体" w:hAnsi="宋体" w:cs="宋体" w:eastAsia="宋体" w:hint="default"/>
        </w:rPr>
        <w:t>,</w:t>
      </w:r>
      <w:r>
        <w:rPr/>
        <w:t>较</w:t>
      </w:r>
      <w:r>
        <w:rPr>
          <w:rFonts w:ascii="宋体" w:hAnsi="宋体" w:cs="宋体" w:eastAsia="宋体" w:hint="default"/>
        </w:rPr>
        <w:t>2017</w:t>
      </w:r>
      <w:r>
        <w:rPr/>
        <w:t>年同比增长</w:t>
      </w:r>
      <w:r>
        <w:rPr>
          <w:rFonts w:ascii="宋体" w:hAnsi="宋体" w:cs="宋体" w:eastAsia="宋体" w:hint="default"/>
        </w:rPr>
        <w:t>11.7%</w:t>
      </w:r>
      <w:r>
        <w:rPr/>
        <w:t>，有效减小了业务周期性影响。在烟草行业，公司加大行业市场拓展 力度，</w:t>
      </w:r>
      <w:r>
        <w:rPr>
          <w:rFonts w:ascii="宋体" w:hAnsi="宋体" w:cs="宋体" w:eastAsia="宋体" w:hint="default"/>
        </w:rPr>
        <w:t>2018</w:t>
      </w:r>
      <w:r>
        <w:rPr/>
        <w:t>年行业整体发展态势良好，新签合同额</w:t>
      </w:r>
      <w:r>
        <w:rPr>
          <w:rFonts w:ascii="宋体" w:hAnsi="宋体" w:cs="宋体" w:eastAsia="宋体" w:hint="default"/>
        </w:rPr>
        <w:t>8684</w:t>
      </w:r>
      <w:r>
        <w:rPr/>
        <w:t>万元，较</w:t>
      </w:r>
      <w:r>
        <w:rPr>
          <w:rFonts w:ascii="宋体" w:hAnsi="宋体" w:cs="宋体" w:eastAsia="宋体" w:hint="default"/>
        </w:rPr>
        <w:t>2017</w:t>
      </w:r>
      <w:r>
        <w:rPr/>
        <w:t>年同比增长</w:t>
      </w:r>
      <w:r>
        <w:rPr>
          <w:rFonts w:ascii="宋体" w:hAnsi="宋体" w:cs="宋体" w:eastAsia="宋体" w:hint="default"/>
        </w:rPr>
        <w:t>35.9%</w:t>
      </w:r>
      <w:r>
        <w:rPr/>
        <w:t>，保证了在该业务</w:t>
      </w:r>
      <w:r>
        <w:rPr>
          <w:spacing w:val="-29"/>
        </w:rPr>
        <w:t> </w:t>
      </w:r>
      <w:r>
        <w:rPr>
          <w:spacing w:val="-29"/>
        </w:rPr>
      </w:r>
      <w:r>
        <w:rPr/>
        <w:t>收入与利润的稳定。在政府与其他行业，公司积极顺应行业信息技术发展趋势，深度参与“数字中国”、</w:t>
      </w:r>
      <w:r>
        <w:rPr/>
        <w:t> “新型智慧城市”建设，新签合同</w:t>
      </w:r>
      <w:r>
        <w:rPr>
          <w:rFonts w:ascii="宋体" w:hAnsi="宋体" w:cs="宋体" w:eastAsia="宋体" w:hint="default"/>
        </w:rPr>
        <w:t>11739</w:t>
      </w:r>
      <w:r>
        <w:rPr/>
        <w:t>万元，同比增长</w:t>
      </w:r>
      <w:r>
        <w:rPr>
          <w:rFonts w:ascii="宋体" w:hAnsi="宋体" w:cs="宋体" w:eastAsia="宋体" w:hint="default"/>
        </w:rPr>
        <w:t>69.3%</w:t>
      </w:r>
      <w:r>
        <w:rPr/>
        <w:t>，支撑了该业务领域经营业绩的大幅增长。 在油气行业，公司</w:t>
      </w:r>
      <w:r>
        <w:rPr>
          <w:rFonts w:ascii="宋体" w:hAnsi="宋体" w:cs="宋体" w:eastAsia="宋体" w:hint="default"/>
        </w:rPr>
        <w:t>2018</w:t>
      </w:r>
      <w:r>
        <w:rPr/>
        <w:t>年度新签合同额</w:t>
      </w:r>
      <w:r>
        <w:rPr>
          <w:rFonts w:ascii="宋体" w:hAnsi="宋体" w:cs="宋体" w:eastAsia="宋体" w:hint="default"/>
        </w:rPr>
        <w:t>7120</w:t>
      </w:r>
      <w:r>
        <w:rPr/>
        <w:t>万元，虽然同比下降</w:t>
      </w:r>
      <w:r>
        <w:rPr>
          <w:rFonts w:ascii="宋体" w:hAnsi="宋体" w:cs="宋体" w:eastAsia="宋体" w:hint="default"/>
        </w:rPr>
        <w:t>24.7%</w:t>
      </w:r>
      <w:r>
        <w:rPr/>
        <w:t>，但由于</w:t>
      </w:r>
      <w:r>
        <w:rPr>
          <w:rFonts w:ascii="宋体" w:hAnsi="宋体" w:cs="宋体" w:eastAsia="宋体" w:hint="default"/>
        </w:rPr>
        <w:t>2017</w:t>
      </w:r>
      <w:r>
        <w:rPr/>
        <w:t>年签订的跨年度合同</w:t>
      </w:r>
      <w:r>
        <w:rPr>
          <w:spacing w:val="-31"/>
        </w:rPr>
        <w:t> </w:t>
      </w:r>
      <w:r>
        <w:rPr>
          <w:spacing w:val="-31"/>
        </w:rPr>
      </w:r>
      <w:r>
        <w:rPr>
          <w:spacing w:val="-3"/>
        </w:rPr>
        <w:t>在</w:t>
      </w:r>
      <w:r>
        <w:rPr>
          <w:rFonts w:ascii="宋体" w:hAnsi="宋体" w:cs="宋体" w:eastAsia="宋体" w:hint="default"/>
          <w:spacing w:val="-3"/>
        </w:rPr>
        <w:t>2018</w:t>
      </w:r>
      <w:r>
        <w:rPr>
          <w:spacing w:val="-3"/>
        </w:rPr>
        <w:t>年完工确认收入，并且</w:t>
      </w:r>
      <w:r>
        <w:rPr>
          <w:rFonts w:ascii="宋体" w:hAnsi="宋体" w:cs="宋体" w:eastAsia="宋体" w:hint="default"/>
          <w:spacing w:val="-3"/>
        </w:rPr>
        <w:t>2018</w:t>
      </w:r>
      <w:r>
        <w:rPr>
          <w:spacing w:val="-3"/>
        </w:rPr>
        <w:t>年度实施完成的项目中，与油田新区块产能建设相关的自控与通信系统、</w:t>
      </w:r>
      <w:r>
        <w:rPr>
          <w:spacing w:val="-82"/>
        </w:rPr>
        <w:t> </w:t>
      </w:r>
      <w:r>
        <w:rPr>
          <w:spacing w:val="-82"/>
        </w:rPr>
      </w:r>
      <w:r>
        <w:rPr/>
        <w:t>智能监控系统等信息化建设项目占比较大，该类项目技术含量和毛利率较高，因此为公司经营利润的实现</w:t>
      </w:r>
      <w:r>
        <w:rPr/>
        <w:t> 提供了支撑。上述原因，为</w:t>
      </w:r>
      <w:r>
        <w:rPr>
          <w:rFonts w:ascii="宋体" w:hAnsi="宋体" w:cs="宋体" w:eastAsia="宋体" w:hint="default"/>
        </w:rPr>
        <w:t>2018</w:t>
      </w:r>
      <w:r>
        <w:rPr/>
        <w:t>年度经营业绩实现持续增长奠定了坚实基础。</w:t>
      </w:r>
    </w:p>
    <w:p>
      <w:pPr>
        <w:pStyle w:val="BodyText"/>
        <w:spacing w:line="240" w:lineRule="auto" w:before="166"/>
        <w:ind w:left="574" w:right="0"/>
        <w:jc w:val="left"/>
      </w:pPr>
      <w:r>
        <w:rPr>
          <w:rFonts w:ascii="宋体" w:hAnsi="宋体" w:cs="宋体" w:eastAsia="宋体" w:hint="default"/>
        </w:rPr>
        <w:t>2</w:t>
      </w:r>
      <w:r>
        <w:rPr/>
        <w:t>、内部管理持续提升，挖潜提效成效显著。</w:t>
      </w:r>
    </w:p>
    <w:p>
      <w:pPr>
        <w:spacing w:line="240" w:lineRule="auto" w:before="12"/>
        <w:rPr>
          <w:rFonts w:ascii="宋体" w:hAnsi="宋体" w:cs="宋体" w:eastAsia="宋体" w:hint="default"/>
          <w:sz w:val="23"/>
          <w:szCs w:val="23"/>
        </w:rPr>
      </w:pPr>
    </w:p>
    <w:p>
      <w:pPr>
        <w:pStyle w:val="BodyText"/>
        <w:spacing w:line="408" w:lineRule="auto"/>
        <w:ind w:right="1023" w:firstLine="420"/>
        <w:jc w:val="left"/>
      </w:pPr>
      <w:r>
        <w:rPr/>
        <w:t>公司持续加强内部管理，不断提升运营水平。通过严格贯彻实施相关的法律法规和公司制度，强化了 对经营风险、法律风险、资金风险、信披风险、舆论风险的控制与防范，有效保护了经营成果。公司视产 </w:t>
      </w:r>
      <w:r>
        <w:rPr>
          <w:spacing w:val="-3"/>
        </w:rPr>
        <w:t>品与服务质量为生命，高度重视客户满意度的提升。报告期内，加强了财务管理制度和项目管理制度建设，</w:t>
      </w:r>
      <w:r>
        <w:rPr>
          <w:spacing w:val="-90"/>
        </w:rPr>
        <w:t> </w:t>
      </w:r>
      <w:r>
        <w:rPr>
          <w:spacing w:val="-90"/>
        </w:rPr>
      </w:r>
      <w:r>
        <w:rPr/>
        <w:t>使项目过程管理进一步完善，有效地控制了成本，从而带动主营业务项目整体盈利水平有所提升。</w:t>
      </w:r>
    </w:p>
    <w:p>
      <w:pPr>
        <w:pStyle w:val="BodyText"/>
        <w:spacing w:line="240" w:lineRule="auto" w:before="166"/>
        <w:ind w:left="574" w:right="0"/>
        <w:jc w:val="left"/>
      </w:pPr>
      <w:r>
        <w:rPr>
          <w:rFonts w:ascii="宋体" w:hAnsi="宋体" w:cs="宋体" w:eastAsia="宋体" w:hint="default"/>
        </w:rPr>
        <w:t>3</w:t>
      </w:r>
      <w:r>
        <w:rPr/>
        <w:t>、技术研发成效突出，有效支撑业务发展。</w:t>
      </w:r>
    </w:p>
    <w:p>
      <w:pPr>
        <w:spacing w:line="240" w:lineRule="auto" w:before="12"/>
        <w:rPr>
          <w:rFonts w:ascii="宋体" w:hAnsi="宋体" w:cs="宋体" w:eastAsia="宋体" w:hint="default"/>
          <w:sz w:val="23"/>
          <w:szCs w:val="23"/>
        </w:rPr>
      </w:pPr>
    </w:p>
    <w:p>
      <w:pPr>
        <w:pStyle w:val="BodyText"/>
        <w:spacing w:line="408" w:lineRule="auto"/>
        <w:ind w:right="1016" w:firstLine="421"/>
        <w:jc w:val="left"/>
      </w:pPr>
      <w:r>
        <w:rPr>
          <w:spacing w:val="-3"/>
        </w:rPr>
        <w:t>一方面，公司紧跟主营行业的核心业务需求，以“为客户提供能带来更大价值的核心技术服务和产品”</w:t>
      </w:r>
      <w:r>
        <w:rPr/>
        <w:t> 为长远目标，积极开展研发工作，运用人工智能技术为主营行业业务的技术升级提供有力支撑。在数字会 议系统方面持续推进行新产品研发，以有竞争力的产品不断拓宽市场应用面；在烟草行业方面，加大高速 图像视觉检测技术的应用面，在智能制造、智慧设备管理系统等方面进行了进一步完善。这些措施使数字 会议、烟草行业相关项目毛利率均有所提升。</w:t>
      </w:r>
    </w:p>
    <w:p>
      <w:pPr>
        <w:pStyle w:val="BodyText"/>
        <w:spacing w:line="408" w:lineRule="auto" w:before="166"/>
        <w:ind w:right="0" w:firstLine="420"/>
        <w:jc w:val="left"/>
      </w:pPr>
      <w:r>
        <w:rPr>
          <w:spacing w:val="-1"/>
        </w:rPr>
        <w:t>同时，公司积极争取政府研发类项目。报告期内，共争取到四川省科技厅、成都市科技局的人工智能</w:t>
      </w:r>
      <w:r>
        <w:rPr/>
        <w:t> 重大专项以及西部之光等</w:t>
      </w:r>
      <w:r>
        <w:rPr>
          <w:rFonts w:ascii="宋体" w:hAnsi="宋体" w:cs="宋体" w:eastAsia="宋体" w:hint="default"/>
        </w:rPr>
        <w:t>12</w:t>
      </w:r>
      <w:r>
        <w:rPr/>
        <w:t>个项目，总经费</w:t>
      </w:r>
      <w:r>
        <w:rPr>
          <w:rFonts w:ascii="宋体" w:hAnsi="宋体" w:cs="宋体" w:eastAsia="宋体" w:hint="default"/>
        </w:rPr>
        <w:t>1058</w:t>
      </w:r>
      <w:r>
        <w:rPr/>
        <w:t>万元，获得政府资金支持。</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513" w:lineRule="auto" w:before="35"/>
        <w:ind w:left="574" w:right="5712"/>
        <w:jc w:val="left"/>
      </w:pPr>
      <w:r>
        <w:rPr/>
        <w:t>（五）客户所处行业相关的市场形势和信息化需求 </w:t>
      </w:r>
      <w:r>
        <w:rPr>
          <w:rFonts w:ascii="宋体" w:hAnsi="宋体" w:cs="宋体" w:eastAsia="宋体" w:hint="default"/>
        </w:rPr>
        <w:t>1</w:t>
      </w:r>
      <w:r>
        <w:rPr/>
        <w:t>、政府领域信息化行业</w:t>
      </w:r>
    </w:p>
    <w:p>
      <w:pPr>
        <w:pStyle w:val="BodyText"/>
        <w:spacing w:line="408" w:lineRule="auto" w:before="74"/>
        <w:ind w:right="1023" w:firstLine="420"/>
        <w:jc w:val="left"/>
      </w:pPr>
      <w:r>
        <w:rPr/>
        <w:t>政府行业是国内信息化应用较为成熟的领域之一，近年来，在国家大力加强智慧城市建设、鼓励利用 信息化手段提升政务管理和政务服务水平的背景下，政府信息化市场保持较快增长态势。《“十三五”国 </w:t>
      </w:r>
      <w:r>
        <w:rPr>
          <w:spacing w:val="-3"/>
        </w:rPr>
        <w:t>家政务信息化工程建设规划》要求建设“大平台、大数据、大系统”，建设全国一体化的国家大数据中心。</w:t>
      </w:r>
      <w:r>
        <w:rPr>
          <w:spacing w:val="-94"/>
        </w:rPr>
        <w:t> </w:t>
      </w:r>
      <w:r>
        <w:rPr>
          <w:spacing w:val="-94"/>
        </w:rPr>
      </w:r>
      <w:r>
        <w:rPr/>
        <w:t>由于全国各地区经济发展状况不同，政府信息化程度存在一定差异，在西南、西北等信息化基础设施薄弱</w:t>
      </w:r>
      <w:r>
        <w:rPr/>
        <w:t> 的地区信息化基础设施投入依然具有较大的潜力。在东南、东部等经济发达地区，政府行业信息化基础设 施已逐步完善，在云计算、移动互联网等新兴技术刺激下，专业服务类将成为该地区未来政府行业信息化 快速发展的主要驱动力。</w:t>
      </w:r>
    </w:p>
    <w:p>
      <w:pPr>
        <w:pStyle w:val="BodyText"/>
        <w:spacing w:line="240" w:lineRule="auto" w:before="166"/>
        <w:ind w:left="574" w:right="0"/>
        <w:jc w:val="left"/>
      </w:pPr>
      <w:r>
        <w:rPr/>
        <w:t>我国现阶段政府领域信息化建设主要呈现出以下发展趋势：</w:t>
      </w:r>
    </w:p>
    <w:p>
      <w:pPr>
        <w:pStyle w:val="BodyText"/>
        <w:spacing w:line="590" w:lineRule="atLeast"/>
        <w:ind w:left="574" w:right="0" w:hanging="210"/>
        <w:jc w:val="left"/>
      </w:pPr>
      <w:r>
        <w:rPr/>
        <w:t>（</w:t>
      </w:r>
      <w:r>
        <w:rPr>
          <w:rFonts w:ascii="宋体" w:hAnsi="宋体" w:cs="宋体" w:eastAsia="宋体" w:hint="default"/>
        </w:rPr>
        <w:t>1</w:t>
      </w:r>
      <w:r>
        <w:rPr/>
        <w:t>）智慧城市建设带动信息化基础设施建设市场继续保持稳步增长 </w:t>
      </w:r>
      <w:r>
        <w:rPr>
          <w:spacing w:val="-1"/>
        </w:rPr>
        <w:t>智慧城市是以互联网、物联网、无线宽带网络等为基础，广泛深入推进各类信息系统开发建设与数据</w:t>
      </w:r>
    </w:p>
    <w:p>
      <w:pPr>
        <w:spacing w:line="240" w:lineRule="auto" w:before="10"/>
        <w:rPr>
          <w:rFonts w:ascii="宋体" w:hAnsi="宋体" w:cs="宋体" w:eastAsia="宋体" w:hint="default"/>
          <w:sz w:val="14"/>
          <w:szCs w:val="14"/>
        </w:rPr>
      </w:pPr>
    </w:p>
    <w:p>
      <w:pPr>
        <w:pStyle w:val="BodyText"/>
        <w:spacing w:line="408" w:lineRule="auto"/>
        <w:ind w:right="1023"/>
        <w:jc w:val="left"/>
      </w:pPr>
      <w:r>
        <w:rPr>
          <w:spacing w:val="-3"/>
        </w:rPr>
        <w:t>资源整合共享、开发利用，而形成的泛在互联、全面感知、综合应用的智能化城市，是一种促进城市规划、</w:t>
      </w:r>
      <w:r>
        <w:rPr>
          <w:spacing w:val="-94"/>
        </w:rPr>
        <w:t> </w:t>
      </w:r>
      <w:r>
        <w:rPr>
          <w:spacing w:val="-94"/>
        </w:rPr>
      </w:r>
      <w:r>
        <w:rPr/>
        <w:t>建设、管理和服务智慧化的新理念和新模式。</w:t>
      </w:r>
    </w:p>
    <w:p>
      <w:pPr>
        <w:pStyle w:val="BodyText"/>
        <w:spacing w:line="408" w:lineRule="auto" w:before="166"/>
        <w:ind w:right="1023" w:firstLine="420"/>
        <w:jc w:val="left"/>
      </w:pPr>
      <w:r>
        <w:rPr/>
        <w:t>为满足各类主体和不同业务领域的应用需求，在产业链上下游企业的共同努力下，智慧城市产业链条 不断拓展和延伸，纵向由上游的研发设计、生产制造延伸到下游最终的消费者和用户，横向由电子政务、 智慧医疗、智慧教育、智慧交通、智慧旅游等热点领域向智慧园区、智慧农业、智能工厂、工业互联网等 应用领域拓展，产业链向纵深方向发展。随着产业链环节上的各类硬件设备制造、网络通信、软件和信息 </w:t>
      </w:r>
      <w:r>
        <w:rPr>
          <w:spacing w:val="-3"/>
        </w:rPr>
        <w:t>服务、系统集成、运营服务等之间的边界不断模糊、融合，推动多行业、多技术、多领域的融合不断加深，</w:t>
      </w:r>
      <w:r>
        <w:rPr>
          <w:spacing w:val="-94"/>
        </w:rPr>
        <w:t> </w:t>
      </w:r>
      <w:r>
        <w:rPr>
          <w:spacing w:val="-94"/>
        </w:rPr>
      </w:r>
      <w:r>
        <w:rPr/>
        <w:t>在提高整个产业链的运作效能同时，有效带动产业的持续发展。</w:t>
      </w:r>
    </w:p>
    <w:p>
      <w:pPr>
        <w:pStyle w:val="BodyText"/>
        <w:spacing w:line="240" w:lineRule="auto" w:before="166"/>
        <w:ind w:left="574" w:right="0"/>
        <w:jc w:val="left"/>
      </w:pPr>
      <w:r>
        <w:rPr/>
        <w:t>（</w:t>
      </w:r>
      <w:r>
        <w:rPr>
          <w:rFonts w:ascii="宋体" w:hAnsi="宋体" w:cs="宋体" w:eastAsia="宋体" w:hint="default"/>
        </w:rPr>
        <w:t>2</w:t>
      </w:r>
      <w:r>
        <w:rPr/>
        <w:t>）政务大数据顶层设计的核心是数据治理</w:t>
      </w:r>
    </w:p>
    <w:p>
      <w:pPr>
        <w:spacing w:line="240" w:lineRule="auto" w:before="12"/>
        <w:rPr>
          <w:rFonts w:ascii="宋体" w:hAnsi="宋体" w:cs="宋体" w:eastAsia="宋体" w:hint="default"/>
          <w:sz w:val="23"/>
          <w:szCs w:val="23"/>
        </w:rPr>
      </w:pPr>
    </w:p>
    <w:p>
      <w:pPr>
        <w:pStyle w:val="BodyText"/>
        <w:spacing w:line="408" w:lineRule="auto"/>
        <w:ind w:right="1109" w:firstLine="420"/>
        <w:jc w:val="both"/>
      </w:pPr>
      <w:r>
        <w:rPr>
          <w:spacing w:val="-1"/>
        </w:rPr>
        <w:t>近年来国家高度重视政务大数据发展，相关政策文件和建设任务进度表频频出台，数据统筹将成为政</w:t>
      </w:r>
      <w:r>
        <w:rPr/>
        <w:t> </w:t>
      </w:r>
      <w:r>
        <w:rPr>
          <w:spacing w:val="-1"/>
        </w:rPr>
        <w:t>务信息化的必经之路，把公共性、基础性、跨部门共享的数据统一汇聚到一个平台上，是奠定数据应用的</w:t>
      </w:r>
      <w:r>
        <w:rPr>
          <w:spacing w:val="-86"/>
        </w:rPr>
        <w:t> </w:t>
      </w:r>
      <w:r>
        <w:rPr>
          <w:spacing w:val="-86"/>
        </w:rPr>
      </w:r>
      <w:r>
        <w:rPr/>
        <w:t>基础。建立数据共享开放标准和机制，支撑各级部门之间的信息资源跨层级、跨区域、跨部门、跨系统、 </w:t>
      </w:r>
      <w:r>
        <w:rPr>
          <w:spacing w:val="-1"/>
        </w:rPr>
        <w:t>跨业务的协同管理和服务，以应用为导向，主动开展应用挖掘，使相互融通、相互支持的数据形成聚合效</w:t>
      </w:r>
      <w:r>
        <w:rPr>
          <w:spacing w:val="-86"/>
        </w:rPr>
        <w:t> </w:t>
      </w:r>
      <w:r>
        <w:rPr>
          <w:spacing w:val="-86"/>
        </w:rPr>
      </w:r>
      <w:r>
        <w:rPr>
          <w:spacing w:val="-1"/>
        </w:rPr>
        <w:t>应。通过大数据实现“用数据说话、用数据决策、用数据管理、用数据创新”，推动政府各部门业务流程</w:t>
      </w:r>
      <w:r>
        <w:rPr>
          <w:spacing w:val="-85"/>
        </w:rPr>
        <w:t> </w:t>
      </w:r>
      <w:r>
        <w:rPr>
          <w:spacing w:val="-85"/>
        </w:rPr>
      </w:r>
      <w:r>
        <w:rPr/>
        <w:t>变革，更好实现简政放权。</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0"/>
        <w:jc w:val="left"/>
      </w:pPr>
      <w:r>
        <w:rPr/>
        <w:t>（</w:t>
      </w:r>
      <w:r>
        <w:rPr>
          <w:rFonts w:ascii="宋体" w:hAnsi="宋体" w:cs="宋体" w:eastAsia="宋体" w:hint="default"/>
        </w:rPr>
        <w:t>3</w:t>
      </w:r>
      <w:r>
        <w:rPr/>
        <w:t>）信息安全关注度提高，核心基础设施投入增加</w:t>
      </w:r>
    </w:p>
    <w:p>
      <w:pPr>
        <w:spacing w:line="240" w:lineRule="auto" w:before="12"/>
        <w:rPr>
          <w:rFonts w:ascii="宋体" w:hAnsi="宋体" w:cs="宋体" w:eastAsia="宋体" w:hint="default"/>
          <w:sz w:val="23"/>
          <w:szCs w:val="23"/>
        </w:rPr>
      </w:pPr>
    </w:p>
    <w:p>
      <w:pPr>
        <w:pStyle w:val="BodyText"/>
        <w:spacing w:line="240" w:lineRule="auto"/>
        <w:ind w:left="574" w:right="0"/>
        <w:jc w:val="left"/>
      </w:pPr>
      <w:r>
        <w:rPr/>
        <w:t>政府信息安全事关国家安全和社会稳定，各国政府部门对此重视程度越来越高。我国政府于 </w:t>
      </w:r>
      <w:r>
        <w:rPr>
          <w:rFonts w:ascii="宋体" w:hAnsi="宋体" w:cs="宋体" w:eastAsia="宋体" w:hint="default"/>
        </w:rPr>
        <w:t>2016</w:t>
      </w:r>
      <w:r>
        <w:rPr>
          <w:rFonts w:ascii="宋体" w:hAnsi="宋体" w:cs="宋体" w:eastAsia="宋体" w:hint="default"/>
          <w:spacing w:val="-22"/>
        </w:rPr>
        <w:t> </w:t>
      </w:r>
      <w:r>
        <w:rPr/>
        <w:t>年</w:t>
      </w:r>
    </w:p>
    <w:p>
      <w:pPr>
        <w:spacing w:line="240" w:lineRule="auto" w:before="10"/>
        <w:rPr>
          <w:rFonts w:ascii="宋体" w:hAnsi="宋体" w:cs="宋体" w:eastAsia="宋体" w:hint="default"/>
          <w:sz w:val="14"/>
          <w:szCs w:val="14"/>
        </w:rPr>
      </w:pPr>
    </w:p>
    <w:p>
      <w:pPr>
        <w:pStyle w:val="BodyText"/>
        <w:spacing w:line="408" w:lineRule="auto"/>
        <w:ind w:right="1018"/>
        <w:jc w:val="left"/>
      </w:pPr>
      <w:r>
        <w:rPr>
          <w:rFonts w:ascii="宋体" w:hAnsi="宋体" w:cs="宋体" w:eastAsia="宋体" w:hint="default"/>
        </w:rPr>
        <w:t>11 </w:t>
      </w:r>
      <w:r>
        <w:rPr/>
        <w:t>月 </w:t>
      </w:r>
      <w:r>
        <w:rPr>
          <w:rFonts w:ascii="宋体" w:hAnsi="宋体" w:cs="宋体" w:eastAsia="宋体" w:hint="default"/>
        </w:rPr>
        <w:t>7</w:t>
      </w:r>
      <w:r>
        <w:rPr/>
        <w:t>日表决通过了《中华人民共和国网络安全法》，并自 </w:t>
      </w:r>
      <w:r>
        <w:rPr>
          <w:rFonts w:ascii="宋体" w:hAnsi="宋体" w:cs="宋体" w:eastAsia="宋体" w:hint="default"/>
        </w:rPr>
        <w:t>2017 </w:t>
      </w:r>
      <w:r>
        <w:rPr/>
        <w:t>年 </w:t>
      </w:r>
      <w:r>
        <w:rPr>
          <w:rFonts w:ascii="宋体" w:hAnsi="宋体" w:cs="宋体" w:eastAsia="宋体" w:hint="default"/>
        </w:rPr>
        <w:t>6 </w:t>
      </w:r>
      <w:r>
        <w:rPr/>
        <w:t>月 </w:t>
      </w:r>
      <w:r>
        <w:rPr>
          <w:rFonts w:ascii="宋体" w:hAnsi="宋体" w:cs="宋体" w:eastAsia="宋体" w:hint="default"/>
        </w:rPr>
        <w:t>1</w:t>
      </w:r>
      <w:r>
        <w:rPr>
          <w:rFonts w:ascii="宋体" w:hAnsi="宋体" w:cs="宋体" w:eastAsia="宋体" w:hint="default"/>
          <w:spacing w:val="-31"/>
        </w:rPr>
        <w:t> </w:t>
      </w:r>
      <w:r>
        <w:rPr/>
        <w:t>日起施行。此法明确指出： “要加强党政机关以及重点领域网站的安全防护，建立政府、行业与企业网络安全信息有序共享机制；建 立实施网络安全审查制度，对关键信息基础设施中使用的重要信息技术产品和服务开展安全审查；健全信 息安全等级保护制度”。</w:t>
      </w:r>
    </w:p>
    <w:p>
      <w:pPr>
        <w:pStyle w:val="BodyText"/>
        <w:spacing w:line="408" w:lineRule="auto" w:before="166"/>
        <w:ind w:right="1131" w:firstLine="420"/>
        <w:jc w:val="both"/>
      </w:pPr>
      <w:r>
        <w:rPr>
          <w:spacing w:val="-1"/>
        </w:rPr>
        <w:t>我国信息安全政策的逐步实施，将带动政府、企业在信息安全方面的投入。此外，随着信息技术和互</w:t>
      </w:r>
      <w:r>
        <w:rPr/>
        <w:t> </w:t>
      </w:r>
      <w:r>
        <w:rPr>
          <w:spacing w:val="-1"/>
        </w:rPr>
        <w:t>联网技术的广泛普及，云计算、大数据、移动互联网等新兴技术将得到广泛应用。大量新型复杂的业务系</w:t>
      </w:r>
      <w:r>
        <w:rPr>
          <w:spacing w:val="-86"/>
        </w:rPr>
        <w:t> </w:t>
      </w:r>
      <w:r>
        <w:rPr>
          <w:spacing w:val="-86"/>
        </w:rPr>
      </w:r>
      <w:r>
        <w:rPr>
          <w:spacing w:val="-1"/>
        </w:rPr>
        <w:t>统的建设将带来新的安全漏洞，用户面临着数据丢失、业务系统连续性等安全挑战，信息安全建设成为政</w:t>
      </w:r>
      <w:r>
        <w:rPr>
          <w:spacing w:val="-83"/>
        </w:rPr>
        <w:t> </w:t>
      </w:r>
      <w:r>
        <w:rPr>
          <w:spacing w:val="-83"/>
        </w:rPr>
      </w:r>
      <w:r>
        <w:rPr/>
        <w:t>府领域信息化建设的重要内容。</w:t>
      </w:r>
    </w:p>
    <w:p>
      <w:pPr>
        <w:pStyle w:val="BodyText"/>
        <w:spacing w:line="408" w:lineRule="auto" w:before="166"/>
        <w:ind w:right="1130" w:firstLine="420"/>
        <w:jc w:val="both"/>
      </w:pPr>
      <w:r>
        <w:rPr>
          <w:spacing w:val="-1"/>
        </w:rPr>
        <w:t>全球信息安全市场以安全服务和软件为主，我国信息安全市场则以安全硬件为主，目前我国政府、金</w:t>
      </w:r>
      <w:r>
        <w:rPr/>
        <w:t> </w:t>
      </w:r>
      <w:r>
        <w:rPr>
          <w:spacing w:val="-1"/>
        </w:rPr>
        <w:t>融、电信、能源四大行业领域的信息安全需求较大，市场份额占比较高。随着信息安全日益受到重视，国</w:t>
      </w:r>
      <w:r>
        <w:rPr>
          <w:spacing w:val="-83"/>
        </w:rPr>
        <w:t> </w:t>
      </w:r>
      <w:r>
        <w:rPr>
          <w:spacing w:val="-83"/>
        </w:rPr>
      </w:r>
      <w:r>
        <w:rPr>
          <w:spacing w:val="-1"/>
        </w:rPr>
        <w:t>家关键信息基础设施的安全保障要求不断加强，将带动重点行业和领域信息安全市场较快增长。同时，随</w:t>
      </w:r>
    </w:p>
    <w:p>
      <w:pPr>
        <w:pStyle w:val="BodyText"/>
        <w:spacing w:line="427" w:lineRule="auto" w:before="133"/>
        <w:ind w:right="1122"/>
        <w:jc w:val="left"/>
      </w:pPr>
      <w:r>
        <w:rPr>
          <w:spacing w:val="-6"/>
          <w:w w:val="98"/>
        </w:rPr>
        <w:t>着智慧城市、“互联网</w:t>
      </w:r>
      <w:r>
        <w:rPr>
          <w:rFonts w:ascii="Calibri" w:hAnsi="Calibri" w:cs="Calibri" w:eastAsia="Calibri" w:hint="default"/>
          <w:color w:val="242424"/>
          <w:spacing w:val="-6"/>
          <w:w w:val="98"/>
        </w:rPr>
        <w:t>+</w:t>
      </w:r>
      <w:r>
        <w:rPr>
          <w:rFonts w:ascii="宋体" w:hAnsi="宋体" w:cs="宋体" w:eastAsia="宋体" w:hint="default"/>
          <w:color w:val="242424"/>
          <w:spacing w:val="-6"/>
          <w:w w:val="98"/>
        </w:rPr>
        <w:t>”</w:t>
      </w:r>
      <w:r>
        <w:rPr>
          <w:color w:val="242424"/>
          <w:spacing w:val="-6"/>
          <w:w w:val="98"/>
        </w:rPr>
        <w:t>、智能制造等发展规划的逐步实施，信息技术将进一步向传统产业融合，制造、</w:t>
      </w:r>
      <w:r>
        <w:rPr>
          <w:color w:val="242424"/>
          <w:spacing w:val="-28"/>
          <w:w w:val="98"/>
        </w:rPr>
        <w:t> </w:t>
      </w:r>
      <w:r>
        <w:rPr>
          <w:color w:val="242424"/>
        </w:rPr>
        <w:t>医</w:t>
      </w:r>
      <w:r>
        <w:rPr>
          <w:color w:val="242424"/>
          <w:spacing w:val="-101"/>
        </w:rPr>
        <w:t> </w:t>
      </w:r>
      <w:r>
        <w:rPr>
          <w:color w:val="242424"/>
          <w:spacing w:val="-101"/>
        </w:rPr>
      </w:r>
      <w:r>
        <w:rPr>
          <w:color w:val="242424"/>
        </w:rPr>
        <w:t>疗、消费等领域信息安全市场日渐兴起。</w:t>
      </w:r>
      <w:r>
        <w:rPr/>
      </w:r>
    </w:p>
    <w:p>
      <w:pPr>
        <w:pStyle w:val="BodyText"/>
        <w:spacing w:line="240" w:lineRule="auto" w:before="149"/>
        <w:ind w:left="680" w:right="0"/>
        <w:jc w:val="left"/>
      </w:pPr>
      <w:r>
        <w:rPr>
          <w:rFonts w:ascii="宋体" w:hAnsi="宋体" w:cs="宋体" w:eastAsia="宋体" w:hint="default"/>
        </w:rPr>
        <w:t>2</w:t>
      </w:r>
      <w:r>
        <w:rPr/>
        <w:t>、数字会议系统行业</w:t>
      </w:r>
    </w:p>
    <w:p>
      <w:pPr>
        <w:pStyle w:val="BodyText"/>
        <w:spacing w:line="590" w:lineRule="atLeast"/>
        <w:ind w:left="574" w:right="0"/>
        <w:jc w:val="left"/>
      </w:pPr>
      <w:r>
        <w:rPr/>
        <w:t>（</w:t>
      </w:r>
      <w:r>
        <w:rPr>
          <w:rFonts w:ascii="宋体" w:hAnsi="宋体" w:cs="宋体" w:eastAsia="宋体" w:hint="default"/>
        </w:rPr>
        <w:t>1</w:t>
      </w:r>
      <w:r>
        <w:rPr/>
        <w:t>）会议系统市场将保持持续增长态势 </w:t>
      </w:r>
      <w:r>
        <w:rPr>
          <w:spacing w:val="-1"/>
        </w:rPr>
        <w:t>现代社会中各种会议沟通越来越频繁，沟通内容和沟通形式日益多样，会议系统产品作为满足多样性</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会议需求、提升会议组织效率、提升会议可靠性的重要工具，其在未来仍将呈现成本逐渐下降，市场持续</w:t>
      </w:r>
      <w:r>
        <w:rPr>
          <w:spacing w:val="-86"/>
        </w:rPr>
        <w:t> </w:t>
      </w:r>
      <w:r>
        <w:rPr>
          <w:spacing w:val="-86"/>
        </w:rPr>
      </w:r>
      <w:r>
        <w:rPr/>
        <w:t>增长的发展态势。</w:t>
      </w:r>
    </w:p>
    <w:p>
      <w:pPr>
        <w:pStyle w:val="BodyText"/>
        <w:spacing w:line="240" w:lineRule="auto" w:before="166"/>
        <w:ind w:left="574" w:right="0"/>
        <w:jc w:val="left"/>
      </w:pPr>
      <w:r>
        <w:rPr/>
        <w:t>（</w:t>
      </w:r>
      <w:r>
        <w:rPr>
          <w:rFonts w:ascii="宋体" w:hAnsi="宋体" w:cs="宋体" w:eastAsia="宋体" w:hint="default"/>
        </w:rPr>
        <w:t>2</w:t>
      </w:r>
      <w:r>
        <w:rPr/>
        <w:t>）党政群团高端客户稳定，企事业单位客户需求加大</w:t>
      </w:r>
    </w:p>
    <w:p>
      <w:pPr>
        <w:spacing w:line="240" w:lineRule="auto" w:before="12"/>
        <w:rPr>
          <w:rFonts w:ascii="宋体" w:hAnsi="宋体" w:cs="宋体" w:eastAsia="宋体" w:hint="default"/>
          <w:sz w:val="23"/>
          <w:szCs w:val="23"/>
        </w:rPr>
      </w:pPr>
    </w:p>
    <w:p>
      <w:pPr>
        <w:pStyle w:val="BodyText"/>
        <w:spacing w:line="408" w:lineRule="auto"/>
        <w:ind w:right="1131" w:firstLine="420"/>
        <w:jc w:val="both"/>
      </w:pPr>
      <w:r>
        <w:rPr>
          <w:spacing w:val="-1"/>
        </w:rPr>
        <w:t>从用户群体看，党政群团等机构对会议系统的需求保持稳定。这类客户一般建立了稳定的会议沟通机</w:t>
      </w:r>
      <w:r>
        <w:rPr/>
        <w:t> </w:t>
      </w:r>
      <w:r>
        <w:rPr>
          <w:spacing w:val="-1"/>
        </w:rPr>
        <w:t>制，会议的召开时间、规模有严格的制度规定。因此，这类客户对于会议系统的投入将是持续的。各类企</w:t>
      </w:r>
      <w:r>
        <w:rPr>
          <w:spacing w:val="-83"/>
        </w:rPr>
        <w:t> </w:t>
      </w:r>
      <w:r>
        <w:rPr>
          <w:spacing w:val="-83"/>
        </w:rPr>
      </w:r>
      <w:r>
        <w:rPr>
          <w:spacing w:val="-1"/>
        </w:rPr>
        <w:t>事业单位对于会议系统的需求缺口较大。大型集团企业的下属分支机构，医院学校等事业单位的会议系统</w:t>
      </w:r>
      <w:r>
        <w:rPr>
          <w:spacing w:val="-81"/>
        </w:rPr>
        <w:t> </w:t>
      </w:r>
      <w:r>
        <w:rPr>
          <w:spacing w:val="-81"/>
        </w:rPr>
      </w:r>
      <w:r>
        <w:rPr>
          <w:spacing w:val="-1"/>
        </w:rPr>
        <w:t>应用基础相对薄弱；各个酒店、会议中心、大中型城市商业办公中心的写字楼等对现代化的会议系统的需</w:t>
      </w:r>
      <w:r>
        <w:rPr>
          <w:spacing w:val="-83"/>
        </w:rPr>
        <w:t> </w:t>
      </w:r>
      <w:r>
        <w:rPr>
          <w:spacing w:val="-83"/>
        </w:rPr>
      </w:r>
      <w:r>
        <w:rPr/>
        <w:t>求亦较为突出。</w:t>
      </w:r>
    </w:p>
    <w:p>
      <w:pPr>
        <w:pStyle w:val="BodyText"/>
        <w:spacing w:line="240" w:lineRule="auto" w:before="166"/>
        <w:ind w:left="574" w:right="0"/>
        <w:jc w:val="left"/>
        <w:rPr>
          <w:rFonts w:ascii="宋体" w:hAnsi="宋体" w:cs="宋体" w:eastAsia="宋体" w:hint="default"/>
        </w:rPr>
      </w:pPr>
      <w:r>
        <w:rPr/>
        <w:t>从区域看，国内尤其是三、四线城市的政府基层组织将是会议系统市场发展的重要驱动力。根据</w:t>
      </w:r>
      <w:r>
        <w:rPr>
          <w:rFonts w:ascii="宋体" w:hAnsi="宋体" w:cs="宋体" w:eastAsia="宋体" w:hint="default"/>
        </w:rPr>
        <w:t>2018</w:t>
      </w:r>
    </w:p>
    <w:p>
      <w:pPr>
        <w:spacing w:after="0" w:line="240" w:lineRule="auto"/>
        <w:jc w:val="left"/>
        <w:rPr>
          <w:rFonts w:ascii="宋体" w:hAnsi="宋体" w:cs="宋体" w:eastAsia="宋体" w:hint="default"/>
        </w:rPr>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23"/>
        <w:jc w:val="left"/>
      </w:pPr>
      <w:r>
        <w:rPr/>
        <w:t>年</w:t>
      </w:r>
      <w:hyperlink r:id="rId17">
        <w:r>
          <w:rPr/>
          <w:t>《中国统计年鉴》</w:t>
        </w:r>
      </w:hyperlink>
      <w:r>
        <w:rPr/>
        <w:t>，截至</w:t>
      </w:r>
      <w:r>
        <w:rPr>
          <w:rFonts w:ascii="宋体" w:hAnsi="宋体" w:cs="宋体" w:eastAsia="宋体" w:hint="default"/>
        </w:rPr>
        <w:t>2018</w:t>
      </w:r>
      <w:r>
        <w:rPr/>
        <w:t>年</w:t>
      </w:r>
      <w:r>
        <w:rPr>
          <w:rFonts w:ascii="宋体" w:hAnsi="宋体" w:cs="宋体" w:eastAsia="宋体" w:hint="default"/>
        </w:rPr>
        <w:t>06</w:t>
      </w:r>
      <w:r>
        <w:rPr/>
        <w:t>月，中国共有</w:t>
      </w:r>
      <w:r>
        <w:rPr>
          <w:rFonts w:ascii="宋体" w:hAnsi="宋体" w:cs="宋体" w:eastAsia="宋体" w:hint="default"/>
        </w:rPr>
        <w:t>39888</w:t>
      </w:r>
      <w:r>
        <w:rPr/>
        <w:t>个乡级行政区划。这类地区的会议系统应用水平</w:t>
      </w:r>
      <w:r>
        <w:rPr>
          <w:spacing w:val="-34"/>
        </w:rPr>
        <w:t> </w:t>
      </w:r>
      <w:r>
        <w:rPr>
          <w:spacing w:val="-34"/>
        </w:rPr>
      </w:r>
      <w:r>
        <w:rPr>
          <w:spacing w:val="-3"/>
        </w:rPr>
        <w:t>相对落后。在国家逐步推进信息化发展进程的背景下，这类地区对于数字会议系统的市场需求将持续释放。</w:t>
      </w:r>
    </w:p>
    <w:p>
      <w:pPr>
        <w:pStyle w:val="BodyText"/>
        <w:spacing w:line="408" w:lineRule="auto" w:before="166"/>
        <w:ind w:right="1141" w:firstLine="420"/>
        <w:jc w:val="both"/>
      </w:pPr>
      <w:r>
        <w:rPr/>
        <w:t>（</w:t>
      </w:r>
      <w:r>
        <w:rPr>
          <w:rFonts w:ascii="宋体" w:hAnsi="宋体" w:cs="宋体" w:eastAsia="宋体" w:hint="default"/>
        </w:rPr>
        <w:t>3</w:t>
      </w:r>
      <w:r>
        <w:rPr/>
        <w:t>）会议系统竞争逐步分化，高端用户市场对可靠性、智能性要求日益提高，中低端市场对产品品 牌、性价比等更为关注</w:t>
      </w:r>
    </w:p>
    <w:p>
      <w:pPr>
        <w:pStyle w:val="BodyText"/>
        <w:spacing w:line="408" w:lineRule="auto" w:before="166"/>
        <w:ind w:right="1131" w:firstLine="420"/>
        <w:jc w:val="both"/>
      </w:pPr>
      <w:r>
        <w:rPr>
          <w:spacing w:val="-1"/>
        </w:rPr>
        <w:t>在高端用户市场，特别是高级别的党政机关大型会议、大型集团性会议和大型会议活动中，对会议系</w:t>
      </w:r>
      <w:r>
        <w:rPr/>
        <w:t> </w:t>
      </w:r>
      <w:r>
        <w:rPr>
          <w:spacing w:val="-1"/>
        </w:rPr>
        <w:t>统的可靠性、稳定性、实时性、灵活性和智能性有更为严格的技术要求，用户在产品采购中更为关注厂商</w:t>
      </w:r>
      <w:r>
        <w:rPr>
          <w:spacing w:val="-85"/>
        </w:rPr>
        <w:t> </w:t>
      </w:r>
      <w:r>
        <w:rPr>
          <w:spacing w:val="-85"/>
        </w:rPr>
      </w:r>
      <w:r>
        <w:rPr/>
        <w:t>的产品技术研发能力、一体化解决方案能力和会议系统保障能力。</w:t>
      </w:r>
    </w:p>
    <w:p>
      <w:pPr>
        <w:pStyle w:val="BodyText"/>
        <w:spacing w:line="408" w:lineRule="auto" w:before="166"/>
        <w:ind w:right="1109" w:firstLine="420"/>
        <w:jc w:val="both"/>
      </w:pPr>
      <w:r>
        <w:rPr>
          <w:spacing w:val="-1"/>
        </w:rPr>
        <w:t>在中低端市场，用户在采购中往往需要兼顾经济性和实用性。随着电子信息产业的快速发展和会议系</w:t>
      </w:r>
      <w:r>
        <w:rPr/>
        <w:t> 统应用的日益复杂、技术难度的不断提升，中低端市场的竞争焦点已经逐渐由单一的成本竞争转向品牌、 综合实力及性价比竞争。</w:t>
      </w:r>
    </w:p>
    <w:p>
      <w:pPr>
        <w:pStyle w:val="BodyText"/>
        <w:spacing w:line="408" w:lineRule="auto" w:before="166"/>
        <w:ind w:right="1131" w:firstLine="420"/>
        <w:jc w:val="both"/>
      </w:pPr>
      <w:r>
        <w:rPr>
          <w:spacing w:val="-1"/>
        </w:rPr>
        <w:t>此外，在频次较低、召开时间不规律或对成本控制较为严格的会议中，客户也通过采购会议服务而非</w:t>
      </w:r>
      <w:r>
        <w:rPr/>
        <w:t> 整套数字会议整体系统的方式满足自身需求。</w:t>
      </w:r>
    </w:p>
    <w:p>
      <w:pPr>
        <w:pStyle w:val="BodyText"/>
        <w:spacing w:line="240" w:lineRule="auto" w:before="166"/>
        <w:ind w:left="574" w:right="0"/>
        <w:jc w:val="left"/>
      </w:pPr>
      <w:r>
        <w:rPr/>
        <w:t>（</w:t>
      </w:r>
      <w:r>
        <w:rPr>
          <w:rFonts w:ascii="宋体" w:hAnsi="宋体" w:cs="宋体" w:eastAsia="宋体" w:hint="default"/>
        </w:rPr>
        <w:t>4</w:t>
      </w:r>
      <w:r>
        <w:rPr/>
        <w:t>）信息安全关注度日益提升，国产品牌具有一定优势</w:t>
      </w:r>
    </w:p>
    <w:p>
      <w:pPr>
        <w:spacing w:line="240" w:lineRule="auto" w:before="13"/>
        <w:rPr>
          <w:rFonts w:ascii="宋体" w:hAnsi="宋体" w:cs="宋体" w:eastAsia="宋体" w:hint="default"/>
          <w:sz w:val="23"/>
          <w:szCs w:val="23"/>
        </w:rPr>
      </w:pPr>
    </w:p>
    <w:p>
      <w:pPr>
        <w:pStyle w:val="BodyText"/>
        <w:spacing w:line="408" w:lineRule="auto"/>
        <w:ind w:right="1131" w:firstLine="420"/>
        <w:jc w:val="both"/>
      </w:pPr>
      <w:r>
        <w:rPr>
          <w:spacing w:val="-1"/>
        </w:rPr>
        <w:t>目前国内会议系统的高端用户主要集中在党政团机关、大型央企等国家核心部门，对于信息安全有极</w:t>
      </w:r>
      <w:r>
        <w:rPr/>
        <w:t> </w:t>
      </w:r>
      <w:r>
        <w:rPr>
          <w:spacing w:val="-1"/>
        </w:rPr>
        <w:t>为严格的要求，因此对于国际品牌产品有较大的安全性顾虑，更倾向于选购国产品牌。会议系统厂商不只</w:t>
      </w:r>
      <w:r>
        <w:rPr>
          <w:spacing w:val="-83"/>
        </w:rPr>
        <w:t> </w:t>
      </w:r>
      <w:r>
        <w:rPr>
          <w:spacing w:val="-83"/>
        </w:rPr>
      </w:r>
      <w:r>
        <w:rPr/>
        <w:t>是提供产品交付即可，亦需要提供包括会议保障、运维服务等持续性的服务支持。</w:t>
      </w:r>
    </w:p>
    <w:p>
      <w:pPr>
        <w:pStyle w:val="BodyText"/>
        <w:spacing w:line="240" w:lineRule="auto" w:before="166"/>
        <w:ind w:left="680" w:right="0"/>
        <w:jc w:val="left"/>
      </w:pPr>
      <w:r>
        <w:rPr>
          <w:rFonts w:ascii="宋体" w:hAnsi="宋体" w:cs="宋体" w:eastAsia="宋体" w:hint="default"/>
        </w:rPr>
        <w:t>3</w:t>
      </w:r>
      <w:r>
        <w:rPr/>
        <w:t>、烟草行业</w:t>
      </w:r>
    </w:p>
    <w:p>
      <w:pPr>
        <w:spacing w:line="240" w:lineRule="auto" w:before="12"/>
        <w:rPr>
          <w:rFonts w:ascii="宋体" w:hAnsi="宋体" w:cs="宋体" w:eastAsia="宋体" w:hint="default"/>
          <w:sz w:val="23"/>
          <w:szCs w:val="23"/>
        </w:rPr>
      </w:pPr>
    </w:p>
    <w:p>
      <w:pPr>
        <w:pStyle w:val="BodyText"/>
        <w:spacing w:line="408" w:lineRule="auto"/>
        <w:ind w:right="1017" w:firstLine="420"/>
        <w:jc w:val="left"/>
      </w:pPr>
      <w:r>
        <w:rPr/>
        <w:t>日新月异的信息化技术为烟草行业的发展源源不断地注入新的增长动力，也对烟草企业的运营与发展 产生深刻的影响。面对信息化新的发展形势，遵循国家局 </w:t>
      </w:r>
      <w:r>
        <w:rPr>
          <w:rFonts w:ascii="宋体" w:hAnsi="宋体" w:cs="宋体" w:eastAsia="宋体" w:hint="default"/>
        </w:rPr>
        <w:t>CT-155</w:t>
      </w:r>
      <w:r>
        <w:rPr>
          <w:rFonts w:ascii="宋体" w:hAnsi="宋体" w:cs="宋体" w:eastAsia="宋体" w:hint="default"/>
          <w:spacing w:val="-18"/>
        </w:rPr>
        <w:t> </w:t>
      </w:r>
      <w:r>
        <w:rPr/>
        <w:t>行业信息化战略规划和《烟草行业“互 </w:t>
      </w:r>
      <w:r>
        <w:rPr>
          <w:spacing w:val="-5"/>
        </w:rPr>
        <w:t>联网</w:t>
      </w:r>
      <w:r>
        <w:rPr>
          <w:rFonts w:ascii="宋体" w:hAnsi="宋体" w:cs="宋体" w:eastAsia="宋体" w:hint="default"/>
          <w:spacing w:val="-5"/>
        </w:rPr>
        <w:t>+</w:t>
      </w:r>
      <w:r>
        <w:rPr>
          <w:spacing w:val="-5"/>
        </w:rPr>
        <w:t>”行动计划》的要求，各烟草企业都提出了“把提升信息化水平作为实施创新驱动战略的重要抓手”。</w:t>
      </w:r>
      <w:r>
        <w:rPr>
          <w:spacing w:val="-99"/>
        </w:rPr>
        <w:t> </w:t>
      </w:r>
      <w:r>
        <w:rPr>
          <w:spacing w:val="-99"/>
        </w:rPr>
      </w:r>
      <w:r>
        <w:rPr/>
        <w:t>如何有效应用“云大物移智”等新技术，推进“互联网</w:t>
      </w:r>
      <w:r>
        <w:rPr>
          <w:rFonts w:ascii="宋体" w:hAnsi="宋体" w:cs="宋体" w:eastAsia="宋体" w:hint="default"/>
        </w:rPr>
        <w:t>+</w:t>
      </w:r>
      <w:r>
        <w:rPr/>
        <w:t>”落地，不是简单地在新技术上做加法，而是要</w:t>
      </w:r>
      <w:r>
        <w:rPr>
          <w:spacing w:val="-29"/>
        </w:rPr>
        <w:t> </w:t>
      </w:r>
      <w:r>
        <w:rPr>
          <w:spacing w:val="-29"/>
        </w:rPr>
      </w:r>
      <w:r>
        <w:rPr/>
        <w:t>从理念转变、模式创新和技术进步三个主要方面进行一体化顶层设计和分阶段统一推进。在此背景下，传</w:t>
      </w:r>
      <w:r>
        <w:rPr/>
        <w:t> 统的信息化建设模式面临重大的挑战，迫切需要新的生态创新平台，联合“管理、技术、行业、人才”等 多方面资源来支撑“智慧烟草”建设进程，推动烟草行业运营效率的提高和经营成本的降低，促进管理水 平持续提升，成为烟草行业持续发展的动力引擎。</w:t>
      </w:r>
    </w:p>
    <w:p>
      <w:pPr>
        <w:pStyle w:val="BodyText"/>
        <w:spacing w:line="513" w:lineRule="auto" w:before="166"/>
        <w:ind w:left="574" w:right="0"/>
        <w:jc w:val="left"/>
      </w:pPr>
      <w:r>
        <w:rPr/>
        <w:t>（</w:t>
      </w:r>
      <w:r>
        <w:rPr>
          <w:rFonts w:ascii="宋体" w:hAnsi="宋体" w:cs="宋体" w:eastAsia="宋体" w:hint="default"/>
        </w:rPr>
        <w:t>1</w:t>
      </w:r>
      <w:r>
        <w:rPr/>
        <w:t>）信息化与烟草产业深度融合是烟草行业信息化未来的发展方向 </w:t>
      </w:r>
      <w:r>
        <w:rPr>
          <w:spacing w:val="-1"/>
        </w:rPr>
        <w:t>在信息化基础设施发展较为完善的背景下，烟草产业和信息化的深度融合已经开始，提高信息系统和</w:t>
      </w:r>
    </w:p>
    <w:p>
      <w:pPr>
        <w:spacing w:after="0" w:line="513"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信息资源的集成整合共享将成为烟草行业信息化未来一段时间的主要发展方向，从而推动烟草行业信息化</w:t>
      </w:r>
      <w:r>
        <w:rPr>
          <w:spacing w:val="-81"/>
        </w:rPr>
        <w:t> </w:t>
      </w:r>
      <w:r>
        <w:rPr>
          <w:spacing w:val="-81"/>
        </w:rPr>
      </w:r>
      <w:r>
        <w:rPr>
          <w:spacing w:val="-1"/>
        </w:rPr>
        <w:t>从集成整合向综合集成的转变。烟草行业信息化既要利用已有信息化建设的成果，又要完善业务管理内控</w:t>
      </w:r>
      <w:r>
        <w:rPr>
          <w:spacing w:val="-81"/>
        </w:rPr>
        <w:t> </w:t>
      </w:r>
      <w:r>
        <w:rPr>
          <w:spacing w:val="-81"/>
        </w:rPr>
      </w:r>
      <w:r>
        <w:rPr>
          <w:spacing w:val="-1"/>
        </w:rPr>
        <w:t>机制、协调规范业务管理流程、保障数据交换的畅通，从业务架构、技术架构和数据架构等方面推进集成</w:t>
      </w:r>
      <w:r>
        <w:rPr>
          <w:spacing w:val="-86"/>
        </w:rPr>
        <w:t> </w:t>
      </w:r>
      <w:r>
        <w:rPr>
          <w:spacing w:val="-86"/>
        </w:rPr>
      </w:r>
      <w:r>
        <w:rPr/>
        <w:t>整合工作。因此，烟草行业信息化应用集成平台将成为下一阶段建设的重点。</w:t>
      </w:r>
    </w:p>
    <w:p>
      <w:pPr>
        <w:pStyle w:val="BodyText"/>
        <w:spacing w:line="240" w:lineRule="auto" w:before="166"/>
        <w:ind w:left="574" w:right="0"/>
        <w:jc w:val="left"/>
      </w:pPr>
      <w:r>
        <w:rPr/>
        <w:t>（</w:t>
      </w:r>
      <w:r>
        <w:rPr>
          <w:rFonts w:ascii="宋体" w:hAnsi="宋体" w:cs="宋体" w:eastAsia="宋体" w:hint="default"/>
        </w:rPr>
        <w:t>2</w:t>
      </w:r>
      <w:r>
        <w:rPr/>
        <w:t>）烟草农业和烟草商业将逐步成为烟草行业信息化增长的主要驱动力</w:t>
      </w:r>
    </w:p>
    <w:p>
      <w:pPr>
        <w:spacing w:line="240" w:lineRule="auto" w:before="12"/>
        <w:rPr>
          <w:rFonts w:ascii="宋体" w:hAnsi="宋体" w:cs="宋体" w:eastAsia="宋体" w:hint="default"/>
          <w:sz w:val="23"/>
          <w:szCs w:val="23"/>
        </w:rPr>
      </w:pPr>
    </w:p>
    <w:p>
      <w:pPr>
        <w:pStyle w:val="BodyText"/>
        <w:spacing w:line="408" w:lineRule="auto"/>
        <w:ind w:right="1131" w:firstLine="420"/>
        <w:jc w:val="both"/>
      </w:pPr>
      <w:r>
        <w:rPr>
          <w:spacing w:val="-1"/>
        </w:rPr>
        <w:t>烟草行业信息化经过十多年的建设，基础设施已具规模，电子政务、电子商务、管理决策三大应用体</w:t>
      </w:r>
      <w:r>
        <w:rPr/>
        <w:t> </w:t>
      </w:r>
      <w:r>
        <w:rPr>
          <w:spacing w:val="-1"/>
        </w:rPr>
        <w:t>系稳步推进，商业、工业信息化建设成效显著，但是在烟草农业信息化方面还存在短板。烟叶作为烟草行</w:t>
      </w:r>
      <w:r>
        <w:rPr>
          <w:spacing w:val="-86"/>
        </w:rPr>
        <w:t> </w:t>
      </w:r>
      <w:r>
        <w:rPr>
          <w:spacing w:val="-86"/>
        </w:rPr>
      </w:r>
      <w:r>
        <w:rPr>
          <w:spacing w:val="-1"/>
        </w:rPr>
        <w:t>业的基础原材料，其品质直接关系到卷烟产品的质量。因此，未来一个阶段，烟叶基层站信息化建设和烟</w:t>
      </w:r>
      <w:r>
        <w:rPr>
          <w:spacing w:val="-86"/>
        </w:rPr>
        <w:t> </w:t>
      </w:r>
      <w:r>
        <w:rPr>
          <w:spacing w:val="-86"/>
        </w:rPr>
      </w:r>
      <w:r>
        <w:rPr>
          <w:spacing w:val="-1"/>
        </w:rPr>
        <w:t>叶管理信息平台将成为烟草行业信息化建设的新的重点。在烟草商业信息化领域，目前已经实现了烟草订</w:t>
      </w:r>
      <w:r>
        <w:rPr>
          <w:spacing w:val="-81"/>
        </w:rPr>
        <w:t> </w:t>
      </w:r>
      <w:r>
        <w:rPr>
          <w:spacing w:val="-81"/>
        </w:rPr>
      </w:r>
      <w:r>
        <w:rPr>
          <w:spacing w:val="-1"/>
        </w:rPr>
        <w:t>购、物流配送等领域的信息化，但是在烟草商业数据分析方面，还有较大潜力可以挖掘。总体来看，烟草</w:t>
      </w:r>
      <w:r>
        <w:rPr>
          <w:spacing w:val="-83"/>
        </w:rPr>
        <w:t> </w:t>
      </w:r>
      <w:r>
        <w:rPr>
          <w:spacing w:val="-83"/>
        </w:rPr>
      </w:r>
      <w:r>
        <w:rPr>
          <w:spacing w:val="-1"/>
        </w:rPr>
        <w:t>工业信息化将主要聚焦于烟草工业化和信息化的深度融合，并将信息技术融入业务模式转变与业务流程优</w:t>
      </w:r>
      <w:r>
        <w:rPr>
          <w:spacing w:val="-81"/>
        </w:rPr>
        <w:t> </w:t>
      </w:r>
      <w:r>
        <w:rPr>
          <w:spacing w:val="-81"/>
        </w:rPr>
      </w:r>
      <w:r>
        <w:rPr/>
        <w:t>化的全过程；而烟草农业和烟草商业将成为未来行业信息化增长的主要驱动力。</w:t>
      </w:r>
    </w:p>
    <w:p>
      <w:pPr>
        <w:pStyle w:val="BodyText"/>
        <w:spacing w:line="240" w:lineRule="auto" w:before="166"/>
        <w:ind w:left="574" w:right="0"/>
        <w:jc w:val="left"/>
      </w:pPr>
      <w:r>
        <w:rPr/>
        <w:t>（</w:t>
      </w:r>
      <w:r>
        <w:rPr>
          <w:rFonts w:ascii="宋体" w:hAnsi="宋体" w:cs="宋体" w:eastAsia="宋体" w:hint="default"/>
        </w:rPr>
        <w:t>3</w:t>
      </w:r>
      <w:r>
        <w:rPr/>
        <w:t>）全流程、一体化的协同物流管理将成为烟草行业信息化建设的重点</w:t>
      </w:r>
    </w:p>
    <w:p>
      <w:pPr>
        <w:spacing w:line="240" w:lineRule="auto" w:before="12"/>
        <w:rPr>
          <w:rFonts w:ascii="宋体" w:hAnsi="宋体" w:cs="宋体" w:eastAsia="宋体" w:hint="default"/>
          <w:sz w:val="23"/>
          <w:szCs w:val="23"/>
        </w:rPr>
      </w:pPr>
    </w:p>
    <w:p>
      <w:pPr>
        <w:pStyle w:val="BodyText"/>
        <w:spacing w:line="398" w:lineRule="auto"/>
        <w:ind w:right="1131" w:firstLine="420"/>
        <w:jc w:val="both"/>
      </w:pPr>
      <w:r>
        <w:rPr/>
        <w:t>物流是烟草行业实现</w:t>
      </w:r>
      <w:r>
        <w:rPr>
          <w:rFonts w:ascii="Times New Roman" w:hAnsi="Times New Roman" w:cs="Times New Roman" w:eastAsia="Times New Roman" w:hint="default"/>
        </w:rPr>
        <w:t>“</w:t>
      </w:r>
      <w:r>
        <w:rPr/>
        <w:t>统一领导、垂直管理、专卖专营</w:t>
      </w:r>
      <w:r>
        <w:rPr>
          <w:rFonts w:ascii="Times New Roman" w:hAnsi="Times New Roman" w:cs="Times New Roman" w:eastAsia="Times New Roman" w:hint="default"/>
        </w:rPr>
        <w:t>”</w:t>
      </w:r>
      <w:r>
        <w:rPr/>
        <w:t>管理体制的重要环节，也是烟草行业信息化产 </w:t>
      </w:r>
      <w:r>
        <w:rPr>
          <w:spacing w:val="-1"/>
        </w:rPr>
        <w:t>期建设的重点。随着我国烟草行业现代化发展速度的不断加快，物联网技术的应用范围也在不断扩大。我</w:t>
      </w:r>
      <w:r>
        <w:rPr>
          <w:spacing w:val="-83"/>
        </w:rPr>
        <w:t> </w:t>
      </w:r>
      <w:r>
        <w:rPr>
          <w:spacing w:val="-83"/>
        </w:rPr>
      </w:r>
      <w:r>
        <w:rPr>
          <w:spacing w:val="-1"/>
        </w:rPr>
        <w:t>国的烟草商业物流正在不断朝向统一配送、统一管理以及工商一体化的方向所发展，国家烟草专卖局印发</w:t>
      </w:r>
    </w:p>
    <w:p>
      <w:pPr>
        <w:pStyle w:val="BodyText"/>
        <w:spacing w:line="393" w:lineRule="auto" w:before="54"/>
        <w:ind w:right="1022"/>
        <w:jc w:val="left"/>
      </w:pPr>
      <w:r>
        <w:rPr/>
        <w:t>《烟草行业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行动计划》，提出</w:t>
      </w:r>
      <w:r>
        <w:rPr>
          <w:rFonts w:ascii="Times New Roman" w:hAnsi="Times New Roman" w:cs="Times New Roman" w:eastAsia="Times New Roman" w:hint="default"/>
        </w:rPr>
        <w:t>“</w:t>
      </w:r>
      <w:r>
        <w:rPr/>
        <w:t>提升物流智能化水平，探索物流平台化、专业化、智能化转型， 推进深度感知的智能仓储、智能运输、智能配送建设，持续提升实时跟踪、网络化管理和信息共享水平， 降低物流成本，提升物流仓储运转效率，提高优化物流运作效率，提高服务水平</w:t>
      </w:r>
      <w:r>
        <w:rPr>
          <w:rFonts w:ascii="Times New Roman" w:hAnsi="Times New Roman" w:cs="Times New Roman" w:eastAsia="Times New Roman" w:hint="default"/>
        </w:rPr>
        <w:t>”</w:t>
      </w:r>
      <w:r>
        <w:rPr/>
        <w:t>。在国家主管部门的强</w:t>
      </w:r>
      <w:r>
        <w:rPr>
          <w:spacing w:val="-15"/>
        </w:rPr>
        <w:t> </w:t>
      </w:r>
      <w:r>
        <w:rPr>
          <w:spacing w:val="-15"/>
        </w:rPr>
      </w:r>
      <w:r>
        <w:rPr/>
        <w:t>力推动下，未来烟草行业供应链物流建设将全面展开。</w:t>
      </w:r>
    </w:p>
    <w:p>
      <w:pPr>
        <w:pStyle w:val="BodyText"/>
        <w:spacing w:line="484" w:lineRule="auto" w:before="178"/>
        <w:ind w:left="574" w:right="0"/>
        <w:jc w:val="left"/>
      </w:pPr>
      <w:r>
        <w:rPr/>
        <w:t>（</w:t>
      </w:r>
      <w:r>
        <w:rPr>
          <w:rFonts w:ascii="Times New Roman" w:hAnsi="Times New Roman" w:cs="Times New Roman" w:eastAsia="Times New Roman" w:hint="default"/>
        </w:rPr>
        <w:t>4</w:t>
      </w:r>
      <w:r>
        <w:rPr/>
        <w:t>）物联网和云计算将在烟草行业信息化建设中发挥更加重要的作用 </w:t>
      </w:r>
      <w:r>
        <w:rPr>
          <w:spacing w:val="-1"/>
        </w:rPr>
        <w:t>烟草行业未来将充分利用云计算来降低行业信息化的成本。目前，企业建造一个数据中心的成本花费</w:t>
      </w:r>
    </w:p>
    <w:p>
      <w:pPr>
        <w:pStyle w:val="BodyText"/>
        <w:spacing w:line="270" w:lineRule="exact"/>
        <w:ind w:right="0"/>
        <w:jc w:val="both"/>
      </w:pPr>
      <w:r>
        <w:rPr/>
        <w:t>很大，需要配备大量的设备，并且程序过于复杂，价格也比较昂贵。而使用</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计算技术，则不用考虑设</w:t>
      </w:r>
    </w:p>
    <w:p>
      <w:pPr>
        <w:pStyle w:val="BodyText"/>
        <w:spacing w:line="398" w:lineRule="auto" w:before="177"/>
        <w:ind w:right="1131"/>
        <w:jc w:val="both"/>
      </w:pPr>
      <w:r>
        <w:rPr/>
        <w:t>施成本折旧问题</w:t>
      </w:r>
      <w:r>
        <w:rPr>
          <w:rFonts w:ascii="Times New Roman" w:hAnsi="Times New Roman" w:cs="Times New Roman" w:eastAsia="Times New Roman" w:hint="default"/>
        </w:rPr>
        <w:t>, </w:t>
      </w:r>
      <w:r>
        <w:rPr/>
        <w:t>不需要专门的维护管理人员</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4"/>
        </w:rPr>
        <w:t>也无需为维护和管理人员支付额外的费用，并能及时获得最</w:t>
      </w:r>
      <w:r>
        <w:rPr/>
        <w:t> </w:t>
      </w:r>
      <w:r>
        <w:rPr>
          <w:spacing w:val="-1"/>
        </w:rPr>
        <w:t>新的硬件平台和稳固的软件平台以及业务运行的最佳解决方案，最大程度减少在信息技术方面所花费的开</w:t>
      </w:r>
      <w:r>
        <w:rPr>
          <w:spacing w:val="-81"/>
        </w:rPr>
        <w:t> </w:t>
      </w:r>
      <w:r>
        <w:rPr>
          <w:spacing w:val="-81"/>
        </w:rPr>
      </w:r>
      <w:r>
        <w:rPr/>
        <w:t>支。</w:t>
      </w:r>
    </w:p>
    <w:p>
      <w:pPr>
        <w:pStyle w:val="BodyText"/>
        <w:spacing w:line="408" w:lineRule="auto" w:before="174"/>
        <w:ind w:right="1023" w:firstLine="420"/>
        <w:jc w:val="left"/>
      </w:pPr>
      <w:r>
        <w:rPr/>
        <w:t>烟草物联网覆盖了以种植、加工、采购、生产、销售、配送、营销、服务、管理为业务主体的烟草产 </w:t>
      </w:r>
      <w:r>
        <w:rPr>
          <w:spacing w:val="-3"/>
        </w:rPr>
        <w:t>业链的各个环节，涉及了种植加工、生产制造、质量追溯、物流管理、库存管理、供应链管理、专卖管理、</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协同营销等烟草生产经营的各个方面，对行业产业优化升级、技术创新进步、管理、服务水平提升都具有</w:t>
      </w:r>
      <w:r>
        <w:rPr>
          <w:spacing w:val="-86"/>
        </w:rPr>
        <w:t> </w:t>
      </w:r>
      <w:r>
        <w:rPr>
          <w:spacing w:val="-86"/>
        </w:rPr>
      </w:r>
      <w:r>
        <w:rPr/>
        <w:t>重要意义和作用。</w:t>
      </w:r>
    </w:p>
    <w:p>
      <w:pPr>
        <w:pStyle w:val="BodyText"/>
        <w:spacing w:line="240" w:lineRule="auto" w:before="166"/>
        <w:ind w:left="574" w:right="0"/>
        <w:jc w:val="left"/>
      </w:pPr>
      <w:r>
        <w:rPr>
          <w:rFonts w:ascii="Times New Roman" w:hAnsi="Times New Roman" w:cs="Times New Roman" w:eastAsia="Times New Roman" w:hint="default"/>
        </w:rPr>
        <w:t>4</w:t>
      </w:r>
      <w:r>
        <w:rPr/>
        <w:t>、油气领域信息化行业</w:t>
      </w:r>
    </w:p>
    <w:p>
      <w:pPr>
        <w:spacing w:line="240" w:lineRule="auto" w:before="9"/>
        <w:rPr>
          <w:rFonts w:ascii="宋体" w:hAnsi="宋体" w:cs="宋体" w:eastAsia="宋体" w:hint="default"/>
          <w:sz w:val="22"/>
          <w:szCs w:val="22"/>
        </w:rPr>
      </w:pPr>
    </w:p>
    <w:p>
      <w:pPr>
        <w:pStyle w:val="BodyText"/>
        <w:spacing w:line="484" w:lineRule="auto"/>
        <w:ind w:left="574" w:right="0" w:hanging="168"/>
        <w:jc w:val="left"/>
      </w:pPr>
      <w:r>
        <w:rPr/>
        <w:t>（</w:t>
      </w:r>
      <w:r>
        <w:rPr>
          <w:rFonts w:ascii="Times New Roman" w:hAnsi="Times New Roman" w:cs="Times New Roman" w:eastAsia="Times New Roman" w:hint="default"/>
        </w:rPr>
        <w:t>1</w:t>
      </w:r>
      <w:r>
        <w:rPr/>
        <w:t>）国家鼓励石油行业加大信息化投入，未来石油信息化行业市场将保持持续性增长 </w:t>
      </w:r>
      <w:r>
        <w:rPr>
          <w:spacing w:val="-1"/>
        </w:rPr>
        <w:t>国家高度重视石油行业核心竞争力的持续提升，加速石油行业信息化建设是落实十八届三中全会审议</w:t>
      </w:r>
    </w:p>
    <w:p>
      <w:pPr>
        <w:pStyle w:val="BodyText"/>
        <w:spacing w:line="254" w:lineRule="exact"/>
        <w:ind w:right="0"/>
        <w:jc w:val="left"/>
      </w:pPr>
      <w:r>
        <w:rPr/>
        <w:t>通过的《中共中央关于全面深化改革若干重大问题的决定》在能源领域改革的重要抓手，工信部在发布的</w:t>
      </w:r>
    </w:p>
    <w:p>
      <w:pPr>
        <w:spacing w:line="240" w:lineRule="auto" w:before="10"/>
        <w:rPr>
          <w:rFonts w:ascii="宋体" w:hAnsi="宋体" w:cs="宋体" w:eastAsia="宋体" w:hint="default"/>
          <w:sz w:val="14"/>
          <w:szCs w:val="14"/>
        </w:rPr>
      </w:pPr>
    </w:p>
    <w:p>
      <w:pPr>
        <w:pStyle w:val="BodyText"/>
        <w:spacing w:line="386" w:lineRule="auto"/>
        <w:ind w:right="1124"/>
        <w:jc w:val="left"/>
      </w:pPr>
      <w:r>
        <w:rPr>
          <w:spacing w:val="-2"/>
        </w:rPr>
        <w:t>《信息化和工业化融合发展规划（</w:t>
      </w:r>
      <w:r>
        <w:rPr>
          <w:rFonts w:ascii="Times New Roman" w:hAnsi="Times New Roman" w:cs="Times New Roman" w:eastAsia="Times New Roman" w:hint="default"/>
          <w:spacing w:val="-2"/>
        </w:rPr>
        <w:t>2016-2020</w:t>
      </w:r>
      <w:r>
        <w:rPr>
          <w:spacing w:val="-2"/>
        </w:rPr>
        <w:t>年）》中也明确要求石油化工行业要加快两化深度融合。由此</w:t>
      </w:r>
      <w:r>
        <w:rPr>
          <w:spacing w:val="-97"/>
        </w:rPr>
        <w:t> </w:t>
      </w:r>
      <w:r>
        <w:rPr>
          <w:spacing w:val="-97"/>
        </w:rPr>
      </w:r>
      <w:r>
        <w:rPr/>
        <w:t>可以预见，在国家政策的大力支持下，石油信息化行业市场仍将继续保持持续性增长态势。</w:t>
      </w:r>
    </w:p>
    <w:p>
      <w:pPr>
        <w:spacing w:line="240" w:lineRule="auto" w:before="2"/>
        <w:rPr>
          <w:rFonts w:ascii="宋体" w:hAnsi="宋体" w:cs="宋体" w:eastAsia="宋体" w:hint="default"/>
          <w:sz w:val="14"/>
          <w:szCs w:val="14"/>
        </w:rPr>
      </w:pPr>
    </w:p>
    <w:p>
      <w:pPr>
        <w:pStyle w:val="BodyText"/>
        <w:spacing w:line="484" w:lineRule="auto"/>
        <w:ind w:left="574" w:right="0" w:hanging="168"/>
        <w:jc w:val="left"/>
      </w:pPr>
      <w:r>
        <w:rPr/>
        <w:t>（</w:t>
      </w:r>
      <w:r>
        <w:rPr>
          <w:rFonts w:ascii="Times New Roman" w:hAnsi="Times New Roman" w:cs="Times New Roman" w:eastAsia="Times New Roman" w:hint="default"/>
        </w:rPr>
        <w:t>2</w:t>
      </w:r>
      <w:r>
        <w:rPr/>
        <w:t>）石油信息化将加快从数字化向智能化转变 </w:t>
      </w:r>
      <w:r>
        <w:rPr>
          <w:spacing w:val="-1"/>
        </w:rPr>
        <w:t>随着信息化和工业化的深度融合，以及物联网、云计算等新兴技术的推广普及，石油信息化行业的发</w:t>
      </w:r>
    </w:p>
    <w:p>
      <w:pPr>
        <w:pStyle w:val="BodyText"/>
        <w:spacing w:line="254" w:lineRule="exact"/>
        <w:ind w:right="0"/>
        <w:jc w:val="left"/>
      </w:pPr>
      <w:r>
        <w:rPr/>
        <w:t>展已经开始从数字化、网络化迈入智能化阶段，通过智能网络和应用增强企业的反应能力和管理水平，达</w:t>
      </w:r>
    </w:p>
    <w:p>
      <w:pPr>
        <w:spacing w:line="240" w:lineRule="auto" w:before="10"/>
        <w:rPr>
          <w:rFonts w:ascii="宋体" w:hAnsi="宋体" w:cs="宋体" w:eastAsia="宋体" w:hint="default"/>
          <w:sz w:val="14"/>
          <w:szCs w:val="14"/>
        </w:rPr>
      </w:pPr>
    </w:p>
    <w:p>
      <w:pPr>
        <w:pStyle w:val="BodyText"/>
        <w:spacing w:line="408" w:lineRule="auto"/>
        <w:ind w:right="1023"/>
        <w:jc w:val="left"/>
      </w:pPr>
      <w:r>
        <w:rPr/>
        <w:t>到降本增效的目的，为业务的发展提供有力支撑。比如：推行云桌面，打破办公室的时间和空间束缚，实 </w:t>
      </w:r>
      <w:r>
        <w:rPr>
          <w:spacing w:val="-3"/>
        </w:rPr>
        <w:t>现了在任何时间、任何地点办理任何业务，提高快速应对能力；推行视频会议，及时了解各生产一线情况，</w:t>
      </w:r>
      <w:r>
        <w:rPr>
          <w:spacing w:val="-95"/>
        </w:rPr>
        <w:t> </w:t>
      </w:r>
      <w:r>
        <w:rPr>
          <w:spacing w:val="-95"/>
        </w:rPr>
      </w:r>
      <w:r>
        <w:rPr/>
        <w:t>提高会议效率等。</w:t>
      </w:r>
    </w:p>
    <w:p>
      <w:pPr>
        <w:pStyle w:val="BodyText"/>
        <w:spacing w:line="484" w:lineRule="auto" w:before="166"/>
        <w:ind w:left="574" w:right="1092" w:hanging="168"/>
        <w:jc w:val="left"/>
      </w:pPr>
      <w:r>
        <w:rPr/>
        <w:t>（</w:t>
      </w:r>
      <w:r>
        <w:rPr>
          <w:rFonts w:ascii="Times New Roman" w:hAnsi="Times New Roman" w:cs="Times New Roman" w:eastAsia="Times New Roman" w:hint="default"/>
        </w:rPr>
        <w:t>3</w:t>
      </w:r>
      <w:r>
        <w:rPr/>
        <w:t>）数字油田依然是未来石油行业信息化建设重点 数字油田是油气生产企业信息化与工业化融合的产物，是油田企业信息化与工业化融合的典型代表。</w:t>
      </w:r>
    </w:p>
    <w:p>
      <w:pPr>
        <w:pStyle w:val="BodyText"/>
        <w:spacing w:line="398" w:lineRule="auto" w:before="99"/>
        <w:ind w:right="1131"/>
        <w:jc w:val="both"/>
      </w:pPr>
      <w:r>
        <w:rPr>
          <w:spacing w:val="-1"/>
        </w:rPr>
        <w:t>未来较长一段时间内，我国石油行业仍将大力发展数字油田。目标是提供勘探开发一体化、生产经营一体</w:t>
      </w:r>
      <w:r>
        <w:rPr>
          <w:spacing w:val="-83"/>
        </w:rPr>
        <w:t> </w:t>
      </w:r>
      <w:r>
        <w:rPr>
          <w:spacing w:val="-83"/>
        </w:rPr>
      </w:r>
      <w:r>
        <w:rPr/>
        <w:t>化的业务支撑，提高企业核心业务能力、经营管理能力及战略决策能力，实现</w:t>
      </w:r>
      <w:r>
        <w:rPr>
          <w:rFonts w:ascii="Times New Roman" w:hAnsi="Times New Roman" w:cs="Times New Roman" w:eastAsia="Times New Roman" w:hint="default"/>
        </w:rPr>
        <w:t>“</w:t>
      </w:r>
      <w:r>
        <w:rPr/>
        <w:t>横向到边、纵向到底</w:t>
      </w:r>
      <w:r>
        <w:rPr>
          <w:rFonts w:ascii="Times New Roman" w:hAnsi="Times New Roman" w:cs="Times New Roman" w:eastAsia="Times New Roman" w:hint="default"/>
        </w:rPr>
        <w:t>”</w:t>
      </w:r>
      <w:r>
        <w:rPr/>
        <w:t>的立 </w:t>
      </w:r>
      <w:r>
        <w:rPr>
          <w:spacing w:val="-1"/>
        </w:rPr>
        <w:t>体式业务支撑，最终达到油田增储、增效目的，提高各个油田的采收率和经济效益。智能油田是数字油田</w:t>
      </w:r>
      <w:r>
        <w:rPr>
          <w:spacing w:val="-86"/>
        </w:rPr>
        <w:t> </w:t>
      </w:r>
      <w:r>
        <w:rPr>
          <w:spacing w:val="-86"/>
        </w:rPr>
      </w:r>
      <w:r>
        <w:rPr/>
        <w:t>的高级阶段。中国石油从</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，都把</w:t>
      </w:r>
      <w:r>
        <w:rPr>
          <w:rFonts w:ascii="Times New Roman" w:hAnsi="Times New Roman" w:cs="Times New Roman" w:eastAsia="Times New Roman" w:hint="default"/>
        </w:rPr>
        <w:t>“</w:t>
      </w:r>
      <w:r>
        <w:rPr/>
        <w:t>生产物联网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工程技术物联网</w:t>
      </w:r>
      <w:r>
        <w:rPr>
          <w:rFonts w:ascii="Times New Roman" w:hAnsi="Times New Roman" w:cs="Times New Roman" w:eastAsia="Times New Roman" w:hint="default"/>
        </w:rPr>
        <w:t>”</w:t>
      </w:r>
      <w:r>
        <w:rPr/>
        <w:t>作为重点，引导各</w:t>
      </w:r>
      <w:r>
        <w:rPr>
          <w:spacing w:val="-44"/>
        </w:rPr>
        <w:t> </w:t>
      </w:r>
      <w:r>
        <w:rPr>
          <w:spacing w:val="-44"/>
        </w:rPr>
      </w:r>
      <w:r>
        <w:rPr/>
        <w:t>油田加快提高智能化水平。</w:t>
      </w:r>
    </w:p>
    <w:p>
      <w:pPr>
        <w:pStyle w:val="BodyText"/>
        <w:spacing w:line="240" w:lineRule="auto" w:before="174"/>
        <w:ind w:left="658" w:right="0"/>
        <w:jc w:val="left"/>
      </w:pPr>
      <w:r>
        <w:rPr>
          <w:rFonts w:ascii="Times New Roman" w:hAnsi="Times New Roman" w:cs="Times New Roman" w:eastAsia="Times New Roman" w:hint="default"/>
        </w:rPr>
        <w:t>5</w:t>
      </w:r>
      <w:r>
        <w:rPr/>
        <w:t>、印钞质量检测信息化行业</w:t>
      </w:r>
    </w:p>
    <w:p>
      <w:pPr>
        <w:spacing w:line="240" w:lineRule="auto" w:before="9"/>
        <w:rPr>
          <w:rFonts w:ascii="宋体" w:hAnsi="宋体" w:cs="宋体" w:eastAsia="宋体" w:hint="default"/>
          <w:sz w:val="22"/>
          <w:szCs w:val="22"/>
        </w:rPr>
      </w:pPr>
    </w:p>
    <w:p>
      <w:pPr>
        <w:pStyle w:val="BodyText"/>
        <w:spacing w:line="484" w:lineRule="auto"/>
        <w:ind w:left="574" w:right="0" w:hanging="84"/>
        <w:jc w:val="left"/>
      </w:pPr>
      <w:r>
        <w:rPr/>
        <w:t>（</w:t>
      </w:r>
      <w:r>
        <w:rPr>
          <w:rFonts w:ascii="Times New Roman" w:hAnsi="Times New Roman" w:cs="Times New Roman" w:eastAsia="Times New Roman" w:hint="default"/>
        </w:rPr>
        <w:t>1</w:t>
      </w:r>
      <w:r>
        <w:rPr/>
        <w:t>）印钞质量检测设备技术更新将持续进行 </w:t>
      </w:r>
      <w:r>
        <w:rPr>
          <w:spacing w:val="-1"/>
        </w:rPr>
        <w:t>货币对于国民经济和中央宏观调控具有重大意义，印钞质量检测设备需进行持续更新。我国印钞行业</w:t>
      </w:r>
    </w:p>
    <w:p>
      <w:pPr>
        <w:pStyle w:val="BodyText"/>
        <w:spacing w:line="254" w:lineRule="exact"/>
        <w:ind w:right="0"/>
        <w:jc w:val="left"/>
      </w:pPr>
      <w:r>
        <w:rPr/>
        <w:t>的检测已经完全实现了以信息化、智能化为基础的机器检测，随着货币防伪标识的增加、变化、工艺提升</w:t>
      </w:r>
    </w:p>
    <w:p>
      <w:pPr>
        <w:spacing w:line="240" w:lineRule="auto" w:before="10"/>
        <w:rPr>
          <w:rFonts w:ascii="宋体" w:hAnsi="宋体" w:cs="宋体" w:eastAsia="宋体" w:hint="default"/>
          <w:sz w:val="14"/>
          <w:szCs w:val="14"/>
        </w:rPr>
      </w:pPr>
    </w:p>
    <w:p>
      <w:pPr>
        <w:pStyle w:val="BodyText"/>
        <w:spacing w:line="240" w:lineRule="auto"/>
        <w:ind w:right="0"/>
        <w:jc w:val="left"/>
      </w:pPr>
      <w:r>
        <w:rPr/>
        <w:t>及印钞质量要求的提高，各生产工序的印钞质量检测设备的技术工艺将持续更新。</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0"/>
        <w:jc w:val="left"/>
      </w:pPr>
      <w:r>
        <w:rPr/>
        <w:t>（</w:t>
      </w:r>
      <w:r>
        <w:rPr>
          <w:rFonts w:ascii="Times New Roman" w:hAnsi="Times New Roman" w:cs="Times New Roman" w:eastAsia="Times New Roman" w:hint="default"/>
        </w:rPr>
        <w:t>2</w:t>
      </w:r>
      <w:r>
        <w:rPr/>
        <w:t>）印钞检测行业需求稳定</w:t>
      </w:r>
    </w:p>
    <w:p>
      <w:pPr>
        <w:spacing w:line="240" w:lineRule="auto" w:before="9"/>
        <w:rPr>
          <w:rFonts w:ascii="宋体" w:hAnsi="宋体" w:cs="宋体" w:eastAsia="宋体" w:hint="default"/>
          <w:sz w:val="22"/>
          <w:szCs w:val="22"/>
        </w:rPr>
      </w:pPr>
    </w:p>
    <w:p>
      <w:pPr>
        <w:pStyle w:val="BodyText"/>
        <w:spacing w:line="400" w:lineRule="auto"/>
        <w:ind w:right="1131" w:firstLine="420"/>
        <w:jc w:val="both"/>
      </w:pPr>
      <w:r>
        <w:rPr/>
        <w:t>近年来，我国将保持</w:t>
      </w:r>
      <w:r>
        <w:rPr>
          <w:rFonts w:ascii="Times New Roman" w:hAnsi="Times New Roman" w:cs="Times New Roman" w:eastAsia="Times New Roman" w:hint="default"/>
        </w:rPr>
        <w:t>“</w:t>
      </w:r>
      <w:r>
        <w:rPr/>
        <w:t>稳中求进</w:t>
      </w:r>
      <w:r>
        <w:rPr>
          <w:rFonts w:ascii="Times New Roman" w:hAnsi="Times New Roman" w:cs="Times New Roman" w:eastAsia="Times New Roman" w:hint="default"/>
        </w:rPr>
        <w:t>”</w:t>
      </w:r>
      <w:r>
        <w:rPr/>
        <w:t>的宏观经济基本政策，当前世界多个主要经济体依然将量化宽松的货 </w:t>
      </w:r>
      <w:r>
        <w:rPr>
          <w:spacing w:val="-1"/>
        </w:rPr>
        <w:t>币政策作为最重要的经济调控手段，货币是国民经济发展的血液，随着国民经济的持续增长和人民币国际</w:t>
      </w:r>
      <w:r>
        <w:rPr>
          <w:spacing w:val="-81"/>
        </w:rPr>
        <w:t> </w:t>
      </w:r>
      <w:r>
        <w:rPr>
          <w:spacing w:val="-81"/>
        </w:rPr>
      </w:r>
      <w:r>
        <w:rPr>
          <w:spacing w:val="-1"/>
        </w:rPr>
        <w:t>化进程的加速推进，可以预见国家货币的供应量也将稳定增加，现阶段对于印钞质量检测设备的需求量整</w:t>
      </w:r>
      <w:r>
        <w:rPr>
          <w:spacing w:val="-81"/>
        </w:rPr>
        <w:t> </w:t>
      </w:r>
      <w:r>
        <w:rPr>
          <w:spacing w:val="-81"/>
        </w:rPr>
      </w:r>
      <w:r>
        <w:rPr>
          <w:spacing w:val="-1"/>
        </w:rPr>
        <w:t>体上较为稳定。可预期的是，随着新品产量逐步增加、原有设备更新换代和新工艺变化，印钞行业质量检</w:t>
      </w:r>
      <w:r>
        <w:rPr>
          <w:spacing w:val="-86"/>
        </w:rPr>
        <w:t> </w:t>
      </w:r>
      <w:r>
        <w:rPr>
          <w:spacing w:val="-86"/>
        </w:rPr>
      </w:r>
      <w:r>
        <w:rPr>
          <w:spacing w:val="-1"/>
        </w:rPr>
        <w:t>测设备和维保服务需求将逐步回升。近年来，本公司的联营企业中钞科信研制的印钞质量检测设备已经实</w:t>
      </w:r>
      <w:r>
        <w:rPr>
          <w:spacing w:val="-81"/>
        </w:rPr>
        <w:t> </w:t>
      </w:r>
      <w:r>
        <w:rPr>
          <w:spacing w:val="-81"/>
        </w:rPr>
      </w:r>
      <w:r>
        <w:rPr>
          <w:spacing w:val="-1"/>
        </w:rPr>
        <w:t>现出口多个国家，并在</w:t>
      </w:r>
      <w:r>
        <w:rPr>
          <w:rFonts w:ascii="Times New Roman" w:hAnsi="Times New Roman" w:cs="Times New Roman" w:eastAsia="Times New Roman" w:hint="default"/>
          <w:spacing w:val="-1"/>
        </w:rPr>
        <w:t>2018</w:t>
      </w:r>
      <w:r>
        <w:rPr>
          <w:spacing w:val="-1"/>
        </w:rPr>
        <w:t>年顺利进入欧洲市场，获得高度认可，可以预见，随着国际印钞质量检测市场</w:t>
      </w:r>
      <w:r>
        <w:rPr>
          <w:spacing w:val="-85"/>
        </w:rPr>
        <w:t> </w:t>
      </w:r>
      <w:r>
        <w:rPr>
          <w:spacing w:val="-85"/>
        </w:rPr>
      </w:r>
      <w:r>
        <w:rPr/>
        <w:t>拓展也将成为此类业务业绩增长的一个重要途径。</w:t>
      </w:r>
    </w:p>
    <w:p>
      <w:pPr>
        <w:pStyle w:val="BodyText"/>
        <w:spacing w:line="240" w:lineRule="auto" w:before="172"/>
        <w:ind w:left="574" w:right="0"/>
        <w:jc w:val="left"/>
      </w:pPr>
      <w:r>
        <w:rPr/>
        <w:t>（六）公司所处行业发展阶段、周期性特点以及行业地位</w:t>
      </w:r>
    </w:p>
    <w:p>
      <w:pPr>
        <w:spacing w:line="240" w:lineRule="auto" w:before="12"/>
        <w:rPr>
          <w:rFonts w:ascii="宋体" w:hAnsi="宋体" w:cs="宋体" w:eastAsia="宋体" w:hint="default"/>
          <w:sz w:val="23"/>
          <w:szCs w:val="23"/>
        </w:rPr>
      </w:pPr>
    </w:p>
    <w:p>
      <w:pPr>
        <w:pStyle w:val="BodyText"/>
        <w:spacing w:line="484" w:lineRule="auto"/>
        <w:ind w:left="595" w:right="1115"/>
        <w:jc w:val="left"/>
      </w:pPr>
      <w:r>
        <w:rPr>
          <w:rFonts w:ascii="Times New Roman" w:hAnsi="Times New Roman" w:cs="Times New Roman" w:eastAsia="Times New Roman" w:hint="default"/>
        </w:rPr>
        <w:t>1</w:t>
      </w:r>
      <w:r>
        <w:rPr/>
        <w:t>、公司所处行业发展阶段 </w:t>
      </w:r>
      <w:r>
        <w:rPr>
          <w:spacing w:val="-1"/>
        </w:rPr>
        <w:t>我国软件和信息技术服务行业处于高速发展成长期。当前，全球软件和信息技术服务行业正处于成长</w:t>
      </w:r>
    </w:p>
    <w:p>
      <w:pPr>
        <w:pStyle w:val="BodyText"/>
        <w:spacing w:line="254" w:lineRule="exact"/>
        <w:ind w:right="0"/>
        <w:jc w:val="left"/>
      </w:pPr>
      <w:r>
        <w:rPr/>
        <w:t>期向成熟期转变的阶段，而我国的软件和信息技术服务行业正处于高速发展的成长期。未来随着行业的逐</w:t>
      </w:r>
    </w:p>
    <w:p>
      <w:pPr>
        <w:spacing w:line="240" w:lineRule="auto" w:before="10"/>
        <w:rPr>
          <w:rFonts w:ascii="宋体" w:hAnsi="宋体" w:cs="宋体" w:eastAsia="宋体" w:hint="default"/>
          <w:sz w:val="14"/>
          <w:szCs w:val="14"/>
        </w:rPr>
      </w:pPr>
    </w:p>
    <w:p>
      <w:pPr>
        <w:pStyle w:val="BodyText"/>
        <w:spacing w:line="398" w:lineRule="auto"/>
        <w:ind w:right="1109"/>
        <w:jc w:val="left"/>
      </w:pPr>
      <w:r>
        <w:rPr>
          <w:spacing w:val="-1"/>
        </w:rPr>
        <w:t>渐发展与成熟，我国软件和信息技术服务行业的业务收入将持续提高，发展空间广阔。我国的软件和信息</w:t>
      </w:r>
      <w:r>
        <w:rPr>
          <w:spacing w:val="-83"/>
        </w:rPr>
        <w:t> </w:t>
      </w:r>
      <w:r>
        <w:rPr>
          <w:spacing w:val="-83"/>
        </w:rPr>
      </w:r>
      <w:r>
        <w:rPr/>
        <w:t>技术服务行业的下游用户需求已经由基于信息系统基础构建转变成基于自身业务特点和行业特点的业务 </w:t>
      </w:r>
      <w:r>
        <w:rPr>
          <w:spacing w:val="-1"/>
        </w:rPr>
        <w:t>发展需要，因此各行业对于以行业特点为核心应用软件、信息技术、跨行业的管理软件和基于现有系统的</w:t>
      </w:r>
      <w:r>
        <w:rPr>
          <w:spacing w:val="-83"/>
        </w:rPr>
        <w:t> </w:t>
      </w:r>
      <w:r>
        <w:rPr>
          <w:spacing w:val="-83"/>
        </w:rPr>
      </w:r>
      <w:r>
        <w:rPr/>
        <w:t>专业化服务呈现出旺盛的需求。随着经济型、产业升级及</w:t>
      </w:r>
      <w:r>
        <w:rPr>
          <w:rFonts w:ascii="Times New Roman" w:hAnsi="Times New Roman" w:cs="Times New Roman" w:eastAsia="Times New Roman" w:hint="default"/>
        </w:rPr>
        <w:t>“</w:t>
      </w:r>
      <w:r>
        <w:rPr/>
        <w:t>两化融合</w:t>
      </w:r>
      <w:r>
        <w:rPr>
          <w:rFonts w:ascii="Times New Roman" w:hAnsi="Times New Roman" w:cs="Times New Roman" w:eastAsia="Times New Roman" w:hint="default"/>
        </w:rPr>
        <w:t>”</w:t>
      </w:r>
      <w:r>
        <w:rPr/>
        <w:t>进程的不断深入，传统产业的信息化 需求将会不断激发，带来巨大的市场机遇。党的十九大报告指出</w:t>
      </w:r>
      <w:r>
        <w:rPr>
          <w:rFonts w:ascii="Times New Roman" w:hAnsi="Times New Roman" w:cs="Times New Roman" w:eastAsia="Times New Roman" w:hint="default"/>
        </w:rPr>
        <w:t>“</w:t>
      </w:r>
      <w:r>
        <w:rPr/>
        <w:t>加快建设制造强国，加快发展先进制造 业，推动互联网、大数据、人工智能和实体经济深度融合</w:t>
      </w:r>
      <w:r>
        <w:rPr>
          <w:rFonts w:ascii="Times New Roman" w:hAnsi="Times New Roman" w:cs="Times New Roman" w:eastAsia="Times New Roman" w:hint="default"/>
        </w:rPr>
        <w:t>”</w:t>
      </w:r>
      <w:r>
        <w:rPr/>
        <w:t>。近年来，国家发布的一系列利好政策，大力 促进信息技术服务业发展。《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国家信息化规划》、《关于深化制造业与互联网融合发展的指导意 </w:t>
      </w:r>
      <w:r>
        <w:rPr>
          <w:spacing w:val="-2"/>
        </w:rPr>
        <w:t>见》《软件和信息技术服务业发展规划（</w:t>
      </w:r>
      <w:r>
        <w:rPr>
          <w:rFonts w:ascii="Times New Roman" w:hAnsi="Times New Roman" w:cs="Times New Roman" w:eastAsia="Times New Roman" w:hint="default"/>
          <w:spacing w:val="-2"/>
        </w:rPr>
        <w:t>2016-2020</w:t>
      </w:r>
      <w:r>
        <w:rPr>
          <w:spacing w:val="-2"/>
        </w:rPr>
        <w:t>年）》《</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3</w:t>
      </w:r>
      <w:r>
        <w:rPr>
          <w:spacing w:val="-2"/>
        </w:rPr>
        <w:t>年行动实施方案》《新一</w:t>
      </w:r>
      <w:r>
        <w:rPr>
          <w:spacing w:val="-89"/>
        </w:rPr>
        <w:t> </w:t>
      </w:r>
      <w:r>
        <w:rPr>
          <w:spacing w:val="-89"/>
        </w:rPr>
      </w:r>
      <w:r>
        <w:rPr>
          <w:spacing w:val="-1"/>
        </w:rPr>
        <w:t>代人工智能发展规划》等重大政策为信息技术服务业开拓了新的广阔发展空间，为产业发展提供了更多的</w:t>
      </w:r>
      <w:r>
        <w:rPr>
          <w:spacing w:val="-81"/>
        </w:rPr>
        <w:t> </w:t>
      </w:r>
      <w:r>
        <w:rPr>
          <w:spacing w:val="-81"/>
        </w:rPr>
      </w:r>
      <w:r>
        <w:rPr>
          <w:spacing w:val="-2"/>
        </w:rPr>
        <w:t>创新突破口。尤其在大数据领域，《大数据产业发展规划（</w:t>
      </w:r>
      <w:r>
        <w:rPr>
          <w:rFonts w:ascii="Times New Roman" w:hAnsi="Times New Roman" w:cs="Times New Roman" w:eastAsia="Times New Roman" w:hint="default"/>
          <w:spacing w:val="-2"/>
        </w:rPr>
        <w:t>2016-2020</w:t>
      </w:r>
      <w:r>
        <w:rPr>
          <w:spacing w:val="-2"/>
        </w:rPr>
        <w:t>年）》全面部署</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时期大数据</w:t>
      </w:r>
      <w:r>
        <w:rPr>
          <w:spacing w:val="-75"/>
        </w:rPr>
        <w:t> </w:t>
      </w:r>
      <w:r>
        <w:rPr>
          <w:spacing w:val="-1"/>
        </w:rPr>
        <w:t>产业发展工作，为实现制造强国和网络强国提供强大的产业支撑；国务院发布的《关于促进和规范健康医</w:t>
      </w:r>
      <w:r>
        <w:rPr>
          <w:spacing w:val="-83"/>
        </w:rPr>
        <w:t> </w:t>
      </w:r>
      <w:r>
        <w:rPr>
          <w:spacing w:val="-83"/>
        </w:rPr>
      </w:r>
      <w:r>
        <w:rPr>
          <w:spacing w:val="-1"/>
        </w:rPr>
        <w:t>疗大数据应用发展的指导意见》、交通运输部发布的《关于推进交通运输行业数据资源开放共享的实施意</w:t>
      </w:r>
      <w:r>
        <w:rPr>
          <w:spacing w:val="-83"/>
        </w:rPr>
        <w:t> </w:t>
      </w:r>
      <w:r>
        <w:rPr>
          <w:spacing w:val="-83"/>
        </w:rPr>
      </w:r>
      <w:r>
        <w:rPr/>
        <w:t>见》、环境保护部发布的《生态环境大数据建设总体方案》等政策明确了大数据应用和产业发展的方向，</w:t>
      </w:r>
      <w:r>
        <w:rPr/>
        <w:t> 进一步优化了行业应用发展政策环境。</w:t>
      </w:r>
      <w:r>
        <w:rPr>
          <w:color w:val="2B2B2B"/>
        </w:rPr>
        <w:t>国务院发布的《新一代人工智能发展规划》中指出：</w:t>
      </w:r>
      <w:r>
        <w:rPr>
          <w:rFonts w:ascii="Times New Roman" w:hAnsi="Times New Roman" w:cs="Times New Roman" w:eastAsia="Times New Roman" w:hint="default"/>
          <w:color w:val="2B2B2B"/>
        </w:rPr>
        <w:t>“</w:t>
      </w:r>
      <w:r>
        <w:rPr>
          <w:color w:val="2B2B2B"/>
        </w:rPr>
        <w:t>人工智能成 </w:t>
      </w:r>
      <w:r>
        <w:rPr>
          <w:color w:val="2B2B2B"/>
          <w:spacing w:val="-1"/>
        </w:rPr>
        <w:t>为国际竞争的新焦点。人工智能是引领未来的战略性技术，世界主要发达国家把发展人工智能作为提升国</w:t>
      </w:r>
      <w:r>
        <w:rPr>
          <w:color w:val="2B2B2B"/>
          <w:spacing w:val="-81"/>
        </w:rPr>
        <w:t> </w:t>
      </w:r>
      <w:r>
        <w:rPr>
          <w:color w:val="2B2B2B"/>
          <w:spacing w:val="-81"/>
        </w:rPr>
      </w:r>
      <w:r>
        <w:rPr>
          <w:color w:val="2B2B2B"/>
          <w:spacing w:val="-1"/>
        </w:rPr>
        <w:t>家竞争力、维护国家安全的重大战略，加紧出台规划和政策，围绕核心技术、顶尖人才、标准规范等强化</w:t>
      </w:r>
      <w:r>
        <w:rPr>
          <w:color w:val="2B2B2B"/>
          <w:spacing w:val="-83"/>
        </w:rPr>
        <w:t> </w:t>
      </w:r>
      <w:r>
        <w:rPr>
          <w:color w:val="2B2B2B"/>
          <w:spacing w:val="-83"/>
        </w:rPr>
      </w:r>
      <w:r>
        <w:rPr>
          <w:color w:val="2B2B2B"/>
        </w:rPr>
        <w:t>部署，力图在新一轮国际科技竞争中掌握主导权。</w:t>
      </w:r>
      <w:r>
        <w:rPr>
          <w:rFonts w:ascii="Times New Roman" w:hAnsi="Times New Roman" w:cs="Times New Roman" w:eastAsia="Times New Roman" w:hint="default"/>
          <w:color w:val="2B2B2B"/>
        </w:rPr>
        <w:t>”</w:t>
      </w:r>
      <w:r>
        <w:rPr/>
        <w:t>随着国家级规划文件的实施和落实，各地将结合自身</w:t>
      </w:r>
    </w:p>
    <w:p>
      <w:pPr>
        <w:spacing w:after="0" w:line="39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优势出台促进大数据、云计算等新兴信息技术发展的配套措施和支持政策，信息技术服务业的政策环境将</w:t>
      </w:r>
      <w:r>
        <w:rPr>
          <w:spacing w:val="-81"/>
        </w:rPr>
        <w:t> </w:t>
      </w:r>
      <w:r>
        <w:rPr>
          <w:spacing w:val="-81"/>
        </w:rPr>
      </w:r>
      <w:r>
        <w:rPr>
          <w:spacing w:val="-1"/>
        </w:rPr>
        <w:t>得到进一步优化，为信息技术服务业突破式发展提供新机遇。并且软件和信息技术水平的快速发展、政府</w:t>
      </w:r>
      <w:r>
        <w:rPr>
          <w:spacing w:val="-83"/>
        </w:rPr>
        <w:t> </w:t>
      </w:r>
      <w:r>
        <w:rPr>
          <w:spacing w:val="-83"/>
        </w:rPr>
      </w:r>
      <w:r>
        <w:rPr/>
        <w:t>加大产业支持力度也是推动我国软件和信息技术服务行业高速发展的重要因素。</w:t>
      </w:r>
    </w:p>
    <w:p>
      <w:pPr>
        <w:pStyle w:val="BodyText"/>
        <w:spacing w:line="468" w:lineRule="auto" w:before="167"/>
        <w:ind w:left="595" w:right="0"/>
        <w:jc w:val="left"/>
      </w:pPr>
      <w:r>
        <w:rPr>
          <w:rFonts w:ascii="Times New Roman" w:hAnsi="Times New Roman" w:cs="Times New Roman" w:eastAsia="Times New Roman" w:hint="default"/>
        </w:rPr>
        <w:t>2</w:t>
      </w:r>
      <w:r>
        <w:rPr/>
        <w:t>、行业周期性特点 </w:t>
      </w:r>
      <w:r>
        <w:rPr>
          <w:spacing w:val="-2"/>
        </w:rPr>
        <w:t>相对而言，软件和信息技术服务业受经济周期的影响比传统的制造业要小，尤其是电子政务、工业信</w:t>
      </w:r>
    </w:p>
    <w:p>
      <w:pPr>
        <w:pStyle w:val="BodyText"/>
        <w:spacing w:line="408" w:lineRule="auto"/>
        <w:ind w:right="1130"/>
        <w:jc w:val="both"/>
      </w:pPr>
      <w:r>
        <w:rPr>
          <w:spacing w:val="-1"/>
        </w:rPr>
        <w:t>息化等领域均为国家重点发展的信息化领域，具有较强的抗周期性。面向电子政务、工业信息化等领域服</w:t>
      </w:r>
      <w:r>
        <w:rPr>
          <w:spacing w:val="-83"/>
        </w:rPr>
        <w:t> </w:t>
      </w:r>
      <w:r>
        <w:rPr>
          <w:spacing w:val="-83"/>
        </w:rPr>
      </w:r>
      <w:r>
        <w:rPr>
          <w:spacing w:val="-1"/>
        </w:rPr>
        <w:t>务的软件和信息技术服务企业，由于服务的需求主体主要是政府部门和大型企业，政府部门和大型企业信</w:t>
      </w:r>
      <w:r>
        <w:rPr>
          <w:spacing w:val="-81"/>
        </w:rPr>
        <w:t> </w:t>
      </w:r>
      <w:r>
        <w:rPr>
          <w:spacing w:val="-81"/>
        </w:rPr>
      </w:r>
      <w:r>
        <w:rPr>
          <w:spacing w:val="-1"/>
        </w:rPr>
        <w:t>息化建设投资行为的特殊性决定本行业具有一定的季节性特征，一般而言上述客户在上一年末或当年初确</w:t>
      </w:r>
      <w:r>
        <w:rPr>
          <w:spacing w:val="-80"/>
        </w:rPr>
        <w:t> </w:t>
      </w:r>
      <w:r>
        <w:rPr>
          <w:spacing w:val="-80"/>
        </w:rPr>
      </w:r>
      <w:r>
        <w:rPr>
          <w:spacing w:val="-1"/>
        </w:rPr>
        <w:t>定信息化投资计划，在当年第二季度实施供应商招标，一般在当年四季度进行项目验收结算。由于项目的</w:t>
      </w:r>
      <w:r>
        <w:rPr>
          <w:spacing w:val="-83"/>
        </w:rPr>
        <w:t> </w:t>
      </w:r>
      <w:r>
        <w:rPr>
          <w:spacing w:val="-83"/>
        </w:rPr>
      </w:r>
      <w:r>
        <w:rPr>
          <w:spacing w:val="-1"/>
        </w:rPr>
        <w:t>规模、复杂程度及合同实施周期的差异，部分大型项目存在跨期验收结算的情况。由于政府和大型企业客</w:t>
      </w:r>
      <w:r>
        <w:rPr>
          <w:spacing w:val="-83"/>
        </w:rPr>
        <w:t> </w:t>
      </w:r>
      <w:r>
        <w:rPr>
          <w:spacing w:val="-83"/>
        </w:rPr>
      </w:r>
      <w:r>
        <w:rPr>
          <w:spacing w:val="-1"/>
        </w:rPr>
        <w:t>户项目验收和合同款项支付在年末相对集中，同行业内企业的营收确认、利润实现及现金流量等均呈现出</w:t>
      </w:r>
      <w:r>
        <w:rPr>
          <w:spacing w:val="-81"/>
        </w:rPr>
        <w:t> </w:t>
      </w:r>
      <w:r>
        <w:rPr>
          <w:spacing w:val="-81"/>
        </w:rPr>
      </w:r>
      <w:r>
        <w:rPr/>
        <w:t>一定的季节性。</w:t>
      </w:r>
    </w:p>
    <w:p>
      <w:pPr>
        <w:pStyle w:val="BodyText"/>
        <w:spacing w:line="468" w:lineRule="auto" w:before="167"/>
        <w:ind w:left="490" w:right="1176" w:firstLine="52"/>
        <w:jc w:val="left"/>
      </w:pPr>
      <w:r>
        <w:rPr>
          <w:rFonts w:ascii="Times New Roman" w:hAnsi="Times New Roman" w:cs="Times New Roman" w:eastAsia="Times New Roman" w:hint="default"/>
        </w:rPr>
        <w:t>3</w:t>
      </w:r>
      <w:r>
        <w:rPr/>
        <w:t>、公司行业地位 公司是中国科学院控股有限公司直接控股的高科技公司，是由成立于</w:t>
      </w:r>
      <w:r>
        <w:rPr>
          <w:rFonts w:ascii="Times New Roman" w:hAnsi="Times New Roman" w:cs="Times New Roman" w:eastAsia="Times New Roman" w:hint="default"/>
        </w:rPr>
        <w:t>1958</w:t>
      </w:r>
      <w:r>
        <w:rPr/>
        <w:t>年的中科院成都计算机应用</w:t>
      </w:r>
    </w:p>
    <w:p>
      <w:pPr>
        <w:pStyle w:val="BodyText"/>
        <w:spacing w:line="232" w:lineRule="exact"/>
        <w:ind w:right="0"/>
        <w:jc w:val="both"/>
      </w:pPr>
      <w:r>
        <w:rPr/>
        <w:t>研究所整体转制而来。公司以中科院院士张景中领衔的一流应用基础研究团队，多年来专注于人工智能领</w:t>
      </w:r>
    </w:p>
    <w:p>
      <w:pPr>
        <w:spacing w:line="240" w:lineRule="auto" w:before="10"/>
        <w:rPr>
          <w:rFonts w:ascii="宋体" w:hAnsi="宋体" w:cs="宋体" w:eastAsia="宋体" w:hint="default"/>
          <w:sz w:val="14"/>
          <w:szCs w:val="14"/>
        </w:rPr>
      </w:pPr>
    </w:p>
    <w:p>
      <w:pPr>
        <w:pStyle w:val="BodyText"/>
        <w:spacing w:line="403" w:lineRule="auto"/>
        <w:ind w:right="1023"/>
        <w:jc w:val="left"/>
      </w:pPr>
      <w:r>
        <w:rPr>
          <w:spacing w:val="-3"/>
        </w:rPr>
        <w:t>域的计算机自动推理理论研究，打造出从基础研究、技术研发、产品开发及专业技术服务的完整业务链条。</w:t>
      </w:r>
      <w:r>
        <w:rPr>
          <w:spacing w:val="-90"/>
        </w:rPr>
        <w:t> </w:t>
      </w:r>
      <w:r>
        <w:rPr>
          <w:spacing w:val="-90"/>
        </w:rPr>
      </w:r>
      <w:r>
        <w:rPr>
          <w:rFonts w:ascii="Times New Roman" w:hAnsi="Times New Roman" w:cs="Times New Roman" w:eastAsia="Times New Roman" w:hint="default"/>
        </w:rPr>
        <w:t>60</w:t>
      </w:r>
      <w:r>
        <w:rPr/>
        <w:t>年的深厚科研积淀和众多研发成果，使公司在计算机应用领域的应用基础理论、关键技术、工程与产品 三个层次上形成了独特的综合优势，在智能识别与分析（特别是高速机器视觉）领域始终处于国际先进、 国内领先水平。公司践行</w:t>
      </w:r>
      <w:r>
        <w:rPr>
          <w:rFonts w:ascii="Times New Roman" w:hAnsi="Times New Roman" w:cs="Times New Roman" w:eastAsia="Times New Roman" w:hint="default"/>
        </w:rPr>
        <w:t>“</w:t>
      </w:r>
      <w:r>
        <w:rPr/>
        <w:t>服务国家重大需求、助力行业产业升级</w:t>
      </w:r>
      <w:r>
        <w:rPr>
          <w:rFonts w:ascii="Times New Roman" w:hAnsi="Times New Roman" w:cs="Times New Roman" w:eastAsia="Times New Roman" w:hint="default"/>
        </w:rPr>
        <w:t>”</w:t>
      </w:r>
      <w:r>
        <w:rPr/>
        <w:t>的使命，</w:t>
      </w:r>
      <w:r>
        <w:rPr>
          <w:rFonts w:ascii="Times New Roman" w:hAnsi="Times New Roman" w:cs="Times New Roman" w:eastAsia="Times New Roman" w:hint="default"/>
        </w:rPr>
        <w:t>30</w:t>
      </w:r>
      <w:r>
        <w:rPr/>
        <w:t>多年坚持深耕行业，运用丰 </w:t>
      </w:r>
      <w:r>
        <w:rPr>
          <w:spacing w:val="-2"/>
        </w:rPr>
        <w:t>富的</w:t>
      </w:r>
      <w:r>
        <w:rPr>
          <w:rFonts w:ascii="Times New Roman" w:hAnsi="Times New Roman" w:cs="Times New Roman" w:eastAsia="Times New Roman" w:hint="default"/>
          <w:spacing w:val="-2"/>
        </w:rPr>
        <w:t>“</w:t>
      </w:r>
      <w:r>
        <w:rPr>
          <w:spacing w:val="-2"/>
        </w:rPr>
        <w:t>行业专家</w:t>
      </w:r>
      <w:r>
        <w:rPr>
          <w:rFonts w:ascii="Times New Roman" w:hAnsi="Times New Roman" w:cs="Times New Roman" w:eastAsia="Times New Roman" w:hint="default"/>
          <w:spacing w:val="-2"/>
        </w:rPr>
        <w:t>+</w:t>
      </w:r>
      <w:r>
        <w:rPr>
          <w:spacing w:val="-2"/>
        </w:rPr>
        <w:t>技术专家</w:t>
      </w:r>
      <w:r>
        <w:rPr>
          <w:rFonts w:ascii="Times New Roman" w:hAnsi="Times New Roman" w:cs="Times New Roman" w:eastAsia="Times New Roman" w:hint="default"/>
          <w:spacing w:val="-2"/>
        </w:rPr>
        <w:t>”</w:t>
      </w:r>
      <w:r>
        <w:rPr>
          <w:spacing w:val="-2"/>
        </w:rPr>
        <w:t>优势，凭借</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软件</w:t>
      </w:r>
      <w:r>
        <w:rPr>
          <w:rFonts w:ascii="Times New Roman" w:hAnsi="Times New Roman" w:cs="Times New Roman" w:eastAsia="Times New Roman" w:hint="default"/>
          <w:spacing w:val="-2"/>
        </w:rPr>
        <w:t>+</w:t>
      </w:r>
      <w:r>
        <w:rPr>
          <w:spacing w:val="-2"/>
        </w:rPr>
        <w:t>硬件</w:t>
      </w:r>
      <w:r>
        <w:rPr>
          <w:rFonts w:ascii="Times New Roman" w:hAnsi="Times New Roman" w:cs="Times New Roman" w:eastAsia="Times New Roman" w:hint="default"/>
          <w:spacing w:val="-2"/>
        </w:rPr>
        <w:t>”</w:t>
      </w:r>
      <w:r>
        <w:rPr>
          <w:spacing w:val="-2"/>
        </w:rPr>
        <w:t>的业务特色，成为国内领先的行业信息化整</w:t>
      </w:r>
      <w:r>
        <w:rPr/>
        <w:t> 体解决方案、智能化工程和相关产品与技术服务提供商。公司是党和国家重大会议的选举设备和服务提供 商和国内数字会议一流品牌，是我国烟草行业信息化建设的重点技术依托单位、国家印钞行业重大检测装 备的研发、制造提供商和国家数字油田信息化建设的重要参与者。近年来，公司以云计算、大数据、物联 网和移动互联等新一代信息技术为依托，提供新型智慧城市关键技术、平台系统和运维服务，积极拓展智 慧政务相关业务的应用落地和推广实施，先后在政务民生服务、人大政协议案、政法信息共享、统计大数 据分析、区域经济运行监测分析等领域推出了多个产品与解决方案并落地实施，取得了良好的经济和社会 效益，树立了良好的案例示范效应。</w:t>
      </w:r>
    </w:p>
    <w:p>
      <w:pPr>
        <w:spacing w:line="240" w:lineRule="auto" w:before="10"/>
        <w:rPr>
          <w:rFonts w:ascii="宋体" w:hAnsi="宋体" w:cs="宋体" w:eastAsia="宋体" w:hint="default"/>
          <w:sz w:val="26"/>
          <w:szCs w:val="26"/>
        </w:rPr>
      </w:pPr>
    </w:p>
    <w:p>
      <w:pPr>
        <w:pStyle w:val="BodyText"/>
        <w:spacing w:line="240" w:lineRule="auto"/>
        <w:ind w:left="574" w:right="0"/>
        <w:jc w:val="left"/>
      </w:pPr>
      <w:r>
        <w:rPr>
          <w:rFonts w:ascii="Times New Roman" w:hAnsi="Times New Roman" w:cs="Times New Roman" w:eastAsia="Times New Roman" w:hint="default"/>
        </w:rPr>
        <w:t>1</w:t>
      </w:r>
      <w:r>
        <w:rPr/>
        <w:t>、在政府信息化领域的行业地位</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0" w:firstLine="420"/>
        <w:jc w:val="both"/>
      </w:pPr>
      <w:r>
        <w:rPr/>
        <w:t>目前，公司长期从事四川省内政府各系统信息化基础设施相关业务，早在公司前身成都计算所时期， </w:t>
      </w:r>
      <w:r>
        <w:rPr>
          <w:spacing w:val="-1"/>
        </w:rPr>
        <w:t>公司已与四川省邮电局、四川省财政厅等政府部门开展业务合作。凭借多年的业务积累、品牌积累和较强</w:t>
      </w:r>
      <w:r>
        <w:rPr>
          <w:spacing w:val="-83"/>
        </w:rPr>
        <w:t> </w:t>
      </w:r>
      <w:r>
        <w:rPr>
          <w:spacing w:val="-83"/>
        </w:rPr>
      </w:r>
      <w:r>
        <w:rPr>
          <w:spacing w:val="-1"/>
        </w:rPr>
        <w:t>的技术背景，公司客户已覆盖省财政系统、教育系统、公安系统等多个领域。在四川省内政府行业信息化</w:t>
      </w:r>
      <w:r>
        <w:rPr>
          <w:spacing w:val="-86"/>
        </w:rPr>
        <w:t> </w:t>
      </w:r>
      <w:r>
        <w:rPr>
          <w:spacing w:val="-86"/>
        </w:rPr>
      </w:r>
      <w:r>
        <w:rPr/>
        <w:t>服务供应商中，公司是为数不多的能够同时提供信息化基础平台规划、信息化基础设施建设、硬件集成、 软件开发及配套服务的企业，在四川省内市场有较强的竞争优势。</w:t>
      </w:r>
    </w:p>
    <w:p>
      <w:pPr>
        <w:pStyle w:val="BodyText"/>
        <w:spacing w:line="408" w:lineRule="auto" w:before="166"/>
        <w:ind w:right="1132" w:firstLine="420"/>
        <w:jc w:val="both"/>
      </w:pPr>
      <w:r>
        <w:rPr>
          <w:spacing w:val="-1"/>
        </w:rPr>
        <w:t>依托公司前身中科院成都计算应用研究所技术沉淀和多年行业实践经验沉淀，公司在信息化基础设施</w:t>
      </w:r>
      <w:r>
        <w:rPr/>
        <w:t> 建设、智能化工程及计算机系统集成等领域的技术水平较为成熟，在四川省内树立了良好的口碑。</w:t>
      </w:r>
    </w:p>
    <w:p>
      <w:pPr>
        <w:pStyle w:val="BodyText"/>
        <w:spacing w:line="240" w:lineRule="auto" w:before="166"/>
        <w:ind w:left="574" w:right="0"/>
        <w:jc w:val="left"/>
      </w:pPr>
      <w:r>
        <w:rPr>
          <w:rFonts w:ascii="Times New Roman" w:hAnsi="Times New Roman" w:cs="Times New Roman" w:eastAsia="Times New Roman" w:hint="default"/>
        </w:rPr>
        <w:t>2</w:t>
      </w:r>
      <w:r>
        <w:rPr/>
        <w:t>、在数字会议领域的行业地位</w:t>
      </w:r>
    </w:p>
    <w:p>
      <w:pPr>
        <w:spacing w:line="240" w:lineRule="auto" w:before="9"/>
        <w:rPr>
          <w:rFonts w:ascii="宋体" w:hAnsi="宋体" w:cs="宋体" w:eastAsia="宋体" w:hint="default"/>
          <w:sz w:val="22"/>
          <w:szCs w:val="22"/>
        </w:rPr>
      </w:pPr>
    </w:p>
    <w:p>
      <w:pPr>
        <w:pStyle w:val="BodyText"/>
        <w:spacing w:line="400" w:lineRule="auto"/>
        <w:ind w:right="1023" w:firstLine="420"/>
        <w:jc w:val="left"/>
      </w:pPr>
      <w:r>
        <w:rPr>
          <w:spacing w:val="-2"/>
        </w:rPr>
        <w:t>公司是国内最早进入数字会议系统领域的少数几家企业之一</w:t>
      </w:r>
      <w:r>
        <w:rPr>
          <w:rFonts w:ascii="Times New Roman" w:hAnsi="Times New Roman" w:cs="Times New Roman" w:eastAsia="Times New Roman" w:hint="default"/>
          <w:spacing w:val="-2"/>
        </w:rPr>
        <w:t>,</w:t>
      </w:r>
      <w:r>
        <w:rPr>
          <w:spacing w:val="-2"/>
        </w:rPr>
        <w:t>实现了从报到、选举、表决、会议管理等</w:t>
      </w:r>
      <w:r>
        <w:rPr/>
        <w:t> </w:t>
      </w:r>
      <w:r>
        <w:rPr>
          <w:spacing w:val="-3"/>
        </w:rPr>
        <w:t>领域的全链条业务覆盖，能够根据不同用户的业务需求提供数字会议系统从产品研发、生产、销售、集成、</w:t>
      </w:r>
      <w:r>
        <w:rPr>
          <w:spacing w:val="-95"/>
        </w:rPr>
        <w:t> </w:t>
      </w:r>
      <w:r>
        <w:rPr>
          <w:spacing w:val="-95"/>
        </w:rPr>
      </w:r>
      <w:r>
        <w:rPr/>
        <w:t>实施到维护的一体化解决方案。公司是党和国家重大会议的选举设备和服务提供商和国内数字会议一流品</w:t>
      </w:r>
      <w:r>
        <w:rPr/>
        <w:t> 牌，在电子选举市场领域具有绝对领先优势地位。</w:t>
      </w:r>
    </w:p>
    <w:p>
      <w:pPr>
        <w:pStyle w:val="BodyText"/>
        <w:spacing w:line="391" w:lineRule="auto" w:before="172"/>
        <w:ind w:right="1130" w:firstLine="420"/>
        <w:jc w:val="both"/>
      </w:pPr>
      <w:r>
        <w:rPr/>
        <w:t>公司最早从</w:t>
      </w:r>
      <w:r>
        <w:rPr>
          <w:rFonts w:ascii="Times New Roman" w:hAnsi="Times New Roman" w:cs="Times New Roman" w:eastAsia="Times New Roman" w:hint="default"/>
        </w:rPr>
        <w:t>1982</w:t>
      </w:r>
      <w:r>
        <w:rPr/>
        <w:t>年的党的</w:t>
      </w:r>
      <w:r>
        <w:rPr>
          <w:rFonts w:ascii="Times New Roman" w:hAnsi="Times New Roman" w:cs="Times New Roman" w:eastAsia="Times New Roman" w:hint="default"/>
        </w:rPr>
        <w:t>“</w:t>
      </w:r>
      <w:r>
        <w:rPr/>
        <w:t>十二大</w:t>
      </w:r>
      <w:r>
        <w:rPr>
          <w:rFonts w:ascii="Times New Roman" w:hAnsi="Times New Roman" w:cs="Times New Roman" w:eastAsia="Times New Roman" w:hint="default"/>
        </w:rPr>
        <w:t>”</w:t>
      </w:r>
      <w:r>
        <w:rPr/>
        <w:t>开始将计算机技术运用于现场会议领域，经过</w:t>
      </w:r>
      <w:r>
        <w:rPr>
          <w:rFonts w:ascii="Times New Roman" w:hAnsi="Times New Roman" w:cs="Times New Roman" w:eastAsia="Times New Roman" w:hint="default"/>
        </w:rPr>
        <w:t>30</w:t>
      </w:r>
      <w:r>
        <w:rPr/>
        <w:t>多年的持续研发和 </w:t>
      </w:r>
      <w:r>
        <w:rPr>
          <w:spacing w:val="-1"/>
        </w:rPr>
        <w:t>行业实践应用，在数字会议系统领域享有较高的知名度。公司在投票选举系统上掌握核心技术，拥有自主</w:t>
      </w:r>
      <w:r>
        <w:rPr>
          <w:spacing w:val="-83"/>
        </w:rPr>
        <w:t> </w:t>
      </w:r>
      <w:r>
        <w:rPr>
          <w:spacing w:val="-83"/>
        </w:rPr>
      </w:r>
      <w:r>
        <w:rPr/>
        <w:t>知识产权的电子选举系统已连续</w:t>
      </w:r>
      <w:r>
        <w:rPr>
          <w:rFonts w:ascii="Times New Roman" w:hAnsi="Times New Roman" w:cs="Times New Roman" w:eastAsia="Times New Roman" w:hint="default"/>
        </w:rPr>
        <w:t>36</w:t>
      </w:r>
      <w:r>
        <w:rPr/>
        <w:t>年为国内规格最高会议</w:t>
      </w:r>
      <w:r>
        <w:rPr>
          <w:rFonts w:ascii="Times New Roman" w:hAnsi="Times New Roman" w:cs="Times New Roman" w:eastAsia="Times New Roman" w:hint="default"/>
        </w:rPr>
        <w:t>——</w:t>
      </w:r>
      <w:r>
        <w:rPr/>
        <w:t>党的全国代表大会和全国</w:t>
      </w:r>
      <w:r>
        <w:rPr>
          <w:rFonts w:ascii="Times New Roman" w:hAnsi="Times New Roman" w:cs="Times New Roman" w:eastAsia="Times New Roman" w:hint="default"/>
        </w:rPr>
        <w:t>“</w:t>
      </w:r>
      <w:r>
        <w:rPr/>
        <w:t>两会</w:t>
      </w:r>
      <w:r>
        <w:rPr>
          <w:rFonts w:ascii="Times New Roman" w:hAnsi="Times New Roman" w:cs="Times New Roman" w:eastAsia="Times New Roman" w:hint="default"/>
        </w:rPr>
        <w:t>”</w:t>
      </w:r>
      <w:r>
        <w:rPr/>
        <w:t>提供服务， </w:t>
      </w:r>
      <w:r>
        <w:rPr>
          <w:spacing w:val="-1"/>
        </w:rPr>
        <w:t>智能票箱于</w:t>
      </w:r>
      <w:r>
        <w:rPr>
          <w:rFonts w:ascii="Times New Roman" w:hAnsi="Times New Roman" w:cs="Times New Roman" w:eastAsia="Times New Roman" w:hint="default"/>
          <w:spacing w:val="-1"/>
        </w:rPr>
        <w:t>2009</w:t>
      </w:r>
      <w:r>
        <w:rPr>
          <w:spacing w:val="-1"/>
        </w:rPr>
        <w:t>年被列入我国建国六十周年成就之一展出，于</w:t>
      </w:r>
      <w:r>
        <w:rPr>
          <w:rFonts w:ascii="Times New Roman" w:hAnsi="Times New Roman" w:cs="Times New Roman" w:eastAsia="Times New Roman" w:hint="default"/>
          <w:spacing w:val="-1"/>
        </w:rPr>
        <w:t>2018</w:t>
      </w:r>
      <w:r>
        <w:rPr>
          <w:spacing w:val="-1"/>
        </w:rPr>
        <w:t>年作为自主创新成果之一入选我国庆祝</w:t>
      </w:r>
      <w:r>
        <w:rPr>
          <w:spacing w:val="-80"/>
        </w:rPr>
        <w:t> </w:t>
      </w:r>
      <w:r>
        <w:rPr>
          <w:spacing w:val="-80"/>
        </w:rPr>
      </w:r>
      <w:r>
        <w:rPr/>
        <w:t>改革开放</w:t>
      </w:r>
      <w:r>
        <w:rPr>
          <w:rFonts w:ascii="Times New Roman" w:hAnsi="Times New Roman" w:cs="Times New Roman" w:eastAsia="Times New Roman" w:hint="default"/>
        </w:rPr>
        <w:t>40</w:t>
      </w:r>
      <w:r>
        <w:rPr/>
        <w:t>周年大型展览，该产品是高速机器视觉技术在选举领域应用的经典案例。</w:t>
      </w:r>
    </w:p>
    <w:p>
      <w:pPr>
        <w:pStyle w:val="BodyText"/>
        <w:spacing w:line="408" w:lineRule="auto" w:before="150"/>
        <w:ind w:right="1131" w:firstLine="420"/>
        <w:jc w:val="both"/>
      </w:pPr>
      <w:r>
        <w:rPr>
          <w:spacing w:val="-1"/>
        </w:rPr>
        <w:t>公司在党政机关单位积累了丰富的现场会议领域中高端客户资源，同时具有很强的客户粘合度，未来</w:t>
      </w:r>
      <w:r>
        <w:rPr/>
        <w:t> 公司将努力向地市级、县级等基层机关会议市场扩张。</w:t>
      </w:r>
    </w:p>
    <w:p>
      <w:pPr>
        <w:pStyle w:val="BodyText"/>
        <w:spacing w:line="484" w:lineRule="auto" w:before="166"/>
        <w:ind w:left="574" w:right="0"/>
        <w:jc w:val="left"/>
      </w:pPr>
      <w:r>
        <w:rPr>
          <w:rFonts w:ascii="Times New Roman" w:hAnsi="Times New Roman" w:cs="Times New Roman" w:eastAsia="Times New Roman" w:hint="default"/>
        </w:rPr>
        <w:t>3</w:t>
      </w:r>
      <w:r>
        <w:rPr/>
        <w:t>、在烟草信息化领域的行业地位 </w:t>
      </w:r>
      <w:r>
        <w:rPr>
          <w:spacing w:val="-1"/>
        </w:rPr>
        <w:t>公司前身中科院成都计算应用研究所自上世纪八十年代起就开始从事烟草行业信息化建设服务，拥有</w:t>
      </w:r>
    </w:p>
    <w:p>
      <w:pPr>
        <w:pStyle w:val="BodyText"/>
        <w:spacing w:line="270" w:lineRule="exact"/>
        <w:ind w:right="0"/>
        <w:jc w:val="both"/>
      </w:pPr>
      <w:r>
        <w:rPr/>
        <w:t>一支技术水平处于国内领先地位的专业化队伍，拥有较为深厚的行业积累和技术沉淀。经过</w:t>
      </w:r>
      <w:r>
        <w:rPr>
          <w:rFonts w:ascii="Times New Roman" w:hAnsi="Times New Roman" w:cs="Times New Roman" w:eastAsia="Times New Roman" w:hint="default"/>
        </w:rPr>
        <w:t>30</w:t>
      </w:r>
      <w:r>
        <w:rPr/>
        <w:t>余年的精耕</w:t>
      </w:r>
    </w:p>
    <w:p>
      <w:pPr>
        <w:pStyle w:val="BodyText"/>
        <w:spacing w:line="398" w:lineRule="auto" w:before="177"/>
        <w:ind w:right="1110"/>
        <w:jc w:val="both"/>
      </w:pPr>
      <w:r>
        <w:rPr>
          <w:spacing w:val="-1"/>
        </w:rPr>
        <w:t>细作，公司先后承担了包括河南中烟在内的</w:t>
      </w:r>
      <w:r>
        <w:rPr>
          <w:rFonts w:ascii="Times New Roman" w:hAnsi="Times New Roman" w:cs="Times New Roman" w:eastAsia="Times New Roman" w:hint="default"/>
          <w:spacing w:val="-1"/>
        </w:rPr>
        <w:t>10</w:t>
      </w:r>
      <w:r>
        <w:rPr>
          <w:spacing w:val="-1"/>
        </w:rPr>
        <w:t>多家省级中烟工业公司和烟草商业公司的信息化建设总体规</w:t>
      </w:r>
      <w:r>
        <w:rPr>
          <w:spacing w:val="-81"/>
        </w:rPr>
        <w:t> </w:t>
      </w:r>
      <w:r>
        <w:rPr>
          <w:spacing w:val="-1"/>
        </w:rPr>
        <w:t>划，完成了河南中烟、四川省烟草公司、川渝中烟等省级公司以及郑州、许昌、杭州、南京、青岛、哈尔</w:t>
      </w:r>
      <w:r>
        <w:rPr>
          <w:spacing w:val="-86"/>
        </w:rPr>
        <w:t> </w:t>
      </w:r>
      <w:r>
        <w:rPr>
          <w:spacing w:val="-86"/>
        </w:rPr>
      </w:r>
      <w:r>
        <w:rPr/>
        <w:t>滨、贵阳、玉溪、成都等近</w:t>
      </w:r>
      <w:r>
        <w:rPr>
          <w:rFonts w:ascii="Times New Roman" w:hAnsi="Times New Roman" w:cs="Times New Roman" w:eastAsia="Times New Roman" w:hint="default"/>
        </w:rPr>
        <w:t>20</w:t>
      </w:r>
      <w:r>
        <w:rPr/>
        <w:t>家工业企业的各类信息化建设工程，业务已经覆盖了烟草信息化的农、工、 商全行业，技术全面，且自主开发了独具特色的应用系统或产品，有着较为丰富的客户资源和实践经验。 公司现已成为国内少数几家能为烟草行业提供包括农业、工业和商业全产业链整体解决方案的供应商。</w:t>
      </w:r>
    </w:p>
    <w:p>
      <w:pPr>
        <w:spacing w:after="0" w:line="39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012"/>
        <w:jc w:val="left"/>
      </w:pPr>
      <w:r>
        <w:rPr>
          <w:rFonts w:ascii="Times New Roman" w:hAnsi="Times New Roman" w:cs="Times New Roman" w:eastAsia="Times New Roman" w:hint="default"/>
        </w:rPr>
        <w:t>4</w:t>
      </w:r>
      <w:r>
        <w:rPr/>
        <w:t>、在油气信息化领域的行业地位 </w:t>
      </w:r>
      <w:r>
        <w:rPr>
          <w:spacing w:val="-1"/>
        </w:rPr>
        <w:t>公司于</w:t>
      </w:r>
      <w:r>
        <w:rPr>
          <w:rFonts w:ascii="Times New Roman" w:hAnsi="Times New Roman" w:cs="Times New Roman" w:eastAsia="Times New Roman" w:hint="default"/>
          <w:spacing w:val="-1"/>
        </w:rPr>
        <w:t>2007</w:t>
      </w:r>
      <w:r>
        <w:rPr>
          <w:spacing w:val="-1"/>
        </w:rPr>
        <w:t>年开始进入石油行业。基于多年的基础理论研究，公司在高速机器视觉、智能分析、</w:t>
      </w:r>
      <w:r>
        <w:rPr>
          <w:rFonts w:ascii="Times New Roman" w:hAnsi="Times New Roman" w:cs="Times New Roman" w:eastAsia="Times New Roman" w:hint="default"/>
          <w:spacing w:val="-1"/>
        </w:rPr>
        <w:t>GIS</w:t>
      </w:r>
      <w:r>
        <w:rPr>
          <w:spacing w:val="-1"/>
        </w:rPr>
        <w:t>、</w:t>
      </w:r>
    </w:p>
    <w:p>
      <w:pPr>
        <w:pStyle w:val="BodyText"/>
        <w:spacing w:line="400" w:lineRule="auto" w:before="35"/>
        <w:ind w:right="1026"/>
        <w:jc w:val="left"/>
      </w:pPr>
      <w:r>
        <w:rPr>
          <w:spacing w:val="-3"/>
        </w:rPr>
        <w:t>物联网等领域形成了独特的技术优势，结合石油行业的实践应用，开发出了油气田场站</w:t>
      </w:r>
      <w:r>
        <w:rPr>
          <w:rFonts w:ascii="Times New Roman" w:hAnsi="Times New Roman" w:cs="Times New Roman" w:eastAsia="Times New Roman" w:hint="default"/>
          <w:spacing w:val="-3"/>
        </w:rPr>
        <w:t>SCADA</w:t>
      </w:r>
      <w:r>
        <w:rPr>
          <w:spacing w:val="-3"/>
        </w:rPr>
        <w:t>系统、多业</w:t>
      </w:r>
      <w:r>
        <w:rPr>
          <w:spacing w:val="-67"/>
        </w:rPr>
        <w:t> </w:t>
      </w:r>
      <w:r>
        <w:rPr>
          <w:spacing w:val="-67"/>
        </w:rPr>
      </w:r>
      <w:r>
        <w:rPr>
          <w:spacing w:val="-2"/>
        </w:rPr>
        <w:t>务光传输系统、智能防御</w:t>
      </w:r>
      <w:r>
        <w:rPr>
          <w:rFonts w:ascii="Times New Roman" w:hAnsi="Times New Roman" w:cs="Times New Roman" w:eastAsia="Times New Roman" w:hint="default"/>
          <w:spacing w:val="-2"/>
        </w:rPr>
        <w:t>-</w:t>
      </w:r>
      <w:r>
        <w:rPr>
          <w:spacing w:val="-2"/>
        </w:rPr>
        <w:t>工业电视监控系统、数字化油田、统一安防平台等多种信息化系统，技术水平和</w:t>
      </w:r>
      <w:r>
        <w:rPr/>
        <w:t> 创新能力在国内处于领先水平。作为国内主要石油公司中石油、中石化信息系统建设的合作伙伴，公司已 经完成和正在进行包括中石油昆仑燃气、塔里木油田、胜利油田、吐哈油田、中原油田、川东气田等在内 的上百个信息化项目。基于自身的技术优势和多年行业经验积累，公司已经掌握了油气领域信息化涉及的 主要核心技术，能够为行业上中下游提供信息化整体解决方案。目前，石油行业信息化建设逐步体现出向 数字化、智能化发展的趋势，公司诸多特色技术，包括高速机器视觉、</w:t>
      </w:r>
      <w:r>
        <w:rPr>
          <w:rFonts w:ascii="Times New Roman" w:hAnsi="Times New Roman" w:cs="Times New Roman" w:eastAsia="Times New Roman" w:hint="default"/>
        </w:rPr>
        <w:t>GIS</w:t>
      </w:r>
      <w:r>
        <w:rPr/>
        <w:t>、物联网、智能分析技术等在</w:t>
      </w:r>
      <w:r>
        <w:rPr>
          <w:spacing w:val="-52"/>
        </w:rPr>
        <w:t> </w:t>
      </w:r>
      <w:r>
        <w:rPr>
          <w:spacing w:val="-52"/>
        </w:rPr>
      </w:r>
      <w:r>
        <w:rPr>
          <w:spacing w:val="-3"/>
        </w:rPr>
        <w:t>石油项目中均有广泛、成熟应用，技术水平和创新能力在国内处于领先水平，建立了较为牢固的客户群体，</w:t>
      </w:r>
      <w:r>
        <w:rPr>
          <w:spacing w:val="-90"/>
        </w:rPr>
        <w:t> </w:t>
      </w:r>
      <w:r>
        <w:rPr>
          <w:spacing w:val="-90"/>
        </w:rPr>
      </w:r>
      <w:r>
        <w:rPr/>
        <w:t>有较强的竞争优势。</w:t>
      </w:r>
    </w:p>
    <w:p>
      <w:pPr>
        <w:pStyle w:val="BodyText"/>
        <w:spacing w:line="240" w:lineRule="auto" w:before="172"/>
        <w:ind w:left="574" w:right="0"/>
        <w:jc w:val="left"/>
      </w:pPr>
      <w:r>
        <w:rPr>
          <w:rFonts w:ascii="Times New Roman" w:hAnsi="Times New Roman" w:cs="Times New Roman" w:eastAsia="Times New Roman" w:hint="default"/>
        </w:rPr>
        <w:t>5</w:t>
      </w:r>
      <w:r>
        <w:rPr/>
        <w:t>、在印钞检测信息化领域的行业地位</w:t>
      </w:r>
    </w:p>
    <w:p>
      <w:pPr>
        <w:spacing w:line="240" w:lineRule="auto" w:before="9"/>
        <w:rPr>
          <w:rFonts w:ascii="宋体" w:hAnsi="宋体" w:cs="宋体" w:eastAsia="宋体" w:hint="default"/>
          <w:sz w:val="22"/>
          <w:szCs w:val="22"/>
        </w:rPr>
      </w:pPr>
    </w:p>
    <w:p>
      <w:pPr>
        <w:pStyle w:val="BodyText"/>
        <w:spacing w:line="398" w:lineRule="auto"/>
        <w:ind w:right="1131" w:firstLine="420"/>
        <w:jc w:val="both"/>
      </w:pPr>
      <w:r>
        <w:rPr>
          <w:spacing w:val="-1"/>
        </w:rPr>
        <w:t>公司自</w:t>
      </w:r>
      <w:r>
        <w:rPr>
          <w:rFonts w:ascii="Times New Roman" w:hAnsi="Times New Roman" w:cs="Times New Roman" w:eastAsia="Times New Roman" w:hint="default"/>
          <w:spacing w:val="-1"/>
        </w:rPr>
        <w:t>1997</w:t>
      </w:r>
      <w:r>
        <w:rPr>
          <w:spacing w:val="-1"/>
        </w:rPr>
        <w:t>年率先将高速机器视觉技术应用于印钞检测行业，根据印钞行业需要相继开发了涵盖从造</w:t>
      </w:r>
      <w:r>
        <w:rPr/>
        <w:t> </w:t>
      </w:r>
      <w:r>
        <w:rPr>
          <w:spacing w:val="-1"/>
        </w:rPr>
        <w:t>纸、胶印、凹印、印码到检封整个工艺流程的智能识别技术，</w:t>
      </w:r>
      <w:r>
        <w:rPr>
          <w:rFonts w:ascii="Times New Roman" w:hAnsi="Times New Roman" w:cs="Times New Roman" w:eastAsia="Times New Roman" w:hint="default"/>
          <w:spacing w:val="-1"/>
        </w:rPr>
        <w:t>20</w:t>
      </w:r>
      <w:r>
        <w:rPr>
          <w:spacing w:val="-1"/>
        </w:rPr>
        <w:t>多年来一直从事高速机器视觉技术在印制</w:t>
      </w:r>
      <w:r>
        <w:rPr>
          <w:spacing w:val="-84"/>
        </w:rPr>
        <w:t> </w:t>
      </w:r>
      <w:r>
        <w:rPr>
          <w:spacing w:val="-84"/>
        </w:rPr>
      </w:r>
      <w:r>
        <w:rPr>
          <w:spacing w:val="-1"/>
        </w:rPr>
        <w:t>行业内的深入应用和印制行业质量检测系统的技术研究和项目实施。成为国内少数能从制版、防伪线、钞</w:t>
      </w:r>
      <w:r>
        <w:rPr>
          <w:spacing w:val="-83"/>
        </w:rPr>
        <w:t> </w:t>
      </w:r>
      <w:r>
        <w:rPr>
          <w:spacing w:val="-83"/>
        </w:rPr>
      </w:r>
      <w:r>
        <w:rPr>
          <w:spacing w:val="-1"/>
        </w:rPr>
        <w:t>票纸和印钞工序提供全套机器视觉检测解决方案的提供商，是中国印钞造币总公司重要的信息技术依托单</w:t>
      </w:r>
      <w:r>
        <w:rPr>
          <w:spacing w:val="-81"/>
        </w:rPr>
        <w:t> </w:t>
      </w:r>
      <w:r>
        <w:rPr>
          <w:spacing w:val="-81"/>
        </w:rPr>
      </w:r>
      <w:r>
        <w:rPr>
          <w:spacing w:val="-1"/>
        </w:rPr>
        <w:t>位。自</w:t>
      </w:r>
      <w:r>
        <w:rPr>
          <w:rFonts w:ascii="Times New Roman" w:hAnsi="Times New Roman" w:cs="Times New Roman" w:eastAsia="Times New Roman" w:hint="default"/>
          <w:spacing w:val="-1"/>
        </w:rPr>
        <w:t>2008</w:t>
      </w:r>
      <w:r>
        <w:rPr>
          <w:spacing w:val="-1"/>
        </w:rPr>
        <w:t>年起，公司主要通过联营企业中钞科信实施印钞行业信息化业务，目前该公司已经占有国内印</w:t>
      </w:r>
      <w:r>
        <w:rPr>
          <w:spacing w:val="-81"/>
        </w:rPr>
        <w:t> </w:t>
      </w:r>
      <w:r>
        <w:rPr>
          <w:spacing w:val="-81"/>
        </w:rPr>
      </w:r>
      <w:r>
        <w:rPr>
          <w:spacing w:val="3"/>
        </w:rPr>
        <w:t>钞检测业务的绝大部分市场份额，在确保钞票印制产品质量和保障国家金融安全领域具有不可替代的作</w:t>
      </w:r>
      <w:r>
        <w:rPr>
          <w:spacing w:val="-82"/>
        </w:rPr>
        <w:t> </w:t>
      </w:r>
      <w:r>
        <w:rPr>
          <w:spacing w:val="-82"/>
        </w:rPr>
      </w:r>
      <w:r>
        <w:rPr/>
        <w:t>用。</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0"/>
        <w:rPr>
          <w:rFonts w:ascii="宋体" w:hAnsi="宋体" w:cs="宋体" w:eastAsia="宋体" w:hint="default"/>
          <w:sz w:val="12"/>
          <w:szCs w:val="12"/>
        </w:rPr>
      </w:pPr>
    </w:p>
    <w:p>
      <w:pPr>
        <w:pStyle w:val="BodyText"/>
        <w:spacing w:line="240" w:lineRule="auto"/>
        <w:ind w:left="490" w:right="0"/>
        <w:jc w:val="left"/>
      </w:pPr>
      <w:r>
        <w:rPr/>
        <w:t>公司的核心竞争力主要体现在如下几个方面：</w:t>
      </w:r>
    </w:p>
    <w:p>
      <w:pPr>
        <w:spacing w:line="240" w:lineRule="auto" w:before="6"/>
        <w:rPr>
          <w:rFonts w:ascii="宋体" w:hAnsi="宋体" w:cs="宋体" w:eastAsia="宋体" w:hint="default"/>
          <w:sz w:val="22"/>
          <w:szCs w:val="22"/>
        </w:rPr>
      </w:pPr>
    </w:p>
    <w:p>
      <w:pPr>
        <w:pStyle w:val="BodyText"/>
        <w:spacing w:line="468" w:lineRule="auto"/>
        <w:ind w:left="595" w:right="1115" w:hanging="190"/>
        <w:jc w:val="left"/>
      </w:pPr>
      <w:r>
        <w:rPr/>
        <w:t>（一）拥有</w:t>
      </w:r>
      <w:r>
        <w:rPr>
          <w:rFonts w:ascii="Times New Roman" w:hAnsi="Times New Roman" w:cs="Times New Roman" w:eastAsia="Times New Roman" w:hint="default"/>
        </w:rPr>
        <w:t>“</w:t>
      </w:r>
      <w:r>
        <w:rPr/>
        <w:t>行业专家</w:t>
      </w:r>
      <w:r>
        <w:rPr>
          <w:rFonts w:ascii="Times New Roman" w:hAnsi="Times New Roman" w:cs="Times New Roman" w:eastAsia="Times New Roman" w:hint="default"/>
        </w:rPr>
        <w:t>”</w:t>
      </w:r>
      <w:r>
        <w:rPr/>
        <w:t>品牌优势 </w:t>
      </w:r>
      <w:r>
        <w:rPr>
          <w:spacing w:val="-1"/>
        </w:rPr>
        <w:t>作为一家数十年始终坚持面向行业的信息化系统服务和整体解决方案提供商，公司创新性的产品与整</w:t>
      </w:r>
    </w:p>
    <w:p>
      <w:pPr>
        <w:pStyle w:val="BodyText"/>
        <w:spacing w:line="410" w:lineRule="auto"/>
        <w:ind w:right="1131"/>
        <w:jc w:val="both"/>
      </w:pPr>
      <w:r>
        <w:rPr>
          <w:spacing w:val="-1"/>
        </w:rPr>
        <w:t>体解决方案在各行业细分领域实施了一大批成功案例，具有丰富的行业信息化经验积累，赢得众多优质客</w:t>
      </w:r>
      <w:r>
        <w:rPr>
          <w:spacing w:val="-81"/>
        </w:rPr>
        <w:t> </w:t>
      </w:r>
      <w:r>
        <w:rPr>
          <w:spacing w:val="-81"/>
        </w:rPr>
      </w:r>
      <w:r>
        <w:rPr>
          <w:spacing w:val="-1"/>
        </w:rPr>
        <w:t>户的信赖，并成为长期合作伙伴，丰富的行业经验和较强的行业品牌影响力逐步成为公司的核心竞争力之</w:t>
      </w:r>
      <w:r>
        <w:rPr>
          <w:spacing w:val="-81"/>
        </w:rPr>
        <w:t> </w:t>
      </w:r>
      <w:r>
        <w:rPr>
          <w:spacing w:val="-81"/>
        </w:rPr>
      </w:r>
      <w:r>
        <w:rPr/>
        <w:t>一。</w:t>
      </w:r>
    </w:p>
    <w:p>
      <w:pPr>
        <w:pStyle w:val="BodyText"/>
        <w:spacing w:line="396" w:lineRule="auto" w:before="142"/>
        <w:ind w:right="1110" w:firstLine="420"/>
        <w:jc w:val="right"/>
      </w:pPr>
      <w:r>
        <w:rPr>
          <w:spacing w:val="-1"/>
        </w:rPr>
        <w:t>在数字会议领域，公司前身中科院成都计算机应用研究所是我国第一代电子票箱、电子表决器和报到</w:t>
      </w:r>
      <w:r>
        <w:rPr/>
        <w:t> 机的研制者，并连续</w:t>
      </w:r>
      <w:r>
        <w:rPr>
          <w:rFonts w:ascii="Times New Roman" w:hAnsi="Times New Roman" w:cs="Times New Roman" w:eastAsia="Times New Roman" w:hint="default"/>
        </w:rPr>
        <w:t>36</w:t>
      </w:r>
      <w:r>
        <w:rPr/>
        <w:t>年为党的</w:t>
      </w:r>
      <w:r>
        <w:rPr>
          <w:rFonts w:ascii="Times New Roman" w:hAnsi="Times New Roman" w:cs="Times New Roman" w:eastAsia="Times New Roman" w:hint="default"/>
        </w:rPr>
        <w:t>“</w:t>
      </w:r>
      <w:r>
        <w:rPr/>
        <w:t>十二大</w:t>
      </w:r>
      <w:r>
        <w:rPr>
          <w:rFonts w:ascii="Times New Roman" w:hAnsi="Times New Roman" w:cs="Times New Roman" w:eastAsia="Times New Roman" w:hint="default"/>
        </w:rPr>
        <w:t>”</w:t>
      </w:r>
      <w:r>
        <w:rPr/>
        <w:t>至</w:t>
      </w:r>
      <w:r>
        <w:rPr>
          <w:rFonts w:ascii="Times New Roman" w:hAnsi="Times New Roman" w:cs="Times New Roman" w:eastAsia="Times New Roman" w:hint="default"/>
        </w:rPr>
        <w:t>“</w:t>
      </w:r>
      <w:r>
        <w:rPr/>
        <w:t>十九大</w:t>
      </w:r>
      <w:r>
        <w:rPr>
          <w:rFonts w:ascii="Times New Roman" w:hAnsi="Times New Roman" w:cs="Times New Roman" w:eastAsia="Times New Roman" w:hint="default"/>
        </w:rPr>
        <w:t>”</w:t>
      </w:r>
      <w:r>
        <w:rPr/>
        <w:t>及六届至十三届全国人大、政协会议选举服务，是党 和国家重大会议的选举设备和服务提供商、我国数字会议领域的领军企业，成为中国数字会议一流品牌。 </w:t>
      </w:r>
      <w:r>
        <w:rPr>
          <w:spacing w:val="-1"/>
        </w:rPr>
        <w:t>在印钞检测领域，公司是高速机器视觉技术在印钞行业应用的开创者，自</w:t>
      </w:r>
      <w:r>
        <w:rPr>
          <w:rFonts w:ascii="Times New Roman" w:hAnsi="Times New Roman" w:cs="Times New Roman" w:eastAsia="Times New Roman" w:hint="default"/>
          <w:spacing w:val="-1"/>
        </w:rPr>
        <w:t>1997</w:t>
      </w:r>
      <w:r>
        <w:rPr>
          <w:spacing w:val="-1"/>
        </w:rPr>
        <w:t>年率先将高速机器视觉</w:t>
      </w:r>
      <w:r>
        <w:rPr/>
        <w:t> </w:t>
      </w:r>
      <w:r>
        <w:rPr>
          <w:spacing w:val="-1"/>
        </w:rPr>
        <w:t>技术应用于印钞检测行业，至今已有</w:t>
      </w:r>
      <w:r>
        <w:rPr>
          <w:rFonts w:ascii="Times New Roman" w:hAnsi="Times New Roman" w:cs="Times New Roman" w:eastAsia="Times New Roman" w:hint="default"/>
          <w:spacing w:val="-1"/>
        </w:rPr>
        <w:t>20</w:t>
      </w:r>
      <w:r>
        <w:rPr>
          <w:spacing w:val="-1"/>
        </w:rPr>
        <w:t>余年的印钞行业信息化经验累积，是国内唯一可提供从钞纸整选到</w:t>
      </w:r>
      <w:r>
        <w:rPr/>
        <w:t> 钞票封装全流程质量检测和数据追溯解决方案的供应商，是中国印钞检测行业最重要的检测设备供应商。</w:t>
      </w:r>
    </w:p>
    <w:p>
      <w:pPr>
        <w:pStyle w:val="BodyText"/>
        <w:spacing w:line="408" w:lineRule="auto" w:before="97"/>
        <w:ind w:right="1110" w:firstLine="420"/>
        <w:jc w:val="right"/>
      </w:pPr>
      <w:r>
        <w:rPr>
          <w:spacing w:val="-1"/>
        </w:rPr>
        <w:t>在烟草领域，公司自</w:t>
      </w:r>
      <w:r>
        <w:rPr>
          <w:rFonts w:ascii="宋体" w:hAnsi="宋体" w:cs="宋体" w:eastAsia="宋体" w:hint="default"/>
          <w:spacing w:val="-1"/>
        </w:rPr>
        <w:t>20</w:t>
      </w:r>
      <w:r>
        <w:rPr>
          <w:spacing w:val="-1"/>
        </w:rPr>
        <w:t>世纪</w:t>
      </w:r>
      <w:r>
        <w:rPr>
          <w:rFonts w:ascii="宋体" w:hAnsi="宋体" w:cs="宋体" w:eastAsia="宋体" w:hint="default"/>
          <w:spacing w:val="-1"/>
        </w:rPr>
        <w:t>80</w:t>
      </w:r>
      <w:r>
        <w:rPr>
          <w:spacing w:val="-1"/>
        </w:rPr>
        <w:t>年代起持续为烟草行业提供信息化产品与服务，在助力烟草行业进行信</w:t>
      </w:r>
      <w:r>
        <w:rPr/>
        <w:t> </w:t>
      </w:r>
      <w:r>
        <w:rPr>
          <w:spacing w:val="-1"/>
        </w:rPr>
        <w:t>息化规划、信息化基础平台建设、卷烟智能化生产、卷烟物流配送、卷烟生产大数据智能诊断分析等方面</w:t>
      </w:r>
      <w:r>
        <w:rPr/>
        <w:t> </w:t>
      </w:r>
      <w:r>
        <w:rPr>
          <w:spacing w:val="-1"/>
        </w:rPr>
        <w:t>硕果累累，形成众多优秀案例，在行业形成的示范效应为公司自身树立了优良的品牌形象，成为国内为数</w:t>
      </w:r>
      <w:r>
        <w:rPr/>
        <w:t> 不多能为烟草行业提供烟草农业、烟草工业和烟草商业全产业链信息化建设整体解决方案的供应商之一。</w:t>
      </w:r>
    </w:p>
    <w:p>
      <w:pPr>
        <w:pStyle w:val="BodyText"/>
        <w:spacing w:line="398" w:lineRule="auto" w:before="85"/>
        <w:ind w:right="1131" w:firstLine="420"/>
        <w:jc w:val="both"/>
      </w:pPr>
      <w:r>
        <w:rPr>
          <w:spacing w:val="-1"/>
        </w:rPr>
        <w:t>在油气领域，公司十余年来积极投身数字油田建设，为塔里木油田和西南油气田在自动控制系统、地</w:t>
      </w:r>
      <w:r>
        <w:rPr/>
        <w:t> </w:t>
      </w:r>
      <w:r>
        <w:rPr>
          <w:spacing w:val="-2"/>
        </w:rPr>
        <w:t>面通讯系统，视频监控系统、处理厂</w:t>
      </w:r>
      <w:r>
        <w:rPr>
          <w:rFonts w:ascii="Times New Roman" w:hAnsi="Times New Roman" w:cs="Times New Roman" w:eastAsia="Times New Roman" w:hint="default"/>
          <w:spacing w:val="-2"/>
        </w:rPr>
        <w:t>/</w:t>
      </w:r>
      <w:r>
        <w:rPr>
          <w:spacing w:val="-2"/>
        </w:rPr>
        <w:t>净化厂</w:t>
      </w:r>
      <w:r>
        <w:rPr>
          <w:rFonts w:ascii="Times New Roman" w:hAnsi="Times New Roman" w:cs="Times New Roman" w:eastAsia="Times New Roman" w:hint="default"/>
          <w:spacing w:val="-2"/>
        </w:rPr>
        <w:t>DCS</w:t>
      </w:r>
      <w:r>
        <w:rPr>
          <w:spacing w:val="-2"/>
        </w:rPr>
        <w:t>系统等方面完成各类工程项目几十项，成为我国油气行业</w:t>
      </w:r>
      <w:r>
        <w:rPr>
          <w:spacing w:val="-80"/>
        </w:rPr>
        <w:t> </w:t>
      </w:r>
      <w:r>
        <w:rPr>
          <w:spacing w:val="-80"/>
        </w:rPr>
      </w:r>
      <w:r>
        <w:rPr/>
        <w:t>信息化服务与智能化工程建设重要提供商。</w:t>
      </w:r>
    </w:p>
    <w:p>
      <w:pPr>
        <w:pStyle w:val="BodyText"/>
        <w:spacing w:line="408" w:lineRule="auto" w:before="54"/>
        <w:ind w:right="1133" w:firstLine="420"/>
        <w:jc w:val="both"/>
      </w:pPr>
      <w:r>
        <w:rPr>
          <w:spacing w:val="-1"/>
        </w:rPr>
        <w:t>公司运用云计算、大数据、物联网和移动互联技术，为客户提供新型智慧城市关键技术、平台系统和</w:t>
      </w:r>
      <w:r>
        <w:rPr/>
        <w:t> </w:t>
      </w:r>
      <w:r>
        <w:rPr>
          <w:spacing w:val="-1"/>
        </w:rPr>
        <w:t>运维服务。积极推进政务管理、民生服务、产业升级等相关领域的业务应用落地和推广实施，先后在政务</w:t>
      </w:r>
      <w:r>
        <w:rPr>
          <w:spacing w:val="-86"/>
        </w:rPr>
        <w:t> </w:t>
      </w:r>
      <w:r>
        <w:rPr>
          <w:spacing w:val="-86"/>
        </w:rPr>
      </w:r>
      <w:r>
        <w:rPr>
          <w:spacing w:val="-1"/>
        </w:rPr>
        <w:t>民生服务、人大政协议案、政法信息共享、统计大数据分析、区域经济运行监测分析等领域推出了多个产</w:t>
      </w:r>
      <w:r>
        <w:rPr>
          <w:spacing w:val="-86"/>
        </w:rPr>
        <w:t> </w:t>
      </w:r>
      <w:r>
        <w:rPr>
          <w:spacing w:val="-86"/>
        </w:rPr>
      </w:r>
      <w:r>
        <w:rPr/>
        <w:t>品与解决方案并落地实施，取得了良好的经济和社会效益，树立了良好的案例示范效应。</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09" w:firstLine="420"/>
        <w:jc w:val="both"/>
      </w:pPr>
      <w:r>
        <w:rPr>
          <w:spacing w:val="-1"/>
        </w:rPr>
        <w:t>公司还是中国软件行业会员单位、四川省计算机学会挂靠单位和理事长单位、中国科学院人工智能产</w:t>
      </w:r>
      <w:r>
        <w:rPr/>
        <w:t> 学研创新联盟理事单位、四川省软件行业协会常务理事单位、中国科学院智慧城市产业化联盟理事单位。 </w:t>
      </w:r>
      <w:r>
        <w:rPr>
          <w:spacing w:val="-1"/>
        </w:rPr>
        <w:t>报告期内，公司又成为成都市人工智能协会副会长单位、成都市高新区大数据与网络空间安全业界共治理</w:t>
      </w:r>
      <w:r>
        <w:rPr>
          <w:spacing w:val="-81"/>
        </w:rPr>
        <w:t> </w:t>
      </w:r>
      <w:r>
        <w:rPr>
          <w:spacing w:val="-81"/>
        </w:rPr>
      </w:r>
      <w:r>
        <w:rPr>
          <w:spacing w:val="-1"/>
        </w:rPr>
        <w:t>事会常务理事单位，成都市第一届物联网智库入选单位，组建中国科学院大学成都学院之人工智能学院的</w:t>
      </w:r>
      <w:r>
        <w:rPr>
          <w:spacing w:val="-81"/>
        </w:rPr>
        <w:t> </w:t>
      </w:r>
      <w:r>
        <w:rPr>
          <w:spacing w:val="-81"/>
        </w:rPr>
      </w:r>
      <w:r>
        <w:rPr/>
        <w:t>牵头单位。</w:t>
      </w:r>
    </w:p>
    <w:p>
      <w:pPr>
        <w:pStyle w:val="BodyText"/>
        <w:spacing w:line="408" w:lineRule="auto" w:before="46"/>
        <w:ind w:left="595" w:right="1115" w:hanging="84"/>
        <w:jc w:val="left"/>
      </w:pPr>
      <w:r>
        <w:rPr/>
        <w:t>（二）拥有自主核心技术研发优势 </w:t>
      </w:r>
      <w:r>
        <w:rPr>
          <w:spacing w:val="-1"/>
        </w:rPr>
        <w:t>公司充分运用前身中科院成都计算机应用研究所数十年的深厚科研积淀和众多研发成果，依托中科院</w:t>
      </w:r>
    </w:p>
    <w:p>
      <w:pPr>
        <w:pStyle w:val="BodyText"/>
        <w:spacing w:line="405" w:lineRule="auto" w:before="46"/>
        <w:ind w:right="1129"/>
        <w:jc w:val="both"/>
      </w:pPr>
      <w:r>
        <w:rPr>
          <w:spacing w:val="-1"/>
        </w:rPr>
        <w:t>院士张景中领衔的一流应用基础研究团队多年来在人工智能领域取得的研究成果、形成了自身在计算机应</w:t>
      </w:r>
      <w:r>
        <w:rPr>
          <w:spacing w:val="-81"/>
        </w:rPr>
        <w:t> </w:t>
      </w:r>
      <w:r>
        <w:rPr>
          <w:spacing w:val="-81"/>
        </w:rPr>
      </w:r>
      <w:r>
        <w:rPr>
          <w:spacing w:val="-1"/>
        </w:rPr>
        <w:t>用领域的应用基础理论、关键技术、工程与产品三个层次上的独特综合优势，并在自动推理与定理机器证</w:t>
      </w:r>
      <w:r>
        <w:rPr>
          <w:spacing w:val="-83"/>
        </w:rPr>
        <w:t> </w:t>
      </w:r>
      <w:r>
        <w:rPr>
          <w:spacing w:val="-83"/>
        </w:rPr>
      </w:r>
      <w:r>
        <w:rPr>
          <w:spacing w:val="-1"/>
        </w:rPr>
        <w:t>明领域保持国际先进水平，在智能识别与分析、机器学习、高速机器视觉领域始终处于国际先进水平。自</w:t>
      </w:r>
      <w:r>
        <w:rPr>
          <w:spacing w:val="-85"/>
        </w:rPr>
        <w:t> </w:t>
      </w:r>
      <w:r>
        <w:rPr>
          <w:spacing w:val="-85"/>
        </w:rPr>
      </w:r>
      <w:r>
        <w:rPr>
          <w:spacing w:val="-1"/>
        </w:rPr>
        <w:t>成立以来，公司始终坚持面向行业发展不动摇，在现场会议、印钞检测、烟草、石油等领域的信息化业务</w:t>
      </w:r>
      <w:r>
        <w:rPr>
          <w:spacing w:val="-83"/>
        </w:rPr>
        <w:t> </w:t>
      </w:r>
      <w:r>
        <w:rPr>
          <w:spacing w:val="-83"/>
        </w:rPr>
      </w:r>
      <w:r>
        <w:rPr>
          <w:spacing w:val="-1"/>
        </w:rPr>
        <w:t>上持续坚持数十年深耕细作，积累了丰富的行业经验，拥有一大批具有很强科研实力和突出技术特长的行</w:t>
      </w:r>
      <w:r>
        <w:rPr>
          <w:spacing w:val="-81"/>
        </w:rPr>
        <w:t> </w:t>
      </w:r>
      <w:r>
        <w:rPr>
          <w:spacing w:val="-81"/>
        </w:rPr>
      </w:r>
      <w:r>
        <w:rPr/>
        <w:t>业专家，其中博士生导师</w:t>
      </w:r>
      <w:r>
        <w:rPr>
          <w:rFonts w:ascii="Times New Roman" w:hAnsi="Times New Roman" w:cs="Times New Roman" w:eastAsia="Times New Roman" w:hint="default"/>
        </w:rPr>
        <w:t>8</w:t>
      </w:r>
      <w:r>
        <w:rPr/>
        <w:t>名，硕士生导师</w:t>
      </w:r>
      <w:r>
        <w:rPr>
          <w:rFonts w:ascii="Times New Roman" w:hAnsi="Times New Roman" w:cs="Times New Roman" w:eastAsia="Times New Roman" w:hint="default"/>
        </w:rPr>
        <w:t>13</w:t>
      </w:r>
      <w:r>
        <w:rPr/>
        <w:t>名，研究员和教授级高工</w:t>
      </w:r>
      <w:r>
        <w:rPr>
          <w:rFonts w:ascii="Times New Roman" w:hAnsi="Times New Roman" w:cs="Times New Roman" w:eastAsia="Times New Roman" w:hint="default"/>
        </w:rPr>
        <w:t>13</w:t>
      </w:r>
      <w:r>
        <w:rPr/>
        <w:t>名，副研究员和高工</w:t>
      </w:r>
      <w:r>
        <w:rPr>
          <w:rFonts w:ascii="Times New Roman" w:hAnsi="Times New Roman" w:cs="Times New Roman" w:eastAsia="Times New Roman" w:hint="default"/>
        </w:rPr>
        <w:t>64</w:t>
      </w:r>
      <w:r>
        <w:rPr/>
        <w:t>名，形成</w:t>
      </w:r>
      <w:r>
        <w:rPr>
          <w:spacing w:val="-27"/>
        </w:rPr>
        <w:t> </w:t>
      </w:r>
      <w:r>
        <w:rPr>
          <w:spacing w:val="-27"/>
        </w:rPr>
      </w:r>
      <w:r>
        <w:rPr/>
        <w:t>了一定程度的行业技术壁垒优势。</w:t>
      </w:r>
    </w:p>
    <w:p>
      <w:pPr>
        <w:pStyle w:val="BodyText"/>
        <w:spacing w:line="408" w:lineRule="auto" w:before="48"/>
        <w:ind w:right="1023" w:firstLine="441"/>
        <w:jc w:val="left"/>
      </w:pPr>
      <w:r>
        <w:rPr/>
        <w:t>公司近年在人工智能领域不断发力，为四川、成都人工智能技术与产业发展提供决策咨询，承担四川 省人工智能重大专项项目，受四川省、成都市政府委托，牵头组建人工智能相关联盟、协会、理事会等。 在人工智能领域主要技术方向和取得的成果主要包括：机器学习、计算机自动推理、智能测控、深度学习 核心算法、数学机械化、高速图像实时处理、图像建模及算法、光机电一体化、集群无人机协同控制、高 </w:t>
      </w:r>
      <w:r>
        <w:rPr>
          <w:spacing w:val="-3"/>
        </w:rPr>
        <w:t>速机器视觉、云计算、大数据技术（大数据分布式存储与智能分析、大数据安全、大数据集成交换与分析、</w:t>
      </w:r>
      <w:r>
        <w:rPr>
          <w:spacing w:val="-94"/>
        </w:rPr>
        <w:t> </w:t>
      </w:r>
      <w:r>
        <w:rPr>
          <w:spacing w:val="-94"/>
        </w:rPr>
      </w:r>
      <w:r>
        <w:rPr/>
        <w:t>大数据可视化）、虚拟现实、智能医疗及物联网技术。</w:t>
      </w:r>
    </w:p>
    <w:p>
      <w:pPr>
        <w:pStyle w:val="BodyText"/>
        <w:spacing w:line="386" w:lineRule="auto" w:before="46"/>
        <w:ind w:right="1130" w:firstLine="441"/>
        <w:jc w:val="both"/>
      </w:pPr>
      <w:r>
        <w:rPr/>
        <w:t>公司先后独立或参与建设了</w:t>
      </w:r>
      <w:r>
        <w:rPr>
          <w:rFonts w:ascii="Times New Roman" w:hAnsi="Times New Roman" w:cs="Times New Roman" w:eastAsia="Times New Roman" w:hint="default"/>
        </w:rPr>
        <w:t>“</w:t>
      </w:r>
      <w:r>
        <w:rPr/>
        <w:t>中科信息</w:t>
      </w:r>
      <w:r>
        <w:rPr>
          <w:rFonts w:ascii="Times New Roman" w:hAnsi="Times New Roman" w:cs="Times New Roman" w:eastAsia="Times New Roman" w:hint="default"/>
        </w:rPr>
        <w:t>-</w:t>
      </w:r>
      <w:r>
        <w:rPr/>
        <w:t>成都信息工程大学机器视觉联合实验室</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四川省企业技术中 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成都物联网研发中心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智能医学创新培训中心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四川省计算机学会虚拟仿真专委会</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等多个创</w:t>
      </w:r>
      <w:r>
        <w:rPr>
          <w:spacing w:val="-94"/>
        </w:rPr>
        <w:t> </w:t>
      </w:r>
      <w:r>
        <w:rPr/>
        <w:t>新平台。报告期内，公司积极参与湖北省</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烟草</w:t>
      </w:r>
      <w:r>
        <w:rPr>
          <w:rFonts w:ascii="Times New Roman" w:hAnsi="Times New Roman" w:cs="Times New Roman" w:eastAsia="Times New Roman" w:hint="default"/>
        </w:rPr>
        <w:t>”</w:t>
      </w:r>
      <w:r>
        <w:rPr/>
        <w:t>联合实验室筹建，推动多方在战略合作中实现新</w:t>
      </w:r>
      <w:r>
        <w:rPr>
          <w:spacing w:val="-24"/>
        </w:rPr>
        <w:t> </w:t>
      </w:r>
      <w:r>
        <w:rPr>
          <w:spacing w:val="-24"/>
        </w:rPr>
      </w:r>
      <w:r>
        <w:rPr>
          <w:spacing w:val="-2"/>
        </w:rPr>
        <w:t>跨越，共同探索以建立良性循环发展机制为保障的联合实验室机制，推动互联网</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5G</w:t>
      </w:r>
      <w:r>
        <w:rPr>
          <w:rFonts w:ascii="Times New Roman" w:hAnsi="Times New Roman" w:cs="Times New Roman" w:eastAsia="Times New Roman" w:hint="default"/>
        </w:rPr>
        <w:t> </w:t>
      </w:r>
      <w:r>
        <w:rPr>
          <w:spacing w:val="-2"/>
        </w:rPr>
        <w:t>技术、大数据移动</w:t>
      </w:r>
      <w:r>
        <w:rPr>
          <w:spacing w:val="-96"/>
        </w:rPr>
        <w:t> </w:t>
      </w:r>
      <w:r>
        <w:rPr>
          <w:spacing w:val="-96"/>
        </w:rPr>
      </w:r>
      <w:r>
        <w:rPr/>
        <w:t>应用、物联网、人工智能等信息化前沿技术在烟草行业的融合和创新。</w:t>
      </w:r>
    </w:p>
    <w:p>
      <w:pPr>
        <w:pStyle w:val="BodyText"/>
        <w:spacing w:line="408" w:lineRule="auto" w:before="65"/>
        <w:ind w:right="1132" w:firstLine="441"/>
        <w:jc w:val="both"/>
      </w:pPr>
      <w:r>
        <w:rPr>
          <w:spacing w:val="-1"/>
        </w:rPr>
        <w:t>公司始终坚持在核心技术上的持续投入，进行自主核心技术产品研发，不断拓宽产品线和综合服务能</w:t>
      </w:r>
      <w:r>
        <w:rPr/>
        <w:t> </w:t>
      </w:r>
      <w:r>
        <w:rPr>
          <w:spacing w:val="-1"/>
        </w:rPr>
        <w:t>力，除政府、烟草、印钞、石油行业外，还为金融、医疗、教育、交通、公安、军工等多个行业提供领先</w:t>
      </w:r>
      <w:r>
        <w:rPr>
          <w:spacing w:val="-88"/>
        </w:rPr>
        <w:t> </w:t>
      </w:r>
      <w:r>
        <w:rPr>
          <w:spacing w:val="-88"/>
        </w:rPr>
      </w:r>
      <w:r>
        <w:rPr>
          <w:spacing w:val="-1"/>
        </w:rPr>
        <w:t>的产品、技术和解决方案。为迎接新一轮技术革命的挑战，公司紧紧把握国家人工智能发展战略，加快了</w:t>
      </w:r>
      <w:r>
        <w:rPr>
          <w:spacing w:val="-86"/>
        </w:rPr>
        <w:t> </w:t>
      </w:r>
      <w:r>
        <w:rPr>
          <w:spacing w:val="-86"/>
        </w:rPr>
      </w:r>
      <w:r>
        <w:rPr/>
        <w:t>在人工智能、云计算、大数据方面的技术与产品研发步伐。</w:t>
      </w:r>
    </w:p>
    <w:p>
      <w:pPr>
        <w:pStyle w:val="BodyText"/>
        <w:spacing w:line="240" w:lineRule="auto" w:before="46"/>
        <w:ind w:left="595" w:right="0"/>
        <w:jc w:val="left"/>
      </w:pPr>
      <w:r>
        <w:rPr/>
        <w:t>报告期内，公司及全资子公司成都中科共新增专利和软件著作权共</w:t>
      </w:r>
      <w:r>
        <w:rPr>
          <w:rFonts w:ascii="Times New Roman" w:hAnsi="Times New Roman" w:cs="Times New Roman" w:eastAsia="Times New Roman" w:hint="default"/>
        </w:rPr>
        <w:t>24</w:t>
      </w:r>
      <w:r>
        <w:rPr/>
        <w:t>项，具体情况如下：</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235"/>
        <w:gridCol w:w="1416"/>
        <w:gridCol w:w="1134"/>
        <w:gridCol w:w="1843"/>
        <w:gridCol w:w="1277"/>
        <w:gridCol w:w="1416"/>
      </w:tblGrid>
      <w:tr>
        <w:trPr>
          <w:trHeight w:val="435" w:hRule="exact"/>
        </w:trPr>
        <w:tc>
          <w:tcPr>
            <w:tcW w:w="3651"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left="5" w:right="0"/>
              <w:jc w:val="center"/>
              <w:rPr>
                <w:rFonts w:ascii="宋体" w:hAnsi="宋体" w:cs="宋体" w:eastAsia="宋体" w:hint="default"/>
                <w:sz w:val="18"/>
                <w:szCs w:val="18"/>
              </w:rPr>
            </w:pPr>
            <w:r>
              <w:rPr>
                <w:rFonts w:ascii="宋体" w:hAnsi="宋体" w:cs="宋体" w:eastAsia="宋体" w:hint="default"/>
                <w:sz w:val="18"/>
                <w:szCs w:val="18"/>
              </w:rPr>
              <w:t>发明名称</w:t>
            </w:r>
          </w:p>
        </w:tc>
        <w:tc>
          <w:tcPr>
            <w:tcW w:w="113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2"/>
              <w:ind w:left="188"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84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2"/>
              <w:ind w:right="6"/>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27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2"/>
              <w:ind w:left="168" w:right="0"/>
              <w:jc w:val="left"/>
              <w:rPr>
                <w:rFonts w:ascii="宋体" w:hAnsi="宋体" w:cs="宋体" w:eastAsia="宋体" w:hint="default"/>
                <w:sz w:val="18"/>
                <w:szCs w:val="18"/>
              </w:rPr>
            </w:pPr>
            <w:r>
              <w:rPr>
                <w:rFonts w:ascii="宋体" w:hAnsi="宋体" w:cs="宋体" w:eastAsia="宋体" w:hint="default"/>
                <w:sz w:val="18"/>
                <w:szCs w:val="18"/>
              </w:rPr>
              <w:t>授权公告日</w:t>
            </w:r>
          </w:p>
        </w:tc>
        <w:tc>
          <w:tcPr>
            <w:tcW w:w="141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2"/>
              <w:ind w:right="335"/>
              <w:jc w:val="right"/>
              <w:rPr>
                <w:rFonts w:ascii="宋体" w:hAnsi="宋体" w:cs="宋体" w:eastAsia="宋体" w:hint="default"/>
                <w:sz w:val="18"/>
                <w:szCs w:val="18"/>
              </w:rPr>
            </w:pPr>
            <w:r>
              <w:rPr>
                <w:rFonts w:ascii="宋体" w:hAnsi="宋体" w:cs="宋体" w:eastAsia="宋体" w:hint="default"/>
                <w:sz w:val="18"/>
                <w:szCs w:val="18"/>
              </w:rPr>
              <w:t>证书编号</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一种存储系统构建方法及装置</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ZL201610211840.1</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2018.11.27</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3163005</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一种卷包生产中辅料批次信息的采集方法</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ZL201610080635.6</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2018.01.23</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2791163</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基于图形码秘密分享机制的身份认证方法</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ZL201510470403.7</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2018.08.14</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3032203</w:t>
            </w:r>
          </w:p>
        </w:tc>
      </w:tr>
      <w:tr>
        <w:trPr>
          <w:trHeight w:val="744"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316" w:lineRule="auto" w:before="51"/>
              <w:ind w:left="2" w:right="24"/>
              <w:jc w:val="left"/>
              <w:rPr>
                <w:rFonts w:ascii="宋体" w:hAnsi="宋体" w:cs="宋体" w:eastAsia="宋体" w:hint="default"/>
                <w:sz w:val="18"/>
                <w:szCs w:val="18"/>
              </w:rPr>
            </w:pPr>
            <w:r>
              <w:rPr>
                <w:rFonts w:ascii="宋体" w:hAnsi="宋体" w:cs="宋体" w:eastAsia="宋体" w:hint="default"/>
                <w:sz w:val="18"/>
                <w:szCs w:val="18"/>
              </w:rPr>
              <w:t>一种高精度定位系统中快速检测人员过度聚集 的方法</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ZL201510272508.1</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2018.05.01</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2906094</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RFID</w:t>
            </w:r>
            <w:r>
              <w:rPr>
                <w:rFonts w:ascii="宋体" w:hAnsi="宋体" w:cs="宋体" w:eastAsia="宋体" w:hint="default"/>
                <w:sz w:val="18"/>
                <w:szCs w:val="18"/>
              </w:rPr>
              <w:t>技术的远距离身份验证识别装置</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ZL201721082060.8</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2018.04.27</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7258915</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会议报到机</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ZL201830284069.0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2018.11.23</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4922891</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一种存储系统构建方法及装置</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ZL201610211840.1</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2018.11.27</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3163005</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一种卷包生产中辅料批次信息的采集方法</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ZL201610080635.6</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2018.01.23</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2791163</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基于图形码秘密分享机制的身份认证方法</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ZL201510470403.7</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2018.08.14</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3032203</w:t>
            </w:r>
          </w:p>
        </w:tc>
      </w:tr>
      <w:tr>
        <w:trPr>
          <w:trHeight w:val="744"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316" w:lineRule="auto" w:before="51"/>
              <w:ind w:left="2" w:right="24"/>
              <w:jc w:val="left"/>
              <w:rPr>
                <w:rFonts w:ascii="宋体" w:hAnsi="宋体" w:cs="宋体" w:eastAsia="宋体" w:hint="default"/>
                <w:sz w:val="18"/>
                <w:szCs w:val="18"/>
              </w:rPr>
            </w:pPr>
            <w:r>
              <w:rPr>
                <w:rFonts w:ascii="宋体" w:hAnsi="宋体" w:cs="宋体" w:eastAsia="宋体" w:hint="default"/>
                <w:sz w:val="18"/>
                <w:szCs w:val="18"/>
              </w:rPr>
              <w:t>一种高精度定位系统中快速检测人员过度聚集 的方法</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ZL201510272508.1</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2018.05.01</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2906094</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RFID</w:t>
            </w:r>
            <w:r>
              <w:rPr>
                <w:rFonts w:ascii="宋体" w:hAnsi="宋体" w:cs="宋体" w:eastAsia="宋体" w:hint="default"/>
                <w:sz w:val="18"/>
                <w:szCs w:val="18"/>
              </w:rPr>
              <w:t>技术的远距离身份验证识别装置</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ZL201721082060.8</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2018.04.27</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7258915</w:t>
            </w:r>
          </w:p>
        </w:tc>
      </w:tr>
      <w:tr>
        <w:trPr>
          <w:trHeight w:val="432" w:hRule="exact"/>
        </w:trPr>
        <w:tc>
          <w:tcPr>
            <w:tcW w:w="365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会议报到机</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ZL201830284069.0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2018.11.23</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4922891</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名称</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35"/>
              <w:jc w:val="right"/>
              <w:rPr>
                <w:rFonts w:ascii="宋体" w:hAnsi="宋体" w:cs="宋体" w:eastAsia="宋体" w:hint="default"/>
                <w:sz w:val="18"/>
                <w:szCs w:val="18"/>
              </w:rPr>
            </w:pPr>
            <w:r>
              <w:rPr>
                <w:rFonts w:ascii="宋体" w:hAnsi="宋体" w:cs="宋体" w:eastAsia="宋体" w:hint="default"/>
                <w:sz w:val="18"/>
                <w:szCs w:val="18"/>
              </w:rPr>
              <w:t>发证日期</w:t>
            </w:r>
          </w:p>
        </w:tc>
      </w:tr>
      <w:tr>
        <w:trPr>
          <w:trHeight w:val="744"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2350551</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51"/>
              <w:ind w:left="-5" w:right="-15"/>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灵洞数据平台</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6"/>
                <w:sz w:val="18"/>
                <w:szCs w:val="18"/>
              </w:rPr>
              <w:t>实时流式数据计算系统</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2"/>
                <w:sz w:val="18"/>
                <w:szCs w:val="18"/>
              </w:rPr>
              <w:t>简称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2"/>
                <w:sz w:val="18"/>
                <w:szCs w:val="18"/>
              </w:rPr>
              <w:t>灵洞平</w:t>
            </w:r>
            <w:r>
              <w:rPr>
                <w:rFonts w:ascii="宋体" w:hAnsi="宋体" w:cs="宋体" w:eastAsia="宋体" w:hint="default"/>
                <w:spacing w:val="-87"/>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2018.01.10</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2452147</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烟草行业人事工资管理平台</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2018.02.24</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2641621</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烟草行业采购管理系统</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2018.05.08</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2904246</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合同审批签订平台</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2018.07.23</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3085551</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卷烟叶组配方设计管理软件</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2018.09.18</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3085389</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卷烟材料装潢设计管理软件</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2018.09.18</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3085068</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卷烟香精香料配方设计管理软件</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2018.09.18</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3085259</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卷烟材料参数设计管理软件</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2018.09.18</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3140184</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卷烟产品研发综合管理软件</w:t>
            </w:r>
            <w:r>
              <w:rPr>
                <w:rFonts w:ascii="Times New Roman" w:hAnsi="Times New Roman" w:cs="Times New Roman" w:eastAsia="Times New Roman" w:hint="default"/>
                <w:sz w:val="18"/>
                <w:szCs w:val="18"/>
              </w:rPr>
              <w:t>V2.0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2018.10.11</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3102307</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企业信息监测分析平台</w:t>
            </w:r>
            <w:r>
              <w:rPr>
                <w:rFonts w:ascii="Times New Roman" w:hAnsi="Times New Roman" w:cs="Times New Roman" w:eastAsia="Times New Roman" w:hint="default"/>
                <w:sz w:val="18"/>
                <w:szCs w:val="18"/>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2018.09.25</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3274971</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珠宝玉石与贵金属在线检测综合管理平台</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2018.11.27</w:t>
            </w:r>
          </w:p>
        </w:tc>
      </w:tr>
      <w:tr>
        <w:trPr>
          <w:trHeight w:val="432" w:hRule="exact"/>
        </w:trPr>
        <w:tc>
          <w:tcPr>
            <w:tcW w:w="22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3274992</w:t>
            </w:r>
            <w:r>
              <w:rPr>
                <w:rFonts w:ascii="宋体" w:hAnsi="宋体" w:cs="宋体" w:eastAsia="宋体" w:hint="default"/>
                <w:sz w:val="18"/>
                <w:szCs w:val="18"/>
              </w:rPr>
              <w:t>号</w:t>
            </w:r>
          </w:p>
        </w:tc>
        <w:tc>
          <w:tcPr>
            <w:tcW w:w="43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珠宝玉石与贵金属检测数据综合分析系统</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2018.11.27</w:t>
            </w:r>
          </w:p>
        </w:tc>
      </w:tr>
    </w:tbl>
    <w:p>
      <w:pPr>
        <w:pStyle w:val="BodyText"/>
        <w:spacing w:line="408" w:lineRule="auto" w:before="63"/>
        <w:ind w:left="595" w:right="1115" w:hanging="84"/>
        <w:jc w:val="left"/>
      </w:pPr>
      <w:r>
        <w:rPr/>
        <w:t>（三）拥有信息技术领域一流人才优势 </w:t>
      </w:r>
      <w:r>
        <w:rPr>
          <w:spacing w:val="-1"/>
        </w:rPr>
        <w:t>公司承继中国科学院成都计算机应用研究所深厚的科研积淀和一大批高素质科研人才，是中科院在西</w:t>
      </w:r>
    </w:p>
    <w:p>
      <w:pPr>
        <w:pStyle w:val="BodyText"/>
        <w:spacing w:line="240" w:lineRule="auto" w:before="46"/>
        <w:ind w:right="0"/>
        <w:jc w:val="left"/>
      </w:pPr>
      <w:r>
        <w:rPr>
          <w:spacing w:val="-3"/>
        </w:rPr>
        <w:t>部地区最重要的数学与计算机科学研究基地。报告期内，中国科学院大学在本公司设有</w:t>
      </w:r>
      <w:r>
        <w:rPr>
          <w:color w:val="333333"/>
          <w:spacing w:val="-3"/>
        </w:rPr>
        <w:t>计算机软件与理论、</w:t>
      </w:r>
      <w:r>
        <w:rPr>
          <w:spacing w:val="-3"/>
        </w:rPr>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9"/>
        <w:jc w:val="both"/>
      </w:pPr>
      <w:r>
        <w:rPr/>
        <w:t>计算机应用技术、计算机技术、软件工程</w:t>
      </w:r>
      <w:r>
        <w:rPr>
          <w:rFonts w:ascii="宋体" w:hAnsi="宋体" w:cs="宋体" w:eastAsia="宋体" w:hint="default"/>
        </w:rPr>
        <w:t>4</w:t>
      </w:r>
      <w:r>
        <w:rPr/>
        <w:t>个硕士培养点，计算机软件与理论</w:t>
      </w:r>
      <w:r>
        <w:rPr>
          <w:rFonts w:ascii="宋体" w:hAnsi="宋体" w:cs="宋体" w:eastAsia="宋体" w:hint="default"/>
        </w:rPr>
        <w:t>1</w:t>
      </w:r>
      <w:r>
        <w:rPr/>
        <w:t>个博士点，</w:t>
      </w:r>
      <w:r>
        <w:rPr>
          <w:rFonts w:ascii="宋体" w:hAnsi="宋体" w:cs="宋体" w:eastAsia="宋体" w:hint="default"/>
        </w:rPr>
        <w:t>1</w:t>
      </w:r>
      <w:r>
        <w:rPr/>
        <w:t>个计算机科学</w:t>
      </w:r>
      <w:r>
        <w:rPr>
          <w:spacing w:val="-28"/>
        </w:rPr>
        <w:t> </w:t>
      </w:r>
      <w:r>
        <w:rPr>
          <w:spacing w:val="-28"/>
        </w:rPr>
      </w:r>
      <w:r>
        <w:rPr/>
        <w:t>与技术博士后科研工作站，在读研究生</w:t>
      </w:r>
      <w:r>
        <w:rPr>
          <w:rFonts w:ascii="宋体" w:hAnsi="宋体" w:cs="宋体" w:eastAsia="宋体" w:hint="default"/>
        </w:rPr>
        <w:t>120</w:t>
      </w:r>
      <w:r>
        <w:rPr/>
        <w:t>名，在站博士后</w:t>
      </w:r>
      <w:r>
        <w:rPr>
          <w:rFonts w:ascii="宋体" w:hAnsi="宋体" w:cs="宋体" w:eastAsia="宋体" w:hint="default"/>
        </w:rPr>
        <w:t>1</w:t>
      </w:r>
      <w:r>
        <w:rPr/>
        <w:t>名。公司拥有</w:t>
      </w:r>
      <w:r>
        <w:rPr>
          <w:rFonts w:ascii="宋体" w:hAnsi="宋体" w:cs="宋体" w:eastAsia="宋体" w:hint="default"/>
        </w:rPr>
        <w:t>8</w:t>
      </w:r>
      <w:r>
        <w:rPr/>
        <w:t>名博士生导师，</w:t>
      </w:r>
      <w:r>
        <w:rPr>
          <w:rFonts w:ascii="宋体" w:hAnsi="宋体" w:cs="宋体" w:eastAsia="宋体" w:hint="default"/>
        </w:rPr>
        <w:t>13</w:t>
      </w:r>
      <w:r>
        <w:rPr/>
        <w:t>名硕士生导</w:t>
      </w:r>
      <w:r>
        <w:rPr>
          <w:spacing w:val="-29"/>
        </w:rPr>
        <w:t> </w:t>
      </w:r>
      <w:r>
        <w:rPr>
          <w:spacing w:val="-29"/>
        </w:rPr>
      </w:r>
      <w:r>
        <w:rPr/>
        <w:t>师，正高级工程师</w:t>
      </w:r>
      <w:r>
        <w:rPr>
          <w:rFonts w:ascii="宋体" w:hAnsi="宋体" w:cs="宋体" w:eastAsia="宋体" w:hint="default"/>
        </w:rPr>
        <w:t>13</w:t>
      </w:r>
      <w:r>
        <w:rPr/>
        <w:t>人，高级工程师</w:t>
      </w:r>
      <w:r>
        <w:rPr>
          <w:rFonts w:ascii="宋体" w:hAnsi="宋体" w:cs="宋体" w:eastAsia="宋体" w:hint="default"/>
        </w:rPr>
        <w:t>64</w:t>
      </w:r>
      <w:r>
        <w:rPr/>
        <w:t>人。</w:t>
      </w:r>
    </w:p>
    <w:p>
      <w:pPr>
        <w:pStyle w:val="BodyText"/>
        <w:spacing w:line="408" w:lineRule="auto" w:before="46"/>
        <w:ind w:right="1131" w:firstLine="421"/>
        <w:jc w:val="both"/>
      </w:pPr>
      <w:r>
        <w:rPr>
          <w:spacing w:val="-1"/>
        </w:rPr>
        <w:t>公司技术与研发人才梯队完整，人才引进、培养、激励、留人机制健全，在业务实践中培养和引进了</w:t>
      </w:r>
      <w:r>
        <w:rPr/>
        <w:t> </w:t>
      </w:r>
      <w:r>
        <w:rPr>
          <w:spacing w:val="-1"/>
        </w:rPr>
        <w:t>一大批既精通专业技术又具备行业经验的复合型人才，并为其打造晋升通道、制定职业生涯规划，为人才</w:t>
      </w:r>
      <w:r>
        <w:rPr>
          <w:spacing w:val="-83"/>
        </w:rPr>
        <w:t> </w:t>
      </w:r>
      <w:r>
        <w:rPr>
          <w:spacing w:val="-83"/>
        </w:rPr>
      </w:r>
      <w:r>
        <w:rPr/>
        <w:t>施展才华提供各种平台和机会。</w:t>
      </w:r>
    </w:p>
    <w:p>
      <w:pPr>
        <w:pStyle w:val="BodyText"/>
        <w:spacing w:line="408" w:lineRule="auto" w:before="46"/>
        <w:ind w:left="595" w:right="0" w:hanging="84"/>
        <w:jc w:val="left"/>
      </w:pPr>
      <w:r>
        <w:rPr/>
        <w:t>（四）拥有国家和地方支持的行业政策优势 </w:t>
      </w:r>
      <w:r>
        <w:rPr>
          <w:spacing w:val="-4"/>
        </w:rPr>
        <w:t>人工智能成为国际竞争的新焦点、经济发展的新引擎，其研发应用与产业推进已上升到国家战略层面。</w:t>
      </w:r>
    </w:p>
    <w:p>
      <w:pPr>
        <w:pStyle w:val="BodyText"/>
        <w:spacing w:line="386" w:lineRule="auto" w:before="46"/>
        <w:ind w:right="0"/>
        <w:jc w:val="left"/>
      </w:pPr>
      <w:r>
        <w:rPr>
          <w:spacing w:val="-2"/>
        </w:rPr>
        <w:t>国家工信部在印发的《促进新一代人工智能产业发展三年行动计划（</w:t>
      </w:r>
      <w:r>
        <w:rPr>
          <w:rFonts w:ascii="Times New Roman" w:hAnsi="Times New Roman" w:cs="Times New Roman" w:eastAsia="Times New Roman" w:hint="default"/>
          <w:spacing w:val="-2"/>
        </w:rPr>
        <w:t>2018-2020</w:t>
      </w:r>
      <w:r>
        <w:rPr>
          <w:spacing w:val="-2"/>
        </w:rPr>
        <w:t>年）》中明确提出，要推进</w:t>
      </w:r>
      <w:r>
        <w:rPr>
          <w:spacing w:val="-101"/>
        </w:rPr>
        <w:t> </w:t>
      </w:r>
      <w:r>
        <w:rPr>
          <w:spacing w:val="-101"/>
        </w:rPr>
      </w:r>
      <w:r>
        <w:rPr/>
        <w:t>人工智能和制造业深度融合，加快制造强国和网络强国建设。</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日，在第十三届全国人民代表大 </w:t>
      </w:r>
      <w:r>
        <w:rPr>
          <w:spacing w:val="-1"/>
        </w:rPr>
        <w:t>会第一次会议上，国务院总理李克强在政府工作报告中提出：</w:t>
      </w:r>
      <w:r>
        <w:rPr>
          <w:rFonts w:ascii="Times New Roman" w:hAnsi="Times New Roman" w:cs="Times New Roman" w:eastAsia="Times New Roman" w:hint="default"/>
          <w:spacing w:val="-1"/>
        </w:rPr>
        <w:t>“</w:t>
      </w:r>
      <w:r>
        <w:rPr>
          <w:spacing w:val="-1"/>
        </w:rPr>
        <w:t>发展壮大新动能。做大做强新兴产业集群，</w:t>
      </w:r>
      <w:r>
        <w:rPr>
          <w:spacing w:val="-69"/>
        </w:rPr>
        <w:t> </w:t>
      </w:r>
      <w:r>
        <w:rPr>
          <w:spacing w:val="-69"/>
        </w:rPr>
      </w:r>
      <w:r>
        <w:rPr>
          <w:spacing w:val="-3"/>
        </w:rPr>
        <w:t>实施大数据发展行动，加强新一代人工智能研发应用，在医疗、养老、教育、文化、体育等多领域推进</w:t>
      </w:r>
      <w:r>
        <w:rPr>
          <w:rFonts w:ascii="Times New Roman" w:hAnsi="Times New Roman" w:cs="Times New Roman" w:eastAsia="Times New Roman" w:hint="default"/>
          <w:spacing w:val="-3"/>
        </w:rPr>
        <w:t>‘</w:t>
      </w:r>
      <w:r>
        <w:rPr>
          <w:spacing w:val="-3"/>
        </w:rPr>
        <w:t>互</w:t>
      </w:r>
      <w:r>
        <w:rPr>
          <w:spacing w:val="-60"/>
        </w:rPr>
        <w:t> </w:t>
      </w:r>
      <w:r>
        <w:rPr>
          <w:spacing w:val="-4"/>
        </w:rPr>
        <w:t>联网</w:t>
      </w:r>
      <w:r>
        <w:rPr>
          <w:rFonts w:ascii="Times New Roman" w:hAnsi="Times New Roman" w:cs="Times New Roman" w:eastAsia="Times New Roman" w:hint="default"/>
          <w:spacing w:val="-4"/>
        </w:rPr>
        <w:t>+’</w:t>
      </w:r>
      <w:r>
        <w:rPr>
          <w:spacing w:val="-4"/>
        </w:rPr>
        <w:t>，发展智能生活。运用新技术、新业态、新模式，大力改造提升传统产业。</w:t>
      </w:r>
      <w:r>
        <w:rPr>
          <w:rFonts w:ascii="Times New Roman" w:hAnsi="Times New Roman" w:cs="Times New Roman" w:eastAsia="Times New Roman" w:hint="default"/>
          <w:spacing w:val="-4"/>
        </w:rPr>
        <w:t>”</w:t>
      </w:r>
      <w:r>
        <w:rPr>
          <w:spacing w:val="-4"/>
        </w:rPr>
        <w:t>四川省也大力推进以</w:t>
      </w:r>
      <w:r>
        <w:rPr>
          <w:rFonts w:ascii="Times New Roman" w:hAnsi="Times New Roman" w:cs="Times New Roman" w:eastAsia="Times New Roman" w:hint="default"/>
          <w:spacing w:val="-4"/>
        </w:rPr>
        <w:t>“</w:t>
      </w:r>
      <w:r>
        <w:rPr>
          <w:spacing w:val="-4"/>
        </w:rPr>
        <w:t>数</w:t>
      </w:r>
      <w:r>
        <w:rPr>
          <w:spacing w:val="-100"/>
        </w:rPr>
        <w:t> </w:t>
      </w:r>
      <w:r>
        <w:rPr/>
        <w:t>字产业化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产业数据化</w:t>
      </w:r>
      <w:r>
        <w:rPr>
          <w:rFonts w:ascii="Times New Roman" w:hAnsi="Times New Roman" w:cs="Times New Roman" w:eastAsia="Times New Roman" w:hint="default"/>
        </w:rPr>
        <w:t>”</w:t>
      </w:r>
      <w:r>
        <w:rPr/>
        <w:t>为核心的</w:t>
      </w:r>
      <w:r>
        <w:rPr>
          <w:rFonts w:ascii="Times New Roman" w:hAnsi="Times New Roman" w:cs="Times New Roman" w:eastAsia="Times New Roman" w:hint="default"/>
        </w:rPr>
        <w:t>“5+1”</w:t>
      </w:r>
      <w:r>
        <w:rPr/>
        <w:t>现代产业体系建设，推动数字经济和实体经济融合发展。四川省</w:t>
      </w:r>
      <w:r>
        <w:rPr>
          <w:spacing w:val="-89"/>
        </w:rPr>
        <w:t> </w:t>
      </w:r>
      <w:r>
        <w:rPr>
          <w:spacing w:val="-89"/>
        </w:rPr>
      </w:r>
      <w:r>
        <w:rPr/>
        <w:t>和成都市推出了新一代人工智能实施意见、推进方案和系列专项政策。</w:t>
      </w:r>
    </w:p>
    <w:p>
      <w:pPr>
        <w:pStyle w:val="BodyText"/>
        <w:spacing w:line="398" w:lineRule="auto" w:before="166"/>
        <w:ind w:right="1130" w:firstLine="441"/>
        <w:jc w:val="both"/>
      </w:pPr>
      <w:r>
        <w:rPr>
          <w:spacing w:val="-1"/>
        </w:rPr>
        <w:t>随着人工智能成为新一轮产业变革的核心驱动力，各行各业为提升产业效率，都加快了与人工智能技</w:t>
      </w:r>
      <w:r>
        <w:rPr/>
        <w:t> </w:t>
      </w:r>
      <w:r>
        <w:rPr>
          <w:spacing w:val="-2"/>
        </w:rPr>
        <w:t>术结合的进程</w:t>
      </w:r>
      <w:r>
        <w:rPr>
          <w:rFonts w:ascii="Times New Roman" w:hAnsi="Times New Roman" w:cs="Times New Roman" w:eastAsia="Times New Roman" w:hint="default"/>
          <w:spacing w:val="-2"/>
        </w:rPr>
        <w:t>,</w:t>
      </w:r>
      <w:r>
        <w:rPr>
          <w:spacing w:val="-2"/>
        </w:rPr>
        <w:t>公司服务的主要行业在信息化建设方面保持旺盛需求。在智慧政务领域，《</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国家政</w:t>
      </w:r>
      <w:r>
        <w:rPr>
          <w:spacing w:val="-61"/>
        </w:rPr>
        <w:t> </w:t>
      </w:r>
      <w:r>
        <w:rPr/>
        <w:t>务信息化工程建设规划》要求建设</w:t>
      </w:r>
      <w:r>
        <w:rPr>
          <w:rFonts w:ascii="Times New Roman" w:hAnsi="Times New Roman" w:cs="Times New Roman" w:eastAsia="Times New Roman" w:hint="default"/>
        </w:rPr>
        <w:t>“</w:t>
      </w:r>
      <w:r>
        <w:rPr/>
        <w:t>大平台、大数据、大系统</w:t>
      </w:r>
      <w:r>
        <w:rPr>
          <w:rFonts w:ascii="Times New Roman" w:hAnsi="Times New Roman" w:cs="Times New Roman" w:eastAsia="Times New Roman" w:hint="default"/>
        </w:rPr>
        <w:t>”</w:t>
      </w:r>
      <w:r>
        <w:rPr/>
        <w:t>，建设全国一体化的国家大数据中心。在全 </w:t>
      </w:r>
      <w:r>
        <w:rPr>
          <w:spacing w:val="-1"/>
        </w:rPr>
        <w:t>球范围内，运用大数据推动智慧政务正成为趋势，借助大数据分析技术实现智慧感知，全面、精准、及时</w:t>
      </w:r>
      <w:r>
        <w:rPr>
          <w:spacing w:val="-83"/>
        </w:rPr>
        <w:t> </w:t>
      </w:r>
      <w:r>
        <w:rPr>
          <w:spacing w:val="-83"/>
        </w:rPr>
      </w:r>
      <w:r>
        <w:rPr>
          <w:spacing w:val="-1"/>
        </w:rPr>
        <w:t>了解公众的多样化需求，并做出针对性响应，实现良性互动，以有效决策。在烟草领域，国家烟草专卖局</w:t>
      </w:r>
    </w:p>
    <w:p>
      <w:pPr>
        <w:pStyle w:val="BodyText"/>
        <w:spacing w:line="405" w:lineRule="auto" w:before="54"/>
        <w:ind w:right="1023"/>
        <w:jc w:val="left"/>
      </w:pPr>
      <w:r>
        <w:rPr/>
        <w:t>《烟草行业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规划》部署的</w:t>
      </w:r>
      <w:r>
        <w:rPr>
          <w:spacing w:val="-21"/>
        </w:rPr>
        <w:t> </w:t>
      </w:r>
      <w:r>
        <w:rPr>
          <w:rFonts w:ascii="Times New Roman" w:hAnsi="Times New Roman" w:cs="Times New Roman" w:eastAsia="Times New Roman" w:hint="default"/>
        </w:rPr>
        <w:t>“</w:t>
      </w:r>
      <w:r>
        <w:rPr/>
        <w:t>深入实施创新驱动发展战略，引领行业转型升级；提高烟叶生产现代 化水平；提高卷烟流通现代化水平”</w:t>
      </w:r>
      <w:r>
        <w:rPr>
          <w:spacing w:val="-1"/>
        </w:rPr>
        <w:t> </w:t>
      </w:r>
      <w:r>
        <w:rPr/>
        <w:t>等十一项主要发展任务正在切实推进。在油气领域，国家发展改革</w:t>
      </w:r>
      <w:r>
        <w:rPr/>
        <w:t> 委、能源局编制的《石油发展“十三五”规划》要求，通过加强科技创新和提高装备自主化水平，加快技 </w:t>
      </w:r>
      <w:r>
        <w:rPr>
          <w:spacing w:val="-3"/>
        </w:rPr>
        <w:t>术集成、配套、示范与推广，推进新区建产和难动用储量经济性开发。研发一批支撑资源开发的重大装备，</w:t>
      </w:r>
      <w:r>
        <w:rPr>
          <w:spacing w:val="-96"/>
        </w:rPr>
        <w:t> </w:t>
      </w:r>
      <w:r>
        <w:rPr>
          <w:spacing w:val="-96"/>
        </w:rPr>
      </w:r>
      <w:r>
        <w:rPr/>
        <w:t>开展功能材料、纳米材料、大数据分析等前瞻性技术在油气领域的应用研究。到</w:t>
      </w:r>
      <w:r>
        <w:rPr>
          <w:rFonts w:ascii="宋体" w:hAnsi="宋体" w:cs="宋体" w:eastAsia="宋体" w:hint="default"/>
        </w:rPr>
        <w:t>2020</w:t>
      </w:r>
      <w:r>
        <w:rPr/>
        <w:t>年，形成国际先进水 平的石油工程装备、配套工具系列和研发制造技术，支撑行业可持续发展。</w:t>
      </w:r>
    </w:p>
    <w:p>
      <w:pPr>
        <w:pStyle w:val="BodyText"/>
        <w:spacing w:line="408" w:lineRule="auto" w:before="148"/>
        <w:ind w:left="575" w:right="0" w:firstLine="42"/>
        <w:jc w:val="left"/>
      </w:pPr>
      <w:r>
        <w:rPr/>
        <w:t>（五）拥有稳定的客户资源及渠道支撑优势 </w:t>
      </w:r>
      <w:r>
        <w:rPr>
          <w:spacing w:val="-1"/>
        </w:rPr>
        <w:t>公司扎根于行业信息化建设，以过硬的专业技术和数十年来对行业业务特点的深入理解，为下游客户</w:t>
      </w:r>
    </w:p>
    <w:p>
      <w:pPr>
        <w:pStyle w:val="BodyText"/>
        <w:spacing w:line="240" w:lineRule="auto" w:before="46"/>
        <w:ind w:right="0"/>
        <w:jc w:val="left"/>
      </w:pPr>
      <w:r>
        <w:rPr/>
        <w:t>提供满足其特定需求的信息化系统解决方案及相关服务。众多成功应用案例和拳头产品形成的良好口碑使</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jc w:val="both"/>
      </w:pPr>
      <w:r>
        <w:rPr>
          <w:spacing w:val="-1"/>
        </w:rPr>
        <w:t>公司与业内众多有影响力的客户形成了长期合作关系，形成了较强的客户资源优势。公司以成都为研发基</w:t>
      </w:r>
      <w:r>
        <w:rPr>
          <w:spacing w:val="-81"/>
        </w:rPr>
        <w:t> </w:t>
      </w:r>
      <w:r>
        <w:rPr>
          <w:spacing w:val="-81"/>
        </w:rPr>
      </w:r>
      <w:r>
        <w:rPr>
          <w:spacing w:val="-1"/>
        </w:rPr>
        <w:t>地和销售、服务中心，在北京、河南、新疆、深圳、浙江、山西等地设立办事处或子公司，逐渐形成了以</w:t>
      </w:r>
      <w:r>
        <w:rPr>
          <w:spacing w:val="-84"/>
        </w:rPr>
        <w:t> </w:t>
      </w:r>
      <w:r>
        <w:rPr>
          <w:spacing w:val="-84"/>
        </w:rPr>
      </w:r>
      <w:r>
        <w:rPr/>
        <w:t>北京、四川、重庆、河南、新疆为核心市场区域</w:t>
      </w:r>
      <w:r>
        <w:rPr>
          <w:spacing w:val="69"/>
        </w:rPr>
        <w:t> </w:t>
      </w:r>
      <w:r>
        <w:rPr/>
        <w:t>，向上海、天津、江苏、山东、云南、贵州、浙江、黑</w:t>
      </w:r>
      <w:r>
        <w:rPr>
          <w:spacing w:val="-98"/>
        </w:rPr>
        <w:t> </w:t>
      </w:r>
      <w:r>
        <w:rPr>
          <w:spacing w:val="-98"/>
        </w:rPr>
      </w:r>
      <w:r>
        <w:rPr>
          <w:spacing w:val="-1"/>
        </w:rPr>
        <w:t>龙江、宁夏、深圳等</w:t>
      </w:r>
      <w:r>
        <w:rPr>
          <w:rFonts w:ascii="宋体" w:hAnsi="宋体" w:cs="宋体" w:eastAsia="宋体" w:hint="default"/>
          <w:spacing w:val="-1"/>
        </w:rPr>
        <w:t>28</w:t>
      </w:r>
      <w:r>
        <w:rPr>
          <w:spacing w:val="-1"/>
        </w:rPr>
        <w:t>个省、直辖市、自治区辐射的国内营销及服务网络。公司主要客户覆盖中央及国家</w:t>
      </w:r>
      <w:r>
        <w:rPr>
          <w:spacing w:val="-83"/>
        </w:rPr>
        <w:t> </w:t>
      </w:r>
      <w:r>
        <w:rPr>
          <w:spacing w:val="-83"/>
        </w:rPr>
      </w:r>
      <w:r>
        <w:rPr>
          <w:spacing w:val="-1"/>
        </w:rPr>
        <w:t>机关、各省市政府机构、中国印钞造币总公司和泰国、印尼等各国央行，以及国内外多家金融、能源、制</w:t>
      </w:r>
      <w:r>
        <w:rPr>
          <w:spacing w:val="-82"/>
        </w:rPr>
        <w:t> </w:t>
      </w:r>
      <w:r>
        <w:rPr>
          <w:spacing w:val="-82"/>
        </w:rPr>
      </w:r>
      <w:r>
        <w:rPr/>
        <w:t>造、烟草等各大中型企业。多行业丰富的客户资源保障了公司业务持续稳健的发展。</w:t>
      </w:r>
    </w:p>
    <w:p>
      <w:pPr>
        <w:spacing w:after="0" w:line="408"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right="1130" w:firstLine="384"/>
        <w:jc w:val="both"/>
      </w:pPr>
      <w:r>
        <w:rPr/>
        <w:t>报告期内，国家持续大力推进人工智能产业发展，公司紧抓机遇，坚持面向行业，结合市场形势，着 </w:t>
      </w:r>
      <w:r>
        <w:rPr>
          <w:spacing w:val="-1"/>
        </w:rPr>
        <w:t>力抓好主营业务市场开拓、重大专项任务实施及新行业拓展三方面工作。数字会议业务和油气业务发展态</w:t>
      </w:r>
      <w:r>
        <w:rPr>
          <w:spacing w:val="-81"/>
        </w:rPr>
        <w:t> </w:t>
      </w:r>
      <w:r>
        <w:rPr>
          <w:spacing w:val="-81"/>
        </w:rPr>
      </w:r>
      <w:r>
        <w:rPr>
          <w:spacing w:val="-1"/>
        </w:rPr>
        <w:t>势良好，多个主营行业业务新签合同额实现增长，新业务开拓成效明显。在公司管理层和全体员工的共同</w:t>
      </w:r>
      <w:r>
        <w:rPr>
          <w:spacing w:val="-83"/>
        </w:rPr>
        <w:t> </w:t>
      </w:r>
      <w:r>
        <w:rPr>
          <w:spacing w:val="-83"/>
        </w:rPr>
      </w:r>
      <w:r>
        <w:rPr/>
        <w:t>努力下，本报告期内，公司实现营业收入</w:t>
      </w:r>
      <w:r>
        <w:rPr>
          <w:rFonts w:ascii="Times New Roman" w:hAnsi="Times New Roman" w:cs="Times New Roman" w:eastAsia="Times New Roman" w:hint="default"/>
        </w:rPr>
        <w:t>34447</w:t>
      </w:r>
      <w:r>
        <w:rPr/>
        <w:t>万元，比去年同期增长</w:t>
      </w:r>
      <w:r>
        <w:rPr>
          <w:rFonts w:ascii="Times New Roman" w:hAnsi="Times New Roman" w:cs="Times New Roman" w:eastAsia="Times New Roman" w:hint="default"/>
        </w:rPr>
        <w:t>18.50%</w:t>
      </w:r>
      <w:r>
        <w:rPr/>
        <w:t>；实现营业利润</w:t>
      </w:r>
      <w:r>
        <w:rPr>
          <w:rFonts w:ascii="Times New Roman" w:hAnsi="Times New Roman" w:cs="Times New Roman" w:eastAsia="Times New Roman" w:hint="default"/>
        </w:rPr>
        <w:t>5220</w:t>
      </w:r>
      <w:r>
        <w:rPr/>
        <w:t>万元，</w:t>
      </w:r>
      <w:r>
        <w:rPr>
          <w:spacing w:val="-49"/>
        </w:rPr>
        <w:t> </w:t>
      </w:r>
      <w:r>
        <w:rPr>
          <w:spacing w:val="-3"/>
        </w:rPr>
        <w:t>比去年同期增长</w:t>
      </w:r>
      <w:r>
        <w:rPr>
          <w:rFonts w:ascii="Times New Roman" w:hAnsi="Times New Roman" w:cs="Times New Roman" w:eastAsia="Times New Roman" w:hint="default"/>
          <w:spacing w:val="-3"/>
        </w:rPr>
        <w:t>29.83%</w:t>
      </w:r>
      <w:r>
        <w:rPr>
          <w:spacing w:val="-3"/>
        </w:rPr>
        <w:t>；利润总额</w:t>
      </w:r>
      <w:r>
        <w:rPr>
          <w:rFonts w:ascii="Times New Roman" w:hAnsi="Times New Roman" w:cs="Times New Roman" w:eastAsia="Times New Roman" w:hint="default"/>
          <w:spacing w:val="-3"/>
        </w:rPr>
        <w:t>5225</w:t>
      </w:r>
      <w:r>
        <w:rPr>
          <w:spacing w:val="-3"/>
        </w:rPr>
        <w:t>万元，比去年同期增长</w:t>
      </w:r>
      <w:r>
        <w:rPr>
          <w:rFonts w:ascii="Times New Roman" w:hAnsi="Times New Roman" w:cs="Times New Roman" w:eastAsia="Times New Roman" w:hint="default"/>
          <w:spacing w:val="-3"/>
        </w:rPr>
        <w:t>6.77%</w:t>
      </w:r>
      <w:r>
        <w:rPr>
          <w:spacing w:val="-3"/>
        </w:rPr>
        <w:t>；归属于上市公司股东的净利润为</w:t>
      </w:r>
      <w:r>
        <w:rPr>
          <w:rFonts w:ascii="Times New Roman" w:hAnsi="Times New Roman" w:cs="Times New Roman" w:eastAsia="Times New Roman" w:hint="default"/>
          <w:spacing w:val="-3"/>
        </w:rPr>
        <w:t>4681</w:t>
      </w:r>
      <w:r>
        <w:rPr>
          <w:rFonts w:ascii="Times New Roman" w:hAnsi="Times New Roman" w:cs="Times New Roman" w:eastAsia="Times New Roman" w:hint="default"/>
          <w:spacing w:val="-50"/>
        </w:rPr>
        <w:t> </w:t>
      </w:r>
      <w:r>
        <w:rPr/>
        <w:t>万元，比去年同期增长</w:t>
      </w:r>
      <w:r>
        <w:rPr>
          <w:rFonts w:ascii="Times New Roman" w:hAnsi="Times New Roman" w:cs="Times New Roman" w:eastAsia="Times New Roman" w:hint="default"/>
        </w:rPr>
        <w:t>10.04%</w:t>
      </w:r>
      <w:r>
        <w:rPr/>
        <w:t>。</w:t>
      </w:r>
    </w:p>
    <w:p>
      <w:pPr>
        <w:pStyle w:val="BodyText"/>
        <w:spacing w:line="240" w:lineRule="auto" w:before="21"/>
        <w:ind w:left="617" w:right="0"/>
        <w:jc w:val="left"/>
      </w:pPr>
      <w:r>
        <w:rPr/>
        <w:t>报告期内，公司主要经营情况回顾如下：</w:t>
      </w:r>
    </w:p>
    <w:p>
      <w:pPr>
        <w:spacing w:line="240" w:lineRule="auto" w:before="10"/>
        <w:rPr>
          <w:rFonts w:ascii="宋体" w:hAnsi="宋体" w:cs="宋体" w:eastAsia="宋体" w:hint="default"/>
          <w:sz w:val="14"/>
          <w:szCs w:val="14"/>
        </w:rPr>
      </w:pPr>
    </w:p>
    <w:p>
      <w:pPr>
        <w:pStyle w:val="BodyText"/>
        <w:spacing w:line="408" w:lineRule="auto"/>
        <w:ind w:left="574" w:right="0" w:hanging="105"/>
        <w:jc w:val="left"/>
      </w:pPr>
      <w:r>
        <w:rPr/>
        <w:t>（一）圆满完成第十三全国“两会”服务任务 </w:t>
      </w:r>
      <w:r>
        <w:rPr>
          <w:spacing w:val="-1"/>
        </w:rPr>
        <w:t>公司研制的第九代电子选举系统、电子表决系统于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月在第十三届全国“两会”的全程使用中，</w:t>
      </w:r>
    </w:p>
    <w:p>
      <w:pPr>
        <w:pStyle w:val="BodyText"/>
        <w:spacing w:line="408" w:lineRule="auto" w:before="46"/>
        <w:ind w:right="1130"/>
        <w:jc w:val="both"/>
      </w:pPr>
      <w:r>
        <w:rPr>
          <w:spacing w:val="-1"/>
        </w:rPr>
        <w:t>准确、快速、稳定的优良性能得到充分发挥，圆满完成了选举、表决服务任务。这是公司自主研发的两大</w:t>
      </w:r>
      <w:r>
        <w:rPr>
          <w:spacing w:val="-83"/>
        </w:rPr>
        <w:t> </w:t>
      </w:r>
      <w:r>
        <w:rPr>
          <w:spacing w:val="-83"/>
        </w:rPr>
      </w:r>
      <w:r>
        <w:rPr>
          <w:spacing w:val="-1"/>
        </w:rPr>
        <w:t>智能化数字会议产品首次同时为国家级会议提供服务，得到了党和国家领导人及与会代表的高度赞誉。会</w:t>
      </w:r>
      <w:r>
        <w:rPr>
          <w:spacing w:val="-80"/>
        </w:rPr>
        <w:t> </w:t>
      </w:r>
      <w:r>
        <w:rPr>
          <w:spacing w:val="-80"/>
        </w:rPr>
      </w:r>
      <w:r>
        <w:rPr>
          <w:spacing w:val="-1"/>
        </w:rPr>
        <w:t>后，全国政协十三届一次会议秘书处、全国人大一次会议秘书处专门发来《感谢信》，感谢信高度肯定了</w:t>
      </w:r>
      <w:r>
        <w:rPr>
          <w:spacing w:val="-83"/>
        </w:rPr>
        <w:t> </w:t>
      </w:r>
      <w:r>
        <w:rPr>
          <w:spacing w:val="-83"/>
        </w:rPr>
      </w:r>
      <w:r>
        <w:rPr>
          <w:spacing w:val="-1"/>
        </w:rPr>
        <w:t>公司电子选举、表决系统的优良性能，并对项目组在工作中体现出的政治意识、大局意识和敬业奉献精神</w:t>
      </w:r>
      <w:r>
        <w:rPr>
          <w:spacing w:val="-83"/>
        </w:rPr>
        <w:t> </w:t>
      </w:r>
      <w:r>
        <w:rPr>
          <w:spacing w:val="-83"/>
        </w:rPr>
      </w:r>
      <w:r>
        <w:rPr/>
        <w:t>给予了高度评价。</w:t>
      </w:r>
    </w:p>
    <w:p>
      <w:pPr>
        <w:pStyle w:val="BodyText"/>
        <w:spacing w:line="408" w:lineRule="auto" w:before="46"/>
        <w:ind w:left="574" w:right="7707" w:hanging="105"/>
        <w:jc w:val="left"/>
      </w:pPr>
      <w:r>
        <w:rPr/>
        <w:t>（二）专注主营业务市场开拓 </w:t>
      </w:r>
      <w:r>
        <w:rPr>
          <w:rFonts w:ascii="宋体" w:hAnsi="宋体" w:cs="宋体" w:eastAsia="宋体" w:hint="default"/>
        </w:rPr>
        <w:t>1</w:t>
      </w:r>
      <w:r>
        <w:rPr/>
        <w:t>、数字会议领域</w:t>
      </w:r>
    </w:p>
    <w:p>
      <w:pPr>
        <w:pStyle w:val="BodyText"/>
        <w:spacing w:line="391" w:lineRule="auto" w:before="46"/>
        <w:ind w:right="1109" w:firstLine="420"/>
        <w:jc w:val="both"/>
      </w:pPr>
      <w:r>
        <w:rPr/>
        <w:t>公司积极利用为党的</w:t>
      </w:r>
      <w:r>
        <w:rPr>
          <w:rFonts w:ascii="Times New Roman" w:hAnsi="Times New Roman" w:cs="Times New Roman" w:eastAsia="Times New Roman" w:hint="default"/>
        </w:rPr>
        <w:t>“</w:t>
      </w:r>
      <w:r>
        <w:rPr/>
        <w:t>十九大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2018</w:t>
      </w:r>
      <w:r>
        <w:rPr/>
        <w:t>年全国</w:t>
      </w:r>
      <w:r>
        <w:rPr>
          <w:rFonts w:ascii="Times New Roman" w:hAnsi="Times New Roman" w:cs="Times New Roman" w:eastAsia="Times New Roman" w:hint="default"/>
        </w:rPr>
        <w:t>“</w:t>
      </w:r>
      <w:r>
        <w:rPr/>
        <w:t>两会</w:t>
      </w:r>
      <w:r>
        <w:rPr>
          <w:rFonts w:ascii="Times New Roman" w:hAnsi="Times New Roman" w:cs="Times New Roman" w:eastAsia="Times New Roman" w:hint="default"/>
        </w:rPr>
        <w:t>”</w:t>
      </w:r>
      <w:r>
        <w:rPr/>
        <w:t>成功服务所带来的良好示范效应，加强营销中心建 设，大力推进新型电子表决市场拓展，同时</w:t>
      </w:r>
      <w:r>
        <w:rPr>
          <w:rFonts w:ascii="Times New Roman" w:hAnsi="Times New Roman" w:cs="Times New Roman" w:eastAsia="Times New Roman" w:hint="default"/>
        </w:rPr>
        <w:t>“</w:t>
      </w:r>
      <w:r>
        <w:rPr/>
        <w:t>智慧人大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计票通</w:t>
      </w:r>
      <w:r>
        <w:rPr>
          <w:rFonts w:ascii="Times New Roman" w:hAnsi="Times New Roman" w:cs="Times New Roman" w:eastAsia="Times New Roman" w:hint="default"/>
        </w:rPr>
        <w:t>”</w:t>
      </w:r>
      <w:r>
        <w:rPr/>
        <w:t>业务的市场持续扩大，降低了会议选举</w:t>
      </w:r>
      <w:r>
        <w:rPr>
          <w:spacing w:val="-85"/>
        </w:rPr>
        <w:t> </w:t>
      </w:r>
      <w:r>
        <w:rPr>
          <w:spacing w:val="-85"/>
        </w:rPr>
      </w:r>
      <w:r>
        <w:rPr/>
        <w:t>服务周期性特点对数字会议整体业绩的影响。新型电子表决系统产品取得多个省级大会堂表决项目订单， </w:t>
      </w:r>
      <w:r>
        <w:rPr>
          <w:spacing w:val="-1"/>
        </w:rPr>
        <w:t>保证了营业收入和营业利润的平稳。报告期内，数字会议领域业务实现营业收入</w:t>
      </w:r>
      <w:r>
        <w:rPr>
          <w:rFonts w:ascii="Times New Roman" w:hAnsi="Times New Roman" w:cs="Times New Roman" w:eastAsia="Times New Roman" w:hint="default"/>
          <w:spacing w:val="-1"/>
        </w:rPr>
        <w:t>7588</w:t>
      </w:r>
      <w:r>
        <w:rPr>
          <w:spacing w:val="-1"/>
        </w:rPr>
        <w:t>万元，较选举高峰年</w:t>
      </w:r>
      <w:r>
        <w:rPr>
          <w:spacing w:val="-82"/>
        </w:rPr>
        <w:t> </w:t>
      </w:r>
      <w:r>
        <w:rPr>
          <w:spacing w:val="-82"/>
        </w:rPr>
      </w:r>
      <w:r>
        <w:rPr/>
        <w:t>份的</w:t>
      </w:r>
      <w:r>
        <w:rPr>
          <w:rFonts w:ascii="Times New Roman" w:hAnsi="Times New Roman" w:cs="Times New Roman" w:eastAsia="Times New Roman" w:hint="default"/>
        </w:rPr>
        <w:t>2017</w:t>
      </w:r>
      <w:r>
        <w:rPr/>
        <w:t>年同期下降</w:t>
      </w:r>
      <w:r>
        <w:rPr>
          <w:rFonts w:ascii="Times New Roman" w:hAnsi="Times New Roman" w:cs="Times New Roman" w:eastAsia="Times New Roman" w:hint="default"/>
        </w:rPr>
        <w:t>14.93%</w:t>
      </w:r>
      <w:r>
        <w:rPr/>
        <w:t>，实现毛利</w:t>
      </w:r>
      <w:r>
        <w:rPr>
          <w:rFonts w:ascii="Times New Roman" w:hAnsi="Times New Roman" w:cs="Times New Roman" w:eastAsia="Times New Roman" w:hint="default"/>
        </w:rPr>
        <w:t>2662</w:t>
      </w:r>
      <w:r>
        <w:rPr/>
        <w:t>万元。</w:t>
      </w:r>
    </w:p>
    <w:p>
      <w:pPr>
        <w:pStyle w:val="BodyText"/>
        <w:spacing w:line="386" w:lineRule="auto" w:before="30"/>
        <w:ind w:left="595" w:right="0"/>
        <w:jc w:val="left"/>
      </w:pPr>
      <w:r>
        <w:rPr>
          <w:rFonts w:ascii="Times New Roman" w:hAnsi="Times New Roman" w:cs="Times New Roman" w:eastAsia="Times New Roman" w:hint="default"/>
        </w:rPr>
        <w:t>2</w:t>
      </w:r>
      <w:r>
        <w:rPr/>
        <w:t>、政府及事业单位领域 </w:t>
      </w:r>
      <w:r>
        <w:rPr>
          <w:spacing w:val="-3"/>
        </w:rPr>
        <w:t>公司积极顺应行业信息技术发展趋势，深度参与</w:t>
      </w:r>
      <w:r>
        <w:rPr>
          <w:rFonts w:ascii="Times New Roman" w:hAnsi="Times New Roman" w:cs="Times New Roman" w:eastAsia="Times New Roman" w:hint="default"/>
          <w:spacing w:val="-3"/>
        </w:rPr>
        <w:t>“</w:t>
      </w:r>
      <w:r>
        <w:rPr>
          <w:spacing w:val="-3"/>
        </w:rPr>
        <w:t>数字中国</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新型智慧城市</w:t>
      </w:r>
      <w:r>
        <w:rPr>
          <w:rFonts w:ascii="Times New Roman" w:hAnsi="Times New Roman" w:cs="Times New Roman" w:eastAsia="Times New Roman" w:hint="default"/>
          <w:spacing w:val="-3"/>
        </w:rPr>
        <w:t>”</w:t>
      </w:r>
      <w:r>
        <w:rPr>
          <w:spacing w:val="-3"/>
        </w:rPr>
        <w:t>建设，凭借在人工智能、</w:t>
      </w:r>
    </w:p>
    <w:p>
      <w:pPr>
        <w:pStyle w:val="BodyText"/>
        <w:spacing w:line="408" w:lineRule="auto" w:before="35"/>
        <w:ind w:right="1130"/>
        <w:jc w:val="both"/>
      </w:pPr>
      <w:r>
        <w:rPr>
          <w:spacing w:val="-1"/>
        </w:rPr>
        <w:t>大数据等技术领域的深厚积累，先后在智慧教育、智慧统计、智慧民生和区域经济大数据分析等多个领域</w:t>
      </w:r>
      <w:r>
        <w:rPr>
          <w:spacing w:val="-83"/>
        </w:rPr>
        <w:t> </w:t>
      </w:r>
      <w:r>
        <w:rPr>
          <w:spacing w:val="-83"/>
        </w:rPr>
      </w:r>
      <w:r>
        <w:rPr>
          <w:spacing w:val="-1"/>
        </w:rPr>
        <w:t>取得成功实践，公司积极开拓智慧教育、智慧统计业务取得成效。实施完成了西华大学宜宾研究院智慧教</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育、成都市（区）纪监委、成都市（区）统计局智慧统计等信息化项目。公司承担的成都市统计局统计数</w:t>
      </w:r>
      <w:r>
        <w:rPr>
          <w:spacing w:val="-85"/>
        </w:rPr>
        <w:t> </w:t>
      </w:r>
      <w:r>
        <w:rPr>
          <w:spacing w:val="-85"/>
        </w:rPr>
      </w:r>
      <w:r>
        <w:rPr/>
        <w:t>据管理与挖掘分析平台（</w:t>
      </w:r>
      <w:r>
        <w:rPr>
          <w:spacing w:val="-21"/>
        </w:rPr>
        <w:t> </w:t>
      </w:r>
      <w:r>
        <w:rPr/>
        <w:t>一期）项目获得验收组专家评委高度肯定，代表了当前国内智慧统计大数据建</w:t>
      </w:r>
      <w:r>
        <w:rPr/>
        <w:t> </w:t>
      </w:r>
      <w:r>
        <w:rPr>
          <w:spacing w:val="-1"/>
        </w:rPr>
        <w:t>设的先进水平，在政府统计信息化领域具有标杆示范意义。报告期内，政府及事业单位领域业务实现营业</w:t>
      </w:r>
      <w:r>
        <w:rPr>
          <w:spacing w:val="-83"/>
        </w:rPr>
        <w:t> </w:t>
      </w:r>
      <w:r>
        <w:rPr>
          <w:spacing w:val="-83"/>
        </w:rPr>
      </w:r>
      <w:r>
        <w:rPr/>
        <w:t>收入</w:t>
      </w:r>
      <w:r>
        <w:rPr>
          <w:rFonts w:ascii="Times New Roman" w:hAnsi="Times New Roman" w:cs="Times New Roman" w:eastAsia="Times New Roman" w:hint="default"/>
        </w:rPr>
        <w:t>11157</w:t>
      </w:r>
      <w:r>
        <w:rPr/>
        <w:t>万元，较去年同期增长</w:t>
      </w:r>
      <w:r>
        <w:rPr>
          <w:rFonts w:ascii="Times New Roman" w:hAnsi="Times New Roman" w:cs="Times New Roman" w:eastAsia="Times New Roman" w:hint="default"/>
        </w:rPr>
        <w:t>142.35%</w:t>
      </w:r>
      <w:r>
        <w:rPr/>
        <w:t>，实现毛利</w:t>
      </w:r>
      <w:r>
        <w:rPr>
          <w:rFonts w:ascii="Times New Roman" w:hAnsi="Times New Roman" w:cs="Times New Roman" w:eastAsia="Times New Roman" w:hint="default"/>
        </w:rPr>
        <w:t>1656</w:t>
      </w:r>
      <w:r>
        <w:rPr/>
        <w:t>万元。</w:t>
      </w:r>
    </w:p>
    <w:p>
      <w:pPr>
        <w:pStyle w:val="BodyText"/>
        <w:spacing w:line="386" w:lineRule="auto" w:before="14"/>
        <w:ind w:left="574" w:right="1009"/>
        <w:jc w:val="left"/>
      </w:pPr>
      <w:r>
        <w:rPr>
          <w:rFonts w:ascii="Times New Roman" w:hAnsi="Times New Roman" w:cs="Times New Roman" w:eastAsia="Times New Roman" w:hint="default"/>
        </w:rPr>
        <w:t>3</w:t>
      </w:r>
      <w:r>
        <w:rPr/>
        <w:t>、烟草领域 </w:t>
      </w:r>
      <w:r>
        <w:rPr>
          <w:spacing w:val="-5"/>
        </w:rPr>
        <w:t>烟草行业整体发展态势良好，行业市场拓展持续推进，新签合同额较</w:t>
      </w:r>
      <w:r>
        <w:rPr>
          <w:rFonts w:ascii="Times New Roman" w:hAnsi="Times New Roman" w:cs="Times New Roman" w:eastAsia="Times New Roman" w:hint="default"/>
          <w:spacing w:val="-5"/>
        </w:rPr>
        <w:t>2017</w:t>
      </w:r>
      <w:r>
        <w:rPr>
          <w:spacing w:val="-5"/>
        </w:rPr>
        <w:t>年显著增长，同比增长</w:t>
      </w:r>
      <w:r>
        <w:rPr>
          <w:rFonts w:ascii="Times New Roman" w:hAnsi="Times New Roman" w:cs="Times New Roman" w:eastAsia="Times New Roman" w:hint="default"/>
          <w:spacing w:val="-5"/>
        </w:rPr>
        <w:t>35.9%</w:t>
      </w:r>
      <w:r>
        <w:rPr>
          <w:spacing w:val="-5"/>
        </w:rPr>
        <w:t>。</w:t>
      </w:r>
    </w:p>
    <w:p>
      <w:pPr>
        <w:pStyle w:val="BodyText"/>
        <w:spacing w:line="398" w:lineRule="auto" w:before="35"/>
        <w:ind w:right="1128"/>
        <w:jc w:val="both"/>
      </w:pPr>
      <w:r>
        <w:rPr>
          <w:spacing w:val="-1"/>
        </w:rPr>
        <w:t>现有烟草市场得到进一步巩固，智能制造、生产大数据分析、智慧园区、烟叶智能收购线等行业智能化业</w:t>
      </w:r>
      <w:r>
        <w:rPr>
          <w:spacing w:val="-86"/>
        </w:rPr>
        <w:t> </w:t>
      </w:r>
      <w:r>
        <w:rPr>
          <w:spacing w:val="-86"/>
        </w:rPr>
      </w:r>
      <w:r>
        <w:rPr/>
        <w:t>务持续扩大。报告期内，烟草领域业务实现营业收入</w:t>
      </w:r>
      <w:r>
        <w:rPr>
          <w:rFonts w:ascii="Times New Roman" w:hAnsi="Times New Roman" w:cs="Times New Roman" w:eastAsia="Times New Roman" w:hint="default"/>
        </w:rPr>
        <w:t>6118</w:t>
      </w:r>
      <w:r>
        <w:rPr/>
        <w:t>万元，较去年同期增长</w:t>
      </w:r>
      <w:r>
        <w:rPr>
          <w:rFonts w:ascii="Times New Roman" w:hAnsi="Times New Roman" w:cs="Times New Roman" w:eastAsia="Times New Roman" w:hint="default"/>
        </w:rPr>
        <w:t>2.22%</w:t>
      </w:r>
      <w:r>
        <w:rPr/>
        <w:t>，实现毛利</w:t>
      </w:r>
      <w:r>
        <w:rPr>
          <w:rFonts w:ascii="Times New Roman" w:hAnsi="Times New Roman" w:cs="Times New Roman" w:eastAsia="Times New Roman" w:hint="default"/>
        </w:rPr>
        <w:t>1757</w:t>
      </w:r>
      <w:r>
        <w:rPr/>
        <w:t>万</w:t>
      </w:r>
      <w:r>
        <w:rPr>
          <w:spacing w:val="-47"/>
        </w:rPr>
        <w:t> </w:t>
      </w:r>
      <w:r>
        <w:rPr/>
        <w:t>元；公司加大争取烟草农业和商业领域信息化项目的力度，从而保证了营业收入和营业利润的稳定。</w:t>
      </w:r>
    </w:p>
    <w:p>
      <w:pPr>
        <w:pStyle w:val="BodyText"/>
        <w:spacing w:line="386" w:lineRule="auto" w:before="54"/>
        <w:ind w:left="574" w:right="0"/>
        <w:jc w:val="left"/>
      </w:pPr>
      <w:r>
        <w:rPr>
          <w:rFonts w:ascii="Times New Roman" w:hAnsi="Times New Roman" w:cs="Times New Roman" w:eastAsia="Times New Roman" w:hint="default"/>
        </w:rPr>
        <w:t>4</w:t>
      </w:r>
      <w:r>
        <w:rPr/>
        <w:t>、印钞检测领域 印钞质量检测需求筑底回升，中钞科信新签合同额同比大幅增长，同比增长</w:t>
      </w:r>
      <w:r>
        <w:rPr>
          <w:rFonts w:ascii="Times New Roman" w:hAnsi="Times New Roman" w:cs="Times New Roman" w:eastAsia="Times New Roman" w:hint="default"/>
        </w:rPr>
        <w:t>35.2%</w:t>
      </w:r>
      <w:r>
        <w:rPr/>
        <w:t>。凹印离线设备助</w:t>
      </w:r>
    </w:p>
    <w:p>
      <w:pPr>
        <w:pStyle w:val="BodyText"/>
        <w:spacing w:line="408" w:lineRule="auto" w:before="35"/>
        <w:ind w:right="0"/>
        <w:jc w:val="left"/>
      </w:pPr>
      <w:r>
        <w:rPr>
          <w:spacing w:val="-1"/>
        </w:rPr>
        <w:t>力香港印钞行业正式进入机检时代，品检机成功应用于印尼印钞公司，得到客户高度认可。报告期内，中</w:t>
      </w:r>
      <w:r>
        <w:rPr>
          <w:spacing w:val="-85"/>
        </w:rPr>
        <w:t> </w:t>
      </w:r>
      <w:r>
        <w:rPr>
          <w:spacing w:val="-85"/>
        </w:rPr>
      </w:r>
      <w:r>
        <w:rPr/>
        <w:t>钞科信印钞检测领域业务实现营业收入</w:t>
      </w:r>
      <w:r>
        <w:rPr>
          <w:rFonts w:ascii="Times New Roman" w:hAnsi="Times New Roman" w:cs="Times New Roman" w:eastAsia="Times New Roman" w:hint="default"/>
        </w:rPr>
        <w:t>11603</w:t>
      </w:r>
      <w:r>
        <w:rPr/>
        <w:t>万元，净利润</w:t>
      </w:r>
      <w:r>
        <w:rPr>
          <w:rFonts w:ascii="Times New Roman" w:hAnsi="Times New Roman" w:cs="Times New Roman" w:eastAsia="Times New Roman" w:hint="default"/>
        </w:rPr>
        <w:t>1393</w:t>
      </w:r>
      <w:r>
        <w:rPr/>
        <w:t>万元。</w:t>
      </w:r>
    </w:p>
    <w:p>
      <w:pPr>
        <w:pStyle w:val="BodyText"/>
        <w:spacing w:line="386" w:lineRule="auto" w:before="14"/>
        <w:ind w:left="574" w:right="1118"/>
        <w:jc w:val="left"/>
      </w:pPr>
      <w:r>
        <w:rPr>
          <w:rFonts w:ascii="Times New Roman" w:hAnsi="Times New Roman" w:cs="Times New Roman" w:eastAsia="Times New Roman" w:hint="default"/>
        </w:rPr>
        <w:t>5</w:t>
      </w:r>
      <w:r>
        <w:rPr/>
        <w:t>、油气领域 </w:t>
      </w:r>
      <w:r>
        <w:rPr>
          <w:spacing w:val="3"/>
        </w:rPr>
        <w:t>公司持续提升项目质量和管理效率，实施完成了塔里木油田与新区块产能建设相关的自控与通信系</w:t>
      </w:r>
    </w:p>
    <w:p>
      <w:pPr>
        <w:pStyle w:val="BodyText"/>
        <w:spacing w:line="408" w:lineRule="auto" w:before="65"/>
        <w:ind w:right="1023"/>
        <w:jc w:val="left"/>
      </w:pPr>
      <w:r>
        <w:rPr/>
        <w:t>统、智能监控系统等信息化建设项目，以客户的高满意度实现市场地位的进一步巩固。公司一方面大力拓 </w:t>
      </w:r>
      <w:r>
        <w:rPr>
          <w:spacing w:val="-3"/>
        </w:rPr>
        <w:t>展油田智能化业务市场，一方面持续跟进自控通信、安防达标及作业区生产系统等新市场开拓。报告期内，</w:t>
      </w:r>
      <w:r>
        <w:rPr>
          <w:spacing w:val="-90"/>
        </w:rPr>
        <w:t> </w:t>
      </w:r>
      <w:r>
        <w:rPr>
          <w:spacing w:val="-90"/>
        </w:rPr>
      </w:r>
      <w:r>
        <w:rPr/>
        <w:t>油气领域业务实现营业收入</w:t>
      </w:r>
      <w:r>
        <w:rPr>
          <w:rFonts w:ascii="Times New Roman" w:hAnsi="Times New Roman" w:cs="Times New Roman" w:eastAsia="Times New Roman" w:hint="default"/>
        </w:rPr>
        <w:t>6021</w:t>
      </w:r>
      <w:r>
        <w:rPr/>
        <w:t>万元，较去年同期下降</w:t>
      </w:r>
      <w:r>
        <w:rPr>
          <w:rFonts w:ascii="Times New Roman" w:hAnsi="Times New Roman" w:cs="Times New Roman" w:eastAsia="Times New Roman" w:hint="default"/>
        </w:rPr>
        <w:t>17.53%</w:t>
      </w:r>
      <w:r>
        <w:rPr/>
        <w:t>，实现毛利</w:t>
      </w:r>
      <w:r>
        <w:rPr>
          <w:rFonts w:ascii="Times New Roman" w:hAnsi="Times New Roman" w:cs="Times New Roman" w:eastAsia="Times New Roman" w:hint="default"/>
        </w:rPr>
        <w:t>2890</w:t>
      </w:r>
      <w:r>
        <w:rPr/>
        <w:t>万元。</w:t>
      </w:r>
    </w:p>
    <w:p>
      <w:pPr>
        <w:pStyle w:val="BodyText"/>
        <w:spacing w:line="386" w:lineRule="auto" w:before="14"/>
        <w:ind w:left="574" w:right="1125"/>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、其他行业领域 </w:t>
      </w:r>
      <w:r>
        <w:rPr>
          <w:spacing w:val="-1"/>
        </w:rPr>
        <w:t>报告期内，公司在其他行业领域业务实现营业收入</w:t>
      </w:r>
      <w:r>
        <w:rPr>
          <w:rFonts w:ascii="Times New Roman" w:hAnsi="Times New Roman" w:cs="Times New Roman" w:eastAsia="Times New Roman" w:hint="default"/>
          <w:spacing w:val="-1"/>
        </w:rPr>
        <w:t>3562</w:t>
      </w:r>
      <w:r>
        <w:rPr>
          <w:spacing w:val="-1"/>
        </w:rPr>
        <w:t>万元，较去年同期增长</w:t>
      </w:r>
      <w:r>
        <w:rPr>
          <w:rFonts w:ascii="Times New Roman" w:hAnsi="Times New Roman" w:cs="Times New Roman" w:eastAsia="Times New Roman" w:hint="default"/>
          <w:spacing w:val="-1"/>
        </w:rPr>
        <w:t>57.68%</w:t>
      </w:r>
      <w:r>
        <w:rPr>
          <w:spacing w:val="-1"/>
        </w:rPr>
        <w:t>，实现毛利</w:t>
      </w:r>
      <w:r>
        <w:rPr>
          <w:rFonts w:ascii="Times New Roman" w:hAnsi="Times New Roman" w:cs="Times New Roman" w:eastAsia="Times New Roman" w:hint="default"/>
          <w:spacing w:val="-1"/>
        </w:rPr>
        <w:t>1452</w:t>
      </w:r>
    </w:p>
    <w:p>
      <w:pPr>
        <w:pStyle w:val="BodyText"/>
        <w:spacing w:line="240" w:lineRule="auto" w:before="35"/>
        <w:ind w:right="0"/>
        <w:jc w:val="left"/>
      </w:pPr>
      <w:r>
        <w:rPr/>
        <w:t>万元；该类收入主要来源于完成了四川路桥集团信息系统及中移动信息系统的技术服务与开发等项目。</w:t>
      </w:r>
    </w:p>
    <w:p>
      <w:pPr>
        <w:spacing w:line="240" w:lineRule="auto" w:before="10"/>
        <w:rPr>
          <w:rFonts w:ascii="宋体" w:hAnsi="宋体" w:cs="宋体" w:eastAsia="宋体" w:hint="default"/>
          <w:sz w:val="14"/>
          <w:szCs w:val="14"/>
        </w:rPr>
      </w:pPr>
    </w:p>
    <w:p>
      <w:pPr>
        <w:pStyle w:val="BodyText"/>
        <w:spacing w:line="408" w:lineRule="auto"/>
        <w:ind w:left="574" w:right="0" w:hanging="168"/>
        <w:jc w:val="left"/>
      </w:pPr>
      <w:r>
        <w:rPr/>
        <w:t>（二）新行业业务开拓顺利 </w:t>
      </w:r>
      <w:r>
        <w:rPr>
          <w:spacing w:val="-1"/>
        </w:rPr>
        <w:t>经食管超声模拟教学系统在四川、上海、深圳、甘肃、河南等地多家三甲医院实现推广销售，面向断</w:t>
      </w:r>
    </w:p>
    <w:p>
      <w:pPr>
        <w:pStyle w:val="BodyText"/>
        <w:spacing w:line="408" w:lineRule="auto" w:before="46"/>
        <w:ind w:right="1131"/>
        <w:jc w:val="both"/>
      </w:pPr>
      <w:r>
        <w:rPr>
          <w:spacing w:val="-1"/>
        </w:rPr>
        <w:t>层解剖的临床超声数字人、围术期人体生命基本功能智能化动态监测等新产品为公司智慧医疗业务抢占市</w:t>
      </w:r>
      <w:r>
        <w:rPr>
          <w:spacing w:val="-81"/>
        </w:rPr>
        <w:t> </w:t>
      </w:r>
      <w:r>
        <w:rPr>
          <w:spacing w:val="-81"/>
        </w:rPr>
      </w:r>
      <w:r>
        <w:rPr>
          <w:spacing w:val="-1"/>
        </w:rPr>
        <w:t>场制高点创造了条件。面向统计领域的大数据管理与挖掘分析项目得到用户高度肯定，市区县相关区域经</w:t>
      </w:r>
      <w:r>
        <w:rPr>
          <w:spacing w:val="-81"/>
        </w:rPr>
        <w:t> </w:t>
      </w:r>
      <w:r>
        <w:rPr>
          <w:spacing w:val="-81"/>
        </w:rPr>
      </w:r>
      <w:r>
        <w:rPr/>
        <w:t>济大数据分析市场拓展有序推进。</w:t>
      </w:r>
    </w:p>
    <w:p>
      <w:pPr>
        <w:pStyle w:val="BodyText"/>
        <w:spacing w:line="408" w:lineRule="auto" w:before="46"/>
        <w:ind w:left="574" w:right="0" w:hanging="168"/>
        <w:jc w:val="left"/>
      </w:pPr>
      <w:r>
        <w:rPr/>
        <w:t>（三）团队及人才队伍建设 </w:t>
      </w:r>
      <w:r>
        <w:rPr>
          <w:spacing w:val="-1"/>
        </w:rPr>
        <w:t>公司持续招聘录用新员工，核心人才队伍保持稳定。持续投入专项资金开展员工业务技能培训，不断</w:t>
      </w:r>
    </w:p>
    <w:p>
      <w:pPr>
        <w:pStyle w:val="BodyText"/>
        <w:spacing w:line="408" w:lineRule="auto" w:before="46"/>
        <w:ind w:right="0"/>
        <w:jc w:val="left"/>
      </w:pPr>
      <w:r>
        <w:rPr>
          <w:spacing w:val="-1"/>
        </w:rPr>
        <w:t>提升员工综合素质。高度重视人才储备，优化干部队伍结构，大力培养具有发展潜力的年轻人才，提拔了</w:t>
      </w:r>
      <w:r>
        <w:rPr>
          <w:spacing w:val="-86"/>
        </w:rPr>
        <w:t> </w:t>
      </w:r>
      <w:r>
        <w:rPr>
          <w:spacing w:val="-86"/>
        </w:rPr>
      </w:r>
      <w:r>
        <w:rPr/>
        <w:t>一批</w:t>
      </w:r>
      <w:r>
        <w:rPr>
          <w:rFonts w:ascii="Times New Roman" w:hAnsi="Times New Roman" w:cs="Times New Roman" w:eastAsia="Times New Roman" w:hint="default"/>
        </w:rPr>
        <w:t>80</w:t>
      </w:r>
      <w:r>
        <w:rPr/>
        <w:t>后年轻干部充实到中层干部队伍。</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95" w:right="0" w:hanging="190"/>
        <w:jc w:val="left"/>
      </w:pPr>
      <w:r>
        <w:rPr/>
        <w:t>（四）研发投入持续增加 </w:t>
      </w:r>
      <w:r>
        <w:rPr>
          <w:spacing w:val="-2"/>
        </w:rPr>
        <w:t>报告期内，公司研发支出</w:t>
      </w:r>
      <w:r>
        <w:rPr>
          <w:rFonts w:ascii="Times New Roman" w:hAnsi="Times New Roman" w:cs="Times New Roman" w:eastAsia="Times New Roman" w:hint="default"/>
          <w:spacing w:val="-2"/>
        </w:rPr>
        <w:t>1752</w:t>
      </w:r>
      <w:r>
        <w:rPr>
          <w:spacing w:val="-2"/>
        </w:rPr>
        <w:t>万元，较去年同期增长</w:t>
      </w:r>
      <w:r>
        <w:rPr>
          <w:rFonts w:ascii="Times New Roman" w:hAnsi="Times New Roman" w:cs="Times New Roman" w:eastAsia="Times New Roman" w:hint="default"/>
          <w:spacing w:val="-2"/>
        </w:rPr>
        <w:t>35.29%</w:t>
      </w:r>
      <w:r>
        <w:rPr>
          <w:spacing w:val="-2"/>
        </w:rPr>
        <w:t>。为增强企业发展后劲以及竞争力，公司</w:t>
      </w:r>
    </w:p>
    <w:p>
      <w:pPr>
        <w:pStyle w:val="BodyText"/>
        <w:spacing w:line="403" w:lineRule="auto" w:before="14"/>
        <w:ind w:right="1026"/>
        <w:jc w:val="both"/>
      </w:pPr>
      <w:r>
        <w:rPr/>
        <w:t>加大了人工智能应用的关键领域</w:t>
      </w:r>
      <w:r>
        <w:rPr>
          <w:rFonts w:ascii="Times New Roman" w:hAnsi="Times New Roman" w:cs="Times New Roman" w:eastAsia="Times New Roman" w:hint="default"/>
        </w:rPr>
        <w:t>——</w:t>
      </w:r>
      <w:r>
        <w:rPr/>
        <w:t>智能制造、智慧医疗和智慧政务新技术的研发投入力度，在工业视觉 检测、生产大数据分析、设备智慧管理、基于深度学习的心脏超声图像分割、经食道超声检测、政务大数 据监测与区域经济分析等方面均开展了深入研究，并取得预期成效。公司继续对智能化会议选举和表决新 技术、印钞检测技术进行研发投入，在高速图像精准识别、大席位表决信息安全可靠采集等进行了进一步 </w:t>
      </w:r>
      <w:r>
        <w:rPr>
          <w:spacing w:val="-3"/>
        </w:rPr>
        <w:t>研究并取得大的进展。通过研发持续投入，继续保持公司在高速图像处理、智能分析技术领域的领先地位。</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54" w:right="13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11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0"/>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3"/>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5"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2"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43,903,521.6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47,395,935.0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58,645,918.4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194,522,076.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26,766,530.9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56,115,170.6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42,302,609.4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165,510,014.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r>
      <w:tr>
        <w:trPr>
          <w:trHeight w:val="393"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563,291.64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11,994,617.4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689,248.00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33,560,042.7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13,349,862.8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-43,190.95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30,331,506.4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380"/>
        <w:jc w:val="both"/>
      </w:pPr>
      <w:r>
        <w:rPr/>
        <w:t>公司所处行业具有一定的季节性，下游政府、石油、烟草等行业客户以国家机关或大型国有企事业单 </w:t>
      </w:r>
      <w:r>
        <w:rPr>
          <w:spacing w:val="-1"/>
        </w:rPr>
        <w:t>位为主，其信息化采购具有较为规范的采购机制和采购流程，按预算决算体制执行，通常在上半年对全年</w:t>
      </w:r>
      <w:r>
        <w:rPr>
          <w:spacing w:val="-83"/>
        </w:rPr>
        <w:t> </w:t>
      </w:r>
      <w:r>
        <w:rPr>
          <w:spacing w:val="-83"/>
        </w:rPr>
      </w:r>
      <w:r>
        <w:rPr>
          <w:spacing w:val="-1"/>
        </w:rPr>
        <w:t>具体实施的信息化应用系统进行立项、采购和实施，项目验收和结款一般集中在第四季度，公司收入通常</w:t>
      </w:r>
      <w:r>
        <w:rPr>
          <w:spacing w:val="-83"/>
        </w:rPr>
        <w:t> </w:t>
      </w:r>
      <w:r>
        <w:rPr>
          <w:spacing w:val="-83"/>
        </w:rPr>
      </w:r>
      <w:r>
        <w:rPr/>
        <w:t>在一个完整会计年度内存在季节性波动风险。</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344,467,451.37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290,694,326.03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数字会议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75,880,006.06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89,196,851.95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烟草行业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61,180,106.36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59,853,717.20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油气行业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60,211,036.60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73,012,790.17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政府及事业单位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111,572,032.76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46,037,639.05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35,624,269.59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22,593,327.66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信息化解决方案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221,744,486.31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176,099,367.99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118,718,159.06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110,767,914.25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4,004,806.00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3,827,043.79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4,699,003.14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10,641,275.78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33,945,483.41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36,560,824.99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27,024,026.27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19,900,515.49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6,762,018.04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6,322,836.44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7,927,764.92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27,177,429.39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59,900,439.96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87,508,781.37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204,208,715.63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102,582,662.57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spacing w:line="35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是</w:t>
      </w:r>
    </w:p>
    <w:p>
      <w:pPr>
        <w:spacing w:before="33"/>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数字会议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75,880,006.06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49,261,246.32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烟草行业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61,180,106.36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43,609,238.02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油气行业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60,211,036.60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31,306,228.06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政府及事业单位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111,572,032.76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95,005,948.47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35,624,269.59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21,102,977.49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信息化解决方案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221,744,486.31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157,471,749.96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118,718,159.06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82,562,310.22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4,004,806.00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251,578.18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4,699,003.14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4,638,230.87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-46.11%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33,945,483.41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25,054,121.72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27,024,026.27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16,723,566.65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6,762,018.04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2,853,010.03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7,927,764.92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4,703,116.89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59,900,439.96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28,821,000.46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204,208,715.63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157,492,591.74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84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after="0" w:line="33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3"/>
              <w:jc w:val="left"/>
              <w:rPr>
                <w:rFonts w:ascii="宋体" w:hAnsi="宋体" w:cs="宋体" w:eastAsia="宋体" w:hint="default"/>
                <w:sz w:val="18"/>
                <w:szCs w:val="18"/>
              </w:rPr>
            </w:pPr>
            <w:r>
              <w:rPr>
                <w:rFonts w:ascii="宋体" w:hAnsi="宋体" w:cs="宋体" w:eastAsia="宋体" w:hint="default"/>
                <w:sz w:val="18"/>
                <w:szCs w:val="18"/>
              </w:rPr>
              <w:t>外购材料及服务成 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208,043,164.32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154,240,799.15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31,990,895.86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34,538,970.44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信息化解决方案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7,262,495.86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9,743,728.38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信息化解决方案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外购材料及服务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150,209,254.10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111,385,668.05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技术服务与开发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24,795,242.06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技术服务与开发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外购材料及服务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57,833,910.22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42,855,131.10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r>
    </w:tbl>
    <w:p>
      <w:pPr>
        <w:spacing w:line="357" w:lineRule="auto" w:before="51"/>
        <w:ind w:left="154" w:right="1039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101,413,500.37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32,266,379.31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20,070,943.38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20,070,343.45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15,455,625.99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13,550,208.24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101,413,500.37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27,037,596.24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9,813,653.11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6,891,896.55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3,879,310.34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3,431,034.47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3,021,701.77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27,037,596.24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26,935,419.00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26,767,370.71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21,417,556.65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20,775,198.00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-4,542,056.87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-1,680,146.88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170.34%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年公司流动资金较为紧张，仅从</w:t>
            </w:r>
          </w:p>
          <w:p>
            <w:pPr>
              <w:pStyle w:val="TableParagraph"/>
              <w:spacing w:line="307"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月以后组织了定期存款，因</w:t>
            </w:r>
            <w:r>
              <w:rPr>
                <w:rFonts w:ascii="宋体" w:hAnsi="宋体" w:cs="宋体" w:eastAsia="宋体" w:hint="default"/>
                <w:sz w:val="18"/>
                <w:szCs w:val="18"/>
              </w:rPr>
              <w:t> </w:t>
            </w:r>
            <w:r>
              <w:rPr>
                <w:rFonts w:ascii="宋体" w:hAnsi="宋体" w:cs="宋体" w:eastAsia="宋体" w:hint="default"/>
                <w:spacing w:val="-3"/>
                <w:sz w:val="18"/>
                <w:szCs w:val="18"/>
              </w:rPr>
              <w:t>此利息收入较少。</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年，为增加效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益，积极组织闲置资金存放为定期存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款，利息收入显著增加。</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98"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62" w:right="0"/>
              <w:jc w:val="left"/>
              <w:rPr>
                <w:rFonts w:ascii="Times New Roman" w:hAnsi="Times New Roman" w:cs="Times New Roman" w:eastAsia="Times New Roman" w:hint="default"/>
                <w:sz w:val="18"/>
                <w:szCs w:val="18"/>
              </w:rPr>
            </w:pPr>
            <w:r>
              <w:rPr>
                <w:rFonts w:ascii="Times New Roman"/>
                <w:sz w:val="18"/>
              </w:rPr>
              <w:t>17,515,831.67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70" w:right="0"/>
              <w:jc w:val="left"/>
              <w:rPr>
                <w:rFonts w:ascii="Times New Roman" w:hAnsi="Times New Roman" w:cs="Times New Roman" w:eastAsia="Times New Roman" w:hint="default"/>
                <w:sz w:val="18"/>
                <w:szCs w:val="18"/>
              </w:rPr>
            </w:pPr>
            <w:r>
              <w:rPr>
                <w:rFonts w:ascii="Times New Roman"/>
                <w:sz w:val="18"/>
              </w:rPr>
              <w:t>12,946,436.26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35.29%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面对日新月异的人工智能技术革新 浪潮，公司在智慧医疗、智慧教育、 大数据分析等领域增加了研发投入，</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98"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67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为公司未来发展进行技术储备、奠定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坚实的基础。</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5" w:lineRule="auto" w:before="153"/>
        <w:ind w:right="1023" w:firstLine="441"/>
        <w:jc w:val="left"/>
      </w:pPr>
      <w:r>
        <w:rPr/>
        <w:t>公司始终坚持</w:t>
      </w:r>
      <w:r>
        <w:rPr>
          <w:rFonts w:ascii="Times New Roman" w:hAnsi="Times New Roman" w:cs="Times New Roman" w:eastAsia="Times New Roman" w:hint="default"/>
        </w:rPr>
        <w:t>“</w:t>
      </w:r>
      <w:r>
        <w:rPr/>
        <w:t>创新驱动发展</w:t>
      </w:r>
      <w:r>
        <w:rPr>
          <w:rFonts w:ascii="Times New Roman" w:hAnsi="Times New Roman" w:cs="Times New Roman" w:eastAsia="Times New Roman" w:hint="default"/>
        </w:rPr>
        <w:t>”</w:t>
      </w:r>
      <w:r>
        <w:rPr/>
        <w:t>战略，在自主核心技术研发上持续投入，以不断提升在高速机器视觉、 智能识别与分析技术方面的核心竞争力，保持国内同行业的领先地位。通过对国家人工智能发展战略和新 一代信息技术与行业发展趋势的深入分析，紧紧面向行业客户需求，积极研发既满足市场需求又具有行业 领先性的产品和技术，使产品线不断拓宽，除政府、烟草、印钞、石油行业外，还为金融、医疗、教育、 交通、公安、军工等多个行业开发出相应的领先产品、技术和解决方案。报告期内，公司加快了在人工智 </w:t>
      </w:r>
      <w:r>
        <w:rPr>
          <w:spacing w:val="-3"/>
        </w:rPr>
        <w:t>能、云计算、大数据方面的技术与产品研发步伐，聚焦智慧医疗、智慧教育、智慧政务领域增加资源投入，</w:t>
      </w:r>
      <w:r>
        <w:rPr>
          <w:spacing w:val="-94"/>
        </w:rPr>
        <w:t> </w:t>
      </w:r>
      <w:r>
        <w:rPr>
          <w:spacing w:val="-94"/>
        </w:rPr>
      </w:r>
      <w:r>
        <w:rPr/>
        <w:t>大批创新产品进入市场推广。基于高速机器视觉技术的数字会议系列产品及解决方案在全国推广应用。新</w:t>
      </w:r>
      <w:r>
        <w:rPr/>
        <w:t> 型电子选举、表决系统的成功研发及圆满完成第十三届全国</w:t>
      </w:r>
      <w:r>
        <w:rPr>
          <w:rFonts w:ascii="Times New Roman" w:hAnsi="Times New Roman" w:cs="Times New Roman" w:eastAsia="Times New Roman" w:hint="default"/>
        </w:rPr>
        <w:t>“</w:t>
      </w:r>
      <w:r>
        <w:rPr/>
        <w:t>两会</w:t>
      </w:r>
      <w:r>
        <w:rPr>
          <w:rFonts w:ascii="Times New Roman" w:hAnsi="Times New Roman" w:cs="Times New Roman" w:eastAsia="Times New Roman" w:hint="default"/>
        </w:rPr>
        <w:t>”</w:t>
      </w:r>
      <w:r>
        <w:rPr/>
        <w:t>服务任务，同时有效保障了地方选举、 表决市场订单的高速增长；智能医学系列产品得到用户肯定，人体生命基本功能的智能化动态监测和调控 解决方案达到智能医学领域世界前沿水平。基于大数据、人工智能、移动互联网等关键技术的智慧政务领 域相关信息化平台、产品与解决方案，在智慧统计、智慧民生、智慧水务等领域开始推广应用。视频大数 据智能检索分析、复杂动态环境人脸识别、视频会议人员与视频质量检测、工业过程质量检测等系统进入 应用推广。印钞涂布检测系统突破行业技术难关并形成量产销售，卷烟厂智慧设备管理系统与生产智慧管 理系统、布匹瑕疵检测系统、银行冠字号流转管理系统、统计大数据分析系统均在行业内获得好评。众多 新产品的应用将支撑公司业务持续良好发展。</w:t>
      </w:r>
    </w:p>
    <w:p>
      <w:pPr>
        <w:spacing w:before="36"/>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17,515,831.67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12,946,436.26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8,187,295.80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spacing w:before="44"/>
        <w:ind w:left="154" w:right="-18"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6"/>
        <w:ind w:left="15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本报告期内，公司无研发支出资本化项目。</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349,302,229.80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281,736,058.39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362,035,155.19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269,683,731.65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-12,732,925.39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12,052,326.74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-205.65%</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134,051,674.88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3,169.47%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131,815,690.24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147,257,301.63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2,235,984.64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-143,157,201.63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-101.56%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4,999,621.17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-4,999,621.17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-103.37%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-15,496,561.92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17,070,125.11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-190.78%</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3" w:lineRule="auto" w:before="153"/>
        <w:ind w:left="351" w:right="1131" w:firstLine="420"/>
        <w:jc w:val="both"/>
      </w:pPr>
      <w:r>
        <w:rPr>
          <w:spacing w:val="-1"/>
        </w:rPr>
        <w:t>本报告期内，经营活动现金流入小计同比增长</w:t>
      </w:r>
      <w:r>
        <w:rPr>
          <w:rFonts w:ascii="Times New Roman" w:hAnsi="Times New Roman" w:cs="Times New Roman" w:eastAsia="Times New Roman" w:hint="default"/>
          <w:spacing w:val="-1"/>
        </w:rPr>
        <w:t>23.98%</w:t>
      </w:r>
      <w:r>
        <w:rPr>
          <w:spacing w:val="-1"/>
        </w:rPr>
        <w:t>的主要原因是：公司加大了项目合同款、投标</w:t>
      </w:r>
      <w:r>
        <w:rPr/>
        <w:t> </w:t>
      </w:r>
      <w:r>
        <w:rPr>
          <w:spacing w:val="-1"/>
        </w:rPr>
        <w:t>保证金等款项催收力度，收款状况良好所致。经营活动现金流出小计同比增长</w:t>
      </w:r>
      <w:r>
        <w:rPr>
          <w:rFonts w:ascii="Times New Roman" w:hAnsi="Times New Roman" w:cs="Times New Roman" w:eastAsia="Times New Roman" w:hint="default"/>
          <w:spacing w:val="-1"/>
        </w:rPr>
        <w:t>34.24%</w:t>
      </w:r>
      <w:r>
        <w:rPr>
          <w:spacing w:val="-1"/>
        </w:rPr>
        <w:t>的主要原因是：随</w:t>
      </w:r>
      <w:r>
        <w:rPr>
          <w:spacing w:val="-87"/>
        </w:rPr>
        <w:t> </w:t>
      </w:r>
      <w:r>
        <w:rPr>
          <w:spacing w:val="-87"/>
        </w:rPr>
      </w:r>
      <w:r>
        <w:rPr>
          <w:spacing w:val="-1"/>
        </w:rPr>
        <w:t>着公司订单增加，且大部分新订单需要前期垫付成本实施所致。综合上述原因导致经营活动现金流量净</w:t>
      </w:r>
      <w:r>
        <w:rPr>
          <w:spacing w:val="-70"/>
        </w:rPr>
        <w:t> </w:t>
      </w:r>
      <w:r>
        <w:rPr>
          <w:spacing w:val="-70"/>
        </w:rPr>
      </w:r>
      <w:r>
        <w:rPr/>
        <w:t>额同比下降</w:t>
      </w:r>
      <w:r>
        <w:rPr>
          <w:rFonts w:ascii="Times New Roman" w:hAnsi="Times New Roman" w:cs="Times New Roman" w:eastAsia="Times New Roman" w:hint="default"/>
        </w:rPr>
        <w:t>205.65%</w:t>
      </w:r>
      <w:r>
        <w:rPr/>
        <w:t>。</w:t>
      </w:r>
    </w:p>
    <w:p>
      <w:pPr>
        <w:pStyle w:val="BodyText"/>
        <w:spacing w:line="386" w:lineRule="auto" w:before="28"/>
        <w:ind w:left="351" w:right="1131" w:firstLine="420"/>
        <w:jc w:val="both"/>
      </w:pPr>
      <w:r>
        <w:rPr>
          <w:spacing w:val="-2"/>
        </w:rPr>
        <w:t>投资活动现金流入小计同比增长</w:t>
      </w:r>
      <w:r>
        <w:rPr>
          <w:rFonts w:ascii="Times New Roman" w:hAnsi="Times New Roman" w:cs="Times New Roman" w:eastAsia="Times New Roman" w:hint="default"/>
          <w:spacing w:val="-2"/>
        </w:rPr>
        <w:t>3,169.47%</w:t>
      </w:r>
      <w:r>
        <w:rPr>
          <w:spacing w:val="-2"/>
        </w:rPr>
        <w:t>的主要原因是：收回到期定期存款资金所致。投资活动现</w:t>
      </w:r>
      <w:r>
        <w:rPr/>
        <w:t> </w:t>
      </w:r>
      <w:r>
        <w:rPr>
          <w:spacing w:val="-1"/>
        </w:rPr>
        <w:t>金流出小计同比下降</w:t>
      </w:r>
      <w:r>
        <w:rPr>
          <w:rFonts w:ascii="Times New Roman" w:hAnsi="Times New Roman" w:cs="Times New Roman" w:eastAsia="Times New Roman" w:hint="default"/>
          <w:spacing w:val="-1"/>
        </w:rPr>
        <w:t>10.49%</w:t>
      </w:r>
      <w:r>
        <w:rPr>
          <w:spacing w:val="-1"/>
        </w:rPr>
        <w:t>的主要原因是：定期存款净额减少所致。综合上述原因，导致投资活动现金</w:t>
      </w:r>
    </w:p>
    <w:p>
      <w:pPr>
        <w:pStyle w:val="BodyText"/>
        <w:spacing w:line="444" w:lineRule="auto" w:before="123"/>
        <w:ind w:left="772" w:right="1191" w:hanging="421"/>
        <w:jc w:val="left"/>
      </w:pPr>
      <w:r>
        <w:rPr/>
        <w:t>流量净额同比下降</w:t>
      </w:r>
      <w:r>
        <w:rPr>
          <w:rFonts w:ascii="Times New Roman" w:hAnsi="Times New Roman" w:cs="Times New Roman" w:eastAsia="Times New Roman" w:hint="default"/>
        </w:rPr>
        <w:t>101.56%</w:t>
      </w:r>
      <w:r>
        <w:rPr>
          <w:rFonts w:ascii="宋体" w:hAnsi="宋体" w:cs="宋体" w:eastAsia="宋体" w:hint="default"/>
        </w:rPr>
        <w:t>。 </w:t>
      </w:r>
      <w:r>
        <w:rPr/>
        <w:t>筹资活动现金流入小计同比下降</w:t>
      </w:r>
      <w:r>
        <w:rPr>
          <w:rFonts w:ascii="Times New Roman" w:hAnsi="Times New Roman" w:cs="Times New Roman" w:eastAsia="Times New Roman" w:hint="default"/>
        </w:rPr>
        <w:t>100.00%</w:t>
      </w:r>
      <w:r>
        <w:rPr/>
        <w:t>的原因是：报告期内未发生筹资活动。筹资活动现金流出</w:t>
      </w:r>
    </w:p>
    <w:p>
      <w:pPr>
        <w:spacing w:after="0" w:line="444" w:lineRule="auto"/>
        <w:jc w:val="left"/>
        <w:sectPr>
          <w:type w:val="continuous"/>
          <w:pgSz w:w="11910" w:h="16840"/>
          <w:pgMar w:top="1580" w:bottom="2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351" w:right="0"/>
        <w:jc w:val="left"/>
      </w:pPr>
      <w:r>
        <w:rPr>
          <w:spacing w:val="-1"/>
        </w:rPr>
        <w:t>小计同比下降</w:t>
      </w:r>
      <w:r>
        <w:rPr>
          <w:rFonts w:ascii="Times New Roman" w:hAnsi="Times New Roman" w:cs="Times New Roman" w:eastAsia="Times New Roman" w:hint="default"/>
          <w:spacing w:val="-1"/>
        </w:rPr>
        <w:t>46.67%</w:t>
      </w:r>
      <w:r>
        <w:rPr>
          <w:spacing w:val="-1"/>
        </w:rPr>
        <w:t>的主要原因是：现金股利分配金额减少所致。综合上述原因，导致筹资活动产生的</w:t>
      </w:r>
      <w:r>
        <w:rPr>
          <w:spacing w:val="-87"/>
        </w:rPr>
        <w:t> </w:t>
      </w:r>
      <w:r>
        <w:rPr>
          <w:spacing w:val="-87"/>
        </w:rPr>
      </w:r>
      <w:r>
        <w:rPr/>
        <w:t>现金流量净额同比下降</w:t>
      </w:r>
      <w:r>
        <w:rPr>
          <w:rFonts w:ascii="Times New Roman" w:hAnsi="Times New Roman" w:cs="Times New Roman" w:eastAsia="Times New Roman" w:hint="default"/>
        </w:rPr>
        <w:t>103.37%</w:t>
      </w:r>
      <w:r>
        <w:rPr/>
        <w:t>。</w:t>
      </w:r>
    </w:p>
    <w:p>
      <w:pPr>
        <w:pStyle w:val="BodyText"/>
        <w:spacing w:line="240" w:lineRule="auto" w:before="35"/>
        <w:ind w:left="774" w:right="0"/>
        <w:jc w:val="left"/>
      </w:pPr>
      <w:r>
        <w:rPr/>
        <w:t>基于上述情况，本公司报告期内现金及现金等价物净增加额同比下降</w:t>
      </w:r>
      <w:r>
        <w:rPr>
          <w:rFonts w:ascii="Times New Roman" w:hAnsi="Times New Roman" w:cs="Times New Roman" w:eastAsia="Times New Roman" w:hint="default"/>
        </w:rPr>
        <w:t>190.78%</w:t>
      </w:r>
      <w:r>
        <w:rPr/>
        <w:t>。</w:t>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12" w:firstLine="400"/>
        <w:jc w:val="left"/>
      </w:pPr>
      <w:r>
        <w:rPr/>
        <w:t>报告期内公司经营活动产生的现金净流量与本年度净利润存在重大差异是经营活动购买商品、接受劳 务支付的现金增加所致。</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7"/>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6,310,667.22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12.08%</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源于对联营企业中钞科信 本期净利润按照权益法确 </w:t>
            </w:r>
            <w:r>
              <w:rPr>
                <w:rFonts w:ascii="宋体" w:hAnsi="宋体" w:cs="宋体" w:eastAsia="宋体" w:hint="default"/>
                <w:spacing w:val="-5"/>
                <w:sz w:val="18"/>
                <w:szCs w:val="18"/>
              </w:rPr>
              <w:t>认的投资收益，以及本期购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买理财实现收益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13,675,165.99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26.17%</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应收款项和存货计提的减 值准备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58,675.00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7,019.03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18,579,485.98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0"/>
              <w:jc w:val="right"/>
              <w:rPr>
                <w:rFonts w:ascii="宋体" w:hAnsi="宋体" w:cs="宋体" w:eastAsia="宋体" w:hint="default"/>
                <w:sz w:val="18"/>
                <w:szCs w:val="18"/>
              </w:rPr>
            </w:pPr>
            <w:r>
              <w:rPr>
                <w:rFonts w:ascii="宋体" w:hAnsi="宋体" w:cs="宋体" w:eastAsia="宋体" w:hint="default"/>
                <w:sz w:val="18"/>
                <w:szCs w:val="18"/>
              </w:rPr>
              <w:t>本期收到的政府补助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229,472,552.4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275,527,533.50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39.98%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-8.59%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198,011,739.4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27.09%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169,121,978.63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24.54%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2.55%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72,177,940.37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64,222,820.55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100,606,192.8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13.76%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99,033,833.81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14.37%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-0.61%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359"/>
        <w:gridCol w:w="1175"/>
        <w:gridCol w:w="1063"/>
        <w:gridCol w:w="1196"/>
        <w:gridCol w:w="1063"/>
        <w:gridCol w:w="798"/>
        <w:gridCol w:w="2918"/>
      </w:tblGrid>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20,418,580.19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20,948,707.88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3.04%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本公司截至报告期末履约保证金存款</w:t>
      </w:r>
      <w:r>
        <w:rPr>
          <w:rFonts w:ascii="Times New Roman" w:hAnsi="Times New Roman" w:cs="Times New Roman" w:eastAsia="Times New Roman" w:hint="default"/>
          <w:sz w:val="18"/>
          <w:szCs w:val="18"/>
        </w:rPr>
        <w:t>11,106,664.06</w:t>
      </w:r>
      <w:r>
        <w:rPr>
          <w:rFonts w:ascii="宋体" w:hAnsi="宋体" w:cs="宋体" w:eastAsia="宋体" w:hint="default"/>
          <w:sz w:val="18"/>
          <w:szCs w:val="18"/>
        </w:rPr>
        <w:t>元，其使用受到限制。</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15,675.93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4"/>
          <w:szCs w:val="24"/>
        </w:rPr>
      </w:pPr>
    </w:p>
    <w:p>
      <w:pPr>
        <w:spacing w:line="3563" w:lineRule="exact"/>
        <w:ind w:left="154" w:right="0" w:firstLine="0"/>
        <w:rPr>
          <w:rFonts w:ascii="宋体" w:hAnsi="宋体" w:cs="宋体" w:eastAsia="宋体" w:hint="default"/>
          <w:sz w:val="20"/>
          <w:szCs w:val="20"/>
        </w:rPr>
      </w:pPr>
      <w:r>
        <w:rPr>
          <w:rFonts w:ascii="宋体" w:hAnsi="宋体" w:cs="宋体" w:eastAsia="宋体" w:hint="default"/>
          <w:position w:val="-70"/>
          <w:sz w:val="20"/>
          <w:szCs w:val="20"/>
        </w:rPr>
        <w:pict>
          <v:shape style="width:478.2pt;height:178.2pt;mso-position-horizontal-relative:char;mso-position-vertical-relative:line" type="#_x0000_t202" filled="false" stroked="true" strokeweight=".48004pt" strokecolor="#000000">
            <w10:anchorlock/>
            <v:textbox inset="0,0,0,0">
              <w:txbxContent>
                <w:p>
                  <w:pPr>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2"/>
                      <w:sz w:val="18"/>
                      <w:szCs w:val="18"/>
                    </w:rPr>
                    <w:t>一、经中国证券监督管理委员会《关于核准中科院成都信息技术股份有限公司首次公开发行公司股票的批复》（证监</w:t>
                  </w:r>
                  <w:r>
                    <w:rPr>
                      <w:rFonts w:ascii="宋体" w:hAnsi="宋体" w:cs="宋体" w:eastAsia="宋体" w:hint="default"/>
                      <w:sz w:val="18"/>
                      <w:szCs w:val="18"/>
                    </w:rPr>
                    <w:t> 许可</w:t>
                  </w:r>
                  <w:r>
                    <w:rPr>
                      <w:rFonts w:ascii="Times New Roman" w:hAnsi="Times New Roman" w:cs="Times New Roman" w:eastAsia="Times New Roman" w:hint="default"/>
                      <w:sz w:val="18"/>
                      <w:szCs w:val="18"/>
                    </w:rPr>
                    <w:t>[2017]949</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号）核准，公司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月于深圳证券交易所向社会公众公开发行人民币普通股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 2,500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万股，发行价</w:t>
                  </w:r>
                </w:p>
                <w:p>
                  <w:pPr>
                    <w:spacing w:line="248" w:lineRule="exact" w:before="0"/>
                    <w:ind w:left="22"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196,250,000.00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38,700,000.00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元，实际募集资金净额为人</w:t>
                  </w:r>
                </w:p>
                <w:p>
                  <w:pPr>
                    <w:spacing w:line="302" w:lineRule="auto" w:before="63"/>
                    <w:ind w:left="22" w:right="35" w:firstLine="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157,550,000.00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元。该次募集资金到账时间为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日，本次募集资金到位情况已经信永中和会计师事务所 验证并出具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XYZH/2017CDA10397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验资报告。</w:t>
                  </w:r>
                </w:p>
                <w:p>
                  <w:pPr>
                    <w:spacing w:before="49"/>
                    <w:ind w:left="382" w:right="0" w:firstLine="0"/>
                    <w:jc w:val="left"/>
                    <w:rPr>
                      <w:rFonts w:ascii="宋体" w:hAnsi="宋体" w:cs="宋体" w:eastAsia="宋体" w:hint="default"/>
                      <w:sz w:val="18"/>
                      <w:szCs w:val="18"/>
                    </w:rPr>
                  </w:pPr>
                  <w:r>
                    <w:rPr>
                      <w:rFonts w:ascii="宋体" w:hAnsi="宋体" w:cs="宋体" w:eastAsia="宋体" w:hint="default"/>
                      <w:sz w:val="18"/>
                      <w:szCs w:val="18"/>
                    </w:rPr>
                    <w:t>二、截至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日，本公司累计使用募集资金人民币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40,790,660.02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元，其中：以前年度使用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元，本年</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度使用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790,660.02</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元投入募集资金项目，另外的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万元为公司用闲置募集资金暂时补充流动资金的金额。截至</w:t>
                  </w:r>
                </w:p>
                <w:p>
                  <w:pPr>
                    <w:spacing w:before="63"/>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日，本公司尚未使用募集资金余额为人民币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116,759,339.98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元，募集资金实际存款余额为人民币</w:t>
                  </w:r>
                </w:p>
                <w:p>
                  <w:pPr>
                    <w:spacing w:before="63"/>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121,066,956.29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元，包括定期存款余额人民币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元，活期存款余额人民币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16,066,956.29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元，与实际募集资金</w:t>
                  </w:r>
                </w:p>
                <w:p>
                  <w:pPr>
                    <w:spacing w:line="302" w:lineRule="auto" w:before="63"/>
                    <w:ind w:left="22" w:right="87" w:firstLine="0"/>
                    <w:jc w:val="left"/>
                    <w:rPr>
                      <w:rFonts w:ascii="宋体" w:hAnsi="宋体" w:cs="宋体" w:eastAsia="宋体" w:hint="default"/>
                      <w:sz w:val="18"/>
                      <w:szCs w:val="18"/>
                    </w:rPr>
                  </w:pPr>
                  <w:r>
                    <w:rPr>
                      <w:rFonts w:ascii="宋体" w:hAnsi="宋体" w:cs="宋体" w:eastAsia="宋体" w:hint="default"/>
                      <w:sz w:val="18"/>
                      <w:szCs w:val="18"/>
                    </w:rPr>
                    <w:t>净额人民币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116,759,339.98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元的差异金额为人民币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4,307,616.30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元，系募集资金累计利息收入扣除银行手续费支出后的净 额。</w:t>
                  </w:r>
                </w:p>
              </w:txbxContent>
            </v:textbox>
          </v:shape>
        </w:pict>
      </w:r>
      <w:r>
        <w:rPr>
          <w:rFonts w:ascii="宋体" w:hAnsi="宋体" w:cs="宋体" w:eastAsia="宋体" w:hint="default"/>
          <w:position w:val="-70"/>
          <w:sz w:val="20"/>
          <w:szCs w:val="20"/>
        </w:rPr>
      </w:r>
    </w:p>
    <w:p>
      <w:pPr>
        <w:spacing w:line="240" w:lineRule="auto" w:before="7"/>
        <w:rPr>
          <w:rFonts w:ascii="宋体" w:hAnsi="宋体" w:cs="宋体" w:eastAsia="宋体" w:hint="default"/>
          <w:sz w:val="19"/>
          <w:szCs w:val="19"/>
        </w:rPr>
      </w:pPr>
    </w:p>
    <w:p>
      <w:pPr>
        <w:pStyle w:val="Heading4"/>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64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数字会议系列产品 升级及产业话项目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高速机器视觉技术 研发中心升级改造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营销服务网络建设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3.21%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烟草智能物流应用 系统升级开发及产 业化项目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79.07</w:t>
            </w:r>
          </w:p>
        </w:tc>
        <w:tc>
          <w:tcPr>
            <w:tcW w:w="7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79.07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6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8"/>
              <w:jc w:val="left"/>
              <w:rPr>
                <w:rFonts w:ascii="宋体" w:hAnsi="宋体" w:cs="宋体" w:eastAsia="宋体" w:hint="default"/>
                <w:sz w:val="18"/>
                <w:szCs w:val="18"/>
              </w:rPr>
            </w:pPr>
            <w:r>
              <w:rPr>
                <w:rFonts w:ascii="宋体" w:hAnsi="宋体" w:cs="宋体" w:eastAsia="宋体" w:hint="default"/>
                <w:sz w:val="18"/>
                <w:szCs w:val="18"/>
              </w:rPr>
              <w:t>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3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333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日召开的第二届董事会第十五次会议、第二届监事会第八次会议决议，</w:t>
            </w:r>
          </w:p>
          <w:p>
            <w:pPr>
              <w:pStyle w:val="TableParagraph"/>
              <w:spacing w:line="302" w:lineRule="auto" w:before="61"/>
              <w:ind w:left="23" w:right="25"/>
              <w:jc w:val="left"/>
              <w:rPr>
                <w:rFonts w:ascii="宋体" w:hAnsi="宋体" w:cs="宋体" w:eastAsia="宋体" w:hint="default"/>
                <w:sz w:val="18"/>
                <w:szCs w:val="18"/>
              </w:rPr>
            </w:pPr>
            <w:r>
              <w:rPr>
                <w:rFonts w:ascii="宋体" w:hAnsi="宋体" w:cs="宋体" w:eastAsia="宋体" w:hint="default"/>
                <w:sz w:val="18"/>
                <w:szCs w:val="18"/>
              </w:rPr>
              <w:t>公司使用部分闲置募集资金总额人民币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万元暂时补充流动资金，用于与主营业务相关 的生产经营。</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存放于募投专户</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right="0"/>
        <w:jc w:val="left"/>
      </w:pPr>
      <w:r>
        <w:rPr/>
        <w:t>公司报告期不存在募集资金变更项目情况。</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right="0"/>
        <w:jc w:val="left"/>
      </w:pPr>
      <w:r>
        <w:rPr/>
        <w:t>公司报告期未出售重大资产。</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成都中科信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信息系统集 成，技术开 发及技术服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6,000,000.00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45,689,681.5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22,308,407.3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65,865,431.6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8,677,750.37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7,781,782.61</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both"/>
              <w:rPr>
                <w:rFonts w:ascii="宋体" w:hAnsi="宋体" w:cs="宋体" w:eastAsia="宋体" w:hint="default"/>
                <w:sz w:val="18"/>
                <w:szCs w:val="18"/>
              </w:rPr>
            </w:pPr>
            <w:r>
              <w:rPr>
                <w:rFonts w:ascii="宋体" w:hAnsi="宋体" w:cs="宋体" w:eastAsia="宋体" w:hint="default"/>
                <w:sz w:val="18"/>
                <w:szCs w:val="18"/>
              </w:rPr>
              <w:t>深圳市中钞 科信金融科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金融领域信 息系统集 成，技术开 发及技术服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321,754,233.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251,515,482.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116,034,342.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16,006,598.4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13,930,897.5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pStyle w:val="BodyText"/>
        <w:spacing w:line="398" w:lineRule="auto" w:before="95"/>
        <w:ind w:right="1132" w:firstLine="420"/>
        <w:jc w:val="both"/>
      </w:pPr>
      <w:r>
        <w:rPr>
          <w:spacing w:val="-1"/>
        </w:rPr>
        <w:t>成都中科信息技术有限公司成立于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月，主要目的是承接母公司剥离的涉密类行业信息化解决</w:t>
      </w:r>
      <w:r>
        <w:rPr/>
        <w:t> </w:t>
      </w:r>
      <w:r>
        <w:rPr>
          <w:spacing w:val="-1"/>
        </w:rPr>
        <w:t>方案业务。报告期内，随着国家涉密信息化业务的投入持续加大，公司也实现了营业收入的高速增长，营</w:t>
      </w:r>
      <w:r>
        <w:rPr>
          <w:spacing w:val="-85"/>
        </w:rPr>
        <w:t> </w:t>
      </w:r>
      <w:r>
        <w:rPr>
          <w:spacing w:val="-85"/>
        </w:rPr>
      </w:r>
      <w:r>
        <w:rPr/>
        <w:t>业收入较</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100.75%</w:t>
      </w:r>
      <w:r>
        <w:rPr/>
        <w:t>，净利润较</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6.57%</w:t>
      </w:r>
      <w:r>
        <w:rPr/>
        <w:t>。</w:t>
      </w:r>
    </w:p>
    <w:p>
      <w:pPr>
        <w:pStyle w:val="BodyText"/>
        <w:spacing w:line="386" w:lineRule="auto" w:before="24"/>
        <w:ind w:right="1134" w:firstLine="420"/>
        <w:jc w:val="both"/>
      </w:pPr>
      <w:r>
        <w:rPr/>
        <w:t>深圳市中钞科信金融科技有限公司成立于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月。近年来，随着印钞机检业务量的减少，给中钞 科信营业收入和净利润造成一定影响。在本报告期内，中钞科信净利润较上期减少</w:t>
      </w:r>
      <w:r>
        <w:rPr>
          <w:rFonts w:ascii="Times New Roman" w:hAnsi="Times New Roman" w:cs="Times New Roman" w:eastAsia="Times New Roman" w:hint="default"/>
        </w:rPr>
        <w:t>6.18%</w:t>
      </w:r>
      <w:r>
        <w:rPr/>
        <w:t>，公司对中钞科</w:t>
      </w:r>
      <w:r>
        <w:rPr>
          <w:spacing w:val="-48"/>
        </w:rPr>
        <w:t> </w:t>
      </w:r>
      <w:r>
        <w:rPr>
          <w:spacing w:val="-48"/>
        </w:rPr>
      </w:r>
      <w:r>
        <w:rPr/>
        <w:t>信投资收益占当期利润总额的比例为</w:t>
      </w:r>
      <w:r>
        <w:rPr>
          <w:rFonts w:ascii="Times New Roman" w:hAnsi="Times New Roman" w:cs="Times New Roman" w:eastAsia="Times New Roman" w:hint="default"/>
        </w:rPr>
        <w:t>10.67%</w:t>
      </w:r>
      <w:r>
        <w:rPr/>
        <w:t>。</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95" w:right="1188" w:hanging="123"/>
        <w:jc w:val="left"/>
      </w:pPr>
      <w:r>
        <w:rPr/>
        <w:t>（一）公司所处行业竞争格局和趋势 根据中国证监会发布的《上市公司行业分类指引（</w:t>
      </w:r>
      <w:r>
        <w:rPr>
          <w:rFonts w:ascii="Times New Roman" w:hAnsi="Times New Roman" w:cs="Times New Roman" w:eastAsia="Times New Roman" w:hint="default"/>
        </w:rPr>
        <w:t>2012</w:t>
      </w:r>
      <w:r>
        <w:rPr/>
        <w:t>年修订）》，公司主营业务属于</w:t>
      </w:r>
      <w:r>
        <w:rPr>
          <w:rFonts w:ascii="Times New Roman" w:hAnsi="Times New Roman" w:cs="Times New Roman" w:eastAsia="Times New Roman" w:hint="default"/>
        </w:rPr>
        <w:t>“</w:t>
      </w:r>
      <w:r>
        <w:rPr/>
        <w:t>软件与信息</w:t>
      </w:r>
    </w:p>
    <w:p>
      <w:pPr>
        <w:pStyle w:val="BodyText"/>
        <w:spacing w:line="240" w:lineRule="auto" w:before="14"/>
        <w:ind w:right="0"/>
        <w:jc w:val="left"/>
      </w:pPr>
      <w:r>
        <w:rPr/>
        <w:t>技术服务业</w:t>
      </w:r>
      <w:r>
        <w:rPr>
          <w:rFonts w:ascii="Times New Roman" w:hAnsi="Times New Roman" w:cs="Times New Roman" w:eastAsia="Times New Roman" w:hint="default"/>
        </w:rPr>
        <w:t>”</w:t>
      </w:r>
      <w:r>
        <w:rPr/>
        <w:t>（分类代码：</w:t>
      </w:r>
      <w:r>
        <w:rPr>
          <w:rFonts w:ascii="Times New Roman" w:hAnsi="Times New Roman" w:cs="Times New Roman" w:eastAsia="Times New Roman" w:hint="default"/>
        </w:rPr>
        <w:t>I65</w:t>
      </w:r>
      <w:r>
        <w:rPr/>
        <w:t>），面向现场会议领域、烟草领域、印钞检测领域、油气领域、政府及其他</w:t>
      </w:r>
    </w:p>
    <w:p>
      <w:pPr>
        <w:spacing w:after="0" w:line="240" w:lineRule="auto"/>
        <w:jc w:val="left"/>
        <w:sectPr>
          <w:type w:val="continuous"/>
          <w:pgSz w:w="11910" w:h="16840"/>
          <w:pgMar w:top="1580" w:bottom="2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领域的行业客户提供信息化解决方案（包括软件及硬件）及相关服务。</w:t>
      </w:r>
    </w:p>
    <w:p>
      <w:pPr>
        <w:spacing w:line="240" w:lineRule="auto" w:before="10"/>
        <w:rPr>
          <w:rFonts w:ascii="宋体" w:hAnsi="宋体" w:cs="宋体" w:eastAsia="宋体" w:hint="default"/>
          <w:sz w:val="14"/>
          <w:szCs w:val="14"/>
        </w:rPr>
      </w:pPr>
    </w:p>
    <w:p>
      <w:pPr>
        <w:pStyle w:val="BodyText"/>
        <w:spacing w:line="386" w:lineRule="auto"/>
        <w:ind w:left="595" w:right="0"/>
        <w:jc w:val="left"/>
      </w:pPr>
      <w:r>
        <w:rPr>
          <w:rFonts w:ascii="Times New Roman" w:hAnsi="Times New Roman" w:cs="Times New Roman" w:eastAsia="Times New Roman" w:hint="default"/>
        </w:rPr>
        <w:t>1</w:t>
      </w:r>
      <w:r>
        <w:rPr/>
        <w:t>、行业整体竞争状况</w:t>
      </w:r>
      <w:hyperlink r:id="rId18">
        <w:r>
          <w:rPr/>
          <w:t> </w:t>
        </w:r>
        <w:r>
          <w:rPr>
            <w:spacing w:val="-2"/>
          </w:rPr>
          <w:t>软件和信息技术服务业是关系国民经济</w:t>
        </w:r>
      </w:hyperlink>
      <w:r>
        <w:rPr>
          <w:spacing w:val="-2"/>
        </w:rPr>
        <w:t>和社会发展全局的基础性、战略性、先导性产业，具有技术更</w:t>
      </w:r>
    </w:p>
    <w:p>
      <w:pPr>
        <w:pStyle w:val="BodyText"/>
        <w:spacing w:line="403" w:lineRule="auto" w:before="65"/>
        <w:ind w:right="1027"/>
        <w:jc w:val="both"/>
      </w:pPr>
      <w:r>
        <w:rPr/>
        <w:t>新快、</w:t>
      </w:r>
      <w:hyperlink r:id="rId19">
        <w:r>
          <w:rPr/>
          <w:t>产品附加值</w:t>
        </w:r>
      </w:hyperlink>
      <w:r>
        <w:rPr/>
        <w:t>高、应用领域广、渗透能力强、资源消耗低、人力资源利用充分等突出特点，对经济社</w:t>
      </w:r>
      <w:r>
        <w:rPr/>
        <w:t> 会发展具有重要的支撑和引领作用。发展和提升软件和信息技术服务业，对于推动信息化和工业化深度融 合，培育和发展</w:t>
      </w:r>
      <w:hyperlink r:id="rId20">
        <w:r>
          <w:rPr/>
          <w:t>战略性新兴产业</w:t>
        </w:r>
      </w:hyperlink>
      <w:r>
        <w:rPr/>
        <w:t>，建设创新型国家，加快经济发展方式转变和产业结构调整，提高国家信</w:t>
      </w:r>
      <w:r>
        <w:rPr/>
        <w:t> 息安全保障能力和国际竞争力具有重要意义。</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时期是我国全面建成小康社会决胜阶段，全球新一 </w:t>
      </w:r>
      <w:r>
        <w:rPr>
          <w:spacing w:val="-3"/>
        </w:rPr>
        <w:t>轮科技革命和产业变革持续深入，国内经济发展方式加快转变，软件和信息技术服务业迎来更大发展机遇。</w:t>
      </w:r>
    </w:p>
    <w:p>
      <w:pPr>
        <w:pStyle w:val="BodyText"/>
        <w:spacing w:line="400" w:lineRule="auto" w:before="50"/>
        <w:ind w:right="1109"/>
        <w:jc w:val="both"/>
      </w:pPr>
      <w:r>
        <w:rPr/>
        <w:t>《中国制造</w:t>
      </w:r>
      <w:r>
        <w:rPr>
          <w:rFonts w:ascii="Times New Roman" w:hAnsi="Times New Roman" w:cs="Times New Roman" w:eastAsia="Times New Roman" w:hint="default"/>
        </w:rPr>
        <w:t>2025</w:t>
      </w:r>
      <w:r>
        <w:rPr/>
        <w:t>》《国务院关于积极推进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行动的指导意见》《国务院关于深化制造业与互联网</w:t>
      </w:r>
      <w:r>
        <w:rPr>
          <w:spacing w:val="-26"/>
        </w:rPr>
        <w:t> </w:t>
      </w:r>
      <w:r>
        <w:rPr>
          <w:spacing w:val="-26"/>
        </w:rPr>
      </w:r>
      <w:r>
        <w:rPr>
          <w:spacing w:val="-1"/>
        </w:rPr>
        <w:t>融合发展的指导意见》《促进大数据发展行动纲要》《国家信息化发展战略纲要》等国家战略性指导政策</w:t>
      </w:r>
      <w:r>
        <w:rPr>
          <w:spacing w:val="-83"/>
        </w:rPr>
        <w:t> </w:t>
      </w:r>
      <w:r>
        <w:rPr>
          <w:spacing w:val="-83"/>
        </w:rPr>
      </w:r>
      <w:r>
        <w:rPr/>
        <w:t>相继出台，我国软件和信息技术服务业近年来呈现持续向好发展态势。</w:t>
      </w:r>
      <w:r>
        <w:rPr>
          <w:rFonts w:ascii="Times New Roman" w:hAnsi="Times New Roman" w:cs="Times New Roman" w:eastAsia="Times New Roman" w:hint="default"/>
        </w:rPr>
        <w:t>2018</w:t>
      </w:r>
      <w:r>
        <w:rPr/>
        <w:t>年，总体保持平稳较快发展， </w:t>
      </w:r>
      <w:r>
        <w:rPr>
          <w:spacing w:val="-1"/>
        </w:rPr>
        <w:t>产业规模进一步扩大，盈利能力稳步提升，行业就业形势保持稳定，产业服务化、平台化、融合发展态势</w:t>
      </w:r>
      <w:r>
        <w:rPr>
          <w:spacing w:val="-83"/>
        </w:rPr>
        <w:t> </w:t>
      </w:r>
      <w:r>
        <w:rPr>
          <w:spacing w:val="-83"/>
        </w:rPr>
      </w:r>
      <w:r>
        <w:rPr>
          <w:spacing w:val="-1"/>
        </w:rPr>
        <w:t>更加明显，在为制造强国和网络强国建设提供基础支撑、为经济高质量发展提供新动能等方面作用进一步</w:t>
      </w:r>
      <w:r>
        <w:rPr>
          <w:spacing w:val="-81"/>
        </w:rPr>
        <w:t> </w:t>
      </w:r>
      <w:r>
        <w:rPr>
          <w:spacing w:val="-81"/>
        </w:rPr>
      </w:r>
      <w:r>
        <w:rPr/>
        <w:t>凸显。全行业正在形成具有实力的大企业和充满活力的小企业协同发展的良好局面。</w:t>
      </w:r>
    </w:p>
    <w:p>
      <w:pPr>
        <w:pStyle w:val="BodyText"/>
        <w:spacing w:line="386" w:lineRule="auto" w:before="52"/>
        <w:ind w:left="595" w:right="1120" w:hanging="22"/>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、行业整体运行情况 </w:t>
      </w:r>
      <w:r>
        <w:rPr>
          <w:spacing w:val="-2"/>
        </w:rPr>
        <w:t>全国软件和信息技术服务业规模以上企业</w:t>
      </w:r>
      <w:r>
        <w:rPr>
          <w:rFonts w:ascii="Times New Roman" w:hAnsi="Times New Roman" w:cs="Times New Roman" w:eastAsia="Times New Roman" w:hint="default"/>
          <w:spacing w:val="-2"/>
        </w:rPr>
        <w:t>3.78</w:t>
      </w:r>
      <w:r>
        <w:rPr>
          <w:spacing w:val="-2"/>
        </w:rPr>
        <w:t>万家，比上年增加</w:t>
      </w:r>
      <w:r>
        <w:rPr>
          <w:rFonts w:ascii="Times New Roman" w:hAnsi="Times New Roman" w:cs="Times New Roman" w:eastAsia="Times New Roman" w:hint="default"/>
          <w:spacing w:val="-2"/>
        </w:rPr>
        <w:t>2881</w:t>
      </w:r>
      <w:r>
        <w:rPr>
          <w:spacing w:val="-2"/>
        </w:rPr>
        <w:t>家；累计完成软件业务收入</w:t>
      </w:r>
      <w:r>
        <w:rPr>
          <w:rFonts w:ascii="Times New Roman" w:hAnsi="Times New Roman" w:cs="Times New Roman" w:eastAsia="Times New Roman" w:hint="default"/>
          <w:spacing w:val="-2"/>
        </w:rPr>
        <w:t>63061</w:t>
      </w:r>
    </w:p>
    <w:p>
      <w:pPr>
        <w:pStyle w:val="BodyText"/>
        <w:spacing w:line="386" w:lineRule="auto" w:before="35"/>
        <w:ind w:right="1130"/>
        <w:jc w:val="both"/>
      </w:pPr>
      <w:r>
        <w:rPr/>
        <w:t>亿元，同比增长</w:t>
      </w:r>
      <w:r>
        <w:rPr>
          <w:rFonts w:ascii="Times New Roman" w:hAnsi="Times New Roman" w:cs="Times New Roman" w:eastAsia="Times New Roman" w:hint="default"/>
        </w:rPr>
        <w:t>14.2%</w:t>
      </w:r>
      <w:r>
        <w:rPr/>
        <w:t>。据国家统计局数据显示，</w:t>
      </w:r>
      <w:r>
        <w:rPr>
          <w:rFonts w:ascii="Times New Roman" w:hAnsi="Times New Roman" w:cs="Times New Roman" w:eastAsia="Times New Roman" w:hint="default"/>
        </w:rPr>
        <w:t>2018</w:t>
      </w:r>
      <w:r>
        <w:rPr/>
        <w:t>年信息传输、软件和信息技术服务业增加值比上年</w:t>
      </w:r>
      <w:r>
        <w:rPr>
          <w:spacing w:val="-48"/>
        </w:rPr>
        <w:t> </w:t>
      </w:r>
      <w:r>
        <w:rPr>
          <w:spacing w:val="-48"/>
        </w:rPr>
      </w:r>
      <w:r>
        <w:rPr/>
        <w:t>同期增长</w:t>
      </w:r>
      <w:r>
        <w:rPr>
          <w:rFonts w:ascii="Times New Roman" w:hAnsi="Times New Roman" w:cs="Times New Roman" w:eastAsia="Times New Roman" w:hint="default"/>
        </w:rPr>
        <w:t>30.7%</w:t>
      </w:r>
      <w:r>
        <w:rPr/>
        <w:t>，增速居国民经济各行业之首，占</w:t>
      </w:r>
      <w:r>
        <w:rPr>
          <w:rFonts w:ascii="Times New Roman" w:hAnsi="Times New Roman" w:cs="Times New Roman" w:eastAsia="Times New Roman" w:hint="default"/>
        </w:rPr>
        <w:t>GDP</w:t>
      </w:r>
      <w:r>
        <w:rPr/>
        <w:t>比重达</w:t>
      </w:r>
      <w:r>
        <w:rPr>
          <w:rFonts w:ascii="Times New Roman" w:hAnsi="Times New Roman" w:cs="Times New Roman" w:eastAsia="Times New Roman" w:hint="default"/>
        </w:rPr>
        <w:t>3.6%</w:t>
      </w:r>
      <w:r>
        <w:rPr/>
        <w:t>，已成为经济平稳较快增长的重要推动</w:t>
      </w:r>
      <w:r>
        <w:rPr>
          <w:spacing w:val="-69"/>
        </w:rPr>
        <w:t> </w:t>
      </w:r>
      <w:r>
        <w:rPr>
          <w:spacing w:val="-69"/>
        </w:rPr>
      </w:r>
      <w:r>
        <w:rPr/>
        <w:t>力量。经国家统计局初步统计，</w:t>
      </w:r>
      <w:r>
        <w:rPr>
          <w:rFonts w:ascii="Times New Roman" w:hAnsi="Times New Roman" w:cs="Times New Roman" w:eastAsia="Times New Roman" w:hint="default"/>
        </w:rPr>
        <w:t>2018</w:t>
      </w:r>
      <w:r>
        <w:rPr/>
        <w:t>年软件和信息技术服务业实现利润总额</w:t>
      </w:r>
      <w:r>
        <w:rPr>
          <w:rFonts w:ascii="Times New Roman" w:hAnsi="Times New Roman" w:cs="Times New Roman" w:eastAsia="Times New Roman" w:hint="default"/>
        </w:rPr>
        <w:t>8079</w:t>
      </w:r>
      <w:r>
        <w:rPr/>
        <w:t>亿元，同比增长</w:t>
      </w:r>
      <w:r>
        <w:rPr>
          <w:rFonts w:ascii="Times New Roman" w:hAnsi="Times New Roman" w:cs="Times New Roman" w:eastAsia="Times New Roman" w:hint="default"/>
        </w:rPr>
        <w:t>9.7%</w:t>
      </w:r>
      <w:r>
        <w:rPr/>
        <w:t>。</w:t>
      </w:r>
    </w:p>
    <w:p>
      <w:pPr>
        <w:pStyle w:val="BodyText"/>
        <w:spacing w:line="386" w:lineRule="auto" w:before="35"/>
        <w:ind w:left="595" w:right="1115" w:firstLine="38"/>
        <w:jc w:val="left"/>
      </w:pPr>
      <w:r>
        <w:rPr>
          <w:rFonts w:ascii="Times New Roman" w:hAnsi="Times New Roman" w:cs="Times New Roman" w:eastAsia="Times New Roman" w:hint="default"/>
        </w:rPr>
        <w:t>3</w:t>
      </w:r>
      <w:r>
        <w:rPr/>
        <w:t>、行业发展趋势 </w:t>
      </w:r>
      <w:r>
        <w:rPr>
          <w:spacing w:val="-1"/>
        </w:rPr>
        <w:t>新一轮技术创新引领产业新变革。全球信息产业技术创新进入新一轮加速期，云计算、大数据、物联</w:t>
      </w:r>
    </w:p>
    <w:p>
      <w:pPr>
        <w:pStyle w:val="BodyText"/>
        <w:spacing w:line="408" w:lineRule="auto" w:before="65"/>
        <w:ind w:right="1133"/>
        <w:jc w:val="both"/>
      </w:pPr>
      <w:r>
        <w:rPr>
          <w:spacing w:val="-1"/>
        </w:rPr>
        <w:t>网、移动互联网、人工智能、虚拟现实等新一代信息技术快速演进，单点技术和单一产品的创新正加速向</w:t>
      </w:r>
      <w:r>
        <w:rPr>
          <w:spacing w:val="-86"/>
        </w:rPr>
        <w:t> </w:t>
      </w:r>
      <w:r>
        <w:rPr>
          <w:spacing w:val="-86"/>
        </w:rPr>
      </w:r>
      <w:r>
        <w:rPr>
          <w:spacing w:val="-1"/>
        </w:rPr>
        <w:t>多技术融合互动的系统化、集成化创新转变，创新周期大幅缩短，硬件、软件、服务等核心技术体系加速</w:t>
      </w:r>
      <w:r>
        <w:rPr>
          <w:spacing w:val="-83"/>
        </w:rPr>
        <w:t> </w:t>
      </w:r>
      <w:r>
        <w:rPr>
          <w:spacing w:val="-83"/>
        </w:rPr>
      </w:r>
      <w:r>
        <w:rPr/>
        <w:t>重构，新业态、新模式快速涌现，我国信息产业实现跨越发展的战略机遇窗口正在打开。</w:t>
      </w:r>
    </w:p>
    <w:p>
      <w:pPr>
        <w:pStyle w:val="BodyText"/>
        <w:spacing w:line="400" w:lineRule="auto" w:before="46"/>
        <w:ind w:right="1023" w:firstLine="441"/>
        <w:jc w:val="left"/>
      </w:pPr>
      <w:r>
        <w:rPr/>
        <w:t>国家重大战略实施对信息产业发展提出新要求。创新驱动、制造强国、网络强国、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、军民</w:t>
      </w:r>
      <w:r>
        <w:rPr>
          <w:spacing w:val="1"/>
        </w:rPr>
        <w:t> </w:t>
      </w:r>
      <w:r>
        <w:rPr>
          <w:spacing w:val="-3"/>
        </w:rPr>
        <w:t>融合等一系列国家重大战略的实施和居民消费升级，要求加快完善信息基础设施、强化信息核心技术能力、</w:t>
      </w:r>
      <w:r>
        <w:rPr>
          <w:spacing w:val="-92"/>
        </w:rPr>
        <w:t> </w:t>
      </w:r>
      <w:r>
        <w:rPr>
          <w:spacing w:val="-92"/>
        </w:rPr>
      </w:r>
      <w:r>
        <w:rPr/>
        <w:t>提升信息消费体验、加强信息安全保障、优化网络空间治理、繁荣信息产业生态，发挥更强有力的引领和</w:t>
      </w:r>
      <w:r>
        <w:rPr/>
        <w:t> 支撑作用。</w:t>
      </w:r>
    </w:p>
    <w:p>
      <w:pPr>
        <w:pStyle w:val="BodyText"/>
        <w:spacing w:line="408" w:lineRule="auto" w:before="52"/>
        <w:ind w:right="1115" w:firstLine="441"/>
        <w:jc w:val="left"/>
      </w:pPr>
      <w:r>
        <w:rPr>
          <w:spacing w:val="-1"/>
        </w:rPr>
        <w:t>信息技术的高速发展，不断推动着信息技术服务业业务向细分化、多样化方向发展，促使新产品、新</w:t>
      </w:r>
      <w:r>
        <w:rPr/>
        <w:t> </w:t>
      </w:r>
      <w:r>
        <w:rPr>
          <w:spacing w:val="-1"/>
        </w:rPr>
        <w:t>业态大量涌现，进而创造新的市场空间，带动产业升级优化。大数据产业化进程加速，信息技术服务业由</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98" w:lineRule="auto" w:before="35"/>
        <w:ind w:right="1131"/>
        <w:jc w:val="both"/>
      </w:pPr>
      <w:r>
        <w:rPr>
          <w:spacing w:val="-2"/>
        </w:rPr>
        <w:t>传统</w:t>
      </w:r>
      <w:r>
        <w:rPr>
          <w:rFonts w:ascii="Times New Roman" w:hAnsi="Times New Roman" w:cs="Times New Roman" w:eastAsia="Times New Roman" w:hint="default"/>
          <w:spacing w:val="-2"/>
        </w:rPr>
        <w:t>PC</w:t>
      </w:r>
      <w:r>
        <w:rPr>
          <w:spacing w:val="-2"/>
        </w:rPr>
        <w:t>时代向新兴技术转移的节奏开始加速。业内企业不仅要专注自身优势领域，还需结合新兴技术支撑</w:t>
      </w:r>
      <w:r>
        <w:rPr>
          <w:spacing w:val="-83"/>
        </w:rPr>
        <w:t> </w:t>
      </w:r>
      <w:r>
        <w:rPr>
          <w:spacing w:val="-83"/>
        </w:rPr>
      </w:r>
      <w:r>
        <w:rPr>
          <w:spacing w:val="-1"/>
        </w:rPr>
        <w:t>自身发展，开放合作成为产业主要趋势。信息技术产业的竞争正从单一企业竞争演进到以聚合生态圈协同</w:t>
      </w:r>
      <w:r>
        <w:rPr>
          <w:spacing w:val="-81"/>
        </w:rPr>
        <w:t> </w:t>
      </w:r>
      <w:r>
        <w:rPr>
          <w:spacing w:val="-81"/>
        </w:rPr>
      </w:r>
      <w:r>
        <w:rPr/>
        <w:t>效应的全产业链竞争，生态圈建设的重要性凸显。</w:t>
      </w:r>
    </w:p>
    <w:p>
      <w:pPr>
        <w:pStyle w:val="BodyText"/>
        <w:spacing w:line="400" w:lineRule="auto" w:before="55"/>
        <w:ind w:right="1110" w:firstLine="432"/>
        <w:jc w:val="both"/>
      </w:pPr>
      <w:r>
        <w:rPr>
          <w:spacing w:val="-1"/>
        </w:rPr>
        <w:t>新兴信息技术与传统产业融合加深，为经济发展注入新动能。新一代信息技术在经济社会各领域开展</w:t>
      </w:r>
      <w:r>
        <w:rPr/>
        <w:t> </w:t>
      </w:r>
      <w:r>
        <w:rPr>
          <w:spacing w:val="2"/>
        </w:rPr>
        <w:t>广泛应用和模式创新，支撑制造业、农业、金融、能源、物流等传统产业优化升级，为传统产业</w:t>
      </w:r>
      <w:r>
        <w:rPr>
          <w:rFonts w:ascii="Times New Roman" w:hAnsi="Times New Roman" w:cs="Times New Roman" w:eastAsia="Times New Roman" w:hint="default"/>
          <w:spacing w:val="2"/>
        </w:rPr>
        <w:t>“</w:t>
      </w:r>
      <w:r>
        <w:rPr>
          <w:spacing w:val="2"/>
        </w:rPr>
        <w:t>赋智赋</w:t>
      </w:r>
      <w:r>
        <w:rPr>
          <w:spacing w:val="-103"/>
        </w:rPr>
        <w:t> </w:t>
      </w:r>
      <w:r>
        <w:rPr>
          <w:spacing w:val="-1"/>
        </w:rPr>
        <w:t>能</w:t>
      </w:r>
      <w:r>
        <w:rPr>
          <w:rFonts w:ascii="Times New Roman" w:hAnsi="Times New Roman" w:cs="Times New Roman" w:eastAsia="Times New Roman" w:hint="default"/>
          <w:spacing w:val="-1"/>
        </w:rPr>
        <w:t>”</w:t>
      </w:r>
      <w:r>
        <w:rPr>
          <w:spacing w:val="-1"/>
        </w:rPr>
        <w:t>，出现越来越多的典型应用案例；特别是在工业领域的应用加快，</w:t>
      </w:r>
      <w:r>
        <w:rPr>
          <w:rFonts w:ascii="Times New Roman" w:hAnsi="Times New Roman" w:cs="Times New Roman" w:eastAsia="Times New Roman" w:hint="default"/>
          <w:spacing w:val="-1"/>
        </w:rPr>
        <w:t>2018</w:t>
      </w:r>
      <w:r>
        <w:rPr>
          <w:spacing w:val="-1"/>
        </w:rPr>
        <w:t>年工业软件收入增长</w:t>
      </w:r>
      <w:r>
        <w:rPr>
          <w:rFonts w:ascii="Times New Roman" w:hAnsi="Times New Roman" w:cs="Times New Roman" w:eastAsia="Times New Roman" w:hint="default"/>
          <w:spacing w:val="-1"/>
        </w:rPr>
        <w:t>14.2%</w:t>
      </w:r>
      <w:r>
        <w:rPr>
          <w:spacing w:val="-1"/>
        </w:rPr>
        <w:t>，工</w:t>
      </w:r>
      <w:r>
        <w:rPr>
          <w:spacing w:val="-93"/>
        </w:rPr>
        <w:t> </w:t>
      </w:r>
      <w:r>
        <w:rPr>
          <w:spacing w:val="-1"/>
        </w:rPr>
        <w:t>业互联网正在成为新一轮工业革命和产业变革的焦点；支持智慧城市、智慧交通、智慧社区、智慧医疗等</w:t>
      </w:r>
      <w:r>
        <w:rPr>
          <w:spacing w:val="-86"/>
        </w:rPr>
        <w:t> </w:t>
      </w:r>
      <w:r>
        <w:rPr>
          <w:spacing w:val="-86"/>
        </w:rPr>
      </w:r>
      <w:r>
        <w:rPr/>
        <w:t>建设，帮助解决社会管理和民生问题的同时，创造出新的市场需求，据对重点龙头软件企业的监测显示， 交通、安防领域的信息技术需求增长明显。</w:t>
      </w:r>
    </w:p>
    <w:p>
      <w:pPr>
        <w:pStyle w:val="BodyText"/>
        <w:spacing w:line="408" w:lineRule="auto" w:before="52"/>
        <w:ind w:right="1131" w:firstLine="441"/>
        <w:jc w:val="both"/>
      </w:pPr>
      <w:r>
        <w:rPr>
          <w:spacing w:val="-2"/>
        </w:rPr>
        <w:t>应用拉动型的创新体系正在形成和完善。云计算、大数据技术逐渐成熟和落地，已成为大多数软件企</w:t>
      </w:r>
      <w:r>
        <w:rPr/>
        <w:t> </w:t>
      </w:r>
      <w:r>
        <w:rPr>
          <w:spacing w:val="-1"/>
        </w:rPr>
        <w:t>业创新发展和业务应用的主流方向；人工智能、区块链等技术打开了新的创新路径，初步形成多种创新应</w:t>
      </w:r>
      <w:r>
        <w:rPr>
          <w:spacing w:val="-83"/>
        </w:rPr>
        <w:t> </w:t>
      </w:r>
      <w:r>
        <w:rPr>
          <w:spacing w:val="-83"/>
        </w:rPr>
      </w:r>
      <w:r>
        <w:rPr>
          <w:spacing w:val="-1"/>
        </w:rPr>
        <w:t>用成果，在计算机视觉、语音识别等领域引领发展；开源社区改变传统开发模式，正在成为新的创新原动</w:t>
      </w:r>
      <w:r>
        <w:rPr>
          <w:spacing w:val="-86"/>
        </w:rPr>
        <w:t> </w:t>
      </w:r>
      <w:r>
        <w:rPr>
          <w:spacing w:val="-86"/>
        </w:rPr>
      </w:r>
      <w:r>
        <w:rPr>
          <w:spacing w:val="-1"/>
        </w:rPr>
        <w:t>力；以应用拉动创新的体系，催生出大量新兴业态，吸引了来自不同行业和领域的投资和资源，不断向软</w:t>
      </w:r>
      <w:r>
        <w:rPr>
          <w:spacing w:val="-86"/>
        </w:rPr>
        <w:t> </w:t>
      </w:r>
      <w:r>
        <w:rPr>
          <w:spacing w:val="-86"/>
        </w:rPr>
      </w:r>
      <w:r>
        <w:rPr/>
        <w:t>件和信息技术服务业倾斜。</w:t>
      </w:r>
    </w:p>
    <w:p>
      <w:pPr>
        <w:pStyle w:val="BodyText"/>
        <w:spacing w:line="386" w:lineRule="auto" w:before="46"/>
        <w:ind w:left="626" w:right="0" w:hanging="32"/>
        <w:jc w:val="left"/>
      </w:pPr>
      <w:r>
        <w:rPr>
          <w:rFonts w:ascii="Times New Roman" w:hAnsi="Times New Roman" w:cs="Times New Roman" w:eastAsia="Times New Roman" w:hint="default"/>
        </w:rPr>
        <w:t>4</w:t>
      </w:r>
      <w:r>
        <w:rPr/>
        <w:t>、公司行业地位 详见本报告第三节《公司业务概要》</w:t>
      </w:r>
      <w:r>
        <w:rPr>
          <w:rFonts w:ascii="Times New Roman" w:hAnsi="Times New Roman" w:cs="Times New Roman" w:eastAsia="Times New Roman" w:hint="default"/>
        </w:rPr>
        <w:t>“</w:t>
      </w:r>
      <w:r>
        <w:rPr/>
        <w:t>一、报告期内公司从事的主要业务</w:t>
      </w:r>
      <w:r>
        <w:rPr>
          <w:rFonts w:ascii="Times New Roman" w:hAnsi="Times New Roman" w:cs="Times New Roman" w:eastAsia="Times New Roman" w:hint="default"/>
        </w:rPr>
        <w:t>”</w:t>
      </w:r>
      <w:r>
        <w:rPr/>
        <w:t>之第（六）项</w:t>
      </w:r>
      <w:r>
        <w:rPr>
          <w:rFonts w:ascii="Times New Roman" w:hAnsi="Times New Roman" w:cs="Times New Roman" w:eastAsia="Times New Roman" w:hint="default"/>
        </w:rPr>
        <w:t>“</w:t>
      </w:r>
      <w:r>
        <w:rPr/>
        <w:t>公司所处行</w:t>
      </w:r>
    </w:p>
    <w:p>
      <w:pPr>
        <w:pStyle w:val="BodyText"/>
        <w:spacing w:line="240" w:lineRule="auto" w:before="35"/>
        <w:ind w:right="0"/>
        <w:jc w:val="both"/>
        <w:rPr>
          <w:rFonts w:ascii="Times New Roman" w:hAnsi="Times New Roman" w:cs="Times New Roman" w:eastAsia="Times New Roman" w:hint="default"/>
        </w:rPr>
      </w:pPr>
      <w:r>
        <w:rPr/>
        <w:t>业发展阶段、周期性特点以及行业地位</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25"/>
          <w:szCs w:val="25"/>
        </w:rPr>
      </w:pPr>
    </w:p>
    <w:p>
      <w:pPr>
        <w:pStyle w:val="BodyText"/>
        <w:spacing w:line="408" w:lineRule="auto"/>
        <w:ind w:left="574" w:right="1092" w:hanging="84"/>
        <w:jc w:val="left"/>
      </w:pPr>
      <w:r>
        <w:rPr/>
        <w:t>（二）公司发展战略 由于公司核心技术</w:t>
      </w:r>
      <w:r>
        <w:rPr>
          <w:rFonts w:ascii="Times New Roman" w:hAnsi="Times New Roman" w:cs="Times New Roman" w:eastAsia="Times New Roman" w:hint="default"/>
        </w:rPr>
        <w:t>—</w:t>
      </w:r>
      <w:r>
        <w:rPr/>
        <w:t>高速机器视觉与智能分析技术、主营业务与国家的人工智能发展战略高度契合，</w:t>
      </w:r>
    </w:p>
    <w:p>
      <w:pPr>
        <w:pStyle w:val="BodyText"/>
        <w:spacing w:line="386" w:lineRule="auto" w:before="14"/>
        <w:ind w:right="1132"/>
        <w:jc w:val="both"/>
      </w:pPr>
      <w:r>
        <w:rPr/>
        <w:t>并且在国家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规划纲要的提引下，数字会议、政府、烟草、印钞检测、油气等领域的信息化需求将 保持持续增长，为公司带来宝贵的发展机遇。</w:t>
      </w:r>
    </w:p>
    <w:p>
      <w:pPr>
        <w:pStyle w:val="BodyText"/>
        <w:spacing w:line="408" w:lineRule="auto" w:before="65"/>
        <w:ind w:right="1023" w:firstLine="441"/>
        <w:jc w:val="left"/>
      </w:pPr>
      <w:r>
        <w:rPr/>
        <w:t>公司的发展战略是：坚持面向主营行业，聚焦主营业务，以市场需求为导向，不断提升公司高速机器 视觉和智能分析核心技术系统和产品的技术水平，继续发挥公司在高效数学算法、光机电一体化、机器学 </w:t>
      </w:r>
      <w:r>
        <w:rPr>
          <w:spacing w:val="-3"/>
        </w:rPr>
        <w:t>习、大数据、虚拟现实、软件工程及物联网技术深度融合的综合优势，充分发挥行业积累优势，深耕行业，</w:t>
      </w:r>
      <w:r>
        <w:rPr>
          <w:spacing w:val="-94"/>
        </w:rPr>
        <w:t> </w:t>
      </w:r>
      <w:r>
        <w:rPr>
          <w:spacing w:val="-94"/>
        </w:rPr>
      </w:r>
      <w:r>
        <w:rPr/>
        <w:t>不断挖掘现有行业客户新需求，升级现有业务系统和产品，做精做深现有业务，保持在现场会议、烟草、 石油、印钞检测、政府及其他行业信息化领域的优势地位。同时大力拓展智慧医疗、智慧教育、智慧政务</w:t>
      </w:r>
      <w:r>
        <w:rPr/>
        <w:t> 领域业务，加快新行业开拓，打造新领域的核心竞争力。积极推进资本运作，确保公司实现快速、持续、 健康发展。</w:t>
      </w:r>
    </w:p>
    <w:p>
      <w:pPr>
        <w:pStyle w:val="BodyText"/>
        <w:spacing w:line="240" w:lineRule="auto" w:before="46"/>
        <w:ind w:left="490" w:right="0"/>
        <w:jc w:val="left"/>
      </w:pPr>
      <w:r>
        <w:rPr/>
        <w:t>（三）业务发展规划</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21" w:right="1145" w:firstLine="32"/>
        <w:jc w:val="left"/>
      </w:pPr>
      <w:r>
        <w:rPr>
          <w:rFonts w:ascii="宋体" w:hAnsi="宋体" w:cs="宋体" w:eastAsia="宋体" w:hint="default"/>
        </w:rPr>
        <w:t>1</w:t>
      </w:r>
      <w:r>
        <w:rPr/>
        <w:t>、做精做强数字会议信息化整体解决方案 高度重视数字会议信息化业务中集中式大会选举、电子表决系统两项核心业务的发展，加大产品开发</w:t>
      </w:r>
    </w:p>
    <w:p>
      <w:pPr>
        <w:pStyle w:val="BodyText"/>
        <w:spacing w:line="398" w:lineRule="auto" w:before="46"/>
        <w:ind w:right="0"/>
        <w:jc w:val="left"/>
      </w:pPr>
      <w:r>
        <w:rPr>
          <w:spacing w:val="-1"/>
        </w:rPr>
        <w:t>力度，不断推出新产品，同时持续加强省、地市级市场的纵深拓展以确保业务稳定增长，夯实数字会议一</w:t>
      </w:r>
      <w:r>
        <w:rPr>
          <w:spacing w:val="-86"/>
        </w:rPr>
        <w:t> </w:t>
      </w:r>
      <w:r>
        <w:rPr>
          <w:spacing w:val="-86"/>
        </w:rPr>
      </w:r>
      <w:r>
        <w:rPr/>
        <w:t>流品牌。加强电子表决系统的市场推广工作，抓好公司创新产品</w:t>
      </w:r>
      <w:r>
        <w:rPr>
          <w:rFonts w:ascii="Times New Roman" w:hAnsi="Times New Roman" w:cs="Times New Roman" w:eastAsia="Times New Roman" w:hint="default"/>
        </w:rPr>
        <w:t>—</w:t>
      </w:r>
      <w:r>
        <w:rPr/>
        <w:t>基层</w:t>
      </w:r>
      <w:r>
        <w:rPr>
          <w:rFonts w:ascii="Times New Roman" w:hAnsi="Times New Roman" w:cs="Times New Roman" w:eastAsia="Times New Roman" w:hint="default"/>
        </w:rPr>
        <w:t>/</w:t>
      </w:r>
      <w:r>
        <w:rPr/>
        <w:t>社区两委换届选举系统</w:t>
      </w:r>
      <w:r>
        <w:rPr>
          <w:rFonts w:ascii="Times New Roman" w:hAnsi="Times New Roman" w:cs="Times New Roman" w:eastAsia="Times New Roman" w:hint="default"/>
        </w:rPr>
        <w:t>“</w:t>
      </w:r>
      <w:r>
        <w:rPr/>
        <w:t>计票通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业务的培育，跟进基层选举新市场的拓展，力争实现新的突破。</w:t>
      </w:r>
    </w:p>
    <w:p>
      <w:pPr>
        <w:pStyle w:val="BodyText"/>
        <w:spacing w:line="408" w:lineRule="auto" w:before="54"/>
        <w:ind w:left="595" w:right="1115" w:hanging="22"/>
        <w:jc w:val="left"/>
      </w:pPr>
      <w:r>
        <w:rPr>
          <w:rFonts w:ascii="宋体" w:hAnsi="宋体" w:cs="宋体" w:eastAsia="宋体" w:hint="default"/>
        </w:rPr>
        <w:t>2</w:t>
      </w:r>
      <w:r>
        <w:rPr/>
        <w:t>、响应“智能制造”抓好烟草“智慧工厂”业务 </w:t>
      </w:r>
      <w:r>
        <w:rPr>
          <w:spacing w:val="-1"/>
        </w:rPr>
        <w:t>以技术领先带动市场开拓，持续推进大数据分析、云平台、人工智能技术在烟草行业的应用研发，充</w:t>
      </w:r>
    </w:p>
    <w:p>
      <w:pPr>
        <w:pStyle w:val="BodyText"/>
        <w:spacing w:line="403" w:lineRule="auto" w:before="46"/>
        <w:ind w:right="1023"/>
        <w:jc w:val="left"/>
      </w:pPr>
      <w:r>
        <w:rPr/>
        <w:t>分利用杭州卷烟厂卷烟防差错、卷接包数据采集、智慧设备管理项目获得的全国性示范效应和行业客户口 碑，在行业内加快推广工业大数据、智慧工厂业务，力争逐步打开更多区域市场，夯实在烟草卷包细分市 场的领先者地位。积极争取卷烟车间生产数据采集分析系统、基于</w:t>
      </w:r>
      <w:r>
        <w:rPr>
          <w:rFonts w:ascii="Times New Roman" w:hAnsi="Times New Roman" w:cs="Times New Roman" w:eastAsia="Times New Roman" w:hint="default"/>
        </w:rPr>
        <w:t>PDM</w:t>
      </w:r>
      <w:r>
        <w:rPr/>
        <w:t>的卷烟产品研发管理系统、智慧园 </w:t>
      </w:r>
      <w:r>
        <w:rPr>
          <w:spacing w:val="-3"/>
        </w:rPr>
        <w:t>区建设等优势项目，持续升级烟厂智慧设备管理系统，进一步提升竞争力。从为客户创造更高价值的角度，</w:t>
      </w:r>
      <w:r>
        <w:rPr>
          <w:spacing w:val="-90"/>
        </w:rPr>
        <w:t> </w:t>
      </w:r>
      <w:r>
        <w:rPr>
          <w:spacing w:val="-90"/>
        </w:rPr>
      </w:r>
      <w:r>
        <w:rPr/>
        <w:t>继续做好公司现有市场中在烟叶收购、栽焙、数采系统等方面的运维服务。</w:t>
      </w:r>
    </w:p>
    <w:p>
      <w:pPr>
        <w:pStyle w:val="BodyText"/>
        <w:spacing w:line="386" w:lineRule="auto" w:before="50"/>
        <w:ind w:left="595" w:right="1115"/>
        <w:jc w:val="left"/>
      </w:pPr>
      <w:r>
        <w:rPr>
          <w:rFonts w:ascii="Times New Roman" w:hAnsi="Times New Roman" w:cs="Times New Roman" w:eastAsia="Times New Roman" w:hint="default"/>
        </w:rPr>
        <w:t>3</w:t>
      </w:r>
      <w:r>
        <w:rPr/>
        <w:t>、用技术与产品创新为油田客户创造更大价值 </w:t>
      </w:r>
      <w:r>
        <w:rPr>
          <w:spacing w:val="-1"/>
        </w:rPr>
        <w:t>切实维护好石油行业的客户关系，进一步稳固塔里木油田、库尔勒油田、四川油建等老客户市场。强</w:t>
      </w:r>
    </w:p>
    <w:p>
      <w:pPr>
        <w:pStyle w:val="BodyText"/>
        <w:spacing w:line="408" w:lineRule="auto" w:before="65"/>
        <w:ind w:right="1133"/>
        <w:jc w:val="both"/>
      </w:pPr>
      <w:r>
        <w:rPr>
          <w:spacing w:val="-1"/>
        </w:rPr>
        <w:t>化项目策划运作执行力，确保项目实施效率、质量和按期交付，积极争取各类生产智能化改造、信息通信</w:t>
      </w:r>
      <w:r>
        <w:rPr>
          <w:spacing w:val="-86"/>
        </w:rPr>
        <w:t> </w:t>
      </w:r>
      <w:r>
        <w:rPr>
          <w:spacing w:val="-86"/>
        </w:rPr>
      </w:r>
      <w:r>
        <w:rPr>
          <w:spacing w:val="-1"/>
        </w:rPr>
        <w:t>类项目，在油井自动化控制、安防智能监控、数据分析等方面形成更多的优秀案例，总结出能解决用户生</w:t>
      </w:r>
      <w:r>
        <w:rPr>
          <w:spacing w:val="-86"/>
        </w:rPr>
        <w:t> </w:t>
      </w:r>
      <w:r>
        <w:rPr>
          <w:spacing w:val="-86"/>
        </w:rPr>
      </w:r>
      <w:r>
        <w:rPr>
          <w:spacing w:val="-1"/>
        </w:rPr>
        <w:t>产需求的独特技术方案，更进一步稳固市场、增强竞争力。整合公司优势技术力量，积极深度进入智慧油</w:t>
      </w:r>
      <w:r>
        <w:rPr>
          <w:spacing w:val="-86"/>
        </w:rPr>
        <w:t> </w:t>
      </w:r>
      <w:r>
        <w:rPr>
          <w:spacing w:val="-86"/>
        </w:rPr>
      </w:r>
      <w:r>
        <w:rPr/>
        <w:t>气田核心业务，通过为客户创造更大价值来实现在油气领域的快速发展。</w:t>
      </w:r>
    </w:p>
    <w:p>
      <w:pPr>
        <w:pStyle w:val="BodyText"/>
        <w:spacing w:line="484" w:lineRule="auto" w:before="166"/>
        <w:ind w:left="595" w:right="0"/>
        <w:jc w:val="left"/>
      </w:pPr>
      <w:r>
        <w:rPr>
          <w:rFonts w:ascii="Times New Roman" w:hAnsi="Times New Roman" w:cs="Times New Roman" w:eastAsia="Times New Roman" w:hint="default"/>
        </w:rPr>
        <w:t>4</w:t>
      </w:r>
      <w:r>
        <w:rPr/>
        <w:t>、推进印钞检测技术升级满足行业发展需求 </w:t>
      </w:r>
      <w:r>
        <w:rPr>
          <w:spacing w:val="-2"/>
        </w:rPr>
        <w:t>紧抓印钞行业整体发展所带来的机遇，紧跟行业产业升级步伐，全面配合行业新工艺变革、新的质量</w:t>
      </w:r>
    </w:p>
    <w:p>
      <w:pPr>
        <w:pStyle w:val="BodyText"/>
        <w:spacing w:line="254" w:lineRule="exact"/>
        <w:ind w:right="0"/>
        <w:jc w:val="left"/>
      </w:pPr>
      <w:r>
        <w:rPr/>
        <w:t>检测需求，用高速机器视觉等人工智能技术持续推进已有工艺设备的升级改造，以新一代印钞检测领域高</w:t>
      </w:r>
    </w:p>
    <w:p>
      <w:pPr>
        <w:spacing w:line="240" w:lineRule="auto" w:before="10"/>
        <w:rPr>
          <w:rFonts w:ascii="宋体" w:hAnsi="宋体" w:cs="宋体" w:eastAsia="宋体" w:hint="default"/>
          <w:sz w:val="14"/>
          <w:szCs w:val="14"/>
        </w:rPr>
      </w:pPr>
    </w:p>
    <w:p>
      <w:pPr>
        <w:pStyle w:val="BodyText"/>
        <w:spacing w:line="400" w:lineRule="auto"/>
        <w:ind w:right="1031"/>
        <w:jc w:val="left"/>
      </w:pPr>
      <w:r>
        <w:rPr/>
        <w:t>端技术和更好的产品与服务提升核心竞争力。发挥公司综合技术优势，做好</w:t>
      </w:r>
      <w:r>
        <w:rPr>
          <w:spacing w:val="-20"/>
        </w:rPr>
        <w:t> </w:t>
      </w:r>
      <w:r>
        <w:rPr>
          <w:rFonts w:ascii="Times New Roman" w:hAnsi="Times New Roman" w:cs="Times New Roman" w:eastAsia="Times New Roman" w:hint="default"/>
        </w:rPr>
        <w:t>“</w:t>
      </w:r>
      <w:r>
        <w:rPr/>
        <w:t>机检云</w:t>
      </w:r>
      <w:r>
        <w:rPr>
          <w:rFonts w:ascii="Times New Roman" w:hAnsi="Times New Roman" w:cs="Times New Roman" w:eastAsia="Times New Roman" w:hint="default"/>
        </w:rPr>
        <w:t>”</w:t>
      </w:r>
      <w:r>
        <w:rPr/>
        <w:t>平台的规划与建设， 进一步提升行业信息化设备的资产利用率，增强服务的稳定与人性化。加强维保服务团队专业能力的提升 工作，为承接行业整体维保业务和推进行业质量管理标准一致化创造条件。以客户为中心持续创新，开创 行业市场新局面。</w:t>
      </w:r>
    </w:p>
    <w:p>
      <w:pPr>
        <w:pStyle w:val="BodyText"/>
        <w:spacing w:line="386" w:lineRule="auto" w:before="52"/>
        <w:ind w:left="595" w:right="1115"/>
        <w:jc w:val="left"/>
      </w:pPr>
      <w:r>
        <w:rPr>
          <w:rFonts w:ascii="Times New Roman" w:hAnsi="Times New Roman" w:cs="Times New Roman" w:eastAsia="Times New Roman" w:hint="default"/>
        </w:rPr>
        <w:t>5</w:t>
      </w:r>
      <w:r>
        <w:rPr/>
        <w:t>、积极拓展新行业业务培育新的利润增长点 </w:t>
      </w:r>
      <w:r>
        <w:rPr>
          <w:spacing w:val="-1"/>
        </w:rPr>
        <w:t>以智慧医疗和面向智慧政务的大数据监测与统计分析两块新业务为重点，做好临床超声数字人、围术</w:t>
      </w:r>
    </w:p>
    <w:p>
      <w:pPr>
        <w:pStyle w:val="BodyText"/>
        <w:spacing w:line="408" w:lineRule="auto" w:before="65"/>
        <w:ind w:right="0"/>
        <w:jc w:val="left"/>
      </w:pPr>
      <w:r>
        <w:rPr>
          <w:spacing w:val="-1"/>
        </w:rPr>
        <w:t>期智能云超声系统、麻醉智能调控系统、云超声平台等新产品的技术完善，努力实现批量化销售。重视大</w:t>
      </w:r>
      <w:r>
        <w:rPr>
          <w:spacing w:val="-86"/>
        </w:rPr>
        <w:t> </w:t>
      </w:r>
      <w:r>
        <w:rPr>
          <w:spacing w:val="-86"/>
        </w:rPr>
      </w:r>
      <w:r>
        <w:rPr>
          <w:spacing w:val="-1"/>
        </w:rPr>
        <w:t>数据监测与统计分析业务相关的技术升级和团队建设，加快市场推广，尽快实现规模化发展。同时持续拓</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8"/>
        <w:jc w:val="left"/>
      </w:pPr>
      <w:r>
        <w:rPr>
          <w:spacing w:val="-1"/>
        </w:rPr>
        <w:t>展智慧城市细分领域的智慧交通、智慧水务、智慧环保业务，以更多的新行业业务为公司带来新的利润增</w:t>
      </w:r>
      <w:r>
        <w:rPr>
          <w:spacing w:val="-83"/>
        </w:rPr>
        <w:t> </w:t>
      </w:r>
      <w:r>
        <w:rPr>
          <w:spacing w:val="-83"/>
        </w:rPr>
      </w:r>
      <w:r>
        <w:rPr/>
        <w:t>长点。</w:t>
      </w:r>
    </w:p>
    <w:p>
      <w:pPr>
        <w:pStyle w:val="BodyText"/>
        <w:spacing w:line="240" w:lineRule="auto" w:before="46"/>
        <w:ind w:left="490" w:right="0"/>
        <w:jc w:val="left"/>
      </w:pPr>
      <w:r>
        <w:rPr/>
        <w:t>（四）</w:t>
      </w:r>
      <w:r>
        <w:rPr>
          <w:rFonts w:ascii="Times New Roman" w:hAnsi="Times New Roman" w:cs="Times New Roman" w:eastAsia="Times New Roman" w:hint="default"/>
        </w:rPr>
        <w:t>2019</w:t>
      </w:r>
      <w:r>
        <w:rPr/>
        <w:t>年经营计划</w:t>
      </w:r>
    </w:p>
    <w:p>
      <w:pPr>
        <w:pStyle w:val="BodyText"/>
        <w:spacing w:line="240" w:lineRule="auto" w:before="177"/>
        <w:ind w:left="595" w:right="0"/>
        <w:jc w:val="left"/>
      </w:pPr>
      <w:r>
        <w:rPr>
          <w:rFonts w:ascii="Times New Roman" w:hAnsi="Times New Roman" w:cs="Times New Roman" w:eastAsia="Times New Roman" w:hint="default"/>
        </w:rPr>
        <w:t>2019</w:t>
      </w:r>
      <w:r>
        <w:rPr/>
        <w:t>年经营思路：坚持面向主营行业，聚焦新行业开拓，做精做强细分领域，努力提升盈利能力。</w:t>
      </w:r>
    </w:p>
    <w:p>
      <w:pPr>
        <w:pStyle w:val="BodyText"/>
        <w:spacing w:line="386" w:lineRule="auto" w:before="177"/>
        <w:ind w:left="595" w:right="1071" w:firstLine="2"/>
        <w:jc w:val="left"/>
      </w:pPr>
      <w:r>
        <w:rPr>
          <w:rFonts w:ascii="Times New Roman" w:hAnsi="Times New Roman" w:cs="Times New Roman" w:eastAsia="Times New Roman" w:hint="default"/>
        </w:rPr>
        <w:t>1</w:t>
      </w:r>
      <w:r>
        <w:rPr/>
        <w:t>、市场营销计划 不断挖掘现有行业客户的信息化需求，在做精做深现有业务的同时，大力拓展相关行业的区域市场，</w:t>
      </w:r>
    </w:p>
    <w:p>
      <w:pPr>
        <w:pStyle w:val="BodyText"/>
        <w:spacing w:line="408" w:lineRule="auto" w:before="65"/>
        <w:ind w:right="0"/>
        <w:jc w:val="left"/>
      </w:pPr>
      <w:r>
        <w:rPr>
          <w:spacing w:val="-1"/>
        </w:rPr>
        <w:t>做宽做大业务规模，提高市场占有率。充分运用公司的核心技术优势，不断加大新技术储备，适时拓展新</w:t>
      </w:r>
      <w:r>
        <w:rPr>
          <w:spacing w:val="-86"/>
        </w:rPr>
        <w:t> </w:t>
      </w:r>
      <w:r>
        <w:rPr>
          <w:spacing w:val="-86"/>
        </w:rPr>
      </w:r>
      <w:r>
        <w:rPr/>
        <w:t>的行业应用。</w:t>
      </w:r>
    </w:p>
    <w:p>
      <w:pPr>
        <w:pStyle w:val="BodyText"/>
        <w:spacing w:line="393" w:lineRule="auto" w:before="46"/>
        <w:ind w:right="1131" w:firstLine="360"/>
        <w:jc w:val="both"/>
      </w:pPr>
      <w:r>
        <w:rPr>
          <w:spacing w:val="-2"/>
        </w:rPr>
        <w:t>（</w:t>
      </w:r>
      <w:r>
        <w:rPr>
          <w:rFonts w:ascii="Times New Roman" w:hAnsi="Times New Roman" w:cs="Times New Roman" w:eastAsia="Times New Roman" w:hint="default"/>
          <w:spacing w:val="-2"/>
        </w:rPr>
        <w:t>1</w:t>
      </w:r>
      <w:r>
        <w:rPr>
          <w:spacing w:val="-2"/>
        </w:rPr>
        <w:t>）加强营销网络建设。继续推进公司在全国的一类营销服务网点（办事处）及二类营销服务网点建</w:t>
      </w:r>
      <w:r>
        <w:rPr/>
        <w:t> </w:t>
      </w:r>
      <w:r>
        <w:rPr>
          <w:spacing w:val="-1"/>
        </w:rPr>
        <w:t>设，实现公司业务在全国范围内的布局及拓展计划。大力拓展和建设除四川、河南、新疆三地以外的其他</w:t>
      </w:r>
      <w:r>
        <w:rPr>
          <w:spacing w:val="-86"/>
        </w:rPr>
        <w:t> </w:t>
      </w:r>
      <w:r>
        <w:rPr>
          <w:spacing w:val="-86"/>
        </w:rPr>
      </w:r>
      <w:r>
        <w:rPr>
          <w:spacing w:val="-2"/>
        </w:rPr>
        <w:t>区域市场，扩大公司业务在国内的覆盖范围，在成功成立并运行北京分公司的基础上，力争再拓展</w:t>
      </w:r>
      <w:r>
        <w:rPr>
          <w:rFonts w:ascii="Times New Roman" w:hAnsi="Times New Roman" w:cs="Times New Roman" w:eastAsia="Times New Roman" w:hint="default"/>
          <w:spacing w:val="-2"/>
        </w:rPr>
        <w:t>1-2</w:t>
      </w:r>
      <w:r>
        <w:rPr>
          <w:spacing w:val="-2"/>
        </w:rPr>
        <w:t>个经</w:t>
      </w:r>
      <w:r>
        <w:rPr/>
        <w:t> 济发达地区和相关行业（烟草信息化、数字会议、油气信息化）信息化重点企业所在地区的市场。</w:t>
      </w:r>
    </w:p>
    <w:p>
      <w:pPr>
        <w:pStyle w:val="BodyText"/>
        <w:spacing w:line="398" w:lineRule="auto" w:before="58"/>
        <w:ind w:right="1130" w:firstLine="360"/>
        <w:jc w:val="both"/>
      </w:pPr>
      <w:r>
        <w:rPr>
          <w:spacing w:val="-1"/>
        </w:rPr>
        <w:t>（</w:t>
      </w:r>
      <w:r>
        <w:rPr>
          <w:rFonts w:ascii="Times New Roman" w:hAnsi="Times New Roman" w:cs="Times New Roman" w:eastAsia="Times New Roman" w:hint="default"/>
          <w:spacing w:val="-1"/>
        </w:rPr>
        <w:t>2</w:t>
      </w:r>
      <w:r>
        <w:rPr>
          <w:spacing w:val="-1"/>
        </w:rPr>
        <w:t>）提升营销服务管理能力。启动公司</w:t>
      </w:r>
      <w:r>
        <w:rPr>
          <w:rFonts w:ascii="Times New Roman" w:hAnsi="Times New Roman" w:cs="Times New Roman" w:eastAsia="Times New Roman" w:hint="default"/>
          <w:spacing w:val="-1"/>
        </w:rPr>
        <w:t>“</w:t>
      </w:r>
      <w:r>
        <w:rPr>
          <w:spacing w:val="-1"/>
        </w:rPr>
        <w:t>营销信息管理系统</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客户服务管理系统</w:t>
      </w:r>
      <w:r>
        <w:rPr>
          <w:rFonts w:ascii="Times New Roman" w:hAnsi="Times New Roman" w:cs="Times New Roman" w:eastAsia="Times New Roman" w:hint="default"/>
          <w:spacing w:val="-1"/>
        </w:rPr>
        <w:t>”</w:t>
      </w:r>
      <w:r>
        <w:rPr>
          <w:spacing w:val="-1"/>
        </w:rPr>
        <w:t>的建设，建立能支</w:t>
      </w:r>
      <w:r>
        <w:rPr/>
        <w:t> </w:t>
      </w:r>
      <w:r>
        <w:rPr>
          <w:spacing w:val="-1"/>
        </w:rPr>
        <w:t>撑各区域营销服务网点业务管理的营销信息管理系统、客户服务管理系统和呼叫中心，同时为公司营销项</w:t>
      </w:r>
      <w:r>
        <w:rPr>
          <w:spacing w:val="-81"/>
        </w:rPr>
        <w:t> </w:t>
      </w:r>
      <w:r>
        <w:rPr>
          <w:spacing w:val="-81"/>
        </w:rPr>
      </w:r>
      <w:r>
        <w:rPr/>
        <w:t>目及售后服务管理及时性、全面性以及决策的科学性、准确性提供保障。</w:t>
      </w:r>
    </w:p>
    <w:p>
      <w:pPr>
        <w:pStyle w:val="BodyText"/>
        <w:spacing w:line="400" w:lineRule="auto" w:before="55"/>
        <w:ind w:right="1130" w:firstLine="360"/>
        <w:jc w:val="both"/>
      </w:pPr>
      <w:r>
        <w:rPr>
          <w:spacing w:val="-2"/>
        </w:rPr>
        <w:t>（</w:t>
      </w:r>
      <w:r>
        <w:rPr>
          <w:rFonts w:ascii="Times New Roman" w:hAnsi="Times New Roman" w:cs="Times New Roman" w:eastAsia="Times New Roman" w:hint="default"/>
          <w:spacing w:val="-2"/>
        </w:rPr>
        <w:t>3</w:t>
      </w:r>
      <w:r>
        <w:rPr>
          <w:spacing w:val="-2"/>
        </w:rPr>
        <w:t>）继续做好品牌建设工作，提升品牌知名度与美誉度。公司数字会议业务因长年服务于党和国家重</w:t>
      </w:r>
      <w:r>
        <w:rPr/>
        <w:t> </w:t>
      </w:r>
      <w:r>
        <w:rPr>
          <w:spacing w:val="-1"/>
        </w:rPr>
        <w:t>大会议，在全国范围内拥有着良好的行业口碑；其他业务在四川、河南、新疆等地域依靠长期以来的高质</w:t>
      </w:r>
      <w:r>
        <w:rPr>
          <w:spacing w:val="-86"/>
        </w:rPr>
        <w:t> </w:t>
      </w:r>
      <w:r>
        <w:rPr>
          <w:spacing w:val="-86"/>
        </w:rPr>
      </w:r>
      <w:r>
        <w:rPr>
          <w:spacing w:val="-1"/>
        </w:rPr>
        <w:t>量服务，在现有客户心中有着良好的口碑。为支撑向全国其他地域拓展业务，公司将在全国范围内，特别</w:t>
      </w:r>
      <w:r>
        <w:rPr>
          <w:spacing w:val="-86"/>
        </w:rPr>
        <w:t> </w:t>
      </w:r>
      <w:r>
        <w:rPr>
          <w:spacing w:val="-86"/>
        </w:rPr>
      </w:r>
      <w:r>
        <w:rPr/>
        <w:t>是重点客户群体中提高品牌影响力。加大品牌推广的资源投入，在国内权威</w:t>
      </w:r>
      <w:r>
        <w:rPr>
          <w:rFonts w:ascii="Times New Roman" w:hAnsi="Times New Roman" w:cs="Times New Roman" w:eastAsia="Times New Roman" w:hint="default"/>
        </w:rPr>
        <w:t>IT</w:t>
      </w:r>
      <w:r>
        <w:rPr/>
        <w:t>奖项评选、重大</w:t>
      </w:r>
      <w:r>
        <w:rPr>
          <w:rFonts w:ascii="Times New Roman" w:hAnsi="Times New Roman" w:cs="Times New Roman" w:eastAsia="Times New Roman" w:hint="default"/>
        </w:rPr>
        <w:t>IT</w:t>
      </w:r>
      <w:r>
        <w:rPr/>
        <w:t>展会、</w:t>
      </w:r>
      <w:r>
        <w:rPr>
          <w:rFonts w:ascii="Times New Roman" w:hAnsi="Times New Roman" w:cs="Times New Roman" w:eastAsia="Times New Roman" w:hint="default"/>
        </w:rPr>
        <w:t>IT</w:t>
      </w:r>
      <w:r>
        <w:rPr>
          <w:rFonts w:ascii="Times New Roman" w:hAnsi="Times New Roman" w:cs="Times New Roman" w:eastAsia="Times New Roman" w:hint="default"/>
          <w:spacing w:val="-41"/>
        </w:rPr>
        <w:t> </w:t>
      </w:r>
      <w:r>
        <w:rPr>
          <w:spacing w:val="-1"/>
        </w:rPr>
        <w:t>及相关行业专业杂志专访等活动中，积极进行品牌推广，提升公司品牌影响力。在各一类营销服务网点覆</w:t>
      </w:r>
      <w:r>
        <w:rPr>
          <w:spacing w:val="-82"/>
        </w:rPr>
        <w:t> </w:t>
      </w:r>
      <w:r>
        <w:rPr>
          <w:spacing w:val="-82"/>
        </w:rPr>
      </w:r>
      <w:r>
        <w:rPr/>
        <w:t>盖区域，提升和保持公司品牌在</w:t>
      </w:r>
      <w:r>
        <w:rPr>
          <w:rFonts w:ascii="Times New Roman" w:hAnsi="Times New Roman" w:cs="Times New Roman" w:eastAsia="Times New Roman" w:hint="default"/>
        </w:rPr>
        <w:t>IT</w:t>
      </w:r>
      <w:r>
        <w:rPr/>
        <w:t>业界较高的知名度和美誉度。</w:t>
      </w:r>
    </w:p>
    <w:p>
      <w:pPr>
        <w:pStyle w:val="BodyText"/>
        <w:spacing w:line="403" w:lineRule="auto" w:before="21"/>
        <w:ind w:right="1130" w:firstLine="379"/>
        <w:jc w:val="both"/>
      </w:pPr>
      <w:r>
        <w:rPr>
          <w:spacing w:val="-2"/>
        </w:rPr>
        <w:t>（</w:t>
      </w:r>
      <w:r>
        <w:rPr>
          <w:rFonts w:ascii="Times New Roman" w:hAnsi="Times New Roman" w:cs="Times New Roman" w:eastAsia="Times New Roman" w:hint="default"/>
          <w:spacing w:val="-2"/>
        </w:rPr>
        <w:t>4</w:t>
      </w:r>
      <w:r>
        <w:rPr>
          <w:spacing w:val="-2"/>
        </w:rPr>
        <w:t>）面向主业，持续创新，开创行业市场新局面。在数字会议领域将高度重视选举、表决和计票通三</w:t>
      </w:r>
      <w:r>
        <w:rPr/>
        <w:t> 项核心业务的发展，持续加强省、地市级市场的纵深拓展以确保业务稳定增长，抓好</w:t>
      </w:r>
      <w:r>
        <w:rPr>
          <w:rFonts w:ascii="Times New Roman" w:hAnsi="Times New Roman" w:cs="Times New Roman" w:eastAsia="Times New Roman" w:hint="default"/>
        </w:rPr>
        <w:t>“</w:t>
      </w:r>
      <w:r>
        <w:rPr/>
        <w:t>计票通</w:t>
      </w:r>
      <w:r>
        <w:rPr>
          <w:rFonts w:ascii="Times New Roman" w:hAnsi="Times New Roman" w:cs="Times New Roman" w:eastAsia="Times New Roman" w:hint="default"/>
        </w:rPr>
        <w:t>”</w:t>
      </w:r>
      <w:r>
        <w:rPr/>
        <w:t>业务在香港 </w:t>
      </w:r>
      <w:r>
        <w:rPr>
          <w:spacing w:val="-1"/>
        </w:rPr>
        <w:t>市场的开辟，努力进军国际市场。在烟草行业将以技术领先带动市场开拓，夯实在行业信息化细分市场的</w:t>
      </w:r>
      <w:r>
        <w:rPr>
          <w:spacing w:val="-83"/>
        </w:rPr>
        <w:t> </w:t>
      </w:r>
      <w:r>
        <w:rPr>
          <w:spacing w:val="-83"/>
        </w:rPr>
      </w:r>
      <w:r>
        <w:rPr>
          <w:spacing w:val="-1"/>
        </w:rPr>
        <w:t>领先者地位，持续加强重点客户市场经营和新区域市场拓展，积极争取数采、卷烟生产、烟叶收购、卷烟</w:t>
      </w:r>
      <w:r>
        <w:rPr>
          <w:spacing w:val="-83"/>
        </w:rPr>
        <w:t> </w:t>
      </w:r>
      <w:r>
        <w:rPr>
          <w:spacing w:val="-83"/>
        </w:rPr>
      </w:r>
      <w:r>
        <w:rPr>
          <w:spacing w:val="-1"/>
        </w:rPr>
        <w:t>产品研发管理系统的升级改造和运维订单，力争扩大运维服务业务。在油气行业要进一步稳固塔里木油田</w:t>
      </w:r>
      <w:r>
        <w:rPr>
          <w:spacing w:val="-80"/>
        </w:rPr>
        <w:t> </w:t>
      </w:r>
      <w:r>
        <w:rPr>
          <w:spacing w:val="-80"/>
        </w:rPr>
      </w:r>
      <w:r>
        <w:rPr>
          <w:spacing w:val="-1"/>
        </w:rPr>
        <w:t>等老市场，在原有业务基础上，发挥公司智能分析核心技术优势，争取进入油气生产核心业务，增强竞争</w:t>
      </w:r>
      <w:r>
        <w:rPr>
          <w:spacing w:val="-86"/>
        </w:rPr>
        <w:t> </w:t>
      </w:r>
      <w:r>
        <w:rPr>
          <w:spacing w:val="-86"/>
        </w:rPr>
      </w:r>
      <w:r>
        <w:rPr>
          <w:spacing w:val="-1"/>
        </w:rPr>
        <w:t>力。加大智慧政务信息化市场开拓力度，积极拓宽智慧城市相关业务，在智慧教育、智慧交通、水务环保</w:t>
      </w:r>
      <w:r>
        <w:rPr>
          <w:spacing w:val="-83"/>
        </w:rPr>
        <w:t> </w:t>
      </w:r>
      <w:r>
        <w:rPr>
          <w:spacing w:val="-83"/>
        </w:rPr>
      </w:r>
      <w:r>
        <w:rPr>
          <w:spacing w:val="-1"/>
        </w:rPr>
        <w:t>以及公检法领域取得新的突破。在印钞行业要紧抓印钞行业整体升级改造所带来的机遇，持续导入人工智</w:t>
      </w:r>
      <w:r>
        <w:rPr>
          <w:spacing w:val="-81"/>
        </w:rPr>
        <w:t> </w:t>
      </w:r>
      <w:r>
        <w:rPr>
          <w:spacing w:val="-81"/>
        </w:rPr>
      </w:r>
      <w:r>
        <w:rPr>
          <w:spacing w:val="-1"/>
        </w:rPr>
        <w:t>能技术实现已有工艺设备的产品升级，以新一代印钞检测领域高端技术和更好的产品与服务提升核心竞争</w:t>
      </w:r>
    </w:p>
    <w:p>
      <w:pPr>
        <w:spacing w:after="0" w:line="403"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力，继续扩大出口业务。</w:t>
      </w:r>
    </w:p>
    <w:p>
      <w:pPr>
        <w:spacing w:line="240" w:lineRule="auto" w:before="10"/>
        <w:rPr>
          <w:rFonts w:ascii="宋体" w:hAnsi="宋体" w:cs="宋体" w:eastAsia="宋体" w:hint="default"/>
          <w:sz w:val="14"/>
          <w:szCs w:val="14"/>
        </w:rPr>
      </w:pPr>
    </w:p>
    <w:p>
      <w:pPr>
        <w:pStyle w:val="BodyText"/>
        <w:spacing w:line="386" w:lineRule="auto"/>
        <w:ind w:left="595" w:right="1071" w:firstLine="21"/>
        <w:jc w:val="left"/>
      </w:pPr>
      <w:r>
        <w:rPr>
          <w:rFonts w:ascii="Times New Roman" w:hAnsi="Times New Roman" w:cs="Times New Roman" w:eastAsia="Times New Roman" w:hint="default"/>
        </w:rPr>
        <w:t>2</w:t>
      </w:r>
      <w:r>
        <w:rPr/>
        <w:t>、内部管理计划 进一步完善内部管理，做好对经营风险、法律风险、资金风险、信披风险、舆论风险的控制与防范。</w:t>
      </w:r>
    </w:p>
    <w:p>
      <w:pPr>
        <w:pStyle w:val="BodyText"/>
        <w:spacing w:line="408" w:lineRule="auto" w:before="65"/>
        <w:ind w:right="1133"/>
        <w:jc w:val="both"/>
      </w:pPr>
      <w:r>
        <w:rPr>
          <w:spacing w:val="-1"/>
        </w:rPr>
        <w:t>坚决遵守党纪、国家法律法规，严格执行创业板各类规则、指引、《公司章程》、三会议事规则以及公司</w:t>
      </w:r>
      <w:r>
        <w:rPr>
          <w:spacing w:val="-85"/>
        </w:rPr>
        <w:t> </w:t>
      </w:r>
      <w:r>
        <w:rPr>
          <w:spacing w:val="-85"/>
        </w:rPr>
      </w:r>
      <w:r>
        <w:rPr>
          <w:spacing w:val="-1"/>
        </w:rPr>
        <w:t>制度，加强财务管理与审计监督，严把内控流程，防范资金风险；做好公司及子公司各类资质的管理与完</w:t>
      </w:r>
      <w:r>
        <w:rPr>
          <w:spacing w:val="-86"/>
        </w:rPr>
        <w:t> </w:t>
      </w:r>
      <w:r>
        <w:rPr>
          <w:spacing w:val="-86"/>
        </w:rPr>
      </w:r>
      <w:r>
        <w:rPr/>
        <w:t>善，继续丰富成都中科资质，发挥涉密资质作用；重视安全与保密教育，杜绝安全责任事故与泄密行为</w:t>
      </w:r>
    </w:p>
    <w:p>
      <w:pPr>
        <w:pStyle w:val="BodyText"/>
        <w:spacing w:line="400" w:lineRule="auto" w:before="46"/>
        <w:ind w:right="1129" w:firstLine="420"/>
        <w:jc w:val="both"/>
      </w:pPr>
      <w:r>
        <w:rPr/>
        <w:t>严格按照质量管理体系</w:t>
      </w:r>
      <w:r>
        <w:rPr>
          <w:rFonts w:ascii="Times New Roman" w:hAnsi="Times New Roman" w:cs="Times New Roman" w:eastAsia="Times New Roman" w:hint="default"/>
        </w:rPr>
        <w:t>(ISO9001)</w:t>
      </w:r>
      <w:r>
        <w:rPr>
          <w:rFonts w:ascii="Times New Roman" w:hAnsi="Times New Roman" w:cs="Times New Roman" w:eastAsia="Times New Roman" w:hint="default"/>
          <w:spacing w:val="27"/>
        </w:rPr>
        <w:t> </w:t>
      </w:r>
      <w:r>
        <w:rPr/>
        <w:t>、环境管理体系</w:t>
      </w:r>
      <w:r>
        <w:rPr>
          <w:rFonts w:ascii="Times New Roman" w:hAnsi="Times New Roman" w:cs="Times New Roman" w:eastAsia="Times New Roman" w:hint="default"/>
        </w:rPr>
        <w:t>(ISO14001)</w:t>
      </w:r>
      <w:r>
        <w:rPr/>
        <w:t>、职业安会健康</w:t>
      </w:r>
      <w:r>
        <w:rPr>
          <w:rFonts w:ascii="Times New Roman" w:hAnsi="Times New Roman" w:cs="Times New Roman" w:eastAsia="Times New Roman" w:hint="default"/>
        </w:rPr>
        <w:t>(OHSAS18001)</w:t>
      </w:r>
      <w:r>
        <w:rPr/>
        <w:t>的要求，</w:t>
      </w:r>
      <w:r>
        <w:rPr>
          <w:w w:val="99"/>
        </w:rPr>
        <w:t> </w:t>
      </w:r>
      <w:r>
        <w:rPr>
          <w:spacing w:val="-1"/>
        </w:rPr>
        <w:t>把好产品研发、项目实施质量关，进一步优化研发管理、项目管理流程，提升项目管理效率，有效控制项</w:t>
      </w:r>
      <w:r>
        <w:rPr>
          <w:spacing w:val="-83"/>
        </w:rPr>
        <w:t> </w:t>
      </w:r>
      <w:r>
        <w:rPr>
          <w:spacing w:val="-83"/>
        </w:rPr>
      </w:r>
      <w:r>
        <w:rPr>
          <w:spacing w:val="-1"/>
        </w:rPr>
        <w:t>目成本，提高项目盈利水平，增强公司整体的持续盈利能力。健全客户意见收集反馈与持续改进机制，提</w:t>
      </w:r>
      <w:r>
        <w:rPr>
          <w:spacing w:val="-86"/>
        </w:rPr>
        <w:t> </w:t>
      </w:r>
      <w:r>
        <w:rPr>
          <w:spacing w:val="-86"/>
        </w:rPr>
      </w:r>
      <w:r>
        <w:rPr/>
        <w:t>升客户满意度，积累更多的行业应用优秀案例。</w:t>
      </w:r>
    </w:p>
    <w:p>
      <w:pPr>
        <w:pStyle w:val="BodyText"/>
        <w:spacing w:line="386" w:lineRule="auto" w:before="52"/>
        <w:ind w:left="617" w:right="1118" w:hanging="34"/>
        <w:jc w:val="left"/>
      </w:pPr>
      <w:r>
        <w:rPr>
          <w:rFonts w:ascii="Times New Roman" w:hAnsi="Times New Roman" w:cs="Times New Roman" w:eastAsia="Times New Roman" w:hint="default"/>
        </w:rPr>
        <w:t>3</w:t>
      </w:r>
      <w:r>
        <w:rPr/>
        <w:t>、研发计划 </w:t>
      </w:r>
      <w:r>
        <w:rPr>
          <w:spacing w:val="-2"/>
        </w:rPr>
        <w:t>重点面向智能医疗、机器视觉、智慧政务、智能制造领域。继续升级数字会议系列产品与系统，确保</w:t>
      </w:r>
    </w:p>
    <w:p>
      <w:pPr>
        <w:pStyle w:val="BodyText"/>
        <w:spacing w:line="408" w:lineRule="auto" w:before="65"/>
        <w:ind w:right="1023"/>
        <w:jc w:val="left"/>
      </w:pPr>
      <w:r>
        <w:rPr>
          <w:spacing w:val="-3"/>
        </w:rPr>
        <w:t>各项性能与指标行业领先；加快智能医疗领域的围术期智能麻醉、数字人培训、单切面超声设备等的研发；</w:t>
      </w:r>
      <w:r>
        <w:rPr>
          <w:spacing w:val="-90"/>
        </w:rPr>
        <w:t> </w:t>
      </w:r>
      <w:r>
        <w:rPr>
          <w:spacing w:val="-90"/>
        </w:rPr>
      </w:r>
      <w:r>
        <w:rPr/>
        <w:t>继续研发和完善卷烟智慧工厂相关产品与系统，包括卷烟智慧设备管理，智能制造平台、生产大数据分析</w:t>
      </w:r>
      <w:r>
        <w:rPr/>
        <w:t> 等系统的产品化完善，以及烟箱缺条图像检测、卷烟滤嘴爆珠检测、烟叶智能收购管理等机器视觉检测系 </w:t>
      </w:r>
      <w:r>
        <w:rPr>
          <w:spacing w:val="-3"/>
        </w:rPr>
        <w:t>统的研发，卷烟智能配方、烟叶种植专家系统的研发；加强智慧城市领域中面向人大、政协、统计、教育、</w:t>
      </w:r>
      <w:r>
        <w:rPr>
          <w:spacing w:val="-95"/>
        </w:rPr>
        <w:t> </w:t>
      </w:r>
      <w:r>
        <w:rPr>
          <w:spacing w:val="-95"/>
        </w:rPr>
      </w:r>
      <w:r>
        <w:rPr/>
        <w:t>交通等领域的智能化业务管理和大数据分析应用系统的开发；将人工智能技术应用于智慧油气田生产管理</w:t>
      </w:r>
      <w:r>
        <w:rPr/>
        <w:t> 的智能监控、生产与操作安全智能检测、无人机安全巡检等系统的研发，支撑公司规模化快速发展。</w:t>
      </w:r>
    </w:p>
    <w:p>
      <w:pPr>
        <w:pStyle w:val="BodyText"/>
        <w:spacing w:line="240" w:lineRule="auto" w:before="46"/>
        <w:ind w:left="701" w:right="0"/>
        <w:jc w:val="left"/>
      </w:pPr>
      <w:r>
        <w:rPr>
          <w:rFonts w:ascii="Times New Roman" w:hAnsi="Times New Roman" w:cs="Times New Roman" w:eastAsia="Times New Roman" w:hint="default"/>
        </w:rPr>
        <w:t>4</w:t>
      </w:r>
      <w:r>
        <w:rPr/>
        <w:t>、人才建设计划</w:t>
      </w:r>
    </w:p>
    <w:p>
      <w:pPr>
        <w:pStyle w:val="BodyText"/>
        <w:spacing w:line="400" w:lineRule="auto" w:before="177"/>
        <w:ind w:right="1110" w:firstLine="336"/>
        <w:jc w:val="both"/>
      </w:pPr>
      <w:r>
        <w:rPr>
          <w:spacing w:val="-1"/>
        </w:rPr>
        <w:t>（</w:t>
      </w:r>
      <w:r>
        <w:rPr>
          <w:rFonts w:ascii="Times New Roman" w:hAnsi="Times New Roman" w:cs="Times New Roman" w:eastAsia="Times New Roman" w:hint="default"/>
          <w:spacing w:val="-1"/>
        </w:rPr>
        <w:t>1</w:t>
      </w:r>
      <w:r>
        <w:rPr>
          <w:spacing w:val="-1"/>
        </w:rPr>
        <w:t>）持续优化人才队伍结构。结合公司当前主营业务和长远发展趋势，采用内部培养与外部引进相结</w:t>
      </w:r>
      <w:r>
        <w:rPr/>
        <w:t> </w:t>
      </w:r>
      <w:r>
        <w:rPr>
          <w:spacing w:val="-1"/>
        </w:rPr>
        <w:t>合的方式，培养一批了解行业发展前沿动态，掌握新理论、新技术的技术研发人才、方案总体设计人才以</w:t>
      </w:r>
      <w:r>
        <w:rPr>
          <w:spacing w:val="-85"/>
        </w:rPr>
        <w:t> </w:t>
      </w:r>
      <w:r>
        <w:rPr>
          <w:spacing w:val="-85"/>
        </w:rPr>
      </w:r>
      <w:r>
        <w:rPr/>
        <w:t>及复合型管理人才。完善关键人才引进机制，对专业领域内有影响力、有造诣的人才给予待遇政策倾斜， 营造良好的竞争氛围，充分调动人才的积极性、创造性，不断充实并优化人才队伍结构。</w:t>
      </w:r>
    </w:p>
    <w:p>
      <w:pPr>
        <w:pStyle w:val="BodyText"/>
        <w:spacing w:line="398" w:lineRule="auto" w:before="172"/>
        <w:ind w:right="1110" w:firstLine="357"/>
        <w:jc w:val="both"/>
      </w:pPr>
      <w:r>
        <w:rPr>
          <w:spacing w:val="-2"/>
        </w:rPr>
        <w:t>（</w:t>
      </w:r>
      <w:r>
        <w:rPr>
          <w:rFonts w:ascii="Times New Roman" w:hAnsi="Times New Roman" w:cs="Times New Roman" w:eastAsia="Times New Roman" w:hint="default"/>
          <w:spacing w:val="-2"/>
        </w:rPr>
        <w:t>2</w:t>
      </w:r>
      <w:r>
        <w:rPr>
          <w:spacing w:val="-2"/>
        </w:rPr>
        <w:t>）构建有利于人才成长、有利于创新的平台和机制。努力建设学习型企业，健全考核激励制度，充</w:t>
      </w:r>
      <w:r>
        <w:rPr/>
        <w:t> 分调动员工的积极性、创造性，为想干事、能干事的骨干人才搭建良好平台，实现人尽其才、才尽其用。 健全研发容错与激励机制，营造鼓励创新氛围，充分调动员工创新积极性。</w:t>
      </w:r>
    </w:p>
    <w:p>
      <w:pPr>
        <w:pStyle w:val="BodyText"/>
        <w:spacing w:line="398" w:lineRule="auto" w:before="55"/>
        <w:ind w:right="1132" w:firstLine="357"/>
        <w:jc w:val="both"/>
      </w:pPr>
      <w:r>
        <w:rPr/>
        <w:t>（</w:t>
      </w:r>
      <w:r>
        <w:rPr>
          <w:rFonts w:ascii="Times New Roman" w:hAnsi="Times New Roman" w:cs="Times New Roman" w:eastAsia="Times New Roman" w:hint="default"/>
        </w:rPr>
        <w:t>3</w:t>
      </w:r>
      <w:r>
        <w:rPr/>
        <w:t>）加强年轻人才、年轻干部的培训与培养。</w:t>
      </w:r>
      <w:r>
        <w:rPr>
          <w:spacing w:val="25"/>
        </w:rPr>
        <w:t> </w:t>
      </w:r>
      <w:r>
        <w:rPr/>
        <w:t>做好青年人才特别是</w:t>
      </w:r>
      <w:r>
        <w:rPr>
          <w:rFonts w:ascii="Times New Roman" w:hAnsi="Times New Roman" w:cs="Times New Roman" w:eastAsia="Times New Roman" w:hint="default"/>
        </w:rPr>
        <w:t>80</w:t>
      </w:r>
      <w:r>
        <w:rPr/>
        <w:t>、</w:t>
      </w:r>
      <w:r>
        <w:rPr>
          <w:rFonts w:ascii="Times New Roman" w:hAnsi="Times New Roman" w:cs="Times New Roman" w:eastAsia="Times New Roman" w:hint="default"/>
        </w:rPr>
        <w:t>90</w:t>
      </w:r>
      <w:r>
        <w:rPr/>
        <w:t>后人才的培养，提拔重用 </w:t>
      </w:r>
      <w:r>
        <w:rPr>
          <w:spacing w:val="-1"/>
        </w:rPr>
        <w:t>具备强烈的进取精神和敬业精神、强烈的责任感和企业使命感、有能力、有闯劲、有担当的人，为他们进</w:t>
      </w:r>
      <w:r>
        <w:rPr>
          <w:spacing w:val="-83"/>
        </w:rPr>
        <w:t> </w:t>
      </w:r>
      <w:r>
        <w:rPr>
          <w:spacing w:val="-83"/>
        </w:rPr>
      </w:r>
      <w:r>
        <w:rPr/>
        <w:t>一步成长和发挥才干搭建平台。</w:t>
      </w:r>
    </w:p>
    <w:p>
      <w:pPr>
        <w:spacing w:after="0" w:line="39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95" w:right="1115"/>
        <w:jc w:val="left"/>
      </w:pPr>
      <w:r>
        <w:rPr>
          <w:rFonts w:ascii="Times New Roman" w:hAnsi="Times New Roman" w:cs="Times New Roman" w:eastAsia="Times New Roman" w:hint="default"/>
        </w:rPr>
        <w:t>5</w:t>
      </w:r>
      <w:r>
        <w:rPr/>
        <w:t>、资本运营计划 </w:t>
      </w:r>
      <w:r>
        <w:rPr>
          <w:spacing w:val="-1"/>
        </w:rPr>
        <w:t>紧紧围绕做大做强主营业务的战略目标，充分利用自身综合实力和技术优势，适时通过并购重组等方</w:t>
      </w:r>
    </w:p>
    <w:p>
      <w:pPr>
        <w:pStyle w:val="BodyText"/>
        <w:spacing w:line="408" w:lineRule="auto" w:before="65"/>
        <w:ind w:right="0"/>
        <w:jc w:val="left"/>
      </w:pPr>
      <w:r>
        <w:rPr>
          <w:spacing w:val="-1"/>
        </w:rPr>
        <w:t>式对同行业其他企业或上下游行业企业进行整合，获取更多能夯实现有业务的重要资源，以及可进入新业</w:t>
      </w:r>
      <w:r>
        <w:rPr>
          <w:spacing w:val="-81"/>
        </w:rPr>
        <w:t> </w:t>
      </w:r>
      <w:r>
        <w:rPr>
          <w:spacing w:val="-81"/>
        </w:rPr>
      </w:r>
      <w:r>
        <w:rPr/>
        <w:t>务领域的关键资源，不断发掘新的增长点。</w:t>
      </w:r>
    </w:p>
    <w:p>
      <w:pPr>
        <w:pStyle w:val="BodyText"/>
        <w:spacing w:line="240" w:lineRule="auto" w:before="46"/>
        <w:ind w:left="574" w:right="0"/>
        <w:jc w:val="left"/>
      </w:pPr>
      <w:r>
        <w:rPr/>
        <w:t>（五）可能面临的风险</w:t>
      </w:r>
    </w:p>
    <w:p>
      <w:pPr>
        <w:spacing w:line="240" w:lineRule="auto" w:before="10"/>
        <w:rPr>
          <w:rFonts w:ascii="宋体" w:hAnsi="宋体" w:cs="宋体" w:eastAsia="宋体" w:hint="default"/>
          <w:sz w:val="14"/>
          <w:szCs w:val="14"/>
        </w:rPr>
      </w:pPr>
    </w:p>
    <w:p>
      <w:pPr>
        <w:pStyle w:val="BodyText"/>
        <w:spacing w:line="386" w:lineRule="auto"/>
        <w:ind w:left="574" w:right="0"/>
        <w:jc w:val="left"/>
      </w:pPr>
      <w:r>
        <w:rPr>
          <w:rFonts w:ascii="Times New Roman" w:hAnsi="Times New Roman" w:cs="Times New Roman" w:eastAsia="Times New Roman" w:hint="default"/>
        </w:rPr>
        <w:t>1</w:t>
      </w:r>
      <w:r>
        <w:rPr/>
        <w:t>、营业收入季节性波动风险 </w:t>
      </w:r>
      <w:r>
        <w:rPr>
          <w:spacing w:val="-1"/>
        </w:rPr>
        <w:t>公司所处行业具有一定的季节性，下游政府、石油、烟草等行业客户以国家机关或大型国有企事业单</w:t>
      </w:r>
    </w:p>
    <w:p>
      <w:pPr>
        <w:pStyle w:val="BodyText"/>
        <w:spacing w:line="408" w:lineRule="auto" w:before="65"/>
        <w:ind w:right="1110"/>
        <w:jc w:val="both"/>
      </w:pPr>
      <w:r>
        <w:rPr>
          <w:spacing w:val="-1"/>
        </w:rPr>
        <w:t>位为主，其信息化采购具有较为规范的采购机制和采购流程，按预算决算体制执行，通常在上半年对全年</w:t>
      </w:r>
      <w:r>
        <w:rPr>
          <w:spacing w:val="-83"/>
        </w:rPr>
        <w:t> </w:t>
      </w:r>
      <w:r>
        <w:rPr>
          <w:spacing w:val="-83"/>
        </w:rPr>
      </w:r>
      <w:r>
        <w:rPr>
          <w:spacing w:val="-1"/>
        </w:rPr>
        <w:t>具体实施的信息化应用系统进行立项、采购和实施，项目验收和结款一般集中在第四季度，公司收入存在</w:t>
      </w:r>
      <w:r>
        <w:rPr>
          <w:spacing w:val="-83"/>
        </w:rPr>
        <w:t> </w:t>
      </w:r>
      <w:r>
        <w:rPr>
          <w:spacing w:val="-83"/>
        </w:rPr>
      </w:r>
      <w:r>
        <w:rPr/>
        <w:t>季节性波动风险。公司主要客户属于政府或大型国企，其本身受国际国内形势变化和政策变动影响较大， 进而影响公司订单的获得。</w:t>
      </w:r>
    </w:p>
    <w:p>
      <w:pPr>
        <w:pStyle w:val="BodyText"/>
        <w:spacing w:line="386" w:lineRule="auto" w:before="46"/>
        <w:ind w:left="574" w:right="0" w:firstLine="60"/>
        <w:jc w:val="left"/>
      </w:pPr>
      <w:r>
        <w:rPr>
          <w:rFonts w:ascii="Times New Roman" w:hAnsi="Times New Roman" w:cs="Times New Roman" w:eastAsia="Times New Roman" w:hint="default"/>
        </w:rPr>
        <w:t>2</w:t>
      </w:r>
      <w:r>
        <w:rPr/>
        <w:t>、市场竞争加剧的风险 </w:t>
      </w:r>
      <w:r>
        <w:rPr>
          <w:spacing w:val="-1"/>
        </w:rPr>
        <w:t>国内的行业信息化市场是充分竞争市场，通过多年发展，市场参与主体众多。在市场需求持续增长的</w:t>
      </w:r>
    </w:p>
    <w:p>
      <w:pPr>
        <w:pStyle w:val="BodyText"/>
        <w:spacing w:line="408" w:lineRule="auto" w:before="65"/>
        <w:ind w:right="1023"/>
        <w:jc w:val="left"/>
      </w:pPr>
      <w:r>
        <w:rPr>
          <w:spacing w:val="-3"/>
        </w:rPr>
        <w:t>情况下，会有更多的新兴企业进入信息化行业，公司面临市场竞争加剧，丢失订单、业绩大幅下降的风险。</w:t>
      </w:r>
      <w:r>
        <w:rPr>
          <w:spacing w:val="-95"/>
        </w:rPr>
        <w:t> </w:t>
      </w:r>
      <w:r>
        <w:rPr>
          <w:spacing w:val="-95"/>
        </w:rPr>
      </w:r>
      <w:r>
        <w:rPr/>
        <w:t>公司一直高度重视研发工作，努力把握技术发展趋势、强化核心技术研发，推进技术的持续进步与新技术</w:t>
      </w:r>
      <w:r>
        <w:rPr/>
        <w:t> 在产品中的应用，提升市场竞争能力，抵抗竞争加剧的风险。</w:t>
      </w:r>
    </w:p>
    <w:p>
      <w:pPr>
        <w:pStyle w:val="BodyText"/>
        <w:spacing w:line="386" w:lineRule="auto" w:before="46"/>
        <w:ind w:left="574" w:right="1126"/>
        <w:jc w:val="left"/>
      </w:pPr>
      <w:r>
        <w:rPr>
          <w:rFonts w:ascii="Times New Roman" w:hAnsi="Times New Roman" w:cs="Times New Roman" w:eastAsia="Times New Roman" w:hint="default"/>
        </w:rPr>
        <w:t>3</w:t>
      </w:r>
      <w:r>
        <w:rPr/>
        <w:t>、应收账款发生坏账的风险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日，公司应收账款余额为</w:t>
      </w:r>
      <w:r>
        <w:rPr>
          <w:rFonts w:ascii="Times New Roman" w:hAnsi="Times New Roman" w:cs="Times New Roman" w:eastAsia="Times New Roman" w:hint="default"/>
          <w:spacing w:val="-2"/>
        </w:rPr>
        <w:t>19801</w:t>
      </w:r>
      <w:r>
        <w:rPr>
          <w:spacing w:val="-2"/>
        </w:rPr>
        <w:t>万元，较上年同期增加</w:t>
      </w:r>
      <w:r>
        <w:rPr>
          <w:rFonts w:ascii="Times New Roman" w:hAnsi="Times New Roman" w:cs="Times New Roman" w:eastAsia="Times New Roman" w:hint="default"/>
          <w:spacing w:val="-2"/>
        </w:rPr>
        <w:t>17%</w:t>
      </w:r>
      <w:r>
        <w:rPr>
          <w:spacing w:val="-2"/>
        </w:rPr>
        <w:t>，如果客户出现信用降低</w:t>
      </w:r>
    </w:p>
    <w:p>
      <w:pPr>
        <w:pStyle w:val="BodyText"/>
        <w:spacing w:line="398" w:lineRule="auto" w:before="35"/>
        <w:ind w:right="1109"/>
        <w:jc w:val="both"/>
      </w:pPr>
      <w:r>
        <w:rPr/>
        <w:t>或现金流支付困难，应收款发生坏账的可能性将增加。公司将在</w:t>
      </w:r>
      <w:r>
        <w:rPr>
          <w:rFonts w:ascii="Times New Roman" w:hAnsi="Times New Roman" w:cs="Times New Roman" w:eastAsia="Times New Roman" w:hint="default"/>
        </w:rPr>
        <w:t>2019</w:t>
      </w:r>
      <w:r>
        <w:rPr/>
        <w:t>年继续加强应收账款催收专项工作， </w:t>
      </w:r>
      <w:r>
        <w:rPr>
          <w:spacing w:val="-1"/>
        </w:rPr>
        <w:t>把应收账款总规模控制在合理范围，以进一步减少因应收账款不能及时收回或出现损失对公司经营业绩产</w:t>
      </w:r>
      <w:r>
        <w:rPr>
          <w:spacing w:val="-81"/>
        </w:rPr>
        <w:t> </w:t>
      </w:r>
      <w:r>
        <w:rPr>
          <w:spacing w:val="-81"/>
        </w:rPr>
      </w:r>
      <w:r>
        <w:rPr/>
        <w:t>生的不利影响。</w:t>
      </w:r>
    </w:p>
    <w:p>
      <w:pPr>
        <w:pStyle w:val="BodyText"/>
        <w:spacing w:line="386" w:lineRule="auto" w:before="54"/>
        <w:ind w:left="574" w:right="1123"/>
        <w:jc w:val="left"/>
      </w:pPr>
      <w:r>
        <w:rPr>
          <w:rFonts w:ascii="Times New Roman" w:hAnsi="Times New Roman" w:cs="Times New Roman" w:eastAsia="Times New Roman" w:hint="default"/>
        </w:rPr>
        <w:t>4</w:t>
      </w:r>
      <w:r>
        <w:rPr/>
        <w:t>、政府补助减少的风险 </w:t>
      </w:r>
      <w:r>
        <w:rPr>
          <w:spacing w:val="-1"/>
        </w:rPr>
        <w:t>报告期内，公司获得的政府补贴收入金额为</w:t>
      </w:r>
      <w:r>
        <w:rPr>
          <w:rFonts w:ascii="Times New Roman" w:hAnsi="Times New Roman" w:cs="Times New Roman" w:eastAsia="Times New Roman" w:hint="default"/>
          <w:spacing w:val="-1"/>
        </w:rPr>
        <w:t>1858</w:t>
      </w:r>
      <w:r>
        <w:rPr>
          <w:spacing w:val="-1"/>
        </w:rPr>
        <w:t>万元，占当期利润总额的比例为</w:t>
      </w:r>
      <w:r>
        <w:rPr>
          <w:rFonts w:ascii="Times New Roman" w:hAnsi="Times New Roman" w:cs="Times New Roman" w:eastAsia="Times New Roman" w:hint="default"/>
          <w:spacing w:val="-1"/>
        </w:rPr>
        <w:t>35.56%</w:t>
      </w:r>
      <w:r>
        <w:rPr>
          <w:spacing w:val="-1"/>
        </w:rPr>
        <w:t>。如果公司未</w:t>
      </w:r>
    </w:p>
    <w:p>
      <w:pPr>
        <w:pStyle w:val="BodyText"/>
        <w:spacing w:line="240" w:lineRule="auto" w:before="35"/>
        <w:ind w:right="0"/>
        <w:jc w:val="left"/>
      </w:pPr>
      <w:r>
        <w:rPr/>
        <w:t>来取得的政府补助减少，将对公司经营业绩产生不利影响。</w:t>
      </w:r>
    </w:p>
    <w:p>
      <w:pPr>
        <w:spacing w:line="240" w:lineRule="auto" w:before="10"/>
        <w:rPr>
          <w:rFonts w:ascii="宋体" w:hAnsi="宋体" w:cs="宋体" w:eastAsia="宋体" w:hint="default"/>
          <w:sz w:val="14"/>
          <w:szCs w:val="14"/>
        </w:rPr>
      </w:pPr>
    </w:p>
    <w:p>
      <w:pPr>
        <w:pStyle w:val="BodyText"/>
        <w:spacing w:line="386" w:lineRule="auto"/>
        <w:ind w:left="574" w:right="0"/>
        <w:jc w:val="left"/>
      </w:pPr>
      <w:r>
        <w:rPr>
          <w:rFonts w:ascii="Times New Roman" w:hAnsi="Times New Roman" w:cs="Times New Roman" w:eastAsia="Times New Roman" w:hint="default"/>
        </w:rPr>
        <w:t>5</w:t>
      </w:r>
      <w:r>
        <w:rPr/>
        <w:t>、业务范围扩大带来的管理风险 </w:t>
      </w:r>
      <w:r>
        <w:rPr>
          <w:spacing w:val="-1"/>
        </w:rPr>
        <w:t>公司目前来源于四川省内的企、事业单位及政府机关等客户营业收入占比较高，随着公司业务规模的</w:t>
      </w:r>
    </w:p>
    <w:p>
      <w:pPr>
        <w:pStyle w:val="BodyText"/>
        <w:spacing w:line="408" w:lineRule="auto" w:before="65"/>
        <w:ind w:right="1023"/>
        <w:jc w:val="left"/>
      </w:pPr>
      <w:r>
        <w:rPr/>
        <w:t>扩大，省外市场客户逐渐增加，报告期内，公司业务领域已扩展至北京、河南、浙江、福建、西藏、新疆 等地，随着公司募集资金投资项目的实施，公司业务领域将进一步扩大，由此将带来人才紧缺、内控方面 </w:t>
      </w:r>
      <w:r>
        <w:rPr>
          <w:spacing w:val="-3"/>
        </w:rPr>
        <w:t>的风险。公司董事会、管理层一直高度关注并致力于建立更加有效的决策体系，进一步完善内部控制体系，</w:t>
      </w:r>
      <w:r>
        <w:rPr>
          <w:spacing w:val="-90"/>
        </w:rPr>
        <w:t> </w:t>
      </w:r>
      <w:r>
        <w:rPr>
          <w:spacing w:val="-90"/>
        </w:rPr>
      </w:r>
      <w:r>
        <w:rPr/>
        <w:t>引进和培养技术、营销、管理人才，从而防范因业务范围扩大带来的管理风险问题。</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27"/>
        <w:jc w:val="left"/>
      </w:pPr>
      <w:r>
        <w:rPr>
          <w:rFonts w:ascii="Times New Roman" w:hAnsi="Times New Roman" w:cs="Times New Roman" w:eastAsia="Times New Roman" w:hint="default"/>
        </w:rPr>
        <w:t>6</w:t>
      </w:r>
      <w:r>
        <w:rPr/>
        <w:t>、投资收益减少的风险 报告期内，公司持有中钞科信</w:t>
      </w:r>
      <w:r>
        <w:rPr>
          <w:rFonts w:ascii="Times New Roman" w:hAnsi="Times New Roman" w:cs="Times New Roman" w:eastAsia="Times New Roman" w:hint="default"/>
        </w:rPr>
        <w:t>40%</w:t>
      </w:r>
      <w:r>
        <w:rPr/>
        <w:t>股权，并按权益法对中钞科信长期股权投资进行核算，在本期中钞</w:t>
      </w:r>
    </w:p>
    <w:p>
      <w:pPr>
        <w:pStyle w:val="BodyText"/>
        <w:spacing w:line="386" w:lineRule="auto" w:before="35"/>
        <w:ind w:right="1131"/>
        <w:jc w:val="both"/>
      </w:pPr>
      <w:r>
        <w:rPr/>
        <w:t>科信净利润较上期减少</w:t>
      </w:r>
      <w:r>
        <w:rPr>
          <w:rFonts w:ascii="Times New Roman" w:hAnsi="Times New Roman" w:cs="Times New Roman" w:eastAsia="Times New Roman" w:hint="default"/>
        </w:rPr>
        <w:t>6.18%</w:t>
      </w:r>
      <w:r>
        <w:rPr/>
        <w:t>，本公司对中钞科信投资收益占当期利润总额的比例为</w:t>
      </w:r>
      <w:r>
        <w:rPr>
          <w:rFonts w:ascii="Times New Roman" w:hAnsi="Times New Roman" w:cs="Times New Roman" w:eastAsia="Times New Roman" w:hint="default"/>
        </w:rPr>
        <w:t>10.67%</w:t>
      </w:r>
      <w:r>
        <w:rPr/>
        <w:t>。一方面表明</w:t>
      </w:r>
      <w:r>
        <w:rPr>
          <w:spacing w:val="-64"/>
        </w:rPr>
        <w:t> </w:t>
      </w:r>
      <w:r>
        <w:rPr>
          <w:spacing w:val="-64"/>
        </w:rPr>
      </w:r>
      <w:r>
        <w:rPr>
          <w:spacing w:val="-1"/>
        </w:rPr>
        <w:t>母公司总体盈利能力得到提升，另一方面如果中钞科信</w:t>
      </w:r>
      <w:r>
        <w:rPr>
          <w:rFonts w:ascii="Times New Roman" w:hAnsi="Times New Roman" w:cs="Times New Roman" w:eastAsia="Times New Roman" w:hint="default"/>
          <w:spacing w:val="-1"/>
        </w:rPr>
        <w:t>2019</w:t>
      </w:r>
      <w:r>
        <w:rPr>
          <w:spacing w:val="-1"/>
        </w:rPr>
        <w:t>年出现业绩波动下滑，则将对本公司的财务状</w:t>
      </w:r>
      <w:r>
        <w:rPr>
          <w:spacing w:val="-81"/>
        </w:rPr>
        <w:t> </w:t>
      </w:r>
      <w:r>
        <w:rPr>
          <w:spacing w:val="-81"/>
        </w:rPr>
      </w:r>
      <w:r>
        <w:rPr/>
        <w:t>况产生不利影响。</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t>（一）公司的利润分配政策</w:t>
      </w:r>
    </w:p>
    <w:p>
      <w:pPr>
        <w:spacing w:line="240" w:lineRule="auto" w:before="10"/>
        <w:rPr>
          <w:rFonts w:ascii="宋体" w:hAnsi="宋体" w:cs="宋体" w:eastAsia="宋体" w:hint="default"/>
          <w:sz w:val="14"/>
          <w:szCs w:val="14"/>
        </w:rPr>
      </w:pPr>
    </w:p>
    <w:p>
      <w:pPr>
        <w:pStyle w:val="BodyText"/>
        <w:spacing w:line="386" w:lineRule="auto"/>
        <w:ind w:left="574" w:right="0"/>
        <w:jc w:val="left"/>
      </w:pPr>
      <w:r>
        <w:rPr>
          <w:rFonts w:ascii="Times New Roman" w:hAnsi="Times New Roman" w:cs="Times New Roman" w:eastAsia="Times New Roman" w:hint="default"/>
        </w:rPr>
        <w:t>1</w:t>
      </w:r>
      <w:r>
        <w:rPr/>
        <w:t>、利润分配原则 </w:t>
      </w:r>
      <w:r>
        <w:rPr>
          <w:spacing w:val="-1"/>
        </w:rPr>
        <w:t>公司实行持续、稳定的利润分配政策，公司利润分配应重视对投资者的合理投资回报并兼顾公司的可</w:t>
      </w:r>
    </w:p>
    <w:p>
      <w:pPr>
        <w:pStyle w:val="BodyText"/>
        <w:spacing w:line="398" w:lineRule="auto" w:before="65"/>
        <w:ind w:left="574" w:right="0" w:hanging="420"/>
        <w:jc w:val="left"/>
      </w:pPr>
      <w:r>
        <w:rPr/>
        <w:t>持续发展。在符合利润分配原则、保证公司正常经营和长远发展的前提下，公司应注重现金分红。 </w:t>
      </w:r>
      <w:r>
        <w:rPr>
          <w:rFonts w:ascii="Times New Roman" w:hAnsi="Times New Roman" w:cs="Times New Roman" w:eastAsia="Times New Roman" w:hint="default"/>
        </w:rPr>
        <w:t>2</w:t>
      </w:r>
      <w:r>
        <w:rPr/>
        <w:t>、利润分配的形式和比例 </w:t>
      </w:r>
      <w:r>
        <w:rPr>
          <w:spacing w:val="-1"/>
        </w:rPr>
        <w:t>公司可以采取现金、股票或现金和股票二者相结合的方式分配股利，并优先考虑采取现金方式分配利</w:t>
      </w:r>
    </w:p>
    <w:p>
      <w:pPr>
        <w:pStyle w:val="BodyText"/>
        <w:spacing w:line="408" w:lineRule="auto" w:before="54"/>
        <w:ind w:right="1131"/>
        <w:jc w:val="both"/>
      </w:pPr>
      <w:r>
        <w:rPr>
          <w:spacing w:val="-1"/>
        </w:rPr>
        <w:t>润；在满足购买原材料的资金需求、可预期的重大投资计划或重大现金支出的前提下，公司董事会可以根</w:t>
      </w:r>
      <w:r>
        <w:rPr>
          <w:spacing w:val="-83"/>
        </w:rPr>
        <w:t> </w:t>
      </w:r>
      <w:r>
        <w:rPr>
          <w:spacing w:val="-83"/>
        </w:rPr>
      </w:r>
      <w:r>
        <w:rPr>
          <w:spacing w:val="3"/>
        </w:rPr>
        <w:t>据公司当期经营利润和现金流情况进行中期分红，具体方案须经公司董事会审议后提交公司股东大会批</w:t>
      </w:r>
      <w:r>
        <w:rPr>
          <w:spacing w:val="-82"/>
        </w:rPr>
        <w:t> </w:t>
      </w:r>
      <w:r>
        <w:rPr>
          <w:spacing w:val="-82"/>
        </w:rPr>
      </w:r>
      <w:r>
        <w:rPr/>
        <w:t>准。</w:t>
      </w:r>
    </w:p>
    <w:p>
      <w:pPr>
        <w:pStyle w:val="BodyText"/>
        <w:spacing w:line="240" w:lineRule="auto" w:before="46"/>
        <w:ind w:left="574" w:right="0"/>
        <w:jc w:val="left"/>
      </w:pPr>
      <w:r>
        <w:rPr>
          <w:rFonts w:ascii="Times New Roman" w:hAnsi="Times New Roman" w:cs="Times New Roman" w:eastAsia="Times New Roman" w:hint="default"/>
        </w:rPr>
        <w:t>3</w:t>
      </w:r>
      <w:r>
        <w:rPr/>
        <w:t>、利润分配的具体政策</w:t>
      </w:r>
    </w:p>
    <w:p>
      <w:pPr>
        <w:pStyle w:val="BodyText"/>
        <w:spacing w:line="386" w:lineRule="auto" w:before="177"/>
        <w:ind w:left="574" w:right="0"/>
        <w:jc w:val="left"/>
      </w:pPr>
      <w:r>
        <w:rPr/>
        <w:t>（</w:t>
      </w:r>
      <w:r>
        <w:rPr>
          <w:rFonts w:ascii="Times New Roman" w:hAnsi="Times New Roman" w:cs="Times New Roman" w:eastAsia="Times New Roman" w:hint="default"/>
        </w:rPr>
        <w:t>1</w:t>
      </w:r>
      <w:r>
        <w:rPr/>
        <w:t>）利润分配的具体条件 </w:t>
      </w:r>
      <w:r>
        <w:rPr>
          <w:spacing w:val="-1"/>
        </w:rPr>
        <w:t>公司在当年度盈利且累计未分配利润为正的情况下，采取现金方式分红；采用股票股利进行利润分配</w:t>
      </w:r>
    </w:p>
    <w:p>
      <w:pPr>
        <w:pStyle w:val="BodyText"/>
        <w:spacing w:line="408" w:lineRule="auto" w:before="65"/>
        <w:ind w:right="1110"/>
        <w:jc w:val="both"/>
      </w:pPr>
      <w:r>
        <w:rPr/>
        <w:t>的，应当具有公司成长性、每股净资产的摊薄等真实合理因素；公司董事会应当综合考虑所处行业特点、 </w:t>
      </w:r>
      <w:r>
        <w:rPr>
          <w:spacing w:val="-1"/>
        </w:rPr>
        <w:t>发展阶段、自身经营模式、盈利水平以及是否有重大资金支出安排等因素，区分下列情形，并按照本章程</w:t>
      </w:r>
      <w:r>
        <w:rPr>
          <w:spacing w:val="-86"/>
        </w:rPr>
        <w:t> </w:t>
      </w:r>
      <w:r>
        <w:rPr>
          <w:spacing w:val="-86"/>
        </w:rPr>
      </w:r>
      <w:r>
        <w:rPr/>
        <w:t>规定的程序，提出差异化的现金分红政策：</w:t>
      </w:r>
    </w:p>
    <w:p>
      <w:pPr>
        <w:pStyle w:val="BodyText"/>
        <w:spacing w:line="408" w:lineRule="auto" w:before="46"/>
        <w:ind w:right="0" w:firstLine="420"/>
        <w:jc w:val="left"/>
      </w:pPr>
      <w:r>
        <w:rPr>
          <w:spacing w:val="-1"/>
        </w:rPr>
        <w:t>①公司发展阶段属成熟期且无重大资金支出安排的，进行利润分配时，现金分红在本次利润分配中所</w:t>
      </w:r>
      <w:r>
        <w:rPr/>
        <w:t> 占比例最低应达到</w:t>
      </w:r>
      <w:r>
        <w:rPr>
          <w:rFonts w:ascii="Times New Roman" w:hAnsi="Times New Roman" w:cs="Times New Roman" w:eastAsia="Times New Roman" w:hint="default"/>
        </w:rPr>
        <w:t>80%</w:t>
      </w:r>
      <w:r>
        <w:rPr/>
        <w:t>；</w:t>
      </w:r>
    </w:p>
    <w:p>
      <w:pPr>
        <w:pStyle w:val="BodyText"/>
        <w:spacing w:line="408" w:lineRule="auto" w:before="14"/>
        <w:ind w:right="0" w:firstLine="420"/>
        <w:jc w:val="left"/>
      </w:pPr>
      <w:r>
        <w:rPr>
          <w:spacing w:val="-1"/>
        </w:rPr>
        <w:t>②公司发展阶段属成熟期且有重大资金支出安排的，进行利润分配时，现金分红在本次利润分配中所</w:t>
      </w:r>
      <w:r>
        <w:rPr/>
        <w:t> 占比例最低应达到</w:t>
      </w:r>
      <w:r>
        <w:rPr>
          <w:rFonts w:ascii="Times New Roman" w:hAnsi="Times New Roman" w:cs="Times New Roman" w:eastAsia="Times New Roman" w:hint="default"/>
        </w:rPr>
        <w:t>40%</w:t>
      </w:r>
      <w:r>
        <w:rPr/>
        <w:t>；</w:t>
      </w:r>
    </w:p>
    <w:p>
      <w:pPr>
        <w:pStyle w:val="BodyText"/>
        <w:spacing w:line="408" w:lineRule="auto" w:before="14"/>
        <w:ind w:right="0" w:firstLine="420"/>
        <w:jc w:val="left"/>
      </w:pPr>
      <w:r>
        <w:rPr>
          <w:spacing w:val="-1"/>
        </w:rPr>
        <w:t>③公司发展阶段属成长期且有重大资金支出安排的，进行利润分配时，现金分红在本次利润分配中所</w:t>
      </w:r>
      <w:r>
        <w:rPr/>
        <w:t> 占比例最低应达到</w:t>
      </w:r>
      <w:r>
        <w:rPr>
          <w:rFonts w:ascii="Times New Roman" w:hAnsi="Times New Roman" w:cs="Times New Roman" w:eastAsia="Times New Roman" w:hint="default"/>
        </w:rPr>
        <w:t>20%</w:t>
      </w:r>
      <w:r>
        <w:rPr/>
        <w:t>。</w:t>
      </w:r>
    </w:p>
    <w:p>
      <w:pPr>
        <w:pStyle w:val="BodyText"/>
        <w:spacing w:line="408" w:lineRule="auto" w:before="15"/>
        <w:ind w:left="574" w:right="0"/>
        <w:jc w:val="left"/>
      </w:pPr>
      <w:r>
        <w:rPr/>
        <w:t>公司发展阶段不易区分但有重大资金支出安排的，按照前项规定处理。 </w:t>
      </w:r>
      <w:r>
        <w:rPr>
          <w:spacing w:val="-1"/>
        </w:rPr>
        <w:t>重大资金支出指公司未来十二个月内拟对外投资、收购资产或者购买设备等的累计支出达到或者超过</w:t>
      </w:r>
    </w:p>
    <w:p>
      <w:pPr>
        <w:pStyle w:val="BodyText"/>
        <w:spacing w:line="240" w:lineRule="auto" w:before="46"/>
        <w:ind w:right="0"/>
        <w:jc w:val="both"/>
      </w:pPr>
      <w:r>
        <w:rPr/>
        <w:t>公司最近一期经审计净资产的百分之三十。</w:t>
      </w:r>
    </w:p>
    <w:p>
      <w:pPr>
        <w:spacing w:after="0" w:line="240"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5922"/>
        <w:jc w:val="left"/>
      </w:pPr>
      <w:r>
        <w:rPr/>
        <w:t>（</w:t>
      </w:r>
      <w:r>
        <w:rPr>
          <w:rFonts w:ascii="Times New Roman" w:hAnsi="Times New Roman" w:cs="Times New Roman" w:eastAsia="Times New Roman" w:hint="default"/>
        </w:rPr>
        <w:t>2</w:t>
      </w:r>
      <w:r>
        <w:rPr/>
        <w:t>）现金分红条件 公司采取现金方式分配股利，应符合下述条件：</w:t>
      </w:r>
    </w:p>
    <w:p>
      <w:pPr>
        <w:pStyle w:val="BodyText"/>
        <w:spacing w:line="408" w:lineRule="auto" w:before="65"/>
        <w:ind w:right="1017" w:firstLine="420"/>
        <w:jc w:val="left"/>
      </w:pPr>
      <w:r>
        <w:rPr>
          <w:spacing w:val="-3"/>
        </w:rPr>
        <w:t>①公司该年度或半年度实现的可分配利润（即公司弥补亏损、提取公积金后所余的税后利润）为正值、</w:t>
      </w:r>
      <w:r>
        <w:rPr/>
        <w:t> 且现金流充裕，实施现金分红不会影响公司后续持续经营；</w:t>
      </w:r>
    </w:p>
    <w:p>
      <w:pPr>
        <w:pStyle w:val="BodyText"/>
        <w:spacing w:line="240" w:lineRule="auto" w:before="46"/>
        <w:ind w:left="574" w:right="0"/>
        <w:jc w:val="left"/>
      </w:pPr>
      <w:r>
        <w:rPr/>
        <w:t>②公司累计可供分配利润为正值；</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③审计机构对公司的该年度财务报告出具标准无保留意见的审计报告；</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t>④公司无重大投资计划或重大现金支出等事项发生（募集资金项目除外）。 </w:t>
      </w:r>
      <w:r>
        <w:rPr>
          <w:spacing w:val="-1"/>
        </w:rPr>
        <w:t>重大投资计划或重大现金支出是指公司未来十二个月内拟对外投资、收购资产或者购买设备的累计支</w:t>
      </w:r>
    </w:p>
    <w:p>
      <w:pPr>
        <w:pStyle w:val="BodyText"/>
        <w:spacing w:line="240" w:lineRule="auto" w:before="46"/>
        <w:ind w:right="0"/>
        <w:jc w:val="left"/>
      </w:pPr>
      <w:r>
        <w:rPr/>
        <w:t>出达到或者超过公司最近一期经审计总资产的</w:t>
      </w:r>
      <w:r>
        <w:rPr>
          <w:rFonts w:ascii="Times New Roman" w:hAnsi="Times New Roman" w:cs="Times New Roman" w:eastAsia="Times New Roman" w:hint="default"/>
        </w:rPr>
        <w:t>30%</w:t>
      </w:r>
      <w:r>
        <w:rPr/>
        <w:t>。</w:t>
      </w:r>
    </w:p>
    <w:p>
      <w:pPr>
        <w:pStyle w:val="BodyText"/>
        <w:spacing w:line="386" w:lineRule="auto" w:before="177"/>
        <w:ind w:right="0" w:firstLine="420"/>
        <w:jc w:val="left"/>
      </w:pPr>
      <w:r>
        <w:rPr>
          <w:spacing w:val="-3"/>
        </w:rPr>
        <w:t>上述现金分红条件中的第①</w:t>
      </w:r>
      <w:r>
        <w:rPr>
          <w:rFonts w:ascii="Times New Roman" w:hAnsi="Times New Roman" w:cs="Times New Roman" w:eastAsia="Times New Roman" w:hint="default"/>
          <w:spacing w:val="-3"/>
        </w:rPr>
        <w:t>-</w:t>
      </w:r>
      <w:r>
        <w:rPr>
          <w:spacing w:val="-3"/>
        </w:rPr>
        <w:t>③项系公司实施现金分红条件的必备条件；经股东大会审议通过，上述现</w:t>
      </w:r>
      <w:r>
        <w:rPr/>
        <w:t> 金分红条件中的第④项应不影响公司实施现金分红。</w:t>
      </w:r>
    </w:p>
    <w:p>
      <w:pPr>
        <w:pStyle w:val="BodyText"/>
        <w:spacing w:line="386" w:lineRule="auto" w:before="65"/>
        <w:ind w:left="574" w:right="0"/>
        <w:jc w:val="left"/>
      </w:pPr>
      <w:r>
        <w:rPr/>
        <w:t>（</w:t>
      </w:r>
      <w:r>
        <w:rPr>
          <w:rFonts w:ascii="Times New Roman" w:hAnsi="Times New Roman" w:cs="Times New Roman" w:eastAsia="Times New Roman" w:hint="default"/>
        </w:rPr>
        <w:t>3</w:t>
      </w:r>
      <w:r>
        <w:rPr/>
        <w:t>）现金分红比例 </w:t>
      </w:r>
      <w:r>
        <w:rPr>
          <w:spacing w:val="-1"/>
        </w:rPr>
        <w:t>原则上公司按年度将可供分配的利润进行分配，必要时公司也可以进行中期利润分配。公司最近三年</w:t>
      </w:r>
    </w:p>
    <w:p>
      <w:pPr>
        <w:pStyle w:val="BodyText"/>
        <w:spacing w:line="386" w:lineRule="auto" w:before="65"/>
        <w:ind w:right="1127"/>
        <w:jc w:val="left"/>
      </w:pPr>
      <w:r>
        <w:rPr/>
        <w:t>以现金方式累计分配的利润不少于最近三年实现的年均可分配利润的</w:t>
      </w:r>
      <w:r>
        <w:rPr>
          <w:rFonts w:ascii="Times New Roman" w:hAnsi="Times New Roman" w:cs="Times New Roman" w:eastAsia="Times New Roman" w:hint="default"/>
        </w:rPr>
        <w:t>30%</w:t>
      </w:r>
      <w:r>
        <w:rPr/>
        <w:t>。每年具体的现金分红比例预案</w:t>
      </w:r>
      <w:r>
        <w:rPr>
          <w:spacing w:val="-96"/>
        </w:rPr>
        <w:t> </w:t>
      </w:r>
      <w:r>
        <w:rPr>
          <w:spacing w:val="-96"/>
        </w:rPr>
      </w:r>
      <w:r>
        <w:rPr/>
        <w:t>由董事会根据前述规定、结合公司经营状况及相关规定拟定，并提交股东大会表决。</w:t>
      </w:r>
    </w:p>
    <w:p>
      <w:pPr>
        <w:pStyle w:val="BodyText"/>
        <w:spacing w:line="398" w:lineRule="auto" w:before="65"/>
        <w:ind w:left="574" w:right="3612"/>
        <w:jc w:val="left"/>
      </w:pPr>
      <w:r>
        <w:rPr/>
        <w:t>（</w:t>
      </w:r>
      <w:r>
        <w:rPr>
          <w:rFonts w:ascii="Times New Roman" w:hAnsi="Times New Roman" w:cs="Times New Roman" w:eastAsia="Times New Roman" w:hint="default"/>
        </w:rPr>
        <w:t>4</w:t>
      </w:r>
      <w:r>
        <w:rPr/>
        <w:t>）利润分配的期间间隔 每年度进行一次分红，在有条件的情况下，公司可以进行中期现金分红。 </w:t>
      </w:r>
      <w:r>
        <w:rPr>
          <w:rFonts w:ascii="Times New Roman" w:hAnsi="Times New Roman" w:cs="Times New Roman" w:eastAsia="Times New Roman" w:hint="default"/>
        </w:rPr>
        <w:t>4</w:t>
      </w:r>
      <w:r>
        <w:rPr/>
        <w:t>、利润分配政策的决策程序：</w:t>
      </w:r>
    </w:p>
    <w:p>
      <w:pPr>
        <w:pStyle w:val="BodyText"/>
        <w:spacing w:line="408" w:lineRule="auto" w:before="24"/>
        <w:ind w:right="1131" w:firstLine="420"/>
        <w:jc w:val="both"/>
      </w:pPr>
      <w:r>
        <w:rPr>
          <w:spacing w:val="-1"/>
        </w:rPr>
        <w:t>公司董事会拟定现金股利分配方案的，由股东大会经普通决议的方式表决通过；公司董事会拟定股票</w:t>
      </w:r>
      <w:r>
        <w:rPr/>
        <w:t> </w:t>
      </w:r>
      <w:r>
        <w:rPr>
          <w:spacing w:val="-1"/>
        </w:rPr>
        <w:t>股利分配方案的，由股东大会经特别决议的方式表决通过。公司监事会应当对董事会编制的股利分配方案</w:t>
      </w:r>
      <w:r>
        <w:rPr>
          <w:spacing w:val="-81"/>
        </w:rPr>
        <w:t> </w:t>
      </w:r>
      <w:r>
        <w:rPr>
          <w:spacing w:val="-81"/>
        </w:rPr>
      </w:r>
      <w:r>
        <w:rPr/>
        <w:t>进行审核并提出书面审核意见。</w:t>
      </w:r>
    </w:p>
    <w:p>
      <w:pPr>
        <w:pStyle w:val="BodyText"/>
        <w:spacing w:line="408" w:lineRule="auto" w:before="46"/>
        <w:ind w:right="1017" w:firstLine="420"/>
        <w:jc w:val="left"/>
      </w:pPr>
      <w:r>
        <w:rPr>
          <w:spacing w:val="-3"/>
        </w:rPr>
        <w:t>公司在制定现金分红具体方案时，董事会应当认真研究和论证公司现金分红的时机、条件和最低比例、</w:t>
      </w:r>
      <w:r>
        <w:rPr/>
        <w:t> 调整的条件及其决策程序要求等事宜，独立董事应当发表明确意见。</w:t>
      </w:r>
    </w:p>
    <w:p>
      <w:pPr>
        <w:pStyle w:val="BodyText"/>
        <w:spacing w:line="408" w:lineRule="auto" w:before="46"/>
        <w:ind w:left="574" w:right="0"/>
        <w:jc w:val="left"/>
      </w:pPr>
      <w:r>
        <w:rPr/>
        <w:t>独立董事可以征集中小股东的意见，提出分红提案，并直接提交董事会审议。 </w:t>
      </w:r>
      <w:r>
        <w:rPr>
          <w:spacing w:val="-1"/>
        </w:rPr>
        <w:t>股东大会对现金分红具体方案进行审议前，公司应当通过多种渠道主动与股东特别是中小股东进行沟</w:t>
      </w:r>
    </w:p>
    <w:p>
      <w:pPr>
        <w:pStyle w:val="BodyText"/>
        <w:spacing w:line="408" w:lineRule="auto" w:before="46"/>
        <w:ind w:left="574" w:right="1092" w:hanging="420"/>
        <w:jc w:val="left"/>
      </w:pPr>
      <w:r>
        <w:rPr/>
        <w:t>通和交流，充分听取中小股东的意见和诉求，及时答复中小股东关心的问题。 公司在上一个会计年度实现盈利，但公司董事会在上一会计年度结束后未提出现金利润分配预案的，</w:t>
      </w:r>
    </w:p>
    <w:p>
      <w:pPr>
        <w:pStyle w:val="BodyText"/>
        <w:spacing w:line="408" w:lineRule="auto" w:before="46"/>
        <w:ind w:right="1118"/>
        <w:jc w:val="left"/>
      </w:pPr>
      <w:r>
        <w:rPr>
          <w:spacing w:val="-1"/>
        </w:rPr>
        <w:t>应当在定期报告中详细说明未分红的原因、未用于分红的资金留存公司的用途，独立董事还应当对此发表</w:t>
      </w:r>
      <w:r>
        <w:rPr>
          <w:spacing w:val="-81"/>
        </w:rPr>
        <w:t> </w:t>
      </w:r>
      <w:r>
        <w:rPr>
          <w:spacing w:val="-81"/>
        </w:rPr>
      </w:r>
      <w:r>
        <w:rPr/>
        <w:t>独立意见。</w:t>
      </w:r>
    </w:p>
    <w:p>
      <w:pPr>
        <w:pStyle w:val="BodyText"/>
        <w:spacing w:line="240" w:lineRule="auto" w:before="46"/>
        <w:ind w:left="574" w:right="0"/>
        <w:jc w:val="left"/>
      </w:pPr>
      <w:r>
        <w:rPr/>
        <w:t>公司若当年不进行或低于本章程规定的现金分红比例进行利润分配的，公司董事会应当在定期报告中</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披露原因，独立董事应当对此发表独立意见，有关利润分配的议案需经公司董事会审议后提交股东大会批</w:t>
      </w:r>
      <w:r>
        <w:rPr>
          <w:spacing w:val="-81"/>
        </w:rPr>
        <w:t> </w:t>
      </w:r>
      <w:r>
        <w:rPr>
          <w:spacing w:val="-81"/>
        </w:rPr>
      </w:r>
      <w:r>
        <w:rPr>
          <w:spacing w:val="-1"/>
        </w:rPr>
        <w:t>准，并在股东大会提案中详细论证说明原因及留存资金的具体用途，且公司需提供网络投票的方式，由股</w:t>
      </w:r>
      <w:r>
        <w:rPr>
          <w:spacing w:val="-83"/>
        </w:rPr>
        <w:t> </w:t>
      </w:r>
      <w:r>
        <w:rPr>
          <w:spacing w:val="-83"/>
        </w:rPr>
      </w:r>
      <w:r>
        <w:rPr/>
        <w:t>东大会以特别决议的方式表决通过。</w:t>
      </w:r>
    </w:p>
    <w:p>
      <w:pPr>
        <w:pStyle w:val="BodyText"/>
        <w:spacing w:line="386" w:lineRule="auto" w:before="46"/>
        <w:ind w:left="574" w:right="0"/>
        <w:jc w:val="left"/>
      </w:pPr>
      <w:r>
        <w:rPr>
          <w:rFonts w:ascii="Times New Roman" w:hAnsi="Times New Roman" w:cs="Times New Roman" w:eastAsia="Times New Roman" w:hint="default"/>
        </w:rPr>
        <w:t>5</w:t>
      </w:r>
      <w:r>
        <w:rPr/>
        <w:t>、利润分配政策的调整机制 </w:t>
      </w:r>
      <w:r>
        <w:rPr>
          <w:spacing w:val="-1"/>
        </w:rPr>
        <w:t>公司根据生产经营情况、投资规划和长期发展的需要，需调整利润分配政策的，调整后的利润分配政</w:t>
      </w:r>
    </w:p>
    <w:p>
      <w:pPr>
        <w:pStyle w:val="BodyText"/>
        <w:spacing w:line="408" w:lineRule="auto" w:before="65"/>
        <w:ind w:right="1131"/>
        <w:jc w:val="both"/>
      </w:pPr>
      <w:r>
        <w:rPr>
          <w:spacing w:val="-1"/>
        </w:rPr>
        <w:t>策应以股东权益保护为出发点，不得违反中国证监会和证券交易所的有关规定，独立董事应当对此发表独</w:t>
      </w:r>
      <w:r>
        <w:rPr>
          <w:spacing w:val="-81"/>
        </w:rPr>
        <w:t> </w:t>
      </w:r>
      <w:r>
        <w:rPr>
          <w:spacing w:val="-81"/>
        </w:rPr>
      </w:r>
      <w:r>
        <w:rPr>
          <w:spacing w:val="-1"/>
        </w:rPr>
        <w:t>立意见，有关调整利润分配政策的议案需经公司董事会审议后提交公司股东大会批准，并在股东大会提案</w:t>
      </w:r>
      <w:r>
        <w:rPr>
          <w:spacing w:val="-81"/>
        </w:rPr>
        <w:t> </w:t>
      </w:r>
      <w:r>
        <w:rPr>
          <w:spacing w:val="-81"/>
        </w:rPr>
      </w:r>
      <w:r>
        <w:rPr/>
        <w:t>中详细论证和说明原因，且公司需提供网络投票的方式，由股东大会以特别决议的方式表决通过。</w:t>
      </w:r>
    </w:p>
    <w:p>
      <w:pPr>
        <w:pStyle w:val="BodyText"/>
        <w:spacing w:line="408" w:lineRule="auto" w:before="46"/>
        <w:ind w:left="574" w:right="0"/>
        <w:jc w:val="left"/>
      </w:pPr>
      <w:r>
        <w:rPr/>
        <w:t>（二）未来分红回报规划 </w:t>
      </w:r>
      <w:r>
        <w:rPr>
          <w:spacing w:val="-1"/>
        </w:rPr>
        <w:t>公司股票上市后未来三年，利润分配可采取现金、股票、现金与股票相结合或者法律、法规允许的其</w:t>
      </w:r>
    </w:p>
    <w:p>
      <w:pPr>
        <w:pStyle w:val="BodyText"/>
        <w:spacing w:line="408" w:lineRule="auto" w:before="46"/>
        <w:ind w:right="1131"/>
        <w:jc w:val="both"/>
      </w:pPr>
      <w:r>
        <w:rPr>
          <w:spacing w:val="-1"/>
        </w:rPr>
        <w:t>他方式。公司在选择利润分配方式时，相对于股票股利等分配方式优先采用现金分红的利润分配方式。根</w:t>
      </w:r>
      <w:r>
        <w:rPr>
          <w:spacing w:val="-83"/>
        </w:rPr>
        <w:t> </w:t>
      </w:r>
      <w:r>
        <w:rPr>
          <w:spacing w:val="-83"/>
        </w:rPr>
      </w:r>
      <w:r>
        <w:rPr>
          <w:spacing w:val="-1"/>
        </w:rPr>
        <w:t>据公司现金流状况、业务成长性、每股净资产规模等真实合理因素，公司可以采用发放股票股利方式进行</w:t>
      </w:r>
      <w:r>
        <w:rPr>
          <w:spacing w:val="-83"/>
        </w:rPr>
        <w:t> </w:t>
      </w:r>
      <w:r>
        <w:rPr>
          <w:spacing w:val="-83"/>
        </w:rPr>
      </w:r>
      <w:r>
        <w:rPr/>
        <w:t>利润分配。</w:t>
      </w:r>
    </w:p>
    <w:p>
      <w:pPr>
        <w:pStyle w:val="BodyText"/>
        <w:spacing w:line="400" w:lineRule="auto" w:before="46"/>
        <w:ind w:right="1132" w:firstLine="336"/>
        <w:jc w:val="both"/>
      </w:pPr>
      <w:r>
        <w:rPr/>
        <w:t>公司具备现金分红条件的，公司应当采取现金方式分配股利，公司最近三年以现金方式累计分配的利 润不少于最近三年实现的年均可分配利润的</w:t>
      </w:r>
      <w:r>
        <w:rPr>
          <w:rFonts w:ascii="Times New Roman" w:hAnsi="Times New Roman" w:cs="Times New Roman" w:eastAsia="Times New Roman" w:hint="default"/>
        </w:rPr>
        <w:t>30%</w:t>
      </w:r>
      <w:r>
        <w:rPr/>
        <w:t>；公司在实施上述现金分配股利的同时，可以派发股票股</w:t>
      </w:r>
      <w:r>
        <w:rPr>
          <w:spacing w:val="-97"/>
        </w:rPr>
        <w:t> </w:t>
      </w:r>
      <w:r>
        <w:rPr>
          <w:spacing w:val="-97"/>
        </w:rPr>
      </w:r>
      <w:r>
        <w:rPr>
          <w:spacing w:val="-1"/>
        </w:rPr>
        <w:t>利。为了回报股东，同时考虑募集资金投资项目建设及公司业务发展需要，公司在进行利润分配时，现金</w:t>
      </w:r>
      <w:r>
        <w:rPr>
          <w:spacing w:val="-86"/>
        </w:rPr>
        <w:t> </w:t>
      </w:r>
      <w:r>
        <w:rPr>
          <w:spacing w:val="-86"/>
        </w:rPr>
      </w:r>
      <w:r>
        <w:rPr/>
        <w:t>分红在本次利润分配中所占比例最低应达到</w:t>
      </w:r>
      <w:r>
        <w:rPr>
          <w:rFonts w:ascii="Times New Roman" w:hAnsi="Times New Roman" w:cs="Times New Roman" w:eastAsia="Times New Roman" w:hint="default"/>
        </w:rPr>
        <w:t>20%</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公司报告期利润分配预案及资本公积金转增股本预案符合公司章程等的相关规定。</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r>
        <w:rPr/>
        <w:pict>
          <v:group style="position:absolute;margin-left:242.839996pt;margin-top:190.059982pt;width:290.95pt;height:20.75pt;mso-position-horizontal-relative:page;mso-position-vertical-relative:page;z-index:-904408" coordorigin="4857,3801" coordsize="5819,415">
            <v:group style="position:absolute;left:4868;top:3813;width:2;height:392" coordorigin="4868,3813" coordsize="2,392">
              <v:shape style="position:absolute;left:4868;top:3813;width:2;height:392" coordorigin="4868,3813" coordsize="0,392" path="m4868,3813l4868,4204e" filled="false" stroked="true" strokeweight="1.160pt" strokecolor="#ffffff">
                <v:path arrowok="t"/>
              </v:shape>
            </v:group>
            <v:group style="position:absolute;left:4880;top:3813;width:5796;height:392" coordorigin="4880,3813" coordsize="5796,392">
              <v:shape style="position:absolute;left:4880;top:3813;width:5796;height:392" coordorigin="4880,3813" coordsize="5796,392" path="m4880,4204l10675,4204,10675,3813,4880,3813,4880,4204xe" filled="true" fillcolor="#ffffff" stroked="false">
                <v:path arrowok="t"/>
                <v:fill type="solid"/>
              </v:shape>
            </v:group>
            <w10:wrap type="none"/>
          </v:group>
        </w:pict>
      </w: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利润分配及资本公积金转增股本情况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176,649,316.20</w:t>
            </w:r>
          </w:p>
        </w:tc>
      </w:tr>
      <w:tr>
        <w:trPr>
          <w:trHeight w:val="714"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年度股东大会审议通过的《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w:t>
            </w:r>
            <w:r>
              <w:rPr>
                <w:rFonts w:ascii="宋体" w:hAnsi="宋体" w:cs="宋体" w:eastAsia="宋体" w:hint="default"/>
                <w:spacing w:val="-90"/>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亿股为基数，向全体股东按每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；同时，以发行新股时所形成的资本公积金向全体股东每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w:t>
            </w:r>
            <w:r>
              <w:rPr>
                <w:rFonts w:ascii="宋体" w:hAnsi="宋体" w:cs="宋体" w:eastAsia="宋体" w:hint="default"/>
                <w:sz w:val="18"/>
                <w:szCs w:val="18"/>
              </w:rPr>
              <w:t>共计转增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万股，转增后公司总</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股本增加至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公司拟以截至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日公司股份总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亿股为基数，向全体股东按每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合计派发现金股利为人民币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次</w:t>
            </w:r>
            <w:r>
              <w:rPr>
                <w:rFonts w:ascii="宋体" w:hAnsi="宋体" w:cs="宋体" w:eastAsia="宋体" w:hint="default"/>
                <w:sz w:val="18"/>
                <w:szCs w:val="18"/>
              </w:rPr>
              <w:t>不进行资本公积转增股本</w:t>
            </w:r>
            <w:r>
              <w:rPr>
                <w:rFonts w:ascii="宋体" w:hAnsi="宋体" w:cs="宋体" w:eastAsia="宋体" w:hint="default"/>
                <w:spacing w:val="-6"/>
                <w:sz w:val="18"/>
                <w:szCs w:val="18"/>
              </w:rPr>
              <w:t>，</w:t>
            </w:r>
            <w:r>
              <w:rPr>
                <w:rFonts w:ascii="宋体" w:hAnsi="宋体" w:cs="宋体" w:eastAsia="宋体" w:hint="default"/>
                <w:sz w:val="18"/>
                <w:szCs w:val="18"/>
              </w:rPr>
              <w:t>不送红股</w:t>
            </w:r>
            <w:r>
              <w:rPr>
                <w:rFonts w:ascii="宋体" w:hAnsi="宋体" w:cs="宋体" w:eastAsia="宋体" w:hint="default"/>
                <w:spacing w:val="-6"/>
                <w:sz w:val="18"/>
                <w:szCs w:val="18"/>
              </w:rPr>
              <w:t>。</w:t>
            </w:r>
            <w:r>
              <w:rPr>
                <w:rFonts w:ascii="宋体" w:hAnsi="宋体" w:cs="宋体" w:eastAsia="宋体" w:hint="default"/>
                <w:sz w:val="18"/>
                <w:szCs w:val="18"/>
              </w:rPr>
              <w:t>董事会审议利润分配方案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后股本发生变动的，将按照分配总额不变的原则对分配比例进行调整。本利润方案尚需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386" w:lineRule="auto" w:before="153"/>
        <w:ind w:right="1123" w:firstLine="441"/>
        <w:jc w:val="left"/>
      </w:pPr>
      <w:r>
        <w:rPr>
          <w:rFonts w:ascii="Times New Roman" w:hAnsi="Times New Roman" w:cs="Times New Roman" w:eastAsia="Times New Roman" w:hint="default"/>
        </w:rPr>
        <w:t>2016</w:t>
      </w:r>
      <w:r>
        <w:rPr/>
        <w:t>年度，以截止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7500</w:t>
      </w:r>
      <w:r>
        <w:rPr/>
        <w:t>万股为基数，每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1.25</w:t>
      </w:r>
      <w:r>
        <w:rPr/>
        <w:t>元（含税），合 计分配</w:t>
      </w:r>
      <w:r>
        <w:rPr>
          <w:rFonts w:ascii="Times New Roman" w:hAnsi="Times New Roman" w:cs="Times New Roman" w:eastAsia="Times New Roman" w:hint="default"/>
        </w:rPr>
        <w:t>9,375,000.00</w:t>
      </w:r>
      <w:r>
        <w:rPr/>
        <w:t>元（含税）。</w:t>
      </w:r>
    </w:p>
    <w:p>
      <w:pPr>
        <w:pStyle w:val="BodyText"/>
        <w:spacing w:line="386" w:lineRule="auto" w:before="35"/>
        <w:ind w:right="1131" w:firstLine="441"/>
        <w:jc w:val="both"/>
      </w:pPr>
      <w:r>
        <w:rPr>
          <w:rFonts w:ascii="Times New Roman" w:hAnsi="Times New Roman" w:cs="Times New Roman" w:eastAsia="Times New Roman" w:hint="default"/>
        </w:rPr>
        <w:t>2017</w:t>
      </w:r>
      <w:r>
        <w:rPr/>
        <w:t>年度，公司以截至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日公司股份总数</w:t>
      </w:r>
      <w:r>
        <w:rPr>
          <w:rFonts w:ascii="Times New Roman" w:hAnsi="Times New Roman" w:cs="Times New Roman" w:eastAsia="Times New Roman" w:hint="default"/>
        </w:rPr>
        <w:t>1</w:t>
      </w:r>
      <w:r>
        <w:rPr/>
        <w:t>亿股为基数，向全体股东按每</w:t>
      </w:r>
      <w:r>
        <w:rPr>
          <w:rFonts w:ascii="Times New Roman" w:hAnsi="Times New Roman" w:cs="Times New Roman" w:eastAsia="Times New Roman" w:hint="default"/>
        </w:rPr>
        <w:t>10</w:t>
      </w:r>
      <w:r>
        <w:rPr/>
        <w:t>股派发现金股</w:t>
      </w:r>
      <w:r>
        <w:rPr>
          <w:spacing w:val="1"/>
        </w:rPr>
        <w:t> </w:t>
      </w:r>
      <w:r>
        <w:rPr/>
        <w:t>利人民币</w:t>
      </w:r>
      <w:r>
        <w:rPr>
          <w:rFonts w:ascii="Times New Roman" w:hAnsi="Times New Roman" w:cs="Times New Roman" w:eastAsia="Times New Roman" w:hint="default"/>
        </w:rPr>
        <w:t>0.5</w:t>
      </w:r>
      <w:r>
        <w:rPr/>
        <w:t>元（含税），合计派发现金股利为人民币</w:t>
      </w:r>
      <w:r>
        <w:rPr>
          <w:rFonts w:ascii="Times New Roman" w:hAnsi="Times New Roman" w:cs="Times New Roman" w:eastAsia="Times New Roman" w:hint="default"/>
        </w:rPr>
        <w:t>500</w:t>
      </w:r>
      <w:r>
        <w:rPr/>
        <w:t>万元（含税）；同时，以资本公积金向全体股东</w:t>
      </w:r>
      <w:r>
        <w:rPr>
          <w:spacing w:val="-78"/>
        </w:rPr>
        <w:t> </w:t>
      </w:r>
      <w:r>
        <w:rPr>
          <w:spacing w:val="-78"/>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8000</w:t>
      </w:r>
      <w:r>
        <w:rPr/>
        <w:t>万股，转增后公司总股本增加至</w:t>
      </w:r>
      <w:r>
        <w:rPr>
          <w:rFonts w:ascii="Times New Roman" w:hAnsi="Times New Roman" w:cs="Times New Roman" w:eastAsia="Times New Roman" w:hint="default"/>
        </w:rPr>
        <w:t>18000</w:t>
      </w:r>
      <w:r>
        <w:rPr/>
        <w:t>万股。</w:t>
      </w:r>
    </w:p>
    <w:p>
      <w:pPr>
        <w:pStyle w:val="BodyText"/>
        <w:spacing w:line="393" w:lineRule="auto" w:before="35"/>
        <w:ind w:right="1023" w:firstLine="441"/>
        <w:jc w:val="left"/>
      </w:pPr>
      <w:r>
        <w:rPr>
          <w:rFonts w:ascii="Times New Roman" w:hAnsi="Times New Roman" w:cs="Times New Roman" w:eastAsia="Times New Roman" w:hint="default"/>
          <w:spacing w:val="-3"/>
        </w:rPr>
        <w:t>2018</w:t>
      </w:r>
      <w:r>
        <w:rPr>
          <w:spacing w:val="-3"/>
        </w:rPr>
        <w:t>年度，公司拟以截至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日公司股份总</w:t>
      </w:r>
      <w:r>
        <w:rPr>
          <w:rFonts w:ascii="Times New Roman" w:hAnsi="Times New Roman" w:cs="Times New Roman" w:eastAsia="Times New Roman" w:hint="default"/>
          <w:spacing w:val="-3"/>
        </w:rPr>
        <w:t>1.8</w:t>
      </w:r>
      <w:r>
        <w:rPr>
          <w:spacing w:val="-3"/>
        </w:rPr>
        <w:t>亿股为基数，向全体股东按每</w:t>
      </w:r>
      <w:r>
        <w:rPr>
          <w:rFonts w:ascii="Times New Roman" w:hAnsi="Times New Roman" w:cs="Times New Roman" w:eastAsia="Times New Roman" w:hint="default"/>
          <w:spacing w:val="-3"/>
        </w:rPr>
        <w:t>10</w:t>
      </w:r>
      <w:r>
        <w:rPr>
          <w:spacing w:val="-3"/>
        </w:rPr>
        <w:t>股派发现金股</w:t>
      </w:r>
      <w:r>
        <w:rPr/>
        <w:t> 利人民币</w:t>
      </w:r>
      <w:r>
        <w:rPr>
          <w:rFonts w:ascii="Times New Roman" w:hAnsi="Times New Roman" w:cs="Times New Roman" w:eastAsia="Times New Roman" w:hint="default"/>
        </w:rPr>
        <w:t>0.50</w:t>
      </w:r>
      <w:r>
        <w:rPr/>
        <w:t>元（含税），合计派发现金股利为人民币</w:t>
      </w:r>
      <w:r>
        <w:rPr>
          <w:rFonts w:ascii="Times New Roman" w:hAnsi="Times New Roman" w:cs="Times New Roman" w:eastAsia="Times New Roman" w:hint="default"/>
        </w:rPr>
        <w:t>900</w:t>
      </w:r>
      <w:r>
        <w:rPr/>
        <w:t>万元（含税）。本次不进行资本公积转增股本， </w:t>
      </w:r>
      <w:r>
        <w:rPr>
          <w:spacing w:val="-3"/>
        </w:rPr>
        <w:t>不送红股。董事会审议利润分配方案后股本发生变动的，将按照分配总额不变的原则对分配比例进行调整。</w:t>
      </w:r>
      <w:r>
        <w:rPr>
          <w:spacing w:val="-92"/>
        </w:rPr>
        <w:t> </w:t>
      </w:r>
      <w:r>
        <w:rPr>
          <w:spacing w:val="-92"/>
        </w:rPr>
      </w:r>
      <w:r>
        <w:rPr/>
        <w:t>本利润分配方案尚需提交本公司</w:t>
      </w:r>
      <w:r>
        <w:rPr>
          <w:rFonts w:ascii="Times New Roman" w:hAnsi="Times New Roman" w:cs="Times New Roman" w:eastAsia="Times New Roman" w:hint="default"/>
        </w:rPr>
        <w:t>2018</w:t>
      </w:r>
      <w:r>
        <w:rPr/>
        <w:t>年度股东大会审议批准。</w:t>
      </w:r>
    </w:p>
    <w:p>
      <w:pPr>
        <w:spacing w:after="0" w:line="393"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85"/>
        <w:gridCol w:w="1208"/>
        <w:gridCol w:w="1185"/>
        <w:gridCol w:w="1207"/>
        <w:gridCol w:w="1184"/>
      </w:tblGrid>
      <w:tr>
        <w:trPr>
          <w:trHeight w:val="161"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46,807,199.75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19.23%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19.23%</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42,536,330.87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2"/>
                <w:sz w:val="18"/>
              </w:rPr>
              <w:t>11.75%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11.75%</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38,761,009.22</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24.19%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24.19%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2"/>
        <w:spacing w:line="240" w:lineRule="auto" w:before="26"/>
        <w:ind w:left="140"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pict>
          <v:group style="position:absolute;margin-left:284.899994pt;margin-top:93.371719pt;width:70.4pt;height:159.6pt;mso-position-horizontal-relative:page;mso-position-vertical-relative:paragraph;z-index:-904336" coordorigin="5698,1867" coordsize="1408,3192">
            <v:group style="position:absolute;left:5698;top:1867;width:1408;height:2790" coordorigin="5698,1867" coordsize="1408,2790">
              <v:shape style="position:absolute;left:5698;top:1867;width:1408;height:2790" coordorigin="5698,1867" coordsize="1408,2790" path="m5698,4657l7106,4657,7106,1867,5698,1867,5698,4657xe" filled="true" fillcolor="#ffffff" stroked="false">
                <v:path arrowok="t"/>
                <v:fill type="solid"/>
              </v:shape>
            </v:group>
            <v:group style="position:absolute;left:5709;top:4657;width:2;height:392" coordorigin="5709,4657" coordsize="2,392">
              <v:shape style="position:absolute;left:5709;top:4657;width:2;height:392" coordorigin="5709,4657" coordsize="0,392" path="m5709,4657l5709,5048e" filled="false" stroked="true" strokeweight="1.140pt" strokecolor="#ffffff">
                <v:path arrowok="t"/>
              </v:shape>
            </v:group>
            <v:group style="position:absolute;left:5721;top:4657;width:1362;height:392" coordorigin="5721,4657" coordsize="1362,392">
              <v:shape style="position:absolute;left:5721;top:4657;width:1362;height:392" coordorigin="5721,4657" coordsize="1362,392" path="m5721,5048l7083,5048,7083,4657,5721,4657,5721,5048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794"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 w:right="20"/>
              <w:jc w:val="left"/>
              <w:rPr>
                <w:rFonts w:ascii="宋体" w:hAnsi="宋体" w:cs="宋体" w:eastAsia="宋体" w:hint="default"/>
                <w:sz w:val="18"/>
                <w:szCs w:val="18"/>
              </w:rPr>
            </w:pPr>
            <w:r>
              <w:rPr>
                <w:rFonts w:ascii="宋体" w:hAnsi="宋体" w:cs="宋体" w:eastAsia="宋体" w:hint="default"/>
                <w:sz w:val="18"/>
                <w:szCs w:val="18"/>
              </w:rPr>
              <w:t>王晓宇、付忠良 </w:t>
            </w:r>
            <w:r>
              <w:rPr>
                <w:rFonts w:ascii="宋体" w:hAnsi="宋体" w:cs="宋体" w:eastAsia="宋体" w:hint="default"/>
                <w:spacing w:val="-12"/>
                <w:sz w:val="18"/>
                <w:szCs w:val="18"/>
              </w:rPr>
              <w:t>史志明、尹邦明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钟勇、王晓东、刘</w:t>
            </w:r>
            <w:r>
              <w:rPr>
                <w:rFonts w:ascii="宋体" w:hAnsi="宋体" w:cs="宋体" w:eastAsia="宋体" w:hint="default"/>
                <w:sz w:val="18"/>
                <w:szCs w:val="18"/>
              </w:rPr>
              <w:t> 小兵</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before="75"/>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269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、自公司股票上市之日起的十二 </w:t>
            </w:r>
            <w:r>
              <w:rPr>
                <w:rFonts w:ascii="宋体" w:hAnsi="宋体" w:cs="宋体" w:eastAsia="宋体" w:hint="default"/>
                <w:spacing w:val="-5"/>
                <w:sz w:val="18"/>
                <w:szCs w:val="18"/>
              </w:rPr>
              <w:t>个月内，不转让或委托他人管理本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人所直接或间接持有的中科信息 首次公开发行股票前已发行股份， 也不由中科信息回购该部分股份； </w:t>
            </w:r>
            <w:r>
              <w:rPr>
                <w:rFonts w:ascii="宋体" w:hAnsi="宋体" w:cs="宋体" w:eastAsia="宋体" w:hint="default"/>
                <w:spacing w:val="-5"/>
                <w:sz w:val="18"/>
                <w:szCs w:val="18"/>
              </w:rPr>
              <w:t>前述锁定期满后，在担任中科信息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董事或高级管理人员期间，每年转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让的股份不超过本人所直接或间 接持有的中科信息股份总数的百 </w:t>
            </w:r>
            <w:r>
              <w:rPr>
                <w:rFonts w:ascii="宋体" w:hAnsi="宋体" w:cs="宋体" w:eastAsia="宋体" w:hint="default"/>
                <w:spacing w:val="-5"/>
                <w:sz w:val="18"/>
                <w:szCs w:val="18"/>
              </w:rPr>
              <w:t>分之二十五；在申报离职后半年内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不转让本人所直接或间接持有的 </w:t>
            </w:r>
            <w:r>
              <w:rPr>
                <w:rFonts w:ascii="宋体" w:hAnsi="宋体" w:cs="宋体" w:eastAsia="宋体" w:hint="default"/>
                <w:spacing w:val="-5"/>
                <w:sz w:val="18"/>
                <w:szCs w:val="18"/>
              </w:rPr>
              <w:t>中科信息股份；在中科信息股票上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市之日起六个月内申报离职的，自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申报离职之日起十八个月内不转 让本人所直接或间接持有的中科 </w:t>
            </w:r>
            <w:r>
              <w:rPr>
                <w:rFonts w:ascii="宋体" w:hAnsi="宋体" w:cs="宋体" w:eastAsia="宋体" w:hint="default"/>
                <w:spacing w:val="-5"/>
                <w:sz w:val="18"/>
                <w:szCs w:val="18"/>
              </w:rPr>
              <w:t>信息股份；在中科信息股票上市之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日起第七个月至第十二个月之间 </w:t>
            </w:r>
            <w:r>
              <w:rPr>
                <w:rFonts w:ascii="宋体" w:hAnsi="宋体" w:cs="宋体" w:eastAsia="宋体" w:hint="default"/>
                <w:spacing w:val="-5"/>
                <w:sz w:val="18"/>
                <w:szCs w:val="18"/>
              </w:rPr>
              <w:t>申报离职的，自申报离职之日起十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二个月内不转让本人所直接或间</w:t>
            </w:r>
          </w:p>
        </w:tc>
        <w:tc>
          <w:tcPr>
            <w:tcW w:w="1276" w:type="dxa"/>
            <w:vMerge w:val="restart"/>
            <w:tcBorders>
              <w:top w:val="single" w:sz="4" w:space="0" w:color="000000"/>
              <w:left w:val="single" w:sz="4" w:space="0" w:color="000000"/>
              <w:right w:val="single" w:sz="4" w:space="0" w:color="000000"/>
            </w:tcBorders>
          </w:tcPr>
          <w:p>
            <w:pPr>
              <w:pStyle w:val="TableParagraph"/>
              <w:spacing w:line="2633" w:lineRule="exact"/>
              <w:ind w:right="-49"/>
              <w:jc w:val="left"/>
              <w:rPr>
                <w:rFonts w:ascii="宋体" w:hAnsi="宋体" w:cs="宋体" w:eastAsia="宋体" w:hint="default"/>
                <w:sz w:val="20"/>
                <w:szCs w:val="20"/>
              </w:rPr>
            </w:pPr>
            <w:r>
              <w:rPr>
                <w:rFonts w:ascii="宋体" w:hAnsi="宋体" w:cs="宋体" w:eastAsia="宋体" w:hint="default"/>
                <w:position w:val="-52"/>
                <w:sz w:val="20"/>
                <w:szCs w:val="20"/>
              </w:rPr>
              <w:pict>
                <v:group style="width:63.25pt;height:131.7pt;mso-position-horizontal-relative:char;mso-position-vertical-relative:line" coordorigin="0,0" coordsize="1265,2634">
                  <v:group style="position:absolute;left:0;top:0;width:1265;height:2634" coordorigin="0,0" coordsize="1265,2634">
                    <v:shape style="position:absolute;left:0;top:0;width:1265;height:2634" coordorigin="0,0" coordsize="1265,2634" path="m0,2633l1265,2633,1265,0,0,0,0,2633xe" filled="true" fillcolor="#ffffff" stroked="false">
                      <v:path arrowok="t"/>
                      <v:fill type="solid"/>
                    </v:shape>
                  </v:group>
                </v:group>
              </w:pict>
            </w:r>
            <w:r>
              <w:rPr>
                <w:rFonts w:ascii="宋体" w:hAnsi="宋体" w:cs="宋体" w:eastAsia="宋体" w:hint="default"/>
                <w:position w:val="-52"/>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417" w:type="dxa"/>
            <w:vMerge/>
            <w:tcBorders>
              <w:left w:val="single" w:sz="9" w:space="0" w:color="D2D2D2"/>
              <w:right w:val="single" w:sz="4" w:space="0" w:color="000000"/>
            </w:tcBorders>
          </w:tcPr>
          <w:p>
            <w:pPr/>
          </w:p>
        </w:tc>
        <w:tc>
          <w:tcPr>
            <w:tcW w:w="1417" w:type="dxa"/>
            <w:vMerge/>
            <w:tcBorders>
              <w:left w:val="single" w:sz="4" w:space="0" w:color="000000"/>
              <w:right w:val="single" w:sz="4" w:space="0" w:color="000000"/>
            </w:tcBorders>
          </w:tcPr>
          <w:p>
            <w:pPr/>
          </w:p>
        </w:tc>
        <w:tc>
          <w:tcPr>
            <w:tcW w:w="269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279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67" w:footer="979" w:top="1060" w:bottom="1160" w:left="1300" w:right="680"/>
          <w:pgNumType w:start="56"/>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9"/>
      </w:tblGrid>
      <w:tr>
        <w:trPr>
          <w:trHeight w:val="4434"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接持有的中科信息股份。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、所持 中科信息股票在锁定期满后两年 内减持的，减持价格不低于发行 </w:t>
            </w:r>
            <w:r>
              <w:rPr>
                <w:rFonts w:ascii="宋体" w:hAnsi="宋体" w:cs="宋体" w:eastAsia="宋体" w:hint="default"/>
                <w:spacing w:val="-5"/>
                <w:sz w:val="18"/>
                <w:szCs w:val="18"/>
              </w:rPr>
              <w:t>价；中科信息上市后六个月内如中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科信息股票连续二十个交易日的 </w:t>
            </w:r>
            <w:r>
              <w:rPr>
                <w:rFonts w:ascii="宋体" w:hAnsi="宋体" w:cs="宋体" w:eastAsia="宋体" w:hint="default"/>
                <w:spacing w:val="-5"/>
                <w:sz w:val="18"/>
                <w:szCs w:val="18"/>
              </w:rPr>
              <w:t>收盘价均低于发行价，或者上市后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六个月期末收盘价低于发行价，持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有中科信息股票的锁定期限自动 </w:t>
            </w:r>
            <w:r>
              <w:rPr>
                <w:rFonts w:ascii="宋体" w:hAnsi="宋体" w:cs="宋体" w:eastAsia="宋体" w:hint="default"/>
                <w:spacing w:val="-5"/>
                <w:sz w:val="18"/>
                <w:szCs w:val="18"/>
              </w:rPr>
              <w:t>延长六个月。如遇除权除息，上述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减持价格及收盘价均作相应调整。 上述承诺不因职务变更或离职等 原因而失效。如未履行上述承诺， 转让相关股份所取得的收益归中 科信息所有。</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440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63.25pt;height:220.5pt;mso-position-horizontal-relative:char;mso-position-vertical-relative:line" coordorigin="0,0" coordsize="1265,4410">
                  <v:group style="position:absolute;left:0;top:0;width:1265;height:4410" coordorigin="0,0" coordsize="1265,4410">
                    <v:shape style="position:absolute;left:0;top:0;width:1265;height:4410" coordorigin="0,0" coordsize="1265,4410" path="m0,4410l1265,4410,1265,0,0,0,0,4410xe" filled="true" fillcolor="#ffffff" stroked="false">
                      <v:path arrowok="t"/>
                      <v:fill type="solid"/>
                    </v:shape>
                  </v:group>
                </v:group>
              </w:pict>
            </w:r>
            <w:r>
              <w:rPr>
                <w:rFonts w:ascii="Times New Roman" w:hAnsi="Times New Roman" w:cs="Times New Roman" w:eastAsia="Times New Roman" w:hint="default"/>
                <w:position w:val="-87"/>
                <w:sz w:val="20"/>
                <w:szCs w:val="20"/>
              </w:rPr>
            </w:r>
          </w:p>
        </w:tc>
        <w:tc>
          <w:tcPr>
            <w:tcW w:w="1276" w:type="dxa"/>
            <w:tcBorders>
              <w:top w:val="single" w:sz="15" w:space="0" w:color="000000"/>
              <w:left w:val="single" w:sz="4" w:space="0" w:color="000000"/>
              <w:bottom w:val="single" w:sz="4" w:space="0" w:color="000000"/>
              <w:right w:val="single" w:sz="4" w:space="0" w:color="000000"/>
            </w:tcBorders>
          </w:tcPr>
          <w:p>
            <w:pPr/>
          </w:p>
        </w:tc>
        <w:tc>
          <w:tcPr>
            <w:tcW w:w="3689" w:type="dxa"/>
            <w:tcBorders>
              <w:top w:val="single" w:sz="15"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王伟、肖帆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自公司股票上市之日起的十二个 </w:t>
            </w:r>
            <w:r>
              <w:rPr>
                <w:rFonts w:ascii="宋体" w:hAnsi="宋体" w:cs="宋体" w:eastAsia="宋体" w:hint="default"/>
                <w:spacing w:val="-5"/>
                <w:sz w:val="18"/>
                <w:szCs w:val="18"/>
              </w:rPr>
              <w:t>月内，不转让或委托他人管理本人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所直接或间接持有的中科信息首 </w:t>
            </w:r>
            <w:r>
              <w:rPr>
                <w:rFonts w:ascii="宋体" w:hAnsi="宋体" w:cs="宋体" w:eastAsia="宋体" w:hint="default"/>
                <w:spacing w:val="-5"/>
                <w:sz w:val="18"/>
                <w:szCs w:val="18"/>
              </w:rPr>
              <w:t>次公开发行股票前已发行股份，也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不由中科信息回购该部分股份；前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述锁定期满后，在担任中科信息监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事期间，每年转让的股份不超过本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人所直接或间接持有的中科信息 </w:t>
            </w:r>
            <w:r>
              <w:rPr>
                <w:rFonts w:ascii="宋体" w:hAnsi="宋体" w:cs="宋体" w:eastAsia="宋体" w:hint="default"/>
                <w:spacing w:val="-5"/>
                <w:sz w:val="18"/>
                <w:szCs w:val="18"/>
              </w:rPr>
              <w:t>股份总数的百分之二十五；在申报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离职后半年内不转让本人所直接 </w:t>
            </w:r>
            <w:r>
              <w:rPr>
                <w:rFonts w:ascii="宋体" w:hAnsi="宋体" w:cs="宋体" w:eastAsia="宋体" w:hint="default"/>
                <w:spacing w:val="-5"/>
                <w:sz w:val="18"/>
                <w:szCs w:val="18"/>
              </w:rPr>
              <w:t>或间接持有的中科信息股份；在中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科信息股票上市之日起六个月内 </w:t>
            </w:r>
            <w:r>
              <w:rPr>
                <w:rFonts w:ascii="宋体" w:hAnsi="宋体" w:cs="宋体" w:eastAsia="宋体" w:hint="default"/>
                <w:spacing w:val="-5"/>
                <w:sz w:val="18"/>
                <w:szCs w:val="18"/>
              </w:rPr>
              <w:t>申报离职的，自申报离职之日起十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八个月内不转让本人所直接或间 </w:t>
            </w:r>
            <w:r>
              <w:rPr>
                <w:rFonts w:ascii="宋体" w:hAnsi="宋体" w:cs="宋体" w:eastAsia="宋体" w:hint="default"/>
                <w:spacing w:val="-5"/>
                <w:sz w:val="18"/>
                <w:szCs w:val="18"/>
              </w:rPr>
              <w:t>接持有的中科信息股份；在中科信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息股票上市之日起第七个月至第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9"/>
      </w:tblGrid>
      <w:tr>
        <w:trPr>
          <w:trHeight w:val="2249"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十二个月之间申报离职的，自申报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离职之日起十二个月内不转让本 人所直接或间接持有的中科信息 </w:t>
            </w:r>
            <w:r>
              <w:rPr>
                <w:rFonts w:ascii="宋体" w:hAnsi="宋体" w:cs="宋体" w:eastAsia="宋体" w:hint="default"/>
                <w:spacing w:val="-5"/>
                <w:sz w:val="18"/>
                <w:szCs w:val="18"/>
              </w:rPr>
              <w:t>股份。上述承诺不因职务变更或离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职等原因而失效。如未履行上述承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诺，转让相关股份所取得的收益归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中科信息所有。</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3689" w:type="dxa"/>
            <w:tcBorders>
              <w:top w:val="single" w:sz="15"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自中科信息股票上市之日起三十 </w:t>
            </w:r>
            <w:r>
              <w:rPr>
                <w:rFonts w:ascii="宋体" w:hAnsi="宋体" w:cs="宋体" w:eastAsia="宋体" w:hint="default"/>
                <w:spacing w:val="-5"/>
                <w:sz w:val="18"/>
                <w:szCs w:val="18"/>
              </w:rPr>
              <w:t>六个月内，不转让或者委托他人管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理本公司本次发行前已持有的中 </w:t>
            </w:r>
            <w:r>
              <w:rPr>
                <w:rFonts w:ascii="宋体" w:hAnsi="宋体" w:cs="宋体" w:eastAsia="宋体" w:hint="default"/>
                <w:spacing w:val="-5"/>
                <w:sz w:val="18"/>
                <w:szCs w:val="18"/>
              </w:rPr>
              <w:t>科信息的股份，也不由中科信息回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购本公司持有的上述股信息上市 后六个月内如中科信息股票连续 二十个交易日的收盘价均低于发 </w:t>
            </w:r>
            <w:r>
              <w:rPr>
                <w:rFonts w:ascii="宋体" w:hAnsi="宋体" w:cs="宋体" w:eastAsia="宋体" w:hint="default"/>
                <w:spacing w:val="-5"/>
                <w:sz w:val="18"/>
                <w:szCs w:val="18"/>
              </w:rPr>
              <w:t>行价，或者上市后六个月期末收盘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价低于发行价，持有中科信息股票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的锁定期限自动延长六个月。如遇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除权除息，上述减持价格及收盘价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均作相应调整。如未履行上述承 </w:t>
            </w:r>
            <w:r>
              <w:rPr>
                <w:rFonts w:ascii="宋体" w:hAnsi="宋体" w:cs="宋体" w:eastAsia="宋体" w:hint="default"/>
                <w:spacing w:val="-5"/>
                <w:sz w:val="18"/>
                <w:szCs w:val="18"/>
              </w:rPr>
              <w:t>诺，转让相关股份所取得的收益归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中科信息所有。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自中科信息股票上市之日起三十 </w:t>
            </w:r>
            <w:r>
              <w:rPr>
                <w:rFonts w:ascii="宋体" w:hAnsi="宋体" w:cs="宋体" w:eastAsia="宋体" w:hint="default"/>
                <w:spacing w:val="-5"/>
                <w:sz w:val="18"/>
                <w:szCs w:val="18"/>
              </w:rPr>
              <w:t>六个月内，不转让或者委托他人管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理本公司本次发行前已持有的中 </w:t>
            </w:r>
            <w:r>
              <w:rPr>
                <w:rFonts w:ascii="宋体" w:hAnsi="宋体" w:cs="宋体" w:eastAsia="宋体" w:hint="default"/>
                <w:spacing w:val="-5"/>
                <w:sz w:val="18"/>
                <w:szCs w:val="18"/>
              </w:rPr>
              <w:t>科信息的股份，也不由中科信息回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购本公司持有的上述股份。如未履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行上述承诺，转让相关股份所取得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的收益归中科信息所有。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3"/>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宇中投资</w:t>
            </w:r>
            <w:r>
              <w:rPr>
                <w:rFonts w:ascii="宋体" w:hAnsi="宋体" w:cs="宋体" w:eastAsia="宋体" w:hint="default"/>
                <w:spacing w:val="-80"/>
                <w:sz w:val="18"/>
                <w:szCs w:val="18"/>
              </w:rPr>
              <w:t>、</w:t>
            </w:r>
            <w:r>
              <w:rPr>
                <w:rFonts w:ascii="宋体" w:hAnsi="宋体" w:cs="宋体" w:eastAsia="宋体" w:hint="default"/>
                <w:sz w:val="18"/>
                <w:szCs w:val="18"/>
              </w:rPr>
              <w:t>恒合经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自中科信息股票上市之日起十二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r>
        <w:rPr/>
        <w:pict>
          <v:shape style="position:absolute;margin-left:269.770996pt;margin-top:168.920013pt;width:85.55pt;height:170.6pt;mso-position-horizontal-relative:page;mso-position-vertical-relative:page;z-index:-904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梅、</w:t>
                  </w:r>
                </w:p>
              </w:txbxContent>
            </v:textbox>
            <w10:wrap type="none"/>
          </v:shape>
        </w:pict>
      </w:r>
      <w:r>
        <w:rPr/>
        <w:pict>
          <v:shape style="position:absolute;margin-left:269.770996pt;margin-top:359.140015pt;width:85.55pt;height:170.6pt;mso-position-horizontal-relative:page;mso-position-vertical-relative:page;z-index:-90426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帆、</w:t>
                  </w:r>
                </w:p>
              </w:txbxContent>
            </v:textbox>
            <w10:wrap type="none"/>
          </v:shape>
        </w:pict>
      </w:r>
      <w:r>
        <w:rPr/>
        <w:pict>
          <v:group style="position:absolute;margin-left:284.899994pt;margin-top:168.920013pt;width:70.4pt;height:360.85pt;mso-position-horizontal-relative:page;mso-position-vertical-relative:page;z-index:-904240" coordorigin="5698,3378" coordsize="1408,7217">
            <v:group style="position:absolute;left:5698;top:3378;width:1408;height:3412" coordorigin="5698,3378" coordsize="1408,3412">
              <v:shape style="position:absolute;left:5698;top:3378;width:1408;height:3412" coordorigin="5698,3378" coordsize="1408,3412" path="m5698,6790l7106,6790,7106,3378,5698,3378,5698,6790xe" filled="true" fillcolor="#ffffff" stroked="false">
                <v:path arrowok="t"/>
                <v:fill type="solid"/>
              </v:shape>
            </v:group>
            <v:group style="position:absolute;left:5709;top:6790;width:2;height:393" coordorigin="5709,6790" coordsize="2,393">
              <v:shape style="position:absolute;left:5709;top:6790;width:2;height:393" coordorigin="5709,6790" coordsize="0,393" path="m5709,6790l5709,7183e" filled="false" stroked="true" strokeweight="1.140pt" strokecolor="#ffffff">
                <v:path arrowok="t"/>
              </v:shape>
            </v:group>
            <v:group style="position:absolute;left:5698;top:7183;width:1408;height:3412" coordorigin="5698,7183" coordsize="1408,3412">
              <v:shape style="position:absolute;left:5698;top:7183;width:1408;height:3412" coordorigin="5698,7183" coordsize="1408,3412" path="m5698,10595l7106,10595,7106,7183,5698,7183,5698,10595xe" filled="true" fillcolor="#ffffff" stroked="false">
                <v:path arrowok="t"/>
                <v:fill type="solid"/>
              </v:shape>
            </v:group>
            <v:group style="position:absolute;left:5721;top:6790;width:1362;height:393" coordorigin="5721,6790" coordsize="1362,393">
              <v:shape style="position:absolute;left:5721;top:6790;width:1362;height:393" coordorigin="5721,6790" coordsize="1362,393" path="m5721,7183l7083,7183,7083,6790,5721,6790,5721,7183xe" filled="true" fillcolor="#ffffff" stroked="false">
                <v:path arrowok="t"/>
                <v:fill type="solid"/>
              </v:shape>
            </v:group>
            <w10:wrap type="none"/>
          </v:group>
        </w:pict>
      </w:r>
      <w:r>
        <w:rPr/>
        <w:pict>
          <v:group style="position:absolute;margin-left:490.480011pt;margin-top:168.920013pt;width:63.25pt;height:162.8pt;mso-position-horizontal-relative:page;mso-position-vertical-relative:page;z-index:-904216" coordorigin="9810,3378" coordsize="1265,3256">
            <v:shape style="position:absolute;left:9810;top:3378;width:1265;height:3256" coordorigin="9810,3378" coordsize="1265,3256" path="m9810,6634l11074,6634,11074,3378,9810,3378,9810,663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332"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纬、国科瑞祺、联</w:t>
            </w:r>
          </w:p>
        </w:tc>
        <w:tc>
          <w:tcPr>
            <w:tcW w:w="1417" w:type="dxa"/>
            <w:vMerge w:val="restart"/>
            <w:tcBorders>
              <w:top w:val="single" w:sz="15" w:space="0" w:color="000000"/>
              <w:left w:val="single" w:sz="4" w:space="0" w:color="000000"/>
              <w:right w:val="single" w:sz="4" w:space="0" w:color="000000"/>
            </w:tcBorders>
          </w:tcPr>
          <w:p>
            <w:pPr/>
          </w:p>
        </w:tc>
        <w:tc>
          <w:tcPr>
            <w:tcW w:w="26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个月内，不转让或者委托他人管理</w:t>
            </w:r>
          </w:p>
        </w:tc>
        <w:tc>
          <w:tcPr>
            <w:tcW w:w="127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日承诺已履行</w:t>
            </w:r>
          </w:p>
        </w:tc>
        <w:tc>
          <w:tcPr>
            <w:tcW w:w="3687" w:type="dxa"/>
            <w:vMerge w:val="restart"/>
            <w:tcBorders>
              <w:top w:val="single" w:sz="15"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升创投</w:t>
            </w:r>
            <w:r>
              <w:rPr>
                <w:rFonts w:ascii="宋体" w:hAnsi="宋体" w:cs="宋体" w:eastAsia="宋体" w:hint="default"/>
                <w:spacing w:val="-80"/>
                <w:sz w:val="18"/>
                <w:szCs w:val="18"/>
              </w:rPr>
              <w:t>、</w:t>
            </w:r>
            <w:r>
              <w:rPr>
                <w:rFonts w:ascii="宋体" w:hAnsi="宋体" w:cs="宋体" w:eastAsia="宋体" w:hint="default"/>
                <w:sz w:val="18"/>
                <w:szCs w:val="18"/>
              </w:rPr>
              <w:t>科泰石油</w:t>
            </w: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本公司（本企业）本次发行前已持</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3687"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有的中科信息的股份，也不由中科</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信息回购本公司（本企业）持有的</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上述股份。如未履行上述承诺，转</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让相关股份所取得的收益归中科</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信息所有。</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公司股票挂牌上市之日起三年内</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一旦出现连续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个交易日公司股</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票收盘价均低于其最近一期经审</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计的每股净资产情形时（若因除权</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除息等事项致使上述股票收盘价</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与公司最近一期经审计的每股净</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资产不具可比性的，上述股票收盘</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价应做相应调整，下同</w:t>
            </w:r>
            <w:r>
              <w:rPr>
                <w:rFonts w:ascii="宋体" w:hAnsi="宋体" w:cs="宋体" w:eastAsia="宋体" w:hint="default"/>
                <w:spacing w:val="-90"/>
                <w:sz w:val="18"/>
                <w:szCs w:val="18"/>
              </w:rPr>
              <w:t>）</w:t>
            </w:r>
            <w:r>
              <w:rPr>
                <w:rFonts w:ascii="宋体" w:hAnsi="宋体" w:cs="宋体" w:eastAsia="宋体" w:hint="default"/>
                <w:sz w:val="18"/>
                <w:szCs w:val="18"/>
              </w:rPr>
              <w:t>，则相关</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中科信息</w:t>
            </w:r>
            <w:r>
              <w:rPr>
                <w:rFonts w:ascii="宋体" w:hAnsi="宋体" w:cs="宋体" w:eastAsia="宋体" w:hint="default"/>
                <w:spacing w:val="-80"/>
                <w:sz w:val="18"/>
                <w:szCs w:val="18"/>
              </w:rPr>
              <w:t>、</w:t>
            </w:r>
            <w:r>
              <w:rPr>
                <w:rFonts w:ascii="宋体" w:hAnsi="宋体" w:cs="宋体" w:eastAsia="宋体" w:hint="default"/>
                <w:sz w:val="18"/>
                <w:szCs w:val="18"/>
              </w:rPr>
              <w:t>国科控</w:t>
            </w: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5"/>
                <w:sz w:val="18"/>
                <w:szCs w:val="18"/>
              </w:rPr>
              <w:t>主体启动稳定公司股价的措施。公</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10"/>
                <w:sz w:val="18"/>
                <w:szCs w:val="18"/>
              </w:rPr>
              <w:t>股、索继栓、王晓</w:t>
            </w: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5"/>
                <w:sz w:val="18"/>
                <w:szCs w:val="18"/>
              </w:rPr>
              <w:t>司回购股份、公司控股股东增持股</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33"/>
              <w:jc w:val="left"/>
              <w:rPr>
                <w:rFonts w:ascii="宋体" w:hAnsi="宋体" w:cs="宋体" w:eastAsia="宋体" w:hint="default"/>
                <w:sz w:val="18"/>
                <w:szCs w:val="18"/>
              </w:rPr>
            </w:pPr>
            <w:r>
              <w:rPr>
                <w:rFonts w:ascii="宋体" w:hAnsi="宋体" w:cs="宋体" w:eastAsia="宋体" w:hint="default"/>
                <w:spacing w:val="-25"/>
                <w:sz w:val="18"/>
                <w:szCs w:val="18"/>
              </w:rPr>
              <w:t>宇、张勇、杨红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付忠良、史志明、</w:t>
            </w:r>
            <w:r>
              <w:rPr>
                <w:rFonts w:ascii="宋体" w:hAnsi="宋体" w:cs="宋体" w:eastAsia="宋体" w:hint="default"/>
                <w:spacing w:val="-24"/>
                <w:sz w:val="18"/>
                <w:szCs w:val="18"/>
              </w:rPr>
              <w:t> </w:t>
            </w:r>
            <w:r>
              <w:rPr>
                <w:rFonts w:ascii="宋体" w:hAnsi="宋体" w:cs="宋体" w:eastAsia="宋体" w:hint="default"/>
                <w:spacing w:val="-25"/>
                <w:sz w:val="18"/>
                <w:szCs w:val="18"/>
              </w:rPr>
              <w:t>王伟、傅敏、肖</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稳定股价的承诺</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pacing w:val="-5"/>
                <w:sz w:val="18"/>
                <w:szCs w:val="18"/>
              </w:rPr>
              <w:t>份、董事（独立董事除外）及高级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管理人员增持股份均应符合中国 </w:t>
            </w:r>
            <w:r>
              <w:rPr>
                <w:rFonts w:ascii="宋体" w:hAnsi="宋体" w:cs="宋体" w:eastAsia="宋体" w:hint="default"/>
                <w:spacing w:val="-5"/>
                <w:sz w:val="18"/>
                <w:szCs w:val="18"/>
              </w:rPr>
              <w:t>证监会、证券交易所及其他证券监</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尹 邦明 、钟勇</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5"/>
                <w:sz w:val="18"/>
                <w:szCs w:val="18"/>
              </w:rPr>
              <w:t>管机关的相关法律、法规和规范性</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王晓东、刘小兵</w:t>
            </w: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5"/>
                <w:sz w:val="18"/>
                <w:szCs w:val="18"/>
              </w:rPr>
              <w:t>文件，并不应因此导致公司股权分</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布不符合上市条件的要求；若其中</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任何一项措施的实施或继续实施</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将导致公司股权分布不符合上市</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条件的要求时，则不得实施或应立</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即终止继续实施，且该项措施所对</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应的股价稳定义务视为已履行。非</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因不可抗力因素所致，公司及相关</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主体将采取以下措施中的一项或</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r>
        <w:rPr/>
        <w:pict>
          <v:shape style="position:absolute;margin-left:448.339996pt;margin-top:57.180008pt;width:105.4pt;height:468.1pt;mso-position-horizontal-relative:page;mso-position-vertical-relative:page;z-index:-904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180"/>
                    <w:jc w:val="left"/>
                    <w:rPr>
                      <w:rFonts w:ascii="宋体" w:hAnsi="宋体" w:cs="宋体" w:eastAsia="宋体" w:hint="default"/>
                      <w:sz w:val="18"/>
                      <w:szCs w:val="18"/>
                    </w:rPr>
                  </w:pPr>
                  <w:r>
                    <w:rPr>
                      <w:rFonts w:ascii="宋体" w:hAnsi="宋体" w:cs="宋体" w:eastAsia="宋体" w:hint="default"/>
                      <w:sz w:val="18"/>
                      <w:szCs w:val="18"/>
                    </w:rPr>
                    <w:t>后实施，</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控股股东、</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336"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vMerge w:val="restart"/>
            <w:tcBorders>
              <w:top w:val="single" w:sz="15" w:space="0" w:color="000000"/>
              <w:left w:val="single" w:sz="4" w:space="0" w:color="000000"/>
              <w:right w:val="single" w:sz="4" w:space="0" w:color="000000"/>
            </w:tcBorders>
          </w:tcPr>
          <w:p>
            <w:pPr/>
          </w:p>
        </w:tc>
        <w:tc>
          <w:tcPr>
            <w:tcW w:w="1417" w:type="dxa"/>
            <w:vMerge w:val="restart"/>
            <w:tcBorders>
              <w:top w:val="single" w:sz="15" w:space="0" w:color="000000"/>
              <w:left w:val="single" w:sz="4" w:space="0" w:color="000000"/>
              <w:right w:val="single" w:sz="4" w:space="0" w:color="000000"/>
            </w:tcBorders>
          </w:tcPr>
          <w:p>
            <w:pPr/>
          </w:p>
        </w:tc>
        <w:tc>
          <w:tcPr>
            <w:tcW w:w="26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多项稳定公司股价：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w:t>
            </w:r>
          </w:p>
        </w:tc>
        <w:tc>
          <w:tcPr>
            <w:tcW w:w="1276" w:type="dxa"/>
            <w:vMerge w:val="restart"/>
            <w:tcBorders>
              <w:top w:val="single" w:sz="15" w:space="0" w:color="000000"/>
              <w:left w:val="single" w:sz="4" w:space="0" w:color="000000"/>
              <w:right w:val="single" w:sz="4" w:space="0" w:color="000000"/>
            </w:tcBorders>
          </w:tcPr>
          <w:p>
            <w:pPr>
              <w:pStyle w:val="TableParagraph"/>
              <w:spacing w:line="9361"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63.25pt;height:468.1pt;mso-position-horizontal-relative:char;mso-position-vertical-relative:line" coordorigin="0,0" coordsize="1265,9362">
                  <v:group style="position:absolute;left:0;top:0;width:1265;height:9362" coordorigin="0,0" coordsize="1265,9362">
                    <v:shape style="position:absolute;left:0;top:0;width:1265;height:9362" coordorigin="0,0" coordsize="1265,9362" path="m0,9361l1265,9361,1265,0,0,0,0,9361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3687" w:type="dxa"/>
            <w:vMerge w:val="restart"/>
            <w:tcBorders>
              <w:top w:val="single" w:sz="15"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公司股票；</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、公司控股股东增持</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公司股票；</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、公司董事、高级管</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理人员增持公司股票；</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、其他证</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券监管部门认可的方式。公司董事</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会将在公司股票价格触发启动股</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价稳定措施条件之日起的五个工</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作日内制订或要求公司控股股东</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提出稳定公司股价具体方案，并在</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履行完毕相关内部决策程序和外</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部审批</w:t>
            </w:r>
            <w:r>
              <w:rPr>
                <w:rFonts w:ascii="Times New Roman" w:hAnsi="Times New Roman" w:cs="Times New Roman" w:eastAsia="Times New Roman" w:hint="default"/>
                <w:sz w:val="18"/>
                <w:szCs w:val="18"/>
              </w:rPr>
              <w:t>/</w:t>
            </w:r>
            <w:r>
              <w:rPr>
                <w:rFonts w:ascii="宋体" w:hAnsi="宋体" w:cs="宋体" w:eastAsia="宋体" w:hint="default"/>
                <w:sz w:val="18"/>
                <w:szCs w:val="18"/>
              </w:rPr>
              <w:t>备案程序（如需）</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且按照上市公司信息披露要求予</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以公告。公司稳定股价措施实施完</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毕日起两个交易日内，公司应将稳</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定股价措施实施情况予以公告。公</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司稳定股价措施实施完毕后，如公</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司股票价格再度触发启动股价稳</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定措施的条件</w:t>
            </w:r>
            <w:r>
              <w:rPr>
                <w:rFonts w:ascii="宋体" w:hAnsi="宋体" w:cs="宋体" w:eastAsia="宋体" w:hint="default"/>
                <w:spacing w:val="-76"/>
                <w:sz w:val="18"/>
                <w:szCs w:val="18"/>
              </w:rPr>
              <w:t>，</w:t>
            </w:r>
            <w:r>
              <w:rPr>
                <w:rFonts w:ascii="宋体" w:hAnsi="宋体" w:cs="宋体" w:eastAsia="宋体" w:hint="default"/>
                <w:sz w:val="18"/>
                <w:szCs w:val="18"/>
              </w:rPr>
              <w:t>则公司、</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董事、高级管理人员等相关责任主</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体将继续履行相关义务</w:t>
            </w:r>
            <w:r>
              <w:rPr>
                <w:rFonts w:ascii="宋体" w:hAnsi="宋体" w:cs="宋体" w:eastAsia="宋体" w:hint="default"/>
                <w:spacing w:val="-90"/>
                <w:sz w:val="18"/>
                <w:szCs w:val="18"/>
              </w:rPr>
              <w:t>。</w:t>
            </w:r>
            <w:r>
              <w:rPr>
                <w:rFonts w:ascii="宋体" w:hAnsi="宋体" w:cs="宋体" w:eastAsia="宋体" w:hint="default"/>
                <w:sz w:val="18"/>
                <w:szCs w:val="18"/>
              </w:rPr>
              <w:t>（一）公</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司回购公司股票的具体安排。公司</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将自股价稳定方案公告之日起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个自然日内通过证券交易所以集</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中竞价的交易方式、要约方式或证</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券监督管理部门认可的其他方式</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回购公司社会公众股份，回购价格</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不高于公司最近一期经审计的每</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股净资产（最近一期审计基准日</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后，因利润分配、资本公积金转增</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股本、增发、配股等情况导致公司</w:t>
            </w: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680"/>
        </w:sectPr>
      </w:pPr>
    </w:p>
    <w:p>
      <w:pPr>
        <w:spacing w:line="312" w:lineRule="auto" w:before="87"/>
        <w:ind w:left="5838" w:right="6375" w:firstLine="0"/>
        <w:jc w:val="left"/>
        <w:rPr>
          <w:rFonts w:ascii="宋体" w:hAnsi="宋体" w:cs="宋体" w:eastAsia="宋体" w:hint="default"/>
          <w:sz w:val="18"/>
          <w:szCs w:val="18"/>
        </w:rPr>
      </w:pPr>
      <w:r>
        <w:rPr/>
        <w:pict>
          <v:group style="position:absolute;margin-left:70.139999pt;margin-top:55.260006pt;width:732.25pt;height:470.8pt;mso-position-horizontal-relative:page;mso-position-vertical-relative:page;z-index:-904144" coordorigin="1403,1105" coordsize="14645,9416">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2827;height:9362" coordorigin="1445,1144" coordsize="2827,9362">
              <v:shape style="position:absolute;left:1445;top:1144;width:2827;height:9362" coordorigin="1445,1144" coordsize="2827,9362" path="m1445,10505l4271,10505,4271,1144,1445,1144,1445,10505xe" filled="true" fillcolor="#d2d2d2" stroked="false">
                <v:path arrowok="t"/>
                <v:fill type="solid"/>
              </v:shape>
            </v:group>
            <v:group style="position:absolute;left:9810;top:1144;width:1265;height:9362" coordorigin="9810,1144" coordsize="1265,9362">
              <v:shape style="position:absolute;left:9810;top:1144;width:1265;height:9362" coordorigin="9810,1144" coordsize="1265,9362" path="m9810,10505l11074,10505,11074,1144,9810,1144,9810,10505xe" filled="true" fillcolor="#ffffff" stroked="false">
                <v:path arrowok="t"/>
                <v:fill type="solid"/>
              </v:shape>
            </v:group>
            <v:group style="position:absolute;left:1445;top:1139;width:2827;height:2" coordorigin="1445,1139" coordsize="2827,2">
              <v:shape style="position:absolute;left:1445;top:1139;width:2827;height:2" coordorigin="1445,1139" coordsize="2827,0" path="m1445,1139l4271,1139e" filled="false" stroked="true" strokeweight=".48pt" strokecolor="#000000">
                <v:path arrowok="t"/>
              </v:shape>
            </v:group>
            <v:group style="position:absolute;left:4281;top:1139;width:1408;height:2" coordorigin="4281,1139" coordsize="1408,2">
              <v:shape style="position:absolute;left:4281;top:1139;width:1408;height:2" coordorigin="4281,1139" coordsize="1408,0" path="m4281,1139l5688,1139e" filled="false" stroked="true" strokeweight=".48pt" strokecolor="#000000">
                <v:path arrowok="t"/>
              </v:shape>
            </v:group>
            <v:group style="position:absolute;left:5698;top:1139;width:1408;height:2" coordorigin="5698,1139" coordsize="1408,2">
              <v:shape style="position:absolute;left:5698;top:1139;width:1408;height:2" coordorigin="5698,1139" coordsize="1408,0" path="m5698,1139l7106,1139e" filled="false" stroked="true" strokeweight=".48pt" strokecolor="#000000">
                <v:path arrowok="t"/>
              </v:shape>
            </v:group>
            <v:group style="position:absolute;left:7115;top:1139;width:2685;height:2" coordorigin="7115,1139" coordsize="2685,2">
              <v:shape style="position:absolute;left:7115;top:1139;width:2685;height:2" coordorigin="7115,1139" coordsize="2685,0" path="m7115,1139l9800,1139e" filled="false" stroked="true" strokeweight=".48pt" strokecolor="#000000">
                <v:path arrowok="t"/>
              </v:shape>
            </v:group>
            <v:group style="position:absolute;left:9810;top:1139;width:1266;height:2" coordorigin="9810,1139" coordsize="1266,2">
              <v:shape style="position:absolute;left:9810;top:1139;width:1266;height:2" coordorigin="9810,1139" coordsize="1266,0" path="m9810,1139l11076,1139e" filled="false" stroked="true" strokeweight=".48pt" strokecolor="#000000">
                <v:path arrowok="t"/>
              </v:shape>
            </v:group>
            <v:group style="position:absolute;left:11085;top:1139;width:1266;height:2" coordorigin="11085,1139" coordsize="1266,2">
              <v:shape style="position:absolute;left:11085;top:1139;width:1266;height:2" coordorigin="11085,1139" coordsize="1266,0" path="m11085,1139l12351,1139e" filled="false" stroked="true" strokeweight=".48pt" strokecolor="#000000">
                <v:path arrowok="t"/>
              </v:shape>
            </v:group>
            <v:group style="position:absolute;left:12361;top:1139;width:3678;height:2" coordorigin="12361,1139" coordsize="3678,2">
              <v:shape style="position:absolute;left:12361;top:1139;width:3678;height:2" coordorigin="12361,1139" coordsize="3678,0" path="m12361,1139l16038,1139e" filled="false" stroked="true" strokeweight=".48pt" strokecolor="#000000">
                <v:path arrowok="t"/>
              </v:shape>
            </v:group>
            <v:group style="position:absolute;left:1440;top:1134;width:2;height:9382" coordorigin="1440,1134" coordsize="2,9382">
              <v:shape style="position:absolute;left:1440;top:1134;width:2;height:9382" coordorigin="1440,1134" coordsize="0,9382" path="m1440,1134l1440,10516e" filled="false" stroked="true" strokeweight=".48pt" strokecolor="#000000">
                <v:path arrowok="t"/>
              </v:shape>
            </v:group>
            <v:group style="position:absolute;left:1445;top:10511;width:2827;height:2" coordorigin="1445,10511" coordsize="2827,2">
              <v:shape style="position:absolute;left:1445;top:10511;width:2827;height:2" coordorigin="1445,10511" coordsize="2827,0" path="m1445,10511l4271,10511e" filled="false" stroked="true" strokeweight=".47998pt" strokecolor="#000000">
                <v:path arrowok="t"/>
              </v:shape>
            </v:group>
            <v:group style="position:absolute;left:4276;top:1134;width:2;height:9382" coordorigin="4276,1134" coordsize="2,9382">
              <v:shape style="position:absolute;left:4276;top:1134;width:2;height:9382" coordorigin="4276,1134" coordsize="0,9382" path="m4276,1134l4276,10516e" filled="false" stroked="true" strokeweight=".48pt" strokecolor="#000000">
                <v:path arrowok="t"/>
              </v:shape>
            </v:group>
            <v:group style="position:absolute;left:4281;top:10511;width:1408;height:2" coordorigin="4281,10511" coordsize="1408,2">
              <v:shape style="position:absolute;left:4281;top:10511;width:1408;height:2" coordorigin="4281,10511" coordsize="1408,0" path="m4281,10511l5688,10511e" filled="false" stroked="true" strokeweight=".47998pt" strokecolor="#000000">
                <v:path arrowok="t"/>
              </v:shape>
            </v:group>
            <v:group style="position:absolute;left:5693;top:1134;width:2;height:9382" coordorigin="5693,1134" coordsize="2,9382">
              <v:shape style="position:absolute;left:5693;top:1134;width:2;height:9382" coordorigin="5693,1134" coordsize="0,9382" path="m5693,1134l5693,10516e" filled="false" stroked="true" strokeweight=".48001pt" strokecolor="#000000">
                <v:path arrowok="t"/>
              </v:shape>
            </v:group>
            <v:group style="position:absolute;left:5698;top:10511;width:1408;height:2" coordorigin="5698,10511" coordsize="1408,2">
              <v:shape style="position:absolute;left:5698;top:10511;width:1408;height:2" coordorigin="5698,10511" coordsize="1408,0" path="m5698,10511l7106,10511e" filled="false" stroked="true" strokeweight=".47998pt" strokecolor="#000000">
                <v:path arrowok="t"/>
              </v:shape>
            </v:group>
            <v:group style="position:absolute;left:7110;top:1134;width:2;height:9382" coordorigin="7110,1134" coordsize="2,9382">
              <v:shape style="position:absolute;left:7110;top:1134;width:2;height:9382" coordorigin="7110,1134" coordsize="0,9382" path="m7110,1134l7110,10516e" filled="false" stroked="true" strokeweight=".47998pt" strokecolor="#000000">
                <v:path arrowok="t"/>
              </v:shape>
            </v:group>
            <v:group style="position:absolute;left:7115;top:10511;width:2685;height:2" coordorigin="7115,10511" coordsize="2685,2">
              <v:shape style="position:absolute;left:7115;top:10511;width:2685;height:2" coordorigin="7115,10511" coordsize="2685,0" path="m7115,10511l9800,10511e" filled="false" stroked="true" strokeweight=".47998pt" strokecolor="#000000">
                <v:path arrowok="t"/>
              </v:shape>
            </v:group>
            <v:group style="position:absolute;left:9805;top:1134;width:2;height:9382" coordorigin="9805,1134" coordsize="2,9382">
              <v:shape style="position:absolute;left:9805;top:1134;width:2;height:9382" coordorigin="9805,1134" coordsize="0,9382" path="m9805,1134l9805,10516e" filled="false" stroked="true" strokeweight=".47998pt" strokecolor="#000000">
                <v:path arrowok="t"/>
              </v:shape>
            </v:group>
            <v:group style="position:absolute;left:9810;top:10511;width:1266;height:2" coordorigin="9810,10511" coordsize="1266,2">
              <v:shape style="position:absolute;left:9810;top:10511;width:1266;height:2" coordorigin="9810,10511" coordsize="1266,0" path="m9810,10511l11076,10511e" filled="false" stroked="true" strokeweight=".47998pt" strokecolor="#000000">
                <v:path arrowok="t"/>
              </v:shape>
            </v:group>
            <v:group style="position:absolute;left:11080;top:1134;width:2;height:9382" coordorigin="11080,1134" coordsize="2,9382">
              <v:shape style="position:absolute;left:11080;top:1134;width:2;height:9382" coordorigin="11080,1134" coordsize="0,9382" path="m11080,1134l11080,10516e" filled="false" stroked="true" strokeweight=".48004pt" strokecolor="#000000">
                <v:path arrowok="t"/>
              </v:shape>
            </v:group>
            <v:group style="position:absolute;left:11085;top:10511;width:1266;height:2" coordorigin="11085,10511" coordsize="1266,2">
              <v:shape style="position:absolute;left:11085;top:10511;width:1266;height:2" coordorigin="11085,10511" coordsize="1266,0" path="m11085,10511l12351,10511e" filled="false" stroked="true" strokeweight=".47998pt" strokecolor="#000000">
                <v:path arrowok="t"/>
              </v:shape>
            </v:group>
            <v:group style="position:absolute;left:12356;top:1134;width:2;height:9382" coordorigin="12356,1134" coordsize="2,9382">
              <v:shape style="position:absolute;left:12356;top:1134;width:2;height:9382" coordorigin="12356,1134" coordsize="0,9382" path="m12356,1134l12356,10516e" filled="false" stroked="true" strokeweight=".47998pt" strokecolor="#000000">
                <v:path arrowok="t"/>
              </v:shape>
            </v:group>
            <v:group style="position:absolute;left:12361;top:10511;width:3678;height:2" coordorigin="12361,10511" coordsize="3678,2">
              <v:shape style="position:absolute;left:12361;top:10511;width:3678;height:2" coordorigin="12361,10511" coordsize="3678,0" path="m12361,10511l16038,10511e" filled="false" stroked="true" strokeweight=".47998pt" strokecolor="#000000">
                <v:path arrowok="t"/>
              </v:shape>
            </v:group>
            <v:group style="position:absolute;left:16043;top:1134;width:2;height:9382" coordorigin="16043,1134" coordsize="2,9382">
              <v:shape style="position:absolute;left:16043;top:1134;width:2;height:9382" coordorigin="16043,1134" coordsize="0,9382" path="m16043,1134l16043,10516e" filled="false" stroked="true" strokeweight=".48004pt" strokecolor="#000000">
                <v:path arrowok="t"/>
              </v:shape>
            </v:group>
            <w10:wrap type="none"/>
          </v:group>
        </w:pict>
      </w:r>
      <w:r>
        <w:rPr>
          <w:rFonts w:ascii="宋体" w:hAnsi="宋体" w:cs="宋体" w:eastAsia="宋体" w:hint="default"/>
          <w:spacing w:val="-5"/>
          <w:sz w:val="18"/>
          <w:szCs w:val="18"/>
        </w:rPr>
        <w:t>净资产或股份总数出现变化的，每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股净资产相应进行调整，下同），</w:t>
      </w:r>
      <w:r>
        <w:rPr>
          <w:rFonts w:ascii="宋体" w:hAnsi="宋体" w:cs="宋体" w:eastAsia="宋体" w:hint="default"/>
          <w:sz w:val="18"/>
          <w:szCs w:val="18"/>
        </w:rPr>
        <w:t> 公司回购股份除应符合相关法律 </w:t>
      </w:r>
      <w:r>
        <w:rPr>
          <w:rFonts w:ascii="宋体" w:hAnsi="宋体" w:cs="宋体" w:eastAsia="宋体" w:hint="default"/>
          <w:spacing w:val="-5"/>
          <w:sz w:val="18"/>
          <w:szCs w:val="18"/>
        </w:rPr>
        <w:t>法规之要求之外，还应符合下列各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、公司用于回购股份的资金 总额累计不超过公司首次公开发 行新股所募集资金的总额。</w:t>
      </w:r>
      <w:r>
        <w:rPr>
          <w:rFonts w:ascii="Times New Roman" w:hAnsi="Times New Roman" w:cs="Times New Roman" w:eastAsia="Times New Roman" w:hint="default"/>
          <w:sz w:val="18"/>
          <w:szCs w:val="18"/>
        </w:rPr>
        <w:t>2</w:t>
      </w:r>
      <w:r>
        <w:rPr>
          <w:rFonts w:ascii="宋体" w:hAnsi="宋体" w:cs="宋体" w:eastAsia="宋体" w:hint="default"/>
          <w:sz w:val="18"/>
          <w:szCs w:val="18"/>
        </w:rPr>
        <w:t>、公 司单次用于回购股份的资金不得 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、公司 单次回购股份不超过公司总股本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项与本项冲突 的，按照本项执行。</w:t>
      </w:r>
      <w:r>
        <w:rPr>
          <w:rFonts w:ascii="Times New Roman" w:hAnsi="Times New Roman" w:cs="Times New Roman" w:eastAsia="Times New Roman" w:hint="default"/>
          <w:sz w:val="18"/>
          <w:szCs w:val="18"/>
        </w:rPr>
        <w:t>4</w:t>
      </w:r>
      <w:r>
        <w:rPr>
          <w:rFonts w:ascii="宋体" w:hAnsi="宋体" w:cs="宋体" w:eastAsia="宋体" w:hint="default"/>
          <w:sz w:val="18"/>
          <w:szCs w:val="18"/>
        </w:rPr>
        <w:t>、单一会计 年度用以稳定股价的回购资金合 计不超过上一会计年度经审计的</w:t>
      </w:r>
    </w:p>
    <w:p>
      <w:pPr>
        <w:spacing w:line="316" w:lineRule="auto" w:before="22"/>
        <w:ind w:left="5838" w:right="6286" w:firstLine="0"/>
        <w:jc w:val="left"/>
        <w:rPr>
          <w:rFonts w:ascii="宋体" w:hAnsi="宋体" w:cs="宋体" w:eastAsia="宋体" w:hint="default"/>
          <w:sz w:val="18"/>
          <w:szCs w:val="18"/>
        </w:rPr>
      </w:pPr>
      <w:r>
        <w:rPr>
          <w:rFonts w:ascii="宋体" w:hAnsi="宋体" w:cs="宋体" w:eastAsia="宋体" w:hint="default"/>
          <w:sz w:val="18"/>
          <w:szCs w:val="18"/>
        </w:rPr>
        <w:t>归属于母公司股东净利润的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w:t>
      </w:r>
      <w:r>
        <w:rPr>
          <w:rFonts w:ascii="宋体" w:hAnsi="宋体" w:cs="宋体" w:eastAsia="宋体" w:hint="default"/>
          <w:spacing w:val="-5"/>
          <w:sz w:val="18"/>
          <w:szCs w:val="18"/>
        </w:rPr>
        <w:t>超过上述标准的，有关稳定股价措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施在当年度不再继续实施。但如下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一年度继续出现需启动稳定股价 </w:t>
      </w:r>
      <w:r>
        <w:rPr>
          <w:rFonts w:ascii="宋体" w:hAnsi="宋体" w:cs="宋体" w:eastAsia="宋体" w:hint="default"/>
          <w:spacing w:val="-5"/>
          <w:sz w:val="18"/>
          <w:szCs w:val="18"/>
        </w:rPr>
        <w:t>措施的情形时，其将继续按照上述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原则执行稳定股价预案。回购后公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司的股权分布应当符合上市条件， </w:t>
      </w:r>
      <w:r>
        <w:rPr>
          <w:rFonts w:ascii="宋体" w:hAnsi="宋体" w:cs="宋体" w:eastAsia="宋体" w:hint="default"/>
          <w:spacing w:val="-5"/>
          <w:sz w:val="18"/>
          <w:szCs w:val="18"/>
        </w:rPr>
        <w:t>回购行为及信息披露、回购后的股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6"/>
          <w:sz w:val="18"/>
          <w:szCs w:val="18"/>
        </w:rPr>
        <w:t>份处置应当符合《公司法》、《证券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法》及其他相关法律、行政法规的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规定。（二）公司控股股东增持公</w:t>
      </w:r>
      <w:r>
        <w:rPr>
          <w:rFonts w:ascii="宋体" w:hAnsi="宋体" w:cs="宋体" w:eastAsia="宋体" w:hint="default"/>
          <w:sz w:val="18"/>
          <w:szCs w:val="18"/>
        </w:rPr>
        <w:t> </w:t>
      </w:r>
      <w:r>
        <w:rPr>
          <w:rFonts w:ascii="宋体" w:hAnsi="宋体" w:cs="宋体" w:eastAsia="宋体" w:hint="default"/>
          <w:spacing w:val="-5"/>
          <w:sz w:val="18"/>
          <w:szCs w:val="18"/>
        </w:rPr>
        <w:t>司股票的具体安排。本公司控股股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东国科控股将自股价稳定方案公 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个自然日内增持（增 持方式包括但不限于集中竞价和 </w:t>
      </w:r>
      <w:r>
        <w:rPr>
          <w:rFonts w:ascii="宋体" w:hAnsi="宋体" w:cs="宋体" w:eastAsia="宋体" w:hint="default"/>
          <w:spacing w:val="-5"/>
          <w:sz w:val="18"/>
          <w:szCs w:val="18"/>
        </w:rPr>
        <w:t>大宗交易等证券监管机构、自律机</w:t>
      </w:r>
    </w:p>
    <w:p>
      <w:pPr>
        <w:spacing w:after="0" w:line="316" w:lineRule="auto"/>
        <w:jc w:val="left"/>
        <w:rPr>
          <w:rFonts w:ascii="宋体" w:hAnsi="宋体" w:cs="宋体" w:eastAsia="宋体" w:hint="default"/>
          <w:sz w:val="18"/>
          <w:szCs w:val="18"/>
        </w:rPr>
        <w:sectPr>
          <w:pgSz w:w="16840" w:h="11910" w:orient="landscape"/>
          <w:pgMar w:header="867" w:footer="979" w:top="1060" w:bottom="1160" w:left="1300" w:right="680"/>
        </w:sectPr>
      </w:pPr>
    </w:p>
    <w:p>
      <w:pPr>
        <w:spacing w:line="316" w:lineRule="auto" w:before="87"/>
        <w:ind w:left="5838" w:right="6300" w:firstLine="0"/>
        <w:jc w:val="left"/>
        <w:rPr>
          <w:rFonts w:ascii="宋体" w:hAnsi="宋体" w:cs="宋体" w:eastAsia="宋体" w:hint="default"/>
          <w:sz w:val="18"/>
          <w:szCs w:val="18"/>
        </w:rPr>
      </w:pPr>
      <w:r>
        <w:rPr/>
        <w:pict>
          <v:group style="position:absolute;margin-left:70.139999pt;margin-top:55.260006pt;width:732.25pt;height:470.8pt;mso-position-horizontal-relative:page;mso-position-vertical-relative:page;z-index:-904120" coordorigin="1403,1105" coordsize="14645,9416">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2827;height:9362" coordorigin="1445,1144" coordsize="2827,9362">
              <v:shape style="position:absolute;left:1445;top:1144;width:2827;height:9362" coordorigin="1445,1144" coordsize="2827,9362" path="m1445,10505l4271,10505,4271,1144,1445,1144,1445,10505xe" filled="true" fillcolor="#d2d2d2" stroked="false">
                <v:path arrowok="t"/>
                <v:fill type="solid"/>
              </v:shape>
            </v:group>
            <v:group style="position:absolute;left:9810;top:1144;width:1265;height:9362" coordorigin="9810,1144" coordsize="1265,9362">
              <v:shape style="position:absolute;left:9810;top:1144;width:1265;height:9362" coordorigin="9810,1144" coordsize="1265,9362" path="m9810,10505l11074,10505,11074,1144,9810,1144,9810,10505xe" filled="true" fillcolor="#ffffff" stroked="false">
                <v:path arrowok="t"/>
                <v:fill type="solid"/>
              </v:shape>
            </v:group>
            <v:group style="position:absolute;left:1445;top:1139;width:2827;height:2" coordorigin="1445,1139" coordsize="2827,2">
              <v:shape style="position:absolute;left:1445;top:1139;width:2827;height:2" coordorigin="1445,1139" coordsize="2827,0" path="m1445,1139l4271,1139e" filled="false" stroked="true" strokeweight=".48pt" strokecolor="#000000">
                <v:path arrowok="t"/>
              </v:shape>
            </v:group>
            <v:group style="position:absolute;left:4281;top:1139;width:1408;height:2" coordorigin="4281,1139" coordsize="1408,2">
              <v:shape style="position:absolute;left:4281;top:1139;width:1408;height:2" coordorigin="4281,1139" coordsize="1408,0" path="m4281,1139l5688,1139e" filled="false" stroked="true" strokeweight=".48pt" strokecolor="#000000">
                <v:path arrowok="t"/>
              </v:shape>
            </v:group>
            <v:group style="position:absolute;left:5698;top:1139;width:1408;height:2" coordorigin="5698,1139" coordsize="1408,2">
              <v:shape style="position:absolute;left:5698;top:1139;width:1408;height:2" coordorigin="5698,1139" coordsize="1408,0" path="m5698,1139l7106,1139e" filled="false" stroked="true" strokeweight=".48pt" strokecolor="#000000">
                <v:path arrowok="t"/>
              </v:shape>
            </v:group>
            <v:group style="position:absolute;left:7115;top:1139;width:2685;height:2" coordorigin="7115,1139" coordsize="2685,2">
              <v:shape style="position:absolute;left:7115;top:1139;width:2685;height:2" coordorigin="7115,1139" coordsize="2685,0" path="m7115,1139l9800,1139e" filled="false" stroked="true" strokeweight=".48pt" strokecolor="#000000">
                <v:path arrowok="t"/>
              </v:shape>
            </v:group>
            <v:group style="position:absolute;left:9810;top:1139;width:1266;height:2" coordorigin="9810,1139" coordsize="1266,2">
              <v:shape style="position:absolute;left:9810;top:1139;width:1266;height:2" coordorigin="9810,1139" coordsize="1266,0" path="m9810,1139l11076,1139e" filled="false" stroked="true" strokeweight=".48pt" strokecolor="#000000">
                <v:path arrowok="t"/>
              </v:shape>
            </v:group>
            <v:group style="position:absolute;left:11085;top:1139;width:1266;height:2" coordorigin="11085,1139" coordsize="1266,2">
              <v:shape style="position:absolute;left:11085;top:1139;width:1266;height:2" coordorigin="11085,1139" coordsize="1266,0" path="m11085,1139l12351,1139e" filled="false" stroked="true" strokeweight=".48pt" strokecolor="#000000">
                <v:path arrowok="t"/>
              </v:shape>
            </v:group>
            <v:group style="position:absolute;left:12361;top:1139;width:3678;height:2" coordorigin="12361,1139" coordsize="3678,2">
              <v:shape style="position:absolute;left:12361;top:1139;width:3678;height:2" coordorigin="12361,1139" coordsize="3678,0" path="m12361,1139l16038,1139e" filled="false" stroked="true" strokeweight=".48pt" strokecolor="#000000">
                <v:path arrowok="t"/>
              </v:shape>
            </v:group>
            <v:group style="position:absolute;left:1440;top:1134;width:2;height:9382" coordorigin="1440,1134" coordsize="2,9382">
              <v:shape style="position:absolute;left:1440;top:1134;width:2;height:9382" coordorigin="1440,1134" coordsize="0,9382" path="m1440,1134l1440,10516e" filled="false" stroked="true" strokeweight=".48pt" strokecolor="#000000">
                <v:path arrowok="t"/>
              </v:shape>
            </v:group>
            <v:group style="position:absolute;left:1445;top:10511;width:2827;height:2" coordorigin="1445,10511" coordsize="2827,2">
              <v:shape style="position:absolute;left:1445;top:10511;width:2827;height:2" coordorigin="1445,10511" coordsize="2827,0" path="m1445,10511l4271,10511e" filled="false" stroked="true" strokeweight=".47998pt" strokecolor="#000000">
                <v:path arrowok="t"/>
              </v:shape>
            </v:group>
            <v:group style="position:absolute;left:4276;top:1134;width:2;height:9382" coordorigin="4276,1134" coordsize="2,9382">
              <v:shape style="position:absolute;left:4276;top:1134;width:2;height:9382" coordorigin="4276,1134" coordsize="0,9382" path="m4276,1134l4276,10516e" filled="false" stroked="true" strokeweight=".48pt" strokecolor="#000000">
                <v:path arrowok="t"/>
              </v:shape>
            </v:group>
            <v:group style="position:absolute;left:4281;top:10511;width:1408;height:2" coordorigin="4281,10511" coordsize="1408,2">
              <v:shape style="position:absolute;left:4281;top:10511;width:1408;height:2" coordorigin="4281,10511" coordsize="1408,0" path="m4281,10511l5688,10511e" filled="false" stroked="true" strokeweight=".47998pt" strokecolor="#000000">
                <v:path arrowok="t"/>
              </v:shape>
            </v:group>
            <v:group style="position:absolute;left:5693;top:1134;width:2;height:9382" coordorigin="5693,1134" coordsize="2,9382">
              <v:shape style="position:absolute;left:5693;top:1134;width:2;height:9382" coordorigin="5693,1134" coordsize="0,9382" path="m5693,1134l5693,10516e" filled="false" stroked="true" strokeweight=".48001pt" strokecolor="#000000">
                <v:path arrowok="t"/>
              </v:shape>
            </v:group>
            <v:group style="position:absolute;left:5698;top:10511;width:1408;height:2" coordorigin="5698,10511" coordsize="1408,2">
              <v:shape style="position:absolute;left:5698;top:10511;width:1408;height:2" coordorigin="5698,10511" coordsize="1408,0" path="m5698,10511l7106,10511e" filled="false" stroked="true" strokeweight=".47998pt" strokecolor="#000000">
                <v:path arrowok="t"/>
              </v:shape>
            </v:group>
            <v:group style="position:absolute;left:7110;top:1134;width:2;height:9382" coordorigin="7110,1134" coordsize="2,9382">
              <v:shape style="position:absolute;left:7110;top:1134;width:2;height:9382" coordorigin="7110,1134" coordsize="0,9382" path="m7110,1134l7110,10516e" filled="false" stroked="true" strokeweight=".47998pt" strokecolor="#000000">
                <v:path arrowok="t"/>
              </v:shape>
            </v:group>
            <v:group style="position:absolute;left:7115;top:10511;width:2685;height:2" coordorigin="7115,10511" coordsize="2685,2">
              <v:shape style="position:absolute;left:7115;top:10511;width:2685;height:2" coordorigin="7115,10511" coordsize="2685,0" path="m7115,10511l9800,10511e" filled="false" stroked="true" strokeweight=".47998pt" strokecolor="#000000">
                <v:path arrowok="t"/>
              </v:shape>
            </v:group>
            <v:group style="position:absolute;left:9805;top:1134;width:2;height:9382" coordorigin="9805,1134" coordsize="2,9382">
              <v:shape style="position:absolute;left:9805;top:1134;width:2;height:9382" coordorigin="9805,1134" coordsize="0,9382" path="m9805,1134l9805,10516e" filled="false" stroked="true" strokeweight=".47998pt" strokecolor="#000000">
                <v:path arrowok="t"/>
              </v:shape>
            </v:group>
            <v:group style="position:absolute;left:9810;top:10511;width:1266;height:2" coordorigin="9810,10511" coordsize="1266,2">
              <v:shape style="position:absolute;left:9810;top:10511;width:1266;height:2" coordorigin="9810,10511" coordsize="1266,0" path="m9810,10511l11076,10511e" filled="false" stroked="true" strokeweight=".47998pt" strokecolor="#000000">
                <v:path arrowok="t"/>
              </v:shape>
            </v:group>
            <v:group style="position:absolute;left:11080;top:1134;width:2;height:9382" coordorigin="11080,1134" coordsize="2,9382">
              <v:shape style="position:absolute;left:11080;top:1134;width:2;height:9382" coordorigin="11080,1134" coordsize="0,9382" path="m11080,1134l11080,10516e" filled="false" stroked="true" strokeweight=".48004pt" strokecolor="#000000">
                <v:path arrowok="t"/>
              </v:shape>
            </v:group>
            <v:group style="position:absolute;left:11085;top:10511;width:1266;height:2" coordorigin="11085,10511" coordsize="1266,2">
              <v:shape style="position:absolute;left:11085;top:10511;width:1266;height:2" coordorigin="11085,10511" coordsize="1266,0" path="m11085,10511l12351,10511e" filled="false" stroked="true" strokeweight=".47998pt" strokecolor="#000000">
                <v:path arrowok="t"/>
              </v:shape>
            </v:group>
            <v:group style="position:absolute;left:12356;top:1134;width:2;height:9382" coordorigin="12356,1134" coordsize="2,9382">
              <v:shape style="position:absolute;left:12356;top:1134;width:2;height:9382" coordorigin="12356,1134" coordsize="0,9382" path="m12356,1134l12356,10516e" filled="false" stroked="true" strokeweight=".47998pt" strokecolor="#000000">
                <v:path arrowok="t"/>
              </v:shape>
            </v:group>
            <v:group style="position:absolute;left:12361;top:10511;width:3678;height:2" coordorigin="12361,10511" coordsize="3678,2">
              <v:shape style="position:absolute;left:12361;top:10511;width:3678;height:2" coordorigin="12361,10511" coordsize="3678,0" path="m12361,10511l16038,10511e" filled="false" stroked="true" strokeweight=".47998pt" strokecolor="#000000">
                <v:path arrowok="t"/>
              </v:shape>
            </v:group>
            <v:group style="position:absolute;left:16043;top:1134;width:2;height:9382" coordorigin="16043,1134" coordsize="2,9382">
              <v:shape style="position:absolute;left:16043;top:1134;width:2;height:9382" coordorigin="16043,1134" coordsize="0,9382" path="m16043,1134l16043,10516e" filled="false" stroked="true" strokeweight=".48004pt" strokecolor="#000000">
                <v:path arrowok="t"/>
              </v:shape>
            </v:group>
            <w10:wrap type="none"/>
          </v:group>
        </w:pict>
      </w:r>
      <w:r>
        <w:rPr>
          <w:rFonts w:ascii="宋体" w:hAnsi="宋体" w:cs="宋体" w:eastAsia="宋体" w:hint="default"/>
          <w:sz w:val="18"/>
          <w:szCs w:val="18"/>
        </w:rPr>
        <w:t>构及深圳交易所等有权部门允许 </w:t>
      </w:r>
      <w:r>
        <w:rPr>
          <w:rFonts w:ascii="宋体" w:hAnsi="宋体" w:cs="宋体" w:eastAsia="宋体" w:hint="default"/>
          <w:spacing w:val="-5"/>
          <w:sz w:val="18"/>
          <w:szCs w:val="18"/>
        </w:rPr>
        <w:t>的方式）公司社会公众股份，增持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价格不高于公司最近一期经审计 </w:t>
      </w:r>
      <w:r>
        <w:rPr>
          <w:rFonts w:ascii="宋体" w:hAnsi="宋体" w:cs="宋体" w:eastAsia="宋体" w:hint="default"/>
          <w:spacing w:val="-5"/>
          <w:sz w:val="18"/>
          <w:szCs w:val="18"/>
        </w:rPr>
        <w:t>的每股净资产，控股股东增持股份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除应符合相关法律法规之要求之 外，还应符合下列各项：</w:t>
      </w:r>
      <w:r>
        <w:rPr>
          <w:rFonts w:ascii="Times New Roman" w:hAnsi="Times New Roman" w:cs="Times New Roman" w:eastAsia="Times New Roman" w:hint="default"/>
          <w:sz w:val="18"/>
          <w:szCs w:val="18"/>
        </w:rPr>
        <w:t>1</w:t>
      </w:r>
      <w:r>
        <w:rPr>
          <w:rFonts w:ascii="宋体" w:hAnsi="宋体" w:cs="宋体" w:eastAsia="宋体" w:hint="default"/>
          <w:sz w:val="18"/>
          <w:szCs w:val="18"/>
        </w:rPr>
        <w:t>、单一 年度用于股份增持的资金为不少 于其最近一次从发行人获得现金 分红的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、单一年度用于稳 定股价的增持资金不超过其最近 一次从发行人获得现金分红的 </w:t>
      </w: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。超过上述标准的，有关稳定 股价措施在当年度不再继续实施。 如公司在上述需启动股价稳定措 施的条件触发后启动了股价稳定 </w:t>
      </w:r>
      <w:r>
        <w:rPr>
          <w:rFonts w:ascii="宋体" w:hAnsi="宋体" w:cs="宋体" w:eastAsia="宋体" w:hint="default"/>
          <w:spacing w:val="-5"/>
          <w:sz w:val="18"/>
          <w:szCs w:val="18"/>
        </w:rPr>
        <w:t>措施，控股股东可选择与公司同时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启动股价稳定措施或在公司措施 </w:t>
      </w:r>
      <w:r>
        <w:rPr>
          <w:rFonts w:ascii="宋体" w:hAnsi="宋体" w:cs="宋体" w:eastAsia="宋体" w:hint="default"/>
          <w:spacing w:val="-5"/>
          <w:sz w:val="18"/>
          <w:szCs w:val="18"/>
        </w:rPr>
        <w:t>实施完毕（以公司公告的实施完毕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日为准）后其股票收盘价仍低于最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近一期经审计的每股净资产时再 </w:t>
      </w:r>
      <w:r>
        <w:rPr>
          <w:rFonts w:ascii="宋体" w:hAnsi="宋体" w:cs="宋体" w:eastAsia="宋体" w:hint="default"/>
          <w:spacing w:val="-5"/>
          <w:sz w:val="18"/>
          <w:szCs w:val="18"/>
        </w:rPr>
        <w:t>行启动上述措施。如公司实施股价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稳定措施后其股票收盘价已不再 符合需启动股价稳定措施条件的， 控股股东可不再继续实施上述股 </w:t>
      </w:r>
      <w:r>
        <w:rPr>
          <w:rFonts w:ascii="宋体" w:hAnsi="宋体" w:cs="宋体" w:eastAsia="宋体" w:hint="default"/>
          <w:spacing w:val="-5"/>
          <w:sz w:val="18"/>
          <w:szCs w:val="18"/>
        </w:rPr>
        <w:t>价稳定措施。控股股东增持后公司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的股权分布应当符合上市条件，增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持股份行为及信息披露应当符合</w:t>
      </w:r>
    </w:p>
    <w:p>
      <w:pPr>
        <w:spacing w:line="316" w:lineRule="auto" w:before="19"/>
        <w:ind w:left="5838" w:right="6380" w:firstLine="0"/>
        <w:jc w:val="both"/>
        <w:rPr>
          <w:rFonts w:ascii="宋体" w:hAnsi="宋体" w:cs="宋体" w:eastAsia="宋体" w:hint="default"/>
          <w:sz w:val="18"/>
          <w:szCs w:val="18"/>
        </w:rPr>
      </w:pPr>
      <w:r>
        <w:rPr>
          <w:rFonts w:ascii="宋体" w:hAnsi="宋体" w:cs="宋体" w:eastAsia="宋体" w:hint="default"/>
          <w:spacing w:val="-16"/>
          <w:sz w:val="18"/>
          <w:szCs w:val="18"/>
        </w:rPr>
        <w:t>《公司法》、《证券法》及其他相关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法律、行政法规的规定。（三）公</w:t>
      </w:r>
      <w:r>
        <w:rPr>
          <w:rFonts w:ascii="宋体" w:hAnsi="宋体" w:cs="宋体" w:eastAsia="宋体" w:hint="default"/>
          <w:sz w:val="18"/>
          <w:szCs w:val="18"/>
        </w:rPr>
        <w:t> </w:t>
      </w:r>
      <w:r>
        <w:rPr>
          <w:rFonts w:ascii="宋体" w:hAnsi="宋体" w:cs="宋体" w:eastAsia="宋体" w:hint="default"/>
          <w:spacing w:val="-5"/>
          <w:sz w:val="18"/>
          <w:szCs w:val="18"/>
        </w:rPr>
        <w:t>司董事、高级管理人员增持公司股</w:t>
      </w:r>
    </w:p>
    <w:p>
      <w:pPr>
        <w:spacing w:after="0" w:line="316" w:lineRule="auto"/>
        <w:jc w:val="both"/>
        <w:rPr>
          <w:rFonts w:ascii="宋体" w:hAnsi="宋体" w:cs="宋体" w:eastAsia="宋体" w:hint="default"/>
          <w:sz w:val="18"/>
          <w:szCs w:val="18"/>
        </w:rPr>
        <w:sectPr>
          <w:pgSz w:w="16840" w:h="11910" w:orient="landscape"/>
          <w:pgMar w:header="867" w:footer="979" w:top="1060" w:bottom="1160" w:left="1300" w:right="680"/>
        </w:sectPr>
      </w:pPr>
    </w:p>
    <w:p>
      <w:pPr>
        <w:spacing w:line="312" w:lineRule="auto" w:before="87"/>
        <w:ind w:left="5838" w:right="6300" w:firstLine="0"/>
        <w:jc w:val="left"/>
        <w:rPr>
          <w:rFonts w:ascii="宋体" w:hAnsi="宋体" w:cs="宋体" w:eastAsia="宋体" w:hint="default"/>
          <w:sz w:val="18"/>
          <w:szCs w:val="18"/>
        </w:rPr>
      </w:pPr>
      <w:r>
        <w:rPr/>
        <w:pict>
          <v:shape style="position:absolute;margin-left:448.299988pt;margin-top:57.180008pt;width:105.45pt;height:468.1pt;mso-position-horizontal-relative:page;mso-position-vertical-relative:page;z-index:-904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管理人员，</w:t>
                  </w:r>
                </w:p>
              </w:txbxContent>
            </v:textbox>
            <w10:wrap type="none"/>
          </v:shape>
        </w:pict>
      </w:r>
      <w:r>
        <w:rPr/>
        <w:pict>
          <v:group style="position:absolute;margin-left:70.139999pt;margin-top:55.260006pt;width:732.25pt;height:470.8pt;mso-position-horizontal-relative:page;mso-position-vertical-relative:page;z-index:-904072" coordorigin="1403,1105" coordsize="14645,9416">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2827;height:9362" coordorigin="1445,1144" coordsize="2827,9362">
              <v:shape style="position:absolute;left:1445;top:1144;width:2827;height:9362" coordorigin="1445,1144" coordsize="2827,9362" path="m1445,10505l4271,10505,4271,1144,1445,1144,1445,10505xe" filled="true" fillcolor="#d2d2d2" stroked="false">
                <v:path arrowok="t"/>
                <v:fill type="solid"/>
              </v:shape>
            </v:group>
            <v:group style="position:absolute;left:9810;top:1144;width:1265;height:9362" coordorigin="9810,1144" coordsize="1265,9362">
              <v:shape style="position:absolute;left:9810;top:1144;width:1265;height:9362" coordorigin="9810,1144" coordsize="1265,9362" path="m9810,10505l11074,10505,11074,1144,9810,1144,9810,10505xe" filled="true" fillcolor="#ffffff" stroked="false">
                <v:path arrowok="t"/>
                <v:fill type="solid"/>
              </v:shape>
            </v:group>
            <v:group style="position:absolute;left:1445;top:1139;width:2827;height:2" coordorigin="1445,1139" coordsize="2827,2">
              <v:shape style="position:absolute;left:1445;top:1139;width:2827;height:2" coordorigin="1445,1139" coordsize="2827,0" path="m1445,1139l4271,1139e" filled="false" stroked="true" strokeweight=".48pt" strokecolor="#000000">
                <v:path arrowok="t"/>
              </v:shape>
            </v:group>
            <v:group style="position:absolute;left:4281;top:1139;width:1408;height:2" coordorigin="4281,1139" coordsize="1408,2">
              <v:shape style="position:absolute;left:4281;top:1139;width:1408;height:2" coordorigin="4281,1139" coordsize="1408,0" path="m4281,1139l5688,1139e" filled="false" stroked="true" strokeweight=".48pt" strokecolor="#000000">
                <v:path arrowok="t"/>
              </v:shape>
            </v:group>
            <v:group style="position:absolute;left:5698;top:1139;width:1408;height:2" coordorigin="5698,1139" coordsize="1408,2">
              <v:shape style="position:absolute;left:5698;top:1139;width:1408;height:2" coordorigin="5698,1139" coordsize="1408,0" path="m5698,1139l7106,1139e" filled="false" stroked="true" strokeweight=".48pt" strokecolor="#000000">
                <v:path arrowok="t"/>
              </v:shape>
            </v:group>
            <v:group style="position:absolute;left:7115;top:1139;width:2685;height:2" coordorigin="7115,1139" coordsize="2685,2">
              <v:shape style="position:absolute;left:7115;top:1139;width:2685;height:2" coordorigin="7115,1139" coordsize="2685,0" path="m7115,1139l9800,1139e" filled="false" stroked="true" strokeweight=".48pt" strokecolor="#000000">
                <v:path arrowok="t"/>
              </v:shape>
            </v:group>
            <v:group style="position:absolute;left:9810;top:1139;width:1266;height:2" coordorigin="9810,1139" coordsize="1266,2">
              <v:shape style="position:absolute;left:9810;top:1139;width:1266;height:2" coordorigin="9810,1139" coordsize="1266,0" path="m9810,1139l11076,1139e" filled="false" stroked="true" strokeweight=".48pt" strokecolor="#000000">
                <v:path arrowok="t"/>
              </v:shape>
            </v:group>
            <v:group style="position:absolute;left:11085;top:1139;width:1266;height:2" coordorigin="11085,1139" coordsize="1266,2">
              <v:shape style="position:absolute;left:11085;top:1139;width:1266;height:2" coordorigin="11085,1139" coordsize="1266,0" path="m11085,1139l12351,1139e" filled="false" stroked="true" strokeweight=".48pt" strokecolor="#000000">
                <v:path arrowok="t"/>
              </v:shape>
            </v:group>
            <v:group style="position:absolute;left:12361;top:1139;width:3678;height:2" coordorigin="12361,1139" coordsize="3678,2">
              <v:shape style="position:absolute;left:12361;top:1139;width:3678;height:2" coordorigin="12361,1139" coordsize="3678,0" path="m12361,1139l16038,1139e" filled="false" stroked="true" strokeweight=".48pt" strokecolor="#000000">
                <v:path arrowok="t"/>
              </v:shape>
            </v:group>
            <v:group style="position:absolute;left:1440;top:1134;width:2;height:9382" coordorigin="1440,1134" coordsize="2,9382">
              <v:shape style="position:absolute;left:1440;top:1134;width:2;height:9382" coordorigin="1440,1134" coordsize="0,9382" path="m1440,1134l1440,10516e" filled="false" stroked="true" strokeweight=".48pt" strokecolor="#000000">
                <v:path arrowok="t"/>
              </v:shape>
            </v:group>
            <v:group style="position:absolute;left:1445;top:10511;width:2827;height:2" coordorigin="1445,10511" coordsize="2827,2">
              <v:shape style="position:absolute;left:1445;top:10511;width:2827;height:2" coordorigin="1445,10511" coordsize="2827,0" path="m1445,10511l4271,10511e" filled="false" stroked="true" strokeweight=".47998pt" strokecolor="#000000">
                <v:path arrowok="t"/>
              </v:shape>
            </v:group>
            <v:group style="position:absolute;left:4276;top:1134;width:2;height:9382" coordorigin="4276,1134" coordsize="2,9382">
              <v:shape style="position:absolute;left:4276;top:1134;width:2;height:9382" coordorigin="4276,1134" coordsize="0,9382" path="m4276,1134l4276,10516e" filled="false" stroked="true" strokeweight=".48pt" strokecolor="#000000">
                <v:path arrowok="t"/>
              </v:shape>
            </v:group>
            <v:group style="position:absolute;left:4281;top:10511;width:1408;height:2" coordorigin="4281,10511" coordsize="1408,2">
              <v:shape style="position:absolute;left:4281;top:10511;width:1408;height:2" coordorigin="4281,10511" coordsize="1408,0" path="m4281,10511l5688,10511e" filled="false" stroked="true" strokeweight=".47998pt" strokecolor="#000000">
                <v:path arrowok="t"/>
              </v:shape>
            </v:group>
            <v:group style="position:absolute;left:5693;top:1134;width:2;height:9382" coordorigin="5693,1134" coordsize="2,9382">
              <v:shape style="position:absolute;left:5693;top:1134;width:2;height:9382" coordorigin="5693,1134" coordsize="0,9382" path="m5693,1134l5693,10516e" filled="false" stroked="true" strokeweight=".48001pt" strokecolor="#000000">
                <v:path arrowok="t"/>
              </v:shape>
            </v:group>
            <v:group style="position:absolute;left:5698;top:10511;width:1408;height:2" coordorigin="5698,10511" coordsize="1408,2">
              <v:shape style="position:absolute;left:5698;top:10511;width:1408;height:2" coordorigin="5698,10511" coordsize="1408,0" path="m5698,10511l7106,10511e" filled="false" stroked="true" strokeweight=".47998pt" strokecolor="#000000">
                <v:path arrowok="t"/>
              </v:shape>
            </v:group>
            <v:group style="position:absolute;left:7110;top:1134;width:2;height:9382" coordorigin="7110,1134" coordsize="2,9382">
              <v:shape style="position:absolute;left:7110;top:1134;width:2;height:9382" coordorigin="7110,1134" coordsize="0,9382" path="m7110,1134l7110,10516e" filled="false" stroked="true" strokeweight=".47998pt" strokecolor="#000000">
                <v:path arrowok="t"/>
              </v:shape>
            </v:group>
            <v:group style="position:absolute;left:7115;top:10511;width:2685;height:2" coordorigin="7115,10511" coordsize="2685,2">
              <v:shape style="position:absolute;left:7115;top:10511;width:2685;height:2" coordorigin="7115,10511" coordsize="2685,0" path="m7115,10511l9800,10511e" filled="false" stroked="true" strokeweight=".47998pt" strokecolor="#000000">
                <v:path arrowok="t"/>
              </v:shape>
            </v:group>
            <v:group style="position:absolute;left:9805;top:1134;width:2;height:9382" coordorigin="9805,1134" coordsize="2,9382">
              <v:shape style="position:absolute;left:9805;top:1134;width:2;height:9382" coordorigin="9805,1134" coordsize="0,9382" path="m9805,1134l9805,10516e" filled="false" stroked="true" strokeweight=".47998pt" strokecolor="#000000">
                <v:path arrowok="t"/>
              </v:shape>
            </v:group>
            <v:group style="position:absolute;left:9810;top:10511;width:1266;height:2" coordorigin="9810,10511" coordsize="1266,2">
              <v:shape style="position:absolute;left:9810;top:10511;width:1266;height:2" coordorigin="9810,10511" coordsize="1266,0" path="m9810,10511l11076,10511e" filled="false" stroked="true" strokeweight=".47998pt" strokecolor="#000000">
                <v:path arrowok="t"/>
              </v:shape>
            </v:group>
            <v:group style="position:absolute;left:11080;top:1134;width:2;height:9382" coordorigin="11080,1134" coordsize="2,9382">
              <v:shape style="position:absolute;left:11080;top:1134;width:2;height:9382" coordorigin="11080,1134" coordsize="0,9382" path="m11080,1134l11080,10516e" filled="false" stroked="true" strokeweight=".48004pt" strokecolor="#000000">
                <v:path arrowok="t"/>
              </v:shape>
            </v:group>
            <v:group style="position:absolute;left:11085;top:10511;width:1266;height:2" coordorigin="11085,10511" coordsize="1266,2">
              <v:shape style="position:absolute;left:11085;top:10511;width:1266;height:2" coordorigin="11085,10511" coordsize="1266,0" path="m11085,10511l12351,10511e" filled="false" stroked="true" strokeweight=".47998pt" strokecolor="#000000">
                <v:path arrowok="t"/>
              </v:shape>
            </v:group>
            <v:group style="position:absolute;left:12356;top:1134;width:2;height:9382" coordorigin="12356,1134" coordsize="2,9382">
              <v:shape style="position:absolute;left:12356;top:1134;width:2;height:9382" coordorigin="12356,1134" coordsize="0,9382" path="m12356,1134l12356,10516e" filled="false" stroked="true" strokeweight=".47998pt" strokecolor="#000000">
                <v:path arrowok="t"/>
              </v:shape>
            </v:group>
            <v:group style="position:absolute;left:12361;top:10511;width:3678;height:2" coordorigin="12361,10511" coordsize="3678,2">
              <v:shape style="position:absolute;left:12361;top:10511;width:3678;height:2" coordorigin="12361,10511" coordsize="3678,0" path="m12361,10511l16038,10511e" filled="false" stroked="true" strokeweight=".47998pt" strokecolor="#000000">
                <v:path arrowok="t"/>
              </v:shape>
            </v:group>
            <v:group style="position:absolute;left:16043;top:1134;width:2;height:9382" coordorigin="16043,1134" coordsize="2,9382">
              <v:shape style="position:absolute;left:16043;top:1134;width:2;height:9382" coordorigin="16043,1134" coordsize="0,9382" path="m16043,1134l16043,10516e" filled="false" stroked="true" strokeweight=".48004pt" strokecolor="#000000">
                <v:path arrowok="t"/>
              </v:shape>
            </v:group>
            <w10:wrap type="none"/>
          </v:group>
        </w:pict>
      </w:r>
      <w:r>
        <w:rPr>
          <w:rFonts w:ascii="宋体" w:hAnsi="宋体" w:cs="宋体" w:eastAsia="宋体" w:hint="default"/>
          <w:sz w:val="18"/>
          <w:szCs w:val="18"/>
        </w:rPr>
        <w:t>票的具体安排。</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、控股股东增持 公司股票以及公司回购股票的措 </w:t>
      </w:r>
      <w:r>
        <w:rPr>
          <w:rFonts w:ascii="宋体" w:hAnsi="宋体" w:cs="宋体" w:eastAsia="宋体" w:hint="default"/>
          <w:spacing w:val="-5"/>
          <w:sz w:val="18"/>
          <w:szCs w:val="18"/>
        </w:rPr>
        <w:t>施实施完毕后，公司股价仍出现连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续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个交易日收盘价均低于最 </w:t>
      </w:r>
      <w:r>
        <w:rPr>
          <w:rFonts w:ascii="宋体" w:hAnsi="宋体" w:cs="宋体" w:eastAsia="宋体" w:hint="default"/>
          <w:spacing w:val="-5"/>
          <w:sz w:val="18"/>
          <w:szCs w:val="18"/>
        </w:rPr>
        <w:t>近一期经审计的每股净资产时，公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司董事（独立董事除外）和高级管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理人员将在该情形出现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 </w:t>
      </w:r>
      <w:r>
        <w:rPr>
          <w:rFonts w:ascii="宋体" w:hAnsi="宋体" w:cs="宋体" w:eastAsia="宋体" w:hint="default"/>
          <w:spacing w:val="-5"/>
          <w:sz w:val="18"/>
          <w:szCs w:val="18"/>
        </w:rPr>
        <w:t>日内，依照公司内部决策程序，拟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定增持公司股票的计划，明确增持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数量、方式和期限，并对外公告。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、公司董事（独立董事除外）及 </w:t>
      </w:r>
      <w:r>
        <w:rPr>
          <w:rFonts w:ascii="宋体" w:hAnsi="宋体" w:cs="宋体" w:eastAsia="宋体" w:hint="default"/>
          <w:spacing w:val="-5"/>
          <w:sz w:val="18"/>
          <w:szCs w:val="18"/>
        </w:rPr>
        <w:t>高级管理人员增持公司股份的，除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应符合相关法律法规、规范性文件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的要求之外，还应符合下列各项：</w:t>
      </w:r>
    </w:p>
    <w:p>
      <w:pPr>
        <w:spacing w:line="312" w:lineRule="auto" w:before="22"/>
        <w:ind w:left="5838" w:right="63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）买入公司股票的价格不高于 公司最近一期经审计的每股净资 </w:t>
      </w:r>
      <w:r>
        <w:rPr>
          <w:rFonts w:ascii="宋体" w:hAnsi="宋体" w:cs="宋体" w:eastAsia="宋体" w:hint="default"/>
          <w:spacing w:val="-5"/>
          <w:sz w:val="18"/>
          <w:szCs w:val="18"/>
        </w:rPr>
        <w:t>产，买入公司股份的方式为通过二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级市场以竞价交易方式；（</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）单一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年度用以稳定股价所动用的资金 不低于其上一会计年度从公司处 领取的税后薪酬和津贴累计额的 </w:t>
      </w:r>
      <w:r>
        <w:rPr>
          <w:rFonts w:ascii="Times New Roman" w:hAnsi="Times New Roman" w:cs="Times New Roman" w:eastAsia="Times New Roman" w:hint="default"/>
          <w:spacing w:val="-8"/>
          <w:sz w:val="18"/>
          <w:szCs w:val="18"/>
        </w:rPr>
        <w:t>20%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）单一年度用以稳定股价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所动用的资金应不超过其上一会 计年度从公司处领取的税后薪酬 和津贴累计额的 </w:t>
      </w:r>
      <w:r>
        <w:rPr>
          <w:rFonts w:ascii="Times New Roman" w:hAnsi="Times New Roman" w:cs="Times New Roman" w:eastAsia="Times New Roman" w:hint="default"/>
          <w:spacing w:val="-10"/>
          <w:sz w:val="18"/>
          <w:szCs w:val="18"/>
        </w:rPr>
        <w:t>50%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）在增</w:t>
      </w:r>
      <w:r>
        <w:rPr>
          <w:rFonts w:ascii="宋体" w:hAnsi="宋体" w:cs="宋体" w:eastAsia="宋体" w:hint="default"/>
          <w:sz w:val="18"/>
          <w:szCs w:val="18"/>
        </w:rPr>
        <w:t> 持期间及法定期限内不减持其所 持有的公司股份。超过上述标准 </w:t>
      </w:r>
      <w:r>
        <w:rPr>
          <w:rFonts w:ascii="宋体" w:hAnsi="宋体" w:cs="宋体" w:eastAsia="宋体" w:hint="default"/>
          <w:spacing w:val="-5"/>
          <w:sz w:val="18"/>
          <w:szCs w:val="18"/>
        </w:rPr>
        <w:t>的，有关稳定股价措施在当年度不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再继续实施。公司未来新聘董事</w:t>
      </w:r>
    </w:p>
    <w:p>
      <w:pPr>
        <w:spacing w:before="22"/>
        <w:ind w:left="5819" w:right="7171" w:firstLine="0"/>
        <w:jc w:val="center"/>
        <w:rPr>
          <w:rFonts w:ascii="宋体" w:hAnsi="宋体" w:cs="宋体" w:eastAsia="宋体" w:hint="default"/>
          <w:sz w:val="18"/>
          <w:szCs w:val="18"/>
        </w:rPr>
      </w:pPr>
      <w:r>
        <w:rPr>
          <w:rFonts w:ascii="宋体" w:hAnsi="宋体" w:cs="宋体" w:eastAsia="宋体" w:hint="default"/>
          <w:sz w:val="18"/>
          <w:szCs w:val="18"/>
        </w:rPr>
        <w:t>（独立董事除外</w:t>
      </w:r>
      <w:r>
        <w:rPr>
          <w:rFonts w:ascii="宋体" w:hAnsi="宋体" w:cs="宋体" w:eastAsia="宋体" w:hint="default"/>
          <w:spacing w:val="-90"/>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高级</w:t>
      </w:r>
    </w:p>
    <w:p>
      <w:pPr>
        <w:spacing w:after="0"/>
        <w:jc w:val="center"/>
        <w:rPr>
          <w:rFonts w:ascii="宋体" w:hAnsi="宋体" w:cs="宋体" w:eastAsia="宋体" w:hint="default"/>
          <w:sz w:val="18"/>
          <w:szCs w:val="18"/>
        </w:rPr>
        <w:sectPr>
          <w:pgSz w:w="16840" w:h="11910" w:orient="landscape"/>
          <w:pgMar w:header="867" w:footer="979" w:top="1060" w:bottom="1160" w:left="1300" w:right="680"/>
        </w:sectPr>
      </w:pPr>
    </w:p>
    <w:p>
      <w:pPr>
        <w:spacing w:line="314" w:lineRule="auto" w:before="87"/>
        <w:ind w:left="5838" w:right="6300" w:firstLine="0"/>
        <w:jc w:val="left"/>
        <w:rPr>
          <w:rFonts w:ascii="宋体" w:hAnsi="宋体" w:cs="宋体" w:eastAsia="宋体" w:hint="default"/>
          <w:sz w:val="18"/>
          <w:szCs w:val="18"/>
        </w:rPr>
      </w:pPr>
      <w:r>
        <w:rPr/>
        <w:pict>
          <v:group style="position:absolute;margin-left:70.139999pt;margin-top:55.260006pt;width:732.25pt;height:470.8pt;mso-position-horizontal-relative:page;mso-position-vertical-relative:page;z-index:-904048" coordorigin="1403,1105" coordsize="14645,9416">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2827;height:9362" coordorigin="1445,1144" coordsize="2827,9362">
              <v:shape style="position:absolute;left:1445;top:1144;width:2827;height:9362" coordorigin="1445,1144" coordsize="2827,9362" path="m1445,10505l4271,10505,4271,1144,1445,1144,1445,10505xe" filled="true" fillcolor="#d2d2d2" stroked="false">
                <v:path arrowok="t"/>
                <v:fill type="solid"/>
              </v:shape>
            </v:group>
            <v:group style="position:absolute;left:9810;top:1144;width:1265;height:9362" coordorigin="9810,1144" coordsize="1265,9362">
              <v:shape style="position:absolute;left:9810;top:1144;width:1265;height:9362" coordorigin="9810,1144" coordsize="1265,9362" path="m9810,10505l11074,10505,11074,1144,9810,1144,9810,10505xe" filled="true" fillcolor="#ffffff" stroked="false">
                <v:path arrowok="t"/>
                <v:fill type="solid"/>
              </v:shape>
            </v:group>
            <v:group style="position:absolute;left:1445;top:1139;width:2827;height:2" coordorigin="1445,1139" coordsize="2827,2">
              <v:shape style="position:absolute;left:1445;top:1139;width:2827;height:2" coordorigin="1445,1139" coordsize="2827,0" path="m1445,1139l4271,1139e" filled="false" stroked="true" strokeweight=".48pt" strokecolor="#000000">
                <v:path arrowok="t"/>
              </v:shape>
            </v:group>
            <v:group style="position:absolute;left:4281;top:1139;width:1408;height:2" coordorigin="4281,1139" coordsize="1408,2">
              <v:shape style="position:absolute;left:4281;top:1139;width:1408;height:2" coordorigin="4281,1139" coordsize="1408,0" path="m4281,1139l5688,1139e" filled="false" stroked="true" strokeweight=".48pt" strokecolor="#000000">
                <v:path arrowok="t"/>
              </v:shape>
            </v:group>
            <v:group style="position:absolute;left:5698;top:1139;width:1408;height:2" coordorigin="5698,1139" coordsize="1408,2">
              <v:shape style="position:absolute;left:5698;top:1139;width:1408;height:2" coordorigin="5698,1139" coordsize="1408,0" path="m5698,1139l7106,1139e" filled="false" stroked="true" strokeweight=".48pt" strokecolor="#000000">
                <v:path arrowok="t"/>
              </v:shape>
            </v:group>
            <v:group style="position:absolute;left:7115;top:1139;width:2685;height:2" coordorigin="7115,1139" coordsize="2685,2">
              <v:shape style="position:absolute;left:7115;top:1139;width:2685;height:2" coordorigin="7115,1139" coordsize="2685,0" path="m7115,1139l9800,1139e" filled="false" stroked="true" strokeweight=".48pt" strokecolor="#000000">
                <v:path arrowok="t"/>
              </v:shape>
            </v:group>
            <v:group style="position:absolute;left:9810;top:1139;width:1266;height:2" coordorigin="9810,1139" coordsize="1266,2">
              <v:shape style="position:absolute;left:9810;top:1139;width:1266;height:2" coordorigin="9810,1139" coordsize="1266,0" path="m9810,1139l11076,1139e" filled="false" stroked="true" strokeweight=".48pt" strokecolor="#000000">
                <v:path arrowok="t"/>
              </v:shape>
            </v:group>
            <v:group style="position:absolute;left:11085;top:1139;width:1266;height:2" coordorigin="11085,1139" coordsize="1266,2">
              <v:shape style="position:absolute;left:11085;top:1139;width:1266;height:2" coordorigin="11085,1139" coordsize="1266,0" path="m11085,1139l12351,1139e" filled="false" stroked="true" strokeweight=".48pt" strokecolor="#000000">
                <v:path arrowok="t"/>
              </v:shape>
            </v:group>
            <v:group style="position:absolute;left:12361;top:1139;width:3678;height:2" coordorigin="12361,1139" coordsize="3678,2">
              <v:shape style="position:absolute;left:12361;top:1139;width:3678;height:2" coordorigin="12361,1139" coordsize="3678,0" path="m12361,1139l16038,1139e" filled="false" stroked="true" strokeweight=".48pt" strokecolor="#000000">
                <v:path arrowok="t"/>
              </v:shape>
            </v:group>
            <v:group style="position:absolute;left:1440;top:1134;width:2;height:9382" coordorigin="1440,1134" coordsize="2,9382">
              <v:shape style="position:absolute;left:1440;top:1134;width:2;height:9382" coordorigin="1440,1134" coordsize="0,9382" path="m1440,1134l1440,10516e" filled="false" stroked="true" strokeweight=".48pt" strokecolor="#000000">
                <v:path arrowok="t"/>
              </v:shape>
            </v:group>
            <v:group style="position:absolute;left:1445;top:10511;width:2827;height:2" coordorigin="1445,10511" coordsize="2827,2">
              <v:shape style="position:absolute;left:1445;top:10511;width:2827;height:2" coordorigin="1445,10511" coordsize="2827,0" path="m1445,10511l4271,10511e" filled="false" stroked="true" strokeweight=".47998pt" strokecolor="#000000">
                <v:path arrowok="t"/>
              </v:shape>
            </v:group>
            <v:group style="position:absolute;left:4276;top:1134;width:2;height:9382" coordorigin="4276,1134" coordsize="2,9382">
              <v:shape style="position:absolute;left:4276;top:1134;width:2;height:9382" coordorigin="4276,1134" coordsize="0,9382" path="m4276,1134l4276,10516e" filled="false" stroked="true" strokeweight=".48pt" strokecolor="#000000">
                <v:path arrowok="t"/>
              </v:shape>
            </v:group>
            <v:group style="position:absolute;left:4281;top:10511;width:1408;height:2" coordorigin="4281,10511" coordsize="1408,2">
              <v:shape style="position:absolute;left:4281;top:10511;width:1408;height:2" coordorigin="4281,10511" coordsize="1408,0" path="m4281,10511l5688,10511e" filled="false" stroked="true" strokeweight=".47998pt" strokecolor="#000000">
                <v:path arrowok="t"/>
              </v:shape>
            </v:group>
            <v:group style="position:absolute;left:5693;top:1134;width:2;height:9382" coordorigin="5693,1134" coordsize="2,9382">
              <v:shape style="position:absolute;left:5693;top:1134;width:2;height:9382" coordorigin="5693,1134" coordsize="0,9382" path="m5693,1134l5693,10516e" filled="false" stroked="true" strokeweight=".48001pt" strokecolor="#000000">
                <v:path arrowok="t"/>
              </v:shape>
            </v:group>
            <v:group style="position:absolute;left:5698;top:10511;width:1408;height:2" coordorigin="5698,10511" coordsize="1408,2">
              <v:shape style="position:absolute;left:5698;top:10511;width:1408;height:2" coordorigin="5698,10511" coordsize="1408,0" path="m5698,10511l7106,10511e" filled="false" stroked="true" strokeweight=".47998pt" strokecolor="#000000">
                <v:path arrowok="t"/>
              </v:shape>
            </v:group>
            <v:group style="position:absolute;left:7110;top:1134;width:2;height:9382" coordorigin="7110,1134" coordsize="2,9382">
              <v:shape style="position:absolute;left:7110;top:1134;width:2;height:9382" coordorigin="7110,1134" coordsize="0,9382" path="m7110,1134l7110,10516e" filled="false" stroked="true" strokeweight=".47998pt" strokecolor="#000000">
                <v:path arrowok="t"/>
              </v:shape>
            </v:group>
            <v:group style="position:absolute;left:7115;top:10511;width:2685;height:2" coordorigin="7115,10511" coordsize="2685,2">
              <v:shape style="position:absolute;left:7115;top:10511;width:2685;height:2" coordorigin="7115,10511" coordsize="2685,0" path="m7115,10511l9800,10511e" filled="false" stroked="true" strokeweight=".47998pt" strokecolor="#000000">
                <v:path arrowok="t"/>
              </v:shape>
            </v:group>
            <v:group style="position:absolute;left:9805;top:1134;width:2;height:9382" coordorigin="9805,1134" coordsize="2,9382">
              <v:shape style="position:absolute;left:9805;top:1134;width:2;height:9382" coordorigin="9805,1134" coordsize="0,9382" path="m9805,1134l9805,10516e" filled="false" stroked="true" strokeweight=".47998pt" strokecolor="#000000">
                <v:path arrowok="t"/>
              </v:shape>
            </v:group>
            <v:group style="position:absolute;left:9810;top:10511;width:1266;height:2" coordorigin="9810,10511" coordsize="1266,2">
              <v:shape style="position:absolute;left:9810;top:10511;width:1266;height:2" coordorigin="9810,10511" coordsize="1266,0" path="m9810,10511l11076,10511e" filled="false" stroked="true" strokeweight=".47998pt" strokecolor="#000000">
                <v:path arrowok="t"/>
              </v:shape>
            </v:group>
            <v:group style="position:absolute;left:11080;top:1134;width:2;height:9382" coordorigin="11080,1134" coordsize="2,9382">
              <v:shape style="position:absolute;left:11080;top:1134;width:2;height:9382" coordorigin="11080,1134" coordsize="0,9382" path="m11080,1134l11080,10516e" filled="false" stroked="true" strokeweight=".48004pt" strokecolor="#000000">
                <v:path arrowok="t"/>
              </v:shape>
            </v:group>
            <v:group style="position:absolute;left:11085;top:10511;width:1266;height:2" coordorigin="11085,10511" coordsize="1266,2">
              <v:shape style="position:absolute;left:11085;top:10511;width:1266;height:2" coordorigin="11085,10511" coordsize="1266,0" path="m11085,10511l12351,10511e" filled="false" stroked="true" strokeweight=".47998pt" strokecolor="#000000">
                <v:path arrowok="t"/>
              </v:shape>
            </v:group>
            <v:group style="position:absolute;left:12356;top:1134;width:2;height:9382" coordorigin="12356,1134" coordsize="2,9382">
              <v:shape style="position:absolute;left:12356;top:1134;width:2;height:9382" coordorigin="12356,1134" coordsize="0,9382" path="m12356,1134l12356,10516e" filled="false" stroked="true" strokeweight=".47998pt" strokecolor="#000000">
                <v:path arrowok="t"/>
              </v:shape>
            </v:group>
            <v:group style="position:absolute;left:12361;top:10511;width:3678;height:2" coordorigin="12361,10511" coordsize="3678,2">
              <v:shape style="position:absolute;left:12361;top:10511;width:3678;height:2" coordorigin="12361,10511" coordsize="3678,0" path="m12361,10511l16038,10511e" filled="false" stroked="true" strokeweight=".47998pt" strokecolor="#000000">
                <v:path arrowok="t"/>
              </v:shape>
            </v:group>
            <v:group style="position:absolute;left:16043;top:1134;width:2;height:9382" coordorigin="16043,1134" coordsize="2,9382">
              <v:shape style="position:absolute;left:16043;top:1134;width:2;height:9382" coordorigin="16043,1134" coordsize="0,9382" path="m16043,1134l16043,10516e" filled="false" stroked="true" strokeweight=".48004pt" strokecolor="#000000">
                <v:path arrowok="t"/>
              </v:shape>
            </v:group>
            <w10:wrap type="none"/>
          </v:group>
        </w:pict>
      </w:r>
      <w:r>
        <w:rPr>
          <w:rFonts w:ascii="宋体" w:hAnsi="宋体" w:cs="宋体" w:eastAsia="宋体" w:hint="default"/>
          <w:sz w:val="18"/>
          <w:szCs w:val="18"/>
        </w:rPr>
        <w:t>应按本预案采取稳定公司股价的 </w:t>
      </w:r>
      <w:r>
        <w:rPr>
          <w:rFonts w:ascii="宋体" w:hAnsi="宋体" w:cs="宋体" w:eastAsia="宋体" w:hint="default"/>
          <w:spacing w:val="-6"/>
          <w:sz w:val="18"/>
          <w:szCs w:val="18"/>
        </w:rPr>
        <w:t>措施。（四）稳定股价方案的终止</w:t>
      </w:r>
      <w:r>
        <w:rPr>
          <w:rFonts w:ascii="宋体" w:hAnsi="宋体" w:cs="宋体" w:eastAsia="宋体" w:hint="default"/>
          <w:sz w:val="18"/>
          <w:szCs w:val="18"/>
        </w:rPr>
        <w:t> </w:t>
      </w:r>
      <w:r>
        <w:rPr>
          <w:rFonts w:ascii="宋体" w:hAnsi="宋体" w:cs="宋体" w:eastAsia="宋体" w:hint="default"/>
          <w:spacing w:val="-5"/>
          <w:sz w:val="18"/>
          <w:szCs w:val="18"/>
        </w:rPr>
        <w:t>情形。自股价稳定方案公告之日起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个自然日内，若出现以下任一 </w:t>
      </w:r>
      <w:r>
        <w:rPr>
          <w:rFonts w:ascii="宋体" w:hAnsi="宋体" w:cs="宋体" w:eastAsia="宋体" w:hint="default"/>
          <w:spacing w:val="-5"/>
          <w:sz w:val="18"/>
          <w:szCs w:val="18"/>
        </w:rPr>
        <w:t>情形，则视为本次稳定股价措施实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施完毕及承诺履行完毕，已公告的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稳定股价方案终止执行：</w:t>
      </w:r>
      <w:r>
        <w:rPr>
          <w:rFonts w:ascii="Times New Roman" w:hAnsi="Times New Roman" w:cs="Times New Roman" w:eastAsia="Times New Roman" w:hint="default"/>
          <w:sz w:val="18"/>
          <w:szCs w:val="18"/>
        </w:rPr>
        <w:t>1</w:t>
      </w:r>
      <w:r>
        <w:rPr>
          <w:rFonts w:ascii="宋体" w:hAnsi="宋体" w:cs="宋体" w:eastAsia="宋体" w:hint="default"/>
          <w:sz w:val="18"/>
          <w:szCs w:val="18"/>
        </w:rPr>
        <w:t>、公司 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 高于公司最近一期经审计的每股 净资产；</w:t>
      </w:r>
      <w:r>
        <w:rPr>
          <w:rFonts w:ascii="Times New Roman" w:hAnsi="Times New Roman" w:cs="Times New Roman" w:eastAsia="Times New Roman" w:hint="default"/>
          <w:sz w:val="18"/>
          <w:szCs w:val="18"/>
        </w:rPr>
        <w:t>2</w:t>
      </w:r>
      <w:r>
        <w:rPr>
          <w:rFonts w:ascii="宋体" w:hAnsi="宋体" w:cs="宋体" w:eastAsia="宋体" w:hint="default"/>
          <w:sz w:val="18"/>
          <w:szCs w:val="18"/>
        </w:rPr>
        <w:t>、继续回购或增持公司 股份将导致公司股权分布不符合 </w:t>
      </w:r>
      <w:r>
        <w:rPr>
          <w:rFonts w:ascii="宋体" w:hAnsi="宋体" w:cs="宋体" w:eastAsia="宋体" w:hint="default"/>
          <w:spacing w:val="-6"/>
          <w:sz w:val="18"/>
          <w:szCs w:val="18"/>
        </w:rPr>
        <w:t>上市条件。（五）未履行稳定公司</w:t>
      </w:r>
      <w:r>
        <w:rPr>
          <w:rFonts w:ascii="宋体" w:hAnsi="宋体" w:cs="宋体" w:eastAsia="宋体" w:hint="default"/>
          <w:sz w:val="18"/>
          <w:szCs w:val="18"/>
        </w:rPr>
        <w:t> 股价措施的约束措施。公司承诺： 如公司未按照本预案采取稳定股 </w:t>
      </w:r>
      <w:r>
        <w:rPr>
          <w:rFonts w:ascii="宋体" w:hAnsi="宋体" w:cs="宋体" w:eastAsia="宋体" w:hint="default"/>
          <w:spacing w:val="-5"/>
          <w:sz w:val="18"/>
          <w:szCs w:val="18"/>
        </w:rPr>
        <w:t>价的具体措施，应在公司股东大会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及中国证监会指定媒体上公开说 明未采取稳定股价措施的具体原 因并向公司股东和社会公众投资 </w:t>
      </w:r>
      <w:r>
        <w:rPr>
          <w:rFonts w:ascii="宋体" w:hAnsi="宋体" w:cs="宋体" w:eastAsia="宋体" w:hint="default"/>
          <w:spacing w:val="-5"/>
          <w:sz w:val="18"/>
          <w:szCs w:val="18"/>
        </w:rPr>
        <w:t>者道歉。控股股东承诺：如未按照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股价稳定预案采取稳定股价的具 </w:t>
      </w:r>
      <w:r>
        <w:rPr>
          <w:rFonts w:ascii="宋体" w:hAnsi="宋体" w:cs="宋体" w:eastAsia="宋体" w:hint="default"/>
          <w:spacing w:val="-5"/>
          <w:sz w:val="18"/>
          <w:szCs w:val="18"/>
        </w:rPr>
        <w:t>体措施，国科控股应在公司股东大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会及中国证监会指定媒体上公开 说明未采取上述稳定股价措施的 具体原因并向公司股东和社会公 </w:t>
      </w:r>
      <w:r>
        <w:rPr>
          <w:rFonts w:ascii="宋体" w:hAnsi="宋体" w:cs="宋体" w:eastAsia="宋体" w:hint="default"/>
          <w:spacing w:val="-5"/>
          <w:sz w:val="18"/>
          <w:szCs w:val="18"/>
        </w:rPr>
        <w:t>众投资者道歉；并在上述事项发生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之日起暂停在公司获得股东分红， 同时其拥有的公司股份暂不得转 </w:t>
      </w:r>
      <w:r>
        <w:rPr>
          <w:rFonts w:ascii="宋体" w:hAnsi="宋体" w:cs="宋体" w:eastAsia="宋体" w:hint="default"/>
          <w:spacing w:val="-5"/>
          <w:sz w:val="18"/>
          <w:szCs w:val="18"/>
        </w:rPr>
        <w:t>让，直至公司股票收盘价高于每股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净资产或其按预案的规定采取相 应的稳定股价措施并实施完毕时</w:t>
      </w:r>
    </w:p>
    <w:p>
      <w:pPr>
        <w:spacing w:after="0" w:line="314" w:lineRule="auto"/>
        <w:jc w:val="left"/>
        <w:rPr>
          <w:rFonts w:ascii="宋体" w:hAnsi="宋体" w:cs="宋体" w:eastAsia="宋体" w:hint="default"/>
          <w:sz w:val="18"/>
          <w:szCs w:val="18"/>
        </w:rPr>
        <w:sectPr>
          <w:pgSz w:w="16840" w:h="11910" w:orient="landscape"/>
          <w:pgMar w:header="867" w:footer="979" w:top="1060" w:bottom="1160" w:left="1300" w:right="680"/>
        </w:sectPr>
      </w:pPr>
    </w:p>
    <w:p>
      <w:pPr>
        <w:spacing w:line="240" w:lineRule="auto" w:before="4"/>
        <w:rPr>
          <w:rFonts w:ascii="Times New Roman" w:hAnsi="Times New Roman" w:cs="Times New Roman" w:eastAsia="Times New Roman" w:hint="default"/>
          <w:sz w:val="3"/>
          <w:szCs w:val="3"/>
        </w:rPr>
      </w:pPr>
      <w:r>
        <w:rPr/>
        <w:pict>
          <v:shape style="position:absolute;margin-left:484.286011pt;margin-top:57.180008pt;width:69.45pt;height:189.3pt;mso-position-horizontal-relative:page;mso-position-vertical-relative:page;z-index:-90402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90.480011pt;margin-top:57.180008pt;width:63.25pt;height:313.55pt;mso-position-horizontal-relative:page;mso-position-vertical-relative:page;z-index:-904000" coordorigin="9810,1144" coordsize="1265,6271">
            <v:group style="position:absolute;left:9810;top:1144;width:1265;height:3786" coordorigin="9810,1144" coordsize="1265,3786">
              <v:shape style="position:absolute;left:9810;top:1144;width:1265;height:3786" coordorigin="9810,1144" coordsize="1265,3786" path="m9810,4929l11074,4929,11074,1144,9810,1144,9810,4929xe" filled="true" fillcolor="#ffffff" stroked="false">
                <v:path arrowok="t"/>
                <v:fill type="solid"/>
              </v:shape>
            </v:group>
            <v:group style="position:absolute;left:9810;top:4939;width:1265;height:2476" coordorigin="9810,4939" coordsize="1265,2476">
              <v:shape style="position:absolute;left:9810;top:4939;width:1265;height:2476" coordorigin="9810,4939" coordsize="1265,2476" path="m9810,7414l11074,7414,11074,4939,9810,4939,9810,741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332"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vMerge w:val="restart"/>
            <w:tcBorders>
              <w:top w:val="single" w:sz="15" w:space="0" w:color="000000"/>
              <w:left w:val="single" w:sz="4" w:space="0" w:color="000000"/>
              <w:right w:val="single" w:sz="4" w:space="0" w:color="000000"/>
            </w:tcBorders>
          </w:tcPr>
          <w:p>
            <w:pPr/>
          </w:p>
        </w:tc>
        <w:tc>
          <w:tcPr>
            <w:tcW w:w="1417" w:type="dxa"/>
            <w:vMerge w:val="restart"/>
            <w:tcBorders>
              <w:top w:val="single" w:sz="15" w:space="0" w:color="000000"/>
              <w:left w:val="single" w:sz="4" w:space="0" w:color="000000"/>
              <w:right w:val="single" w:sz="4" w:space="0" w:color="000000"/>
            </w:tcBorders>
          </w:tcPr>
          <w:p>
            <w:pPr/>
          </w:p>
        </w:tc>
        <w:tc>
          <w:tcPr>
            <w:tcW w:w="26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为止。公司董事（独立董事除外）</w:t>
            </w:r>
          </w:p>
        </w:tc>
        <w:tc>
          <w:tcPr>
            <w:tcW w:w="1276"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3687" w:type="dxa"/>
            <w:vMerge w:val="restart"/>
            <w:tcBorders>
              <w:top w:val="single" w:sz="15"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高级管理人员承诺：公司董事（独</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立董事除外</w:t>
            </w:r>
            <w:r>
              <w:rPr>
                <w:rFonts w:ascii="宋体" w:hAnsi="宋体" w:cs="宋体" w:eastAsia="宋体" w:hint="default"/>
                <w:spacing w:val="-90"/>
                <w:sz w:val="18"/>
                <w:szCs w:val="18"/>
              </w:rPr>
              <w:t>）</w:t>
            </w:r>
            <w:r>
              <w:rPr>
                <w:rFonts w:ascii="宋体" w:hAnsi="宋体" w:cs="宋体" w:eastAsia="宋体" w:hint="default"/>
                <w:sz w:val="18"/>
                <w:szCs w:val="18"/>
              </w:rPr>
              <w:t>、高级管理人员未按</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照本预案采取稳定股价的具体措</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施，应在前述事项发生之日起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工作日内停止在公司领取薪酬及</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股东分红（如有</w:t>
            </w:r>
            <w:r>
              <w:rPr>
                <w:rFonts w:ascii="宋体" w:hAnsi="宋体" w:cs="宋体" w:eastAsia="宋体" w:hint="default"/>
                <w:spacing w:val="-90"/>
                <w:sz w:val="18"/>
                <w:szCs w:val="18"/>
              </w:rPr>
              <w:t>）</w:t>
            </w:r>
            <w:r>
              <w:rPr>
                <w:rFonts w:ascii="宋体" w:hAnsi="宋体" w:cs="宋体" w:eastAsia="宋体" w:hint="default"/>
                <w:sz w:val="18"/>
                <w:szCs w:val="18"/>
              </w:rPr>
              <w:t>，同时其持有的</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公司股份（如有）不得转让，直至</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公司股票收盘价高于每股净资产</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或其按上述预案内容的规定采取</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相应的股价稳定措施并实施完毕</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时为止。</w:t>
            </w: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若公司的招股说明书有虚假记载</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误导性陈述或者重大遗漏，对判断</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公司是否符合法律规定的发行条</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件构成重大、实质影响的，公司将</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依法回购首次公开发行的全部新</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股。公司将在监管部门认定的有关</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违法事实的当日进行公告，并在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承担赔偿或补偿 责任的承诺</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pacing w:val="-5"/>
                <w:sz w:val="18"/>
                <w:szCs w:val="18"/>
              </w:rPr>
              <w:t>个交易日内根据法律、法规及公司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章程的规定召开董事会并发出召 </w:t>
            </w:r>
            <w:r>
              <w:rPr>
                <w:rFonts w:ascii="宋体" w:hAnsi="宋体" w:cs="宋体" w:eastAsia="宋体" w:hint="default"/>
                <w:spacing w:val="-5"/>
                <w:sz w:val="18"/>
                <w:szCs w:val="18"/>
              </w:rPr>
              <w:t>开临时股东大会的通知，在召开临</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时股东大会并经相关主管部门批</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w:t>
            </w:r>
            <w:r>
              <w:rPr>
                <w:rFonts w:ascii="Times New Roman" w:hAnsi="Times New Roman" w:cs="Times New Roman" w:eastAsia="Times New Roman" w:hint="default"/>
                <w:sz w:val="18"/>
                <w:szCs w:val="18"/>
              </w:rPr>
              <w:t>/</w:t>
            </w:r>
            <w:r>
              <w:rPr>
                <w:rFonts w:ascii="宋体" w:hAnsi="宋体" w:cs="宋体" w:eastAsia="宋体" w:hint="default"/>
                <w:sz w:val="18"/>
                <w:szCs w:val="18"/>
              </w:rPr>
              <w:t>核准</w:t>
            </w:r>
            <w:r>
              <w:rPr>
                <w:rFonts w:ascii="Times New Roman" w:hAnsi="Times New Roman" w:cs="Times New Roman" w:eastAsia="Times New Roman" w:hint="default"/>
                <w:sz w:val="18"/>
                <w:szCs w:val="18"/>
              </w:rPr>
              <w:t>/</w:t>
            </w:r>
            <w:r>
              <w:rPr>
                <w:rFonts w:ascii="宋体" w:hAnsi="宋体" w:cs="宋体" w:eastAsia="宋体" w:hint="default"/>
                <w:sz w:val="18"/>
                <w:szCs w:val="18"/>
              </w:rPr>
              <w:t>备案后启动股份回购措</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施，公司承诺按市场价格进行回</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购，如因监管部门认定有关违法事</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实导致公司启动股份回购措施时</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公司股票已停牌，则回购价格为公</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司股票停牌前一个交易日平均交</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易价格（平均交易价格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当日成交</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9"/>
      </w:tblGrid>
      <w:tr>
        <w:trPr>
          <w:trHeight w:val="6930"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pacing w:val="-7"/>
                <w:sz w:val="18"/>
                <w:szCs w:val="18"/>
              </w:rPr>
              <w:t>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当日总成交量）。公司上市后发</w:t>
            </w:r>
            <w:r>
              <w:rPr>
                <w:rFonts w:ascii="宋体" w:hAnsi="宋体" w:cs="宋体" w:eastAsia="宋体" w:hint="default"/>
                <w:sz w:val="18"/>
                <w:szCs w:val="18"/>
              </w:rPr>
              <w:t> </w:t>
            </w:r>
            <w:r>
              <w:rPr>
                <w:rFonts w:ascii="宋体" w:hAnsi="宋体" w:cs="宋体" w:eastAsia="宋体" w:hint="default"/>
                <w:spacing w:val="-5"/>
                <w:sz w:val="18"/>
                <w:szCs w:val="18"/>
              </w:rPr>
              <w:t>生除权除息事项的，上述回购价格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及回购股份数量应做相应调整。如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公司招股说明书有虚假记载、误导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性陈述或者重大遗漏，致使投资者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在证券交易中遭受损失的，将依法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赔偿投资者损失。公司将在该等违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法事实被监管部门或有权机构认 定后，本着简化程序、积极协商、 </w:t>
            </w:r>
            <w:r>
              <w:rPr>
                <w:rFonts w:ascii="宋体" w:hAnsi="宋体" w:cs="宋体" w:eastAsia="宋体" w:hint="default"/>
                <w:spacing w:val="-5"/>
                <w:sz w:val="18"/>
                <w:szCs w:val="18"/>
              </w:rPr>
              <w:t>先行赔付、切实保障投资者特别是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中小投资者利益的原则，按照投资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者直接遭受的可测算的经济损失 </w:t>
            </w:r>
            <w:r>
              <w:rPr>
                <w:rFonts w:ascii="宋体" w:hAnsi="宋体" w:cs="宋体" w:eastAsia="宋体" w:hint="default"/>
                <w:spacing w:val="-5"/>
                <w:sz w:val="18"/>
                <w:szCs w:val="18"/>
              </w:rPr>
              <w:t>选择与投资者和解、通过第三方与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投资者调解及设立投资者赔偿基 金等方式积极赔偿投资者由此遭 </w:t>
            </w:r>
            <w:r>
              <w:rPr>
                <w:rFonts w:ascii="宋体" w:hAnsi="宋体" w:cs="宋体" w:eastAsia="宋体" w:hint="default"/>
                <w:spacing w:val="-5"/>
                <w:sz w:val="18"/>
                <w:szCs w:val="18"/>
              </w:rPr>
              <w:t>受的直接经济损失。若公司违反上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述承诺，则将在公司股东大会及中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国证监会指定媒体上公开就未履 行上述赔偿措施向股东和社会公 </w:t>
            </w:r>
            <w:r>
              <w:rPr>
                <w:rFonts w:ascii="宋体" w:hAnsi="宋体" w:cs="宋体" w:eastAsia="宋体" w:hint="default"/>
                <w:spacing w:val="-5"/>
                <w:sz w:val="18"/>
                <w:szCs w:val="18"/>
              </w:rPr>
              <w:t>众投资者道歉，并按监管部门及有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关司法机关认定的实际损失向投 资者进行赔偿。</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690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63.25pt;height:345.3pt;mso-position-horizontal-relative:char;mso-position-vertical-relative:line" coordorigin="0,0" coordsize="1265,6906">
                  <v:group style="position:absolute;left:0;top:0;width:1265;height:6906" coordorigin="0,0" coordsize="1265,6906">
                    <v:shape style="position:absolute;left:0;top:0;width:1265;height:6906" coordorigin="0,0" coordsize="1265,6906" path="m0,6906l1265,6906,1265,0,0,0,0,6906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276" w:type="dxa"/>
            <w:tcBorders>
              <w:top w:val="single" w:sz="15" w:space="0" w:color="000000"/>
              <w:left w:val="single" w:sz="4" w:space="0" w:color="000000"/>
              <w:bottom w:val="single" w:sz="4" w:space="0" w:color="000000"/>
              <w:right w:val="single" w:sz="4" w:space="0" w:color="000000"/>
            </w:tcBorders>
          </w:tcPr>
          <w:p>
            <w:pPr/>
          </w:p>
        </w:tc>
        <w:tc>
          <w:tcPr>
            <w:tcW w:w="3689" w:type="dxa"/>
            <w:tcBorders>
              <w:top w:val="single" w:sz="15" w:space="0" w:color="000000"/>
              <w:left w:val="single" w:sz="4" w:space="0" w:color="000000"/>
              <w:bottom w:val="single" w:sz="4" w:space="0" w:color="000000"/>
              <w:right w:val="single" w:sz="4" w:space="0" w:color="000000"/>
            </w:tcBorders>
          </w:tcPr>
          <w:p>
            <w:pP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国科控股承诺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22"/>
              <w:jc w:val="left"/>
              <w:rPr>
                <w:rFonts w:ascii="宋体" w:hAnsi="宋体" w:cs="宋体" w:eastAsia="宋体" w:hint="default"/>
                <w:sz w:val="18"/>
                <w:szCs w:val="18"/>
              </w:rPr>
            </w:pPr>
            <w:r>
              <w:rPr>
                <w:rFonts w:ascii="宋体" w:hAnsi="宋体" w:cs="宋体" w:eastAsia="宋体" w:hint="default"/>
                <w:sz w:val="18"/>
                <w:szCs w:val="18"/>
              </w:rPr>
              <w:t>承担赔偿或补偿 责任的承诺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公司公开募集及上市文件中如有 </w:t>
            </w:r>
            <w:r>
              <w:rPr>
                <w:rFonts w:ascii="宋体" w:hAnsi="宋体" w:cs="宋体" w:eastAsia="宋体" w:hint="default"/>
                <w:spacing w:val="-5"/>
                <w:sz w:val="18"/>
                <w:szCs w:val="18"/>
              </w:rPr>
              <w:t>虚假记载、误导性陈述或者重大遗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漏，对判断公司是否符合法律规定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的发行条件构成重大、实质影响 </w:t>
            </w:r>
            <w:r>
              <w:rPr>
                <w:rFonts w:ascii="宋体" w:hAnsi="宋体" w:cs="宋体" w:eastAsia="宋体" w:hint="default"/>
                <w:spacing w:val="-5"/>
                <w:sz w:val="18"/>
                <w:szCs w:val="18"/>
              </w:rPr>
              <w:t>的，国科控股将依法以公司股票二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级市场价格购回已转让的原限售 </w:t>
            </w:r>
            <w:r>
              <w:rPr>
                <w:rFonts w:ascii="宋体" w:hAnsi="宋体" w:cs="宋体" w:eastAsia="宋体" w:hint="default"/>
                <w:spacing w:val="-5"/>
                <w:sz w:val="18"/>
                <w:szCs w:val="18"/>
              </w:rPr>
              <w:t>股份。公司公开募集及上市文件中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如存在虚假记载、误导性陈述或者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r>
        <w:rPr/>
        <w:pict>
          <v:group style="position:absolute;margin-left:284.899994pt;margin-top:200.12001pt;width:70.4pt;height:85.85pt;mso-position-horizontal-relative:page;mso-position-vertical-relative:page;z-index:-903952" coordorigin="5698,4002" coordsize="1408,1717">
            <v:shape style="position:absolute;left:5698;top:4002;width:1408;height:1717" coordorigin="5698,4002" coordsize="1408,1717" path="m5698,5719l7106,5719,7106,4002,5698,4002,5698,5719xe" filled="true" fillcolor="#ffffff" stroked="false">
              <v:path arrowok="t"/>
              <v:fill type="solid"/>
            </v:shape>
            <w10:wrap type="none"/>
          </v:group>
        </w:pict>
      </w:r>
      <w:r>
        <w:rPr/>
        <w:pict>
          <v:group style="position:absolute;margin-left:284.899994pt;margin-top:303.52002pt;width:70.4pt;height:103.5pt;mso-position-horizontal-relative:page;mso-position-vertical-relative:page;z-index:-903928" coordorigin="5698,6070" coordsize="1408,2070">
            <v:group style="position:absolute;left:5698;top:6423;width:1408;height:1717" coordorigin="5698,6423" coordsize="1408,1717">
              <v:shape style="position:absolute;left:5698;top:6423;width:1408;height:1717" coordorigin="5698,6423" coordsize="1408,1717" path="m5698,8140l7106,8140,7106,6423,5698,6423,5698,8140xe" filled="true" fillcolor="#ffffff" stroked="false">
                <v:path arrowok="t"/>
                <v:fill type="solid"/>
              </v:shape>
            </v:group>
            <v:group style="position:absolute;left:5721;top:6070;width:1362;height:353" coordorigin="5721,6070" coordsize="1362,353">
              <v:shape style="position:absolute;left:5721;top:6070;width:1362;height:353" coordorigin="5721,6070" coordsize="1362,353" path="m5721,6423l7083,6423,7083,6070,5721,6070,5721,6423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9"/>
      </w:tblGrid>
      <w:tr>
        <w:trPr>
          <w:trHeight w:val="2873"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重大遗漏，致使投资者在证券交易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中遭受损失的，国科控股将依法赔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偿投资者损失。若国科控股违反上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述承诺，则将在公司股东大会及中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国证监会指定媒体上公开就未履 行上述赔偿措施向股东和社会公 </w:t>
            </w:r>
            <w:r>
              <w:rPr>
                <w:rFonts w:ascii="宋体" w:hAnsi="宋体" w:cs="宋体" w:eastAsia="宋体" w:hint="default"/>
                <w:spacing w:val="-5"/>
                <w:sz w:val="18"/>
                <w:szCs w:val="18"/>
              </w:rPr>
              <w:t>众投资者道歉，并按监管部门及有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关司法机关认定的实际损失向投 资者进行赔偿。</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3689" w:type="dxa"/>
            <w:tcBorders>
              <w:top w:val="single" w:sz="15" w:space="0" w:color="000000"/>
              <w:left w:val="single" w:sz="4" w:space="0" w:color="000000"/>
              <w:bottom w:val="single" w:sz="4" w:space="0" w:color="000000"/>
              <w:right w:val="single" w:sz="4" w:space="0" w:color="000000"/>
            </w:tcBorders>
          </w:tcPr>
          <w:p>
            <w:pPr/>
          </w:p>
        </w:tc>
      </w:tr>
      <w:tr>
        <w:trPr>
          <w:trHeight w:val="4147"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39"/>
              <w:jc w:val="left"/>
              <w:rPr>
                <w:rFonts w:ascii="宋体" w:hAnsi="宋体" w:cs="宋体" w:eastAsia="宋体" w:hint="default"/>
                <w:sz w:val="18"/>
                <w:szCs w:val="18"/>
              </w:rPr>
            </w:pPr>
            <w:r>
              <w:rPr>
                <w:rFonts w:ascii="宋体" w:hAnsi="宋体" w:cs="宋体" w:eastAsia="宋体" w:hint="default"/>
                <w:sz w:val="18"/>
                <w:szCs w:val="18"/>
              </w:rPr>
              <w:t>索继栓、王晓宇 </w:t>
            </w:r>
            <w:r>
              <w:rPr>
                <w:rFonts w:ascii="宋体" w:hAnsi="宋体" w:cs="宋体" w:eastAsia="宋体" w:hint="default"/>
                <w:spacing w:val="-10"/>
                <w:sz w:val="18"/>
                <w:szCs w:val="18"/>
              </w:rPr>
              <w:t>张勇、杨红梅、付</w:t>
            </w:r>
            <w:r>
              <w:rPr>
                <w:rFonts w:ascii="宋体" w:hAnsi="宋体" w:cs="宋体" w:eastAsia="宋体" w:hint="default"/>
                <w:sz w:val="18"/>
                <w:szCs w:val="18"/>
              </w:rPr>
              <w:t> </w:t>
            </w:r>
            <w:r>
              <w:rPr>
                <w:rFonts w:ascii="宋体" w:hAnsi="宋体" w:cs="宋体" w:eastAsia="宋体" w:hint="default"/>
                <w:spacing w:val="-10"/>
                <w:sz w:val="18"/>
                <w:szCs w:val="18"/>
              </w:rPr>
              <w:t>忠良、史志明、黄</w:t>
            </w:r>
            <w:r>
              <w:rPr>
                <w:rFonts w:ascii="宋体" w:hAnsi="宋体" w:cs="宋体" w:eastAsia="宋体" w:hint="default"/>
                <w:sz w:val="18"/>
                <w:szCs w:val="18"/>
              </w:rPr>
              <w:t> </w:t>
            </w:r>
            <w:r>
              <w:rPr>
                <w:rFonts w:ascii="宋体" w:hAnsi="宋体" w:cs="宋体" w:eastAsia="宋体" w:hint="default"/>
                <w:spacing w:val="-10"/>
                <w:sz w:val="18"/>
                <w:szCs w:val="18"/>
              </w:rPr>
              <w:t>泽永、赖肇庆、周</w:t>
            </w:r>
            <w:r>
              <w:rPr>
                <w:rFonts w:ascii="宋体" w:hAnsi="宋体" w:cs="宋体" w:eastAsia="宋体" w:hint="default"/>
                <w:sz w:val="18"/>
                <w:szCs w:val="18"/>
              </w:rPr>
              <w:t> </w:t>
            </w:r>
            <w:r>
              <w:rPr>
                <w:rFonts w:ascii="宋体" w:hAnsi="宋体" w:cs="宋体" w:eastAsia="宋体" w:hint="default"/>
                <w:spacing w:val="-3"/>
                <w:sz w:val="18"/>
                <w:szCs w:val="18"/>
              </w:rPr>
              <w:t>玮、王伟、傅敏、</w:t>
            </w:r>
            <w:r>
              <w:rPr>
                <w:rFonts w:ascii="宋体" w:hAnsi="宋体" w:cs="宋体" w:eastAsia="宋体" w:hint="default"/>
                <w:spacing w:val="-24"/>
                <w:sz w:val="18"/>
                <w:szCs w:val="18"/>
              </w:rPr>
              <w:t> </w:t>
            </w:r>
            <w:r>
              <w:rPr>
                <w:rFonts w:ascii="宋体" w:hAnsi="宋体" w:cs="宋体" w:eastAsia="宋体" w:hint="default"/>
                <w:sz w:val="18"/>
                <w:szCs w:val="18"/>
              </w:rPr>
              <w:t>肖帆、尹 邦明</w:t>
            </w:r>
            <w:r>
              <w:rPr>
                <w:rFonts w:ascii="宋体" w:hAnsi="宋体" w:cs="宋体" w:eastAsia="宋体" w:hint="default"/>
                <w:sz w:val="18"/>
                <w:szCs w:val="18"/>
              </w:rPr>
              <w:t> </w:t>
            </w:r>
            <w:r>
              <w:rPr>
                <w:rFonts w:ascii="宋体" w:hAnsi="宋体" w:cs="宋体" w:eastAsia="宋体" w:hint="default"/>
                <w:spacing w:val="-10"/>
                <w:sz w:val="18"/>
                <w:szCs w:val="18"/>
              </w:rPr>
              <w:t>钟勇、王晓东、刘</w:t>
            </w:r>
            <w:r>
              <w:rPr>
                <w:rFonts w:ascii="宋体" w:hAnsi="宋体" w:cs="宋体" w:eastAsia="宋体" w:hint="default"/>
                <w:sz w:val="18"/>
                <w:szCs w:val="18"/>
              </w:rPr>
              <w:t> 小兵</w:t>
            </w:r>
          </w:p>
        </w:tc>
        <w:tc>
          <w:tcPr>
            <w:tcW w:w="141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16" w:right="122"/>
              <w:jc w:val="left"/>
              <w:rPr>
                <w:rFonts w:ascii="宋体" w:hAnsi="宋体" w:cs="宋体" w:eastAsia="宋体" w:hint="default"/>
                <w:sz w:val="18"/>
                <w:szCs w:val="18"/>
              </w:rPr>
            </w:pPr>
            <w:r>
              <w:rPr>
                <w:rFonts w:ascii="宋体" w:hAnsi="宋体" w:cs="宋体" w:eastAsia="宋体" w:hint="default"/>
                <w:sz w:val="18"/>
                <w:szCs w:val="18"/>
              </w:rPr>
              <w:t>承担赔偿或补偿 责任的承诺</w:t>
            </w:r>
          </w:p>
          <w:p>
            <w:pPr>
              <w:pStyle w:val="TableParagraph"/>
              <w:spacing w:line="240" w:lineRule="auto" w:before="17"/>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公司董事、监事和高级管理人员承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诺：公司公开募集及上市文件中如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存在虚假记载、误导性陈述或者重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大遗漏，致使投资者在证券交易中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遭受损失的，公司董事、监事和高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级管理人员将依法赔偿投资者损 </w:t>
            </w:r>
            <w:r>
              <w:rPr>
                <w:rFonts w:ascii="宋体" w:hAnsi="宋体" w:cs="宋体" w:eastAsia="宋体" w:hint="default"/>
                <w:spacing w:val="-5"/>
                <w:sz w:val="18"/>
                <w:szCs w:val="18"/>
              </w:rPr>
              <w:t>失。若违反上述承诺，上述人员则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将在公司股东大会及中国证监会 指定媒体上公开就未履行上述赔 偿措施向股东和社会公众投资者 </w:t>
            </w:r>
            <w:r>
              <w:rPr>
                <w:rFonts w:ascii="宋体" w:hAnsi="宋体" w:cs="宋体" w:eastAsia="宋体" w:hint="default"/>
                <w:spacing w:val="-5"/>
                <w:sz w:val="18"/>
                <w:szCs w:val="18"/>
              </w:rPr>
              <w:t>道歉，并按监管部门及有关司法机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关认定的实际损失向投资者进行 赔偿。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1"/>
              <w:jc w:val="left"/>
              <w:rPr>
                <w:rFonts w:ascii="宋体" w:hAnsi="宋体" w:cs="宋体" w:eastAsia="宋体" w:hint="default"/>
                <w:sz w:val="18"/>
                <w:szCs w:val="18"/>
              </w:rPr>
            </w:pPr>
            <w:r>
              <w:rPr>
                <w:rFonts w:ascii="宋体" w:hAnsi="宋体" w:cs="宋体" w:eastAsia="宋体" w:hint="default"/>
                <w:sz w:val="18"/>
                <w:szCs w:val="18"/>
              </w:rPr>
              <w:t>国信证券股份有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2"/>
              <w:jc w:val="left"/>
              <w:rPr>
                <w:rFonts w:ascii="宋体" w:hAnsi="宋体" w:cs="宋体" w:eastAsia="宋体" w:hint="default"/>
                <w:sz w:val="18"/>
                <w:szCs w:val="18"/>
              </w:rPr>
            </w:pPr>
            <w:r>
              <w:rPr>
                <w:rFonts w:ascii="宋体" w:hAnsi="宋体" w:cs="宋体" w:eastAsia="宋体" w:hint="default"/>
                <w:sz w:val="18"/>
                <w:szCs w:val="18"/>
              </w:rPr>
              <w:t>承担赔偿或补偿 责任的承诺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如因本公司为发行人首次公开发 </w:t>
            </w:r>
            <w:r>
              <w:rPr>
                <w:rFonts w:ascii="宋体" w:hAnsi="宋体" w:cs="宋体" w:eastAsia="宋体" w:hint="default"/>
                <w:spacing w:val="-5"/>
                <w:sz w:val="18"/>
                <w:szCs w:val="18"/>
              </w:rPr>
              <w:t>行股票制作、出具的文件有虚假记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载、误导性陈述或者重大遗漏，给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投资者造成损失的，将先行赔偿投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资者损失。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信永中和会计师 </w:t>
            </w:r>
            <w:r>
              <w:rPr>
                <w:rFonts w:ascii="宋体" w:hAnsi="宋体" w:cs="宋体" w:eastAsia="宋体" w:hint="default"/>
                <w:spacing w:val="-10"/>
                <w:sz w:val="18"/>
                <w:szCs w:val="18"/>
              </w:rPr>
              <w:t>事务所（特殊普通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承担赔偿或补偿 责任的承诺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如因本公司为发行人首次公开发 </w:t>
            </w:r>
            <w:r>
              <w:rPr>
                <w:rFonts w:ascii="宋体" w:hAnsi="宋体" w:cs="宋体" w:eastAsia="宋体" w:hint="default"/>
                <w:spacing w:val="-5"/>
                <w:sz w:val="18"/>
                <w:szCs w:val="18"/>
              </w:rPr>
              <w:t>行股票制作、出具的文件有虚假记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2"/>
          <w:szCs w:val="2"/>
        </w:rPr>
      </w:pPr>
      <w:r>
        <w:rPr/>
        <w:pict>
          <v:shape style="position:absolute;margin-left:484.299988pt;margin-top:379.240021pt;width:69.45pt;height:155pt;mso-position-horizontal-relative:page;mso-position-vertical-relative:page;z-index:-903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84.899994pt;margin-top:189.020004pt;width:70.4pt;height:155pt;mso-position-horizontal-relative:page;mso-position-vertical-relative:page;z-index:-903880" coordorigin="5698,3780" coordsize="1408,3100">
            <v:shape style="position:absolute;left:5698;top:3780;width:1408;height:3100" coordorigin="5698,3780" coordsize="1408,3100" path="m5698,6880l7106,6880,7106,3780,5698,3780,5698,6880xe" filled="true" fillcolor="#ffffff" stroked="false">
              <v:path arrowok="t"/>
              <v:fill type="solid"/>
            </v:shape>
            <w10:wrap type="none"/>
          </v:group>
        </w:pict>
      </w:r>
      <w:r>
        <w:rPr/>
        <w:pict>
          <v:group style="position:absolute;margin-left:490.480011pt;margin-top:379.240021pt;width:63.25pt;height:155pt;mso-position-horizontal-relative:page;mso-position-vertical-relative:page;z-index:-903856" coordorigin="9810,7585" coordsize="1265,3100">
            <v:shape style="position:absolute;left:9810;top:7585;width:1265;height:3100" coordorigin="9810,7585" coordsize="1265,3100" path="m9810,10685l11074,10685,11074,7585,9810,7585,9810,1068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332"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417" w:type="dxa"/>
            <w:vMerge w:val="restart"/>
            <w:tcBorders>
              <w:top w:val="single" w:sz="15" w:space="0" w:color="000000"/>
              <w:left w:val="single" w:sz="4" w:space="0" w:color="000000"/>
              <w:right w:val="single" w:sz="4" w:space="0" w:color="000000"/>
            </w:tcBorders>
          </w:tcPr>
          <w:p>
            <w:pPr/>
          </w:p>
        </w:tc>
        <w:tc>
          <w:tcPr>
            <w:tcW w:w="26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5"/>
                <w:sz w:val="18"/>
                <w:szCs w:val="18"/>
              </w:rPr>
              <w:t>载、误导性陈述或者重大遗漏，给</w:t>
            </w:r>
          </w:p>
        </w:tc>
        <w:tc>
          <w:tcPr>
            <w:tcW w:w="1276"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3687" w:type="dxa"/>
            <w:vMerge w:val="restart"/>
            <w:tcBorders>
              <w:top w:val="single" w:sz="15"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5"/>
                <w:sz w:val="18"/>
                <w:szCs w:val="18"/>
              </w:rPr>
              <w:t>投资者造成损失的，将先行赔偿投</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如因本公司为发行人首次公开发</w:t>
            </w: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3" w:right="121"/>
              <w:jc w:val="left"/>
              <w:rPr>
                <w:rFonts w:ascii="宋体" w:hAnsi="宋体" w:cs="宋体" w:eastAsia="宋体" w:hint="default"/>
                <w:sz w:val="18"/>
                <w:szCs w:val="18"/>
              </w:rPr>
            </w:pPr>
            <w:r>
              <w:rPr>
                <w:rFonts w:ascii="宋体" w:hAnsi="宋体" w:cs="宋体" w:eastAsia="宋体" w:hint="default"/>
                <w:sz w:val="18"/>
                <w:szCs w:val="18"/>
              </w:rPr>
              <w:t>四川中一律师事 务所</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承担赔偿或补偿 责任的承诺</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both"/>
              <w:rPr>
                <w:rFonts w:ascii="宋体" w:hAnsi="宋体" w:cs="宋体" w:eastAsia="宋体" w:hint="default"/>
                <w:sz w:val="18"/>
                <w:szCs w:val="18"/>
              </w:rPr>
            </w:pPr>
            <w:r>
              <w:rPr>
                <w:rFonts w:ascii="宋体" w:hAnsi="宋体" w:cs="宋体" w:eastAsia="宋体" w:hint="default"/>
                <w:spacing w:val="-5"/>
                <w:sz w:val="18"/>
                <w:szCs w:val="18"/>
              </w:rPr>
              <w:t>行股票制作、出具的文件有虚假记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载、误导性陈述或者重大遗漏，给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投资者造成损失的，将先行赔偿投</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22"/>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9"/>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为保证公司首次公开发行股票后</w:t>
            </w: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的填补回报措施能够得到切实履</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5"/>
                <w:sz w:val="18"/>
                <w:szCs w:val="18"/>
              </w:rPr>
              <w:t>行，公司全体董事、高级管理人员</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5"/>
                <w:sz w:val="18"/>
                <w:szCs w:val="18"/>
              </w:rPr>
              <w:t>根据中国证监会的相关规定，对公</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司填补回报措施能够得到切实履</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行作出如下承诺：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、承诺不无偿</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或以不公平条件向其他单位或者</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2501"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58"/>
              <w:ind w:left="23" w:right="20"/>
              <w:jc w:val="left"/>
              <w:rPr>
                <w:rFonts w:ascii="宋体" w:hAnsi="宋体" w:cs="宋体" w:eastAsia="宋体" w:hint="default"/>
                <w:sz w:val="18"/>
                <w:szCs w:val="18"/>
              </w:rPr>
            </w:pPr>
            <w:r>
              <w:rPr>
                <w:rFonts w:ascii="宋体" w:hAnsi="宋体" w:cs="宋体" w:eastAsia="宋体" w:hint="default"/>
                <w:sz w:val="18"/>
                <w:szCs w:val="18"/>
              </w:rPr>
              <w:t>索继栓、王晓宇 </w:t>
            </w:r>
            <w:r>
              <w:rPr>
                <w:rFonts w:ascii="宋体" w:hAnsi="宋体" w:cs="宋体" w:eastAsia="宋体" w:hint="default"/>
                <w:spacing w:val="-10"/>
                <w:sz w:val="18"/>
                <w:szCs w:val="18"/>
              </w:rPr>
              <w:t>张勇、杨红梅、付</w:t>
            </w:r>
            <w:r>
              <w:rPr>
                <w:rFonts w:ascii="宋体" w:hAnsi="宋体" w:cs="宋体" w:eastAsia="宋体" w:hint="default"/>
                <w:sz w:val="18"/>
                <w:szCs w:val="18"/>
              </w:rPr>
              <w:t> </w:t>
            </w:r>
            <w:r>
              <w:rPr>
                <w:rFonts w:ascii="宋体" w:hAnsi="宋体" w:cs="宋体" w:eastAsia="宋体" w:hint="default"/>
                <w:spacing w:val="-10"/>
                <w:sz w:val="18"/>
                <w:szCs w:val="18"/>
              </w:rPr>
              <w:t>忠良、史志明、黄</w:t>
            </w:r>
            <w:r>
              <w:rPr>
                <w:rFonts w:ascii="宋体" w:hAnsi="宋体" w:cs="宋体" w:eastAsia="宋体" w:hint="default"/>
                <w:sz w:val="18"/>
                <w:szCs w:val="18"/>
              </w:rPr>
              <w:t> </w:t>
            </w:r>
            <w:r>
              <w:rPr>
                <w:rFonts w:ascii="宋体" w:hAnsi="宋体" w:cs="宋体" w:eastAsia="宋体" w:hint="default"/>
                <w:spacing w:val="-10"/>
                <w:sz w:val="18"/>
                <w:szCs w:val="18"/>
              </w:rPr>
              <w:t>泽永、赖肇庆、周</w:t>
            </w:r>
            <w:r>
              <w:rPr>
                <w:rFonts w:ascii="宋体" w:hAnsi="宋体" w:cs="宋体" w:eastAsia="宋体" w:hint="default"/>
                <w:sz w:val="18"/>
                <w:szCs w:val="18"/>
              </w:rPr>
              <w:t> </w:t>
            </w:r>
            <w:r>
              <w:rPr>
                <w:rFonts w:ascii="宋体" w:hAnsi="宋体" w:cs="宋体" w:eastAsia="宋体" w:hint="default"/>
                <w:spacing w:val="-14"/>
                <w:sz w:val="18"/>
                <w:szCs w:val="18"/>
              </w:rPr>
              <w:t>玮、尹 </w:t>
            </w:r>
            <w:r>
              <w:rPr>
                <w:rFonts w:ascii="宋体" w:hAnsi="宋体" w:cs="宋体" w:eastAsia="宋体" w:hint="default"/>
                <w:sz w:val="18"/>
                <w:szCs w:val="18"/>
              </w:rPr>
              <w:t>邦明</w:t>
            </w:r>
            <w:r>
              <w:rPr>
                <w:rFonts w:ascii="宋体" w:hAnsi="宋体" w:cs="宋体" w:eastAsia="宋体" w:hint="default"/>
                <w:spacing w:val="15"/>
                <w:sz w:val="18"/>
                <w:szCs w:val="18"/>
              </w:rPr>
              <w:t> </w:t>
            </w:r>
            <w:r>
              <w:rPr>
                <w:rFonts w:ascii="宋体" w:hAnsi="宋体" w:cs="宋体" w:eastAsia="宋体" w:hint="default"/>
                <w:spacing w:val="-40"/>
                <w:sz w:val="18"/>
                <w:szCs w:val="18"/>
              </w:rPr>
              <w:t>、钟</w:t>
            </w:r>
            <w:r>
              <w:rPr>
                <w:rFonts w:ascii="宋体" w:hAnsi="宋体" w:cs="宋体" w:eastAsia="宋体" w:hint="default"/>
                <w:spacing w:val="-40"/>
                <w:sz w:val="18"/>
                <w:szCs w:val="18"/>
              </w:rPr>
              <w:t> </w:t>
            </w:r>
            <w:r>
              <w:rPr>
                <w:rFonts w:ascii="宋体" w:hAnsi="宋体" w:cs="宋体" w:eastAsia="宋体" w:hint="default"/>
                <w:spacing w:val="-10"/>
                <w:sz w:val="18"/>
                <w:szCs w:val="18"/>
              </w:rPr>
              <w:t>勇、王晓东、刘小</w:t>
            </w:r>
            <w:r>
              <w:rPr>
                <w:rFonts w:ascii="宋体" w:hAnsi="宋体" w:cs="宋体" w:eastAsia="宋体" w:hint="default"/>
                <w:sz w:val="18"/>
                <w:szCs w:val="18"/>
              </w:rPr>
              <w:t> 兵</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22" w:right="122"/>
              <w:jc w:val="left"/>
              <w:rPr>
                <w:rFonts w:ascii="宋体" w:hAnsi="宋体" w:cs="宋体" w:eastAsia="宋体" w:hint="default"/>
                <w:sz w:val="18"/>
                <w:szCs w:val="18"/>
              </w:rPr>
            </w:pPr>
            <w:r>
              <w:rPr>
                <w:rFonts w:ascii="宋体" w:hAnsi="宋体" w:cs="宋体" w:eastAsia="宋体" w:hint="default"/>
                <w:sz w:val="18"/>
                <w:szCs w:val="18"/>
              </w:rPr>
              <w:t>填补被摊薄即期 回报的承诺</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09" w:lineRule="auto" w:before="21"/>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个人输送利益，也不采用其他方式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、承诺对董事和 高级管理人员的职务消费行为进 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、承诺不动用公司资产 </w:t>
            </w:r>
            <w:r>
              <w:rPr>
                <w:rFonts w:ascii="宋体" w:hAnsi="宋体" w:cs="宋体" w:eastAsia="宋体" w:hint="default"/>
                <w:spacing w:val="-5"/>
                <w:sz w:val="18"/>
                <w:szCs w:val="18"/>
              </w:rPr>
              <w:t>从事与其履行职责无关的投资、消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 委员会制定的薪酬制度与公司填 </w:t>
            </w:r>
            <w:r>
              <w:rPr>
                <w:rFonts w:ascii="宋体" w:hAnsi="宋体" w:cs="宋体" w:eastAsia="宋体" w:hint="default"/>
                <w:spacing w:val="-5"/>
                <w:sz w:val="18"/>
                <w:szCs w:val="18"/>
              </w:rPr>
              <w:t>补回报措施的执行情况相挂钩；</w:t>
            </w:r>
            <w:r>
              <w:rPr>
                <w:rFonts w:ascii="Times New Roman" w:hAnsi="Times New Roman" w:cs="Times New Roman" w:eastAsia="Times New Roman" w:hint="default"/>
                <w:spacing w:val="-5"/>
                <w:sz w:val="18"/>
                <w:szCs w:val="18"/>
              </w:rPr>
              <w:t>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承诺拟公布的公司股权激励的行</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权条件与公司填补回报措施的执</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行情况相挂钩。本承诺出具日后</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如监管机构作出关于填补回报措</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施及其承诺的相关规定有其他要</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5"/>
                <w:sz w:val="18"/>
                <w:szCs w:val="18"/>
              </w:rPr>
              <w:t>求的，且上述承诺不能满足监管机</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5"/>
                <w:sz w:val="18"/>
                <w:szCs w:val="18"/>
              </w:rPr>
              <w:t>构的相关要求时，本人承诺届时将</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20" w:left="1320" w:right="680"/>
        </w:sectPr>
      </w:pPr>
    </w:p>
    <w:p>
      <w:pPr>
        <w:spacing w:line="240" w:lineRule="auto" w:before="4"/>
        <w:rPr>
          <w:rFonts w:ascii="Times New Roman" w:hAnsi="Times New Roman" w:cs="Times New Roman" w:eastAsia="Times New Roman" w:hint="default"/>
          <w:sz w:val="3"/>
          <w:szCs w:val="3"/>
        </w:rPr>
      </w:pPr>
      <w:r>
        <w:rPr/>
        <w:pict>
          <v:shape style="position:absolute;margin-left:484.299988pt;margin-top:309.339996pt;width:69.45pt;height:92.6pt;mso-position-horizontal-relative:page;mso-position-vertical-relative:page;z-index:-903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90.480011pt;margin-top:309.339996pt;width:63.25pt;height:92.6pt;mso-position-horizontal-relative:page;mso-position-vertical-relative:page;z-index:-903808" coordorigin="9810,6187" coordsize="1265,1852">
            <v:shape style="position:absolute;left:9810;top:6187;width:1265;height:1852" coordorigin="9810,6187" coordsize="1265,1852" path="m9810,8038l11074,8038,11074,6187,9810,6187,9810,8038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332"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vMerge w:val="restart"/>
            <w:tcBorders>
              <w:top w:val="single" w:sz="15" w:space="0" w:color="000000"/>
              <w:left w:val="single" w:sz="4" w:space="0" w:color="000000"/>
              <w:right w:val="single" w:sz="4" w:space="0" w:color="000000"/>
            </w:tcBorders>
          </w:tcPr>
          <w:p>
            <w:pPr/>
          </w:p>
        </w:tc>
        <w:tc>
          <w:tcPr>
            <w:tcW w:w="1417" w:type="dxa"/>
            <w:vMerge w:val="restart"/>
            <w:tcBorders>
              <w:top w:val="single" w:sz="15" w:space="0" w:color="000000"/>
              <w:left w:val="single" w:sz="4" w:space="0" w:color="000000"/>
              <w:right w:val="single" w:sz="4" w:space="0" w:color="000000"/>
            </w:tcBorders>
          </w:tcPr>
          <w:p>
            <w:pPr/>
          </w:p>
        </w:tc>
        <w:tc>
          <w:tcPr>
            <w:tcW w:w="26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按照相关规定出具补充承诺。如违</w:t>
            </w:r>
          </w:p>
        </w:tc>
        <w:tc>
          <w:tcPr>
            <w:tcW w:w="1276"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3687" w:type="dxa"/>
            <w:vMerge w:val="restart"/>
            <w:tcBorders>
              <w:top w:val="single" w:sz="15"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反上述承诺，本人将遵守如下约束</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12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32"/>
                <w:sz w:val="18"/>
                <w:szCs w:val="18"/>
              </w:rPr>
              <w:t>）</w:t>
            </w:r>
            <w:r>
              <w:rPr>
                <w:rFonts w:ascii="宋体" w:hAnsi="宋体" w:cs="宋体" w:eastAsia="宋体" w:hint="default"/>
                <w:sz w:val="18"/>
                <w:szCs w:val="18"/>
              </w:rPr>
              <w:t>在监管机构指定媒体上</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公开说明未履行承诺的原因，并向</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投资者道歉</w:t>
            </w:r>
            <w:r>
              <w:rPr>
                <w:rFonts w:ascii="宋体" w:hAnsi="宋体" w:cs="宋体" w:eastAsia="宋体" w:hint="default"/>
                <w:spacing w:val="-12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2"/>
                <w:sz w:val="18"/>
                <w:szCs w:val="18"/>
              </w:rPr>
              <w:t>）</w:t>
            </w:r>
            <w:r>
              <w:rPr>
                <w:rFonts w:ascii="宋体" w:hAnsi="宋体" w:cs="宋体" w:eastAsia="宋体" w:hint="default"/>
                <w:sz w:val="18"/>
                <w:szCs w:val="18"/>
              </w:rPr>
              <w:t>如因非不可抗力</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事件引起违反承诺事项，且无法提</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供正当且合理的理由的，因此取得</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收益归发行人所有，公司有权要求</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本人于取得收益之日起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日内将违反承诺所得支付到发行</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人指定账户</w:t>
            </w:r>
            <w:r>
              <w:rPr>
                <w:rFonts w:ascii="宋体" w:hAnsi="宋体" w:cs="宋体" w:eastAsia="宋体" w:hint="default"/>
                <w:spacing w:val="-12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32"/>
                <w:sz w:val="18"/>
                <w:szCs w:val="18"/>
              </w:rPr>
              <w:t>）</w:t>
            </w:r>
            <w:r>
              <w:rPr>
                <w:rFonts w:ascii="宋体" w:hAnsi="宋体" w:cs="宋体" w:eastAsia="宋体" w:hint="default"/>
                <w:sz w:val="18"/>
                <w:szCs w:val="18"/>
              </w:rPr>
              <w:t>若因违反上述承</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诺给公司或者股东造成损失的，本</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人将依法承担补偿责任，且在本人</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履行上述相关义务之日前，公司有</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权暂时扣留本人工资、薪酬和津</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（一）本次发行后公司的利润分配</w:t>
            </w: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政策。根据公司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年第一次临</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时股东大会审议通过的上市后生</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效的《中科院成都信息技术股份有</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限公司章</w:t>
            </w:r>
            <w:r>
              <w:rPr>
                <w:rFonts w:ascii="宋体" w:hAnsi="宋体" w:cs="宋体" w:eastAsia="宋体" w:hint="default"/>
                <w:spacing w:val="-32"/>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公司发行后</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利润分配政策的 承诺</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的利润分配政策主要内容如下：</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32"/>
                <w:sz w:val="18"/>
                <w:szCs w:val="18"/>
              </w:rPr>
              <w:t> </w:t>
            </w:r>
            <w:r>
              <w:rPr>
                <w:rFonts w:ascii="宋体" w:hAnsi="宋体" w:cs="宋体" w:eastAsia="宋体" w:hint="default"/>
                <w:spacing w:val="-5"/>
                <w:sz w:val="18"/>
                <w:szCs w:val="18"/>
              </w:rPr>
              <w:t>利润分配原则。公司实行持续、稳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定的利润分配政策，公司利润分配</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应重视对投资者的合理投资回报</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并兼顾公司的可持续发展。在符合</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利润分配原则、保证公司正常经营</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和长远发展的前提下，公司应注重</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w:t>
            </w:r>
            <w:r>
              <w:rPr>
                <w:rFonts w:ascii="Times New Roman" w:hAnsi="Times New Roman" w:cs="Times New Roman" w:eastAsia="Times New Roman" w:hint="default"/>
                <w:sz w:val="18"/>
                <w:szCs w:val="18"/>
              </w:rPr>
              <w:t>2</w:t>
            </w:r>
            <w:r>
              <w:rPr>
                <w:rFonts w:ascii="宋体" w:hAnsi="宋体" w:cs="宋体" w:eastAsia="宋体" w:hint="default"/>
                <w:sz w:val="18"/>
                <w:szCs w:val="18"/>
              </w:rPr>
              <w:t>、利润分配的形式和</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比例。公司可以采取现金、股票或</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680"/>
        </w:sectPr>
      </w:pPr>
    </w:p>
    <w:p>
      <w:pPr>
        <w:spacing w:line="314" w:lineRule="auto" w:before="87"/>
        <w:ind w:left="5838" w:right="6300" w:firstLine="0"/>
        <w:jc w:val="left"/>
        <w:rPr>
          <w:rFonts w:ascii="宋体" w:hAnsi="宋体" w:cs="宋体" w:eastAsia="宋体" w:hint="default"/>
          <w:sz w:val="18"/>
          <w:szCs w:val="18"/>
        </w:rPr>
      </w:pPr>
      <w:r>
        <w:rPr/>
        <w:pict>
          <v:group style="position:absolute;margin-left:70.139999pt;margin-top:55.260006pt;width:732.25pt;height:470.8pt;mso-position-horizontal-relative:page;mso-position-vertical-relative:page;z-index:-903784" coordorigin="1403,1105" coordsize="14645,9416">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2827;height:9362" coordorigin="1445,1144" coordsize="2827,9362">
              <v:shape style="position:absolute;left:1445;top:1144;width:2827;height:9362" coordorigin="1445,1144" coordsize="2827,9362" path="m1445,10505l4271,10505,4271,1144,1445,1144,1445,10505xe" filled="true" fillcolor="#d2d2d2" stroked="false">
                <v:path arrowok="t"/>
                <v:fill type="solid"/>
              </v:shape>
            </v:group>
            <v:group style="position:absolute;left:9810;top:1144;width:1265;height:9362" coordorigin="9810,1144" coordsize="1265,9362">
              <v:shape style="position:absolute;left:9810;top:1144;width:1265;height:9362" coordorigin="9810,1144" coordsize="1265,9362" path="m9810,10505l11074,10505,11074,1144,9810,1144,9810,10505xe" filled="true" fillcolor="#ffffff" stroked="false">
                <v:path arrowok="t"/>
                <v:fill type="solid"/>
              </v:shape>
            </v:group>
            <v:group style="position:absolute;left:1445;top:1139;width:2827;height:2" coordorigin="1445,1139" coordsize="2827,2">
              <v:shape style="position:absolute;left:1445;top:1139;width:2827;height:2" coordorigin="1445,1139" coordsize="2827,0" path="m1445,1139l4271,1139e" filled="false" stroked="true" strokeweight=".48pt" strokecolor="#000000">
                <v:path arrowok="t"/>
              </v:shape>
            </v:group>
            <v:group style="position:absolute;left:4281;top:1139;width:1408;height:2" coordorigin="4281,1139" coordsize="1408,2">
              <v:shape style="position:absolute;left:4281;top:1139;width:1408;height:2" coordorigin="4281,1139" coordsize="1408,0" path="m4281,1139l5688,1139e" filled="false" stroked="true" strokeweight=".48pt" strokecolor="#000000">
                <v:path arrowok="t"/>
              </v:shape>
            </v:group>
            <v:group style="position:absolute;left:5698;top:1139;width:1408;height:2" coordorigin="5698,1139" coordsize="1408,2">
              <v:shape style="position:absolute;left:5698;top:1139;width:1408;height:2" coordorigin="5698,1139" coordsize="1408,0" path="m5698,1139l7106,1139e" filled="false" stroked="true" strokeweight=".48pt" strokecolor="#000000">
                <v:path arrowok="t"/>
              </v:shape>
            </v:group>
            <v:group style="position:absolute;left:7115;top:1139;width:2685;height:2" coordorigin="7115,1139" coordsize="2685,2">
              <v:shape style="position:absolute;left:7115;top:1139;width:2685;height:2" coordorigin="7115,1139" coordsize="2685,0" path="m7115,1139l9800,1139e" filled="false" stroked="true" strokeweight=".48pt" strokecolor="#000000">
                <v:path arrowok="t"/>
              </v:shape>
            </v:group>
            <v:group style="position:absolute;left:9810;top:1139;width:1266;height:2" coordorigin="9810,1139" coordsize="1266,2">
              <v:shape style="position:absolute;left:9810;top:1139;width:1266;height:2" coordorigin="9810,1139" coordsize="1266,0" path="m9810,1139l11076,1139e" filled="false" stroked="true" strokeweight=".48pt" strokecolor="#000000">
                <v:path arrowok="t"/>
              </v:shape>
            </v:group>
            <v:group style="position:absolute;left:11085;top:1139;width:1266;height:2" coordorigin="11085,1139" coordsize="1266,2">
              <v:shape style="position:absolute;left:11085;top:1139;width:1266;height:2" coordorigin="11085,1139" coordsize="1266,0" path="m11085,1139l12351,1139e" filled="false" stroked="true" strokeweight=".48pt" strokecolor="#000000">
                <v:path arrowok="t"/>
              </v:shape>
            </v:group>
            <v:group style="position:absolute;left:12361;top:1139;width:3678;height:2" coordorigin="12361,1139" coordsize="3678,2">
              <v:shape style="position:absolute;left:12361;top:1139;width:3678;height:2" coordorigin="12361,1139" coordsize="3678,0" path="m12361,1139l16038,1139e" filled="false" stroked="true" strokeweight=".48pt" strokecolor="#000000">
                <v:path arrowok="t"/>
              </v:shape>
            </v:group>
            <v:group style="position:absolute;left:1440;top:1134;width:2;height:9382" coordorigin="1440,1134" coordsize="2,9382">
              <v:shape style="position:absolute;left:1440;top:1134;width:2;height:9382" coordorigin="1440,1134" coordsize="0,9382" path="m1440,1134l1440,10516e" filled="false" stroked="true" strokeweight=".48pt" strokecolor="#000000">
                <v:path arrowok="t"/>
              </v:shape>
            </v:group>
            <v:group style="position:absolute;left:1445;top:10511;width:2827;height:2" coordorigin="1445,10511" coordsize="2827,2">
              <v:shape style="position:absolute;left:1445;top:10511;width:2827;height:2" coordorigin="1445,10511" coordsize="2827,0" path="m1445,10511l4271,10511e" filled="false" stroked="true" strokeweight=".47998pt" strokecolor="#000000">
                <v:path arrowok="t"/>
              </v:shape>
            </v:group>
            <v:group style="position:absolute;left:4276;top:1134;width:2;height:9382" coordorigin="4276,1134" coordsize="2,9382">
              <v:shape style="position:absolute;left:4276;top:1134;width:2;height:9382" coordorigin="4276,1134" coordsize="0,9382" path="m4276,1134l4276,10516e" filled="false" stroked="true" strokeweight=".48pt" strokecolor="#000000">
                <v:path arrowok="t"/>
              </v:shape>
            </v:group>
            <v:group style="position:absolute;left:4281;top:10511;width:1408;height:2" coordorigin="4281,10511" coordsize="1408,2">
              <v:shape style="position:absolute;left:4281;top:10511;width:1408;height:2" coordorigin="4281,10511" coordsize="1408,0" path="m4281,10511l5688,10511e" filled="false" stroked="true" strokeweight=".47998pt" strokecolor="#000000">
                <v:path arrowok="t"/>
              </v:shape>
            </v:group>
            <v:group style="position:absolute;left:5693;top:1134;width:2;height:9382" coordorigin="5693,1134" coordsize="2,9382">
              <v:shape style="position:absolute;left:5693;top:1134;width:2;height:9382" coordorigin="5693,1134" coordsize="0,9382" path="m5693,1134l5693,10516e" filled="false" stroked="true" strokeweight=".48001pt" strokecolor="#000000">
                <v:path arrowok="t"/>
              </v:shape>
            </v:group>
            <v:group style="position:absolute;left:5698;top:10511;width:1408;height:2" coordorigin="5698,10511" coordsize="1408,2">
              <v:shape style="position:absolute;left:5698;top:10511;width:1408;height:2" coordorigin="5698,10511" coordsize="1408,0" path="m5698,10511l7106,10511e" filled="false" stroked="true" strokeweight=".47998pt" strokecolor="#000000">
                <v:path arrowok="t"/>
              </v:shape>
            </v:group>
            <v:group style="position:absolute;left:7110;top:1134;width:2;height:9382" coordorigin="7110,1134" coordsize="2,9382">
              <v:shape style="position:absolute;left:7110;top:1134;width:2;height:9382" coordorigin="7110,1134" coordsize="0,9382" path="m7110,1134l7110,10516e" filled="false" stroked="true" strokeweight=".47998pt" strokecolor="#000000">
                <v:path arrowok="t"/>
              </v:shape>
            </v:group>
            <v:group style="position:absolute;left:7115;top:10511;width:2685;height:2" coordorigin="7115,10511" coordsize="2685,2">
              <v:shape style="position:absolute;left:7115;top:10511;width:2685;height:2" coordorigin="7115,10511" coordsize="2685,0" path="m7115,10511l9800,10511e" filled="false" stroked="true" strokeweight=".47998pt" strokecolor="#000000">
                <v:path arrowok="t"/>
              </v:shape>
            </v:group>
            <v:group style="position:absolute;left:9805;top:1134;width:2;height:9382" coordorigin="9805,1134" coordsize="2,9382">
              <v:shape style="position:absolute;left:9805;top:1134;width:2;height:9382" coordorigin="9805,1134" coordsize="0,9382" path="m9805,1134l9805,10516e" filled="false" stroked="true" strokeweight=".47998pt" strokecolor="#000000">
                <v:path arrowok="t"/>
              </v:shape>
            </v:group>
            <v:group style="position:absolute;left:9810;top:10511;width:1266;height:2" coordorigin="9810,10511" coordsize="1266,2">
              <v:shape style="position:absolute;left:9810;top:10511;width:1266;height:2" coordorigin="9810,10511" coordsize="1266,0" path="m9810,10511l11076,10511e" filled="false" stroked="true" strokeweight=".47998pt" strokecolor="#000000">
                <v:path arrowok="t"/>
              </v:shape>
            </v:group>
            <v:group style="position:absolute;left:11080;top:1134;width:2;height:9382" coordorigin="11080,1134" coordsize="2,9382">
              <v:shape style="position:absolute;left:11080;top:1134;width:2;height:9382" coordorigin="11080,1134" coordsize="0,9382" path="m11080,1134l11080,10516e" filled="false" stroked="true" strokeweight=".48004pt" strokecolor="#000000">
                <v:path arrowok="t"/>
              </v:shape>
            </v:group>
            <v:group style="position:absolute;left:11085;top:10511;width:1266;height:2" coordorigin="11085,10511" coordsize="1266,2">
              <v:shape style="position:absolute;left:11085;top:10511;width:1266;height:2" coordorigin="11085,10511" coordsize="1266,0" path="m11085,10511l12351,10511e" filled="false" stroked="true" strokeweight=".47998pt" strokecolor="#000000">
                <v:path arrowok="t"/>
              </v:shape>
            </v:group>
            <v:group style="position:absolute;left:12356;top:1134;width:2;height:9382" coordorigin="12356,1134" coordsize="2,9382">
              <v:shape style="position:absolute;left:12356;top:1134;width:2;height:9382" coordorigin="12356,1134" coordsize="0,9382" path="m12356,1134l12356,10516e" filled="false" stroked="true" strokeweight=".47998pt" strokecolor="#000000">
                <v:path arrowok="t"/>
              </v:shape>
            </v:group>
            <v:group style="position:absolute;left:12361;top:10511;width:3678;height:2" coordorigin="12361,10511" coordsize="3678,2">
              <v:shape style="position:absolute;left:12361;top:10511;width:3678;height:2" coordorigin="12361,10511" coordsize="3678,0" path="m12361,10511l16038,10511e" filled="false" stroked="true" strokeweight=".47998pt" strokecolor="#000000">
                <v:path arrowok="t"/>
              </v:shape>
            </v:group>
            <v:group style="position:absolute;left:16043;top:1134;width:2;height:9382" coordorigin="16043,1134" coordsize="2,9382">
              <v:shape style="position:absolute;left:16043;top:1134;width:2;height:9382" coordorigin="16043,1134" coordsize="0,9382" path="m16043,1134l16043,10516e" filled="false" stroked="true" strokeweight=".48004pt" strokecolor="#000000">
                <v:path arrowok="t"/>
              </v:shape>
            </v:group>
            <w10:wrap type="none"/>
          </v:group>
        </w:pict>
      </w:r>
      <w:r>
        <w:rPr>
          <w:rFonts w:ascii="宋体" w:hAnsi="宋体" w:cs="宋体" w:eastAsia="宋体" w:hint="default"/>
          <w:sz w:val="18"/>
          <w:szCs w:val="18"/>
        </w:rPr>
        <w:t>现金和股票二者相结合的方式分 </w:t>
      </w:r>
      <w:r>
        <w:rPr>
          <w:rFonts w:ascii="宋体" w:hAnsi="宋体" w:cs="宋体" w:eastAsia="宋体" w:hint="default"/>
          <w:spacing w:val="-5"/>
          <w:sz w:val="18"/>
          <w:szCs w:val="18"/>
        </w:rPr>
        <w:t>配股利，并优先考虑采取现金方式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分配利润；在满足购买原材料的资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金需求、可预期的重大投资计划或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重大现金支出的前提下，公司董事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会可以根据公司当期经营利润和 </w:t>
      </w:r>
      <w:r>
        <w:rPr>
          <w:rFonts w:ascii="宋体" w:hAnsi="宋体" w:cs="宋体" w:eastAsia="宋体" w:hint="default"/>
          <w:spacing w:val="-5"/>
          <w:sz w:val="18"/>
          <w:szCs w:val="18"/>
        </w:rPr>
        <w:t>现金流情况进行中期分红，具体方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案须经公司董事会审议后提交公 司股东大会批准。</w:t>
      </w:r>
      <w:r>
        <w:rPr>
          <w:rFonts w:ascii="Times New Roman" w:hAnsi="Times New Roman" w:cs="Times New Roman" w:eastAsia="Times New Roman" w:hint="default"/>
          <w:sz w:val="18"/>
          <w:szCs w:val="18"/>
        </w:rPr>
        <w:t>3</w:t>
      </w:r>
      <w:r>
        <w:rPr>
          <w:rFonts w:ascii="宋体" w:hAnsi="宋体" w:cs="宋体" w:eastAsia="宋体" w:hint="default"/>
          <w:sz w:val="18"/>
          <w:szCs w:val="18"/>
        </w:rPr>
        <w:t>、利润分配的 </w:t>
      </w:r>
      <w:r>
        <w:rPr>
          <w:rFonts w:ascii="宋体" w:hAnsi="宋体" w:cs="宋体" w:eastAsia="宋体" w:hint="default"/>
          <w:spacing w:val="-10"/>
          <w:sz w:val="18"/>
          <w:szCs w:val="18"/>
        </w:rPr>
        <w:t>具体政策。（</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）利润分配的具体条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件。公司在当年度盈利且累计未分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配利润为正的情况下，采取现金方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式分红；采用股票股利进行利润分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配的，应当具有公司成长性、每股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净资产的摊薄等真实合理因素；公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司董事会应当综合考虑所处行业 特点、发展阶段、自身经营模式、 盈利水平以及是否有重大资金支 </w:t>
      </w:r>
      <w:r>
        <w:rPr>
          <w:rFonts w:ascii="宋体" w:hAnsi="宋体" w:cs="宋体" w:eastAsia="宋体" w:hint="default"/>
          <w:spacing w:val="-5"/>
          <w:sz w:val="18"/>
          <w:szCs w:val="18"/>
        </w:rPr>
        <w:t>出安排等因素，区分下列情形，并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按照本章程规定的程序，提出差异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化的现金分红政策：①公司发展阶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段属成熟期且无重大资金支出安 </w:t>
      </w:r>
      <w:r>
        <w:rPr>
          <w:rFonts w:ascii="宋体" w:hAnsi="宋体" w:cs="宋体" w:eastAsia="宋体" w:hint="default"/>
          <w:spacing w:val="-5"/>
          <w:sz w:val="18"/>
          <w:szCs w:val="18"/>
        </w:rPr>
        <w:t>排的，进行利润分配时，现金分红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在本次利润分配中所占比例最低 应达到 </w:t>
      </w:r>
      <w:r>
        <w:rPr>
          <w:rFonts w:ascii="Times New Roman" w:hAnsi="Times New Roman" w:cs="Times New Roman" w:eastAsia="Times New Roman" w:hint="default"/>
          <w:sz w:val="18"/>
          <w:szCs w:val="18"/>
        </w:rPr>
        <w:t>80%</w:t>
      </w:r>
      <w:r>
        <w:rPr>
          <w:rFonts w:ascii="宋体" w:hAnsi="宋体" w:cs="宋体" w:eastAsia="宋体" w:hint="default"/>
          <w:sz w:val="18"/>
          <w:szCs w:val="18"/>
        </w:rPr>
        <w:t>；②公司发展阶段属 成熟期且有重大资金支出安排的， </w:t>
      </w:r>
      <w:r>
        <w:rPr>
          <w:rFonts w:ascii="宋体" w:hAnsi="宋体" w:cs="宋体" w:eastAsia="宋体" w:hint="default"/>
          <w:spacing w:val="-5"/>
          <w:sz w:val="18"/>
          <w:szCs w:val="18"/>
        </w:rPr>
        <w:t>进行利润分配时，现金分红在本次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利润分配中所占比例最低应达到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；③公司发展阶段属成长期且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有重大资金支出安排的，进行利润</w:t>
      </w:r>
    </w:p>
    <w:p>
      <w:pPr>
        <w:spacing w:after="0" w:line="314" w:lineRule="auto"/>
        <w:jc w:val="left"/>
        <w:rPr>
          <w:rFonts w:ascii="宋体" w:hAnsi="宋体" w:cs="宋体" w:eastAsia="宋体" w:hint="default"/>
          <w:sz w:val="18"/>
          <w:szCs w:val="18"/>
        </w:rPr>
        <w:sectPr>
          <w:pgSz w:w="16840" w:h="11910" w:orient="landscape"/>
          <w:pgMar w:header="867" w:footer="979" w:top="1060" w:bottom="1160" w:left="1300" w:right="680"/>
        </w:sectPr>
      </w:pPr>
    </w:p>
    <w:p>
      <w:pPr>
        <w:spacing w:line="240" w:lineRule="auto" w:before="4"/>
        <w:rPr>
          <w:rFonts w:ascii="Times New Roman" w:hAnsi="Times New Roman" w:cs="Times New Roman" w:eastAsia="Times New Roman" w:hint="default"/>
          <w:sz w:val="3"/>
          <w:szCs w:val="3"/>
        </w:rPr>
      </w:pPr>
      <w:r>
        <w:rPr/>
        <w:pict>
          <v:shape style="position:absolute;margin-left:475.296997pt;margin-top:57.180008pt;width:78.45pt;height:468.1pt;mso-position-horizontal-relative:page;mso-position-vertical-relative:page;z-index:-903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件。</w:t>
                  </w:r>
                </w:p>
              </w:txbxContent>
            </v:textbox>
            <w10:wrap type="none"/>
          </v:shape>
        </w:pict>
      </w:r>
      <w:r>
        <w:rPr/>
        <w:pict>
          <v:group style="position:absolute;margin-left:490.480011pt;margin-top:57.180008pt;width:63.25pt;height:468.1pt;mso-position-horizontal-relative:page;mso-position-vertical-relative:page;z-index:-903736" coordorigin="9810,1144" coordsize="1265,9362">
            <v:shape style="position:absolute;left:9810;top:1144;width:1265;height:9362" coordorigin="9810,1144" coordsize="1265,9362" path="m9810,10505l11074,10505,11074,1144,9810,1144,9810,1050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332"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vMerge w:val="restart"/>
            <w:tcBorders>
              <w:top w:val="single" w:sz="15" w:space="0" w:color="000000"/>
              <w:left w:val="single" w:sz="4" w:space="0" w:color="000000"/>
              <w:right w:val="single" w:sz="4" w:space="0" w:color="000000"/>
            </w:tcBorders>
          </w:tcPr>
          <w:p>
            <w:pPr/>
          </w:p>
        </w:tc>
        <w:tc>
          <w:tcPr>
            <w:tcW w:w="1417" w:type="dxa"/>
            <w:vMerge w:val="restart"/>
            <w:tcBorders>
              <w:top w:val="single" w:sz="15" w:space="0" w:color="000000"/>
              <w:left w:val="single" w:sz="4" w:space="0" w:color="000000"/>
              <w:right w:val="single" w:sz="4" w:space="0" w:color="000000"/>
            </w:tcBorders>
          </w:tcPr>
          <w:p>
            <w:pPr/>
          </w:p>
        </w:tc>
        <w:tc>
          <w:tcPr>
            <w:tcW w:w="26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分配时，现金分红在本次利润分配</w:t>
            </w:r>
          </w:p>
        </w:tc>
        <w:tc>
          <w:tcPr>
            <w:tcW w:w="1276" w:type="dxa"/>
            <w:tcBorders>
              <w:top w:val="single" w:sz="15" w:space="0" w:color="000000"/>
              <w:left w:val="single" w:sz="4" w:space="0" w:color="000000"/>
              <w:bottom w:val="nil" w:sz="6" w:space="0" w:color="auto"/>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3687" w:type="dxa"/>
            <w:vMerge w:val="restart"/>
            <w:tcBorders>
              <w:top w:val="single" w:sz="15"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中所占比例最低应达到 </w:t>
            </w:r>
            <w:r>
              <w:rPr>
                <w:rFonts w:ascii="Times New Roman" w:hAnsi="Times New Roman" w:cs="Times New Roman" w:eastAsia="Times New Roman" w:hint="default"/>
                <w:sz w:val="18"/>
                <w:szCs w:val="18"/>
              </w:rPr>
              <w:t>20%</w:t>
            </w:r>
            <w:r>
              <w:rPr>
                <w:rFonts w:ascii="宋体" w:hAnsi="宋体" w:cs="宋体" w:eastAsia="宋体" w:hint="default"/>
                <w:sz w:val="18"/>
                <w:szCs w:val="18"/>
              </w:rPr>
              <w:t>。公</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司发展阶段不易区分但有重大资</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金支出安排的，按照前项规定处</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理。重大资金支出指公司未来十二</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个月内拟对外投资、收购资产或者</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购买设备等的累计支出达到或者</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超过公司最近一期经审计净资产</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的百分之三十</w:t>
            </w:r>
            <w:r>
              <w:rPr>
                <w:rFonts w:ascii="宋体" w:hAnsi="宋体" w:cs="宋体" w:eastAsia="宋体" w:hint="default"/>
                <w:spacing w:val="-16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现金分红条</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公司采取现金方式分配股利，应符</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合下述条件：①公司该年度或半年</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度实现的可分配利润（即公司弥补</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亏损、提取公积金后所余的税后利</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润）为正值、且现金流充裕，实施</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现金分红不会影响公司后续持续</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经营；②公司累计可供分配利润为</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正值；③审计机构对公司的该年度</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财务报告出具标准无保留意见的</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审计报告；④公司无重大投资计划</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或重大现金支出等事项发生（募集</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资金项目除外</w:t>
            </w:r>
            <w:r>
              <w:rPr>
                <w:rFonts w:ascii="宋体" w:hAnsi="宋体" w:cs="宋体" w:eastAsia="宋体" w:hint="default"/>
                <w:spacing w:val="-90"/>
                <w:sz w:val="18"/>
                <w:szCs w:val="18"/>
              </w:rPr>
              <w:t>）</w:t>
            </w:r>
            <w:r>
              <w:rPr>
                <w:rFonts w:ascii="宋体" w:hAnsi="宋体" w:cs="宋体" w:eastAsia="宋体" w:hint="default"/>
                <w:sz w:val="18"/>
                <w:szCs w:val="18"/>
              </w:rPr>
              <w:t>。重大投资计划或</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重大现金支出是指公司未来十二</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个月内拟对外投资、收购资产或者</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购买设备的累计支出达到或者超</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过公司最近一期经审计总资产的</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。上述现金分红条件中的第①</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③项系公司实施现金分红条件的</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必备条件；经股东大会审议通过</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上述现金分红条件中的第④项应</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不影响公司实施现金分红</w:t>
            </w:r>
            <w:r>
              <w:rPr>
                <w:rFonts w:ascii="宋体" w:hAnsi="宋体" w:cs="宋体" w:eastAsia="宋体" w:hint="default"/>
                <w:spacing w:val="-12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32"/>
                <w:sz w:val="18"/>
                <w:szCs w:val="18"/>
              </w:rPr>
              <w:t>）现</w:t>
            </w:r>
            <w:r>
              <w:rPr>
                <w:rFonts w:ascii="宋体" w:hAnsi="宋体" w:cs="宋体" w:eastAsia="宋体" w:hint="default"/>
                <w:sz w:val="18"/>
                <w:szCs w:val="18"/>
              </w:rPr>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r>
        <w:rPr/>
        <w:pict>
          <v:shape style="position:absolute;margin-left:385.28299pt;margin-top:57.180008pt;width:168.45pt;height:468.1pt;mso-position-horizontal-relative:page;mso-position-vertical-relative:page;z-index:-903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利润分配政策的决策程序：</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332"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vMerge w:val="restart"/>
            <w:tcBorders>
              <w:top w:val="single" w:sz="15" w:space="0" w:color="000000"/>
              <w:left w:val="single" w:sz="4" w:space="0" w:color="000000"/>
              <w:right w:val="single" w:sz="4" w:space="0" w:color="000000"/>
            </w:tcBorders>
          </w:tcPr>
          <w:p>
            <w:pPr/>
          </w:p>
        </w:tc>
        <w:tc>
          <w:tcPr>
            <w:tcW w:w="1417" w:type="dxa"/>
            <w:vMerge w:val="restart"/>
            <w:tcBorders>
              <w:top w:val="single" w:sz="15" w:space="0" w:color="000000"/>
              <w:left w:val="single" w:sz="4" w:space="0" w:color="000000"/>
              <w:right w:val="single" w:sz="4" w:space="0" w:color="000000"/>
            </w:tcBorders>
          </w:tcPr>
          <w:p>
            <w:pPr/>
          </w:p>
        </w:tc>
        <w:tc>
          <w:tcPr>
            <w:tcW w:w="26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金分红比例。原则上公司按年度将</w:t>
            </w:r>
          </w:p>
        </w:tc>
        <w:tc>
          <w:tcPr>
            <w:tcW w:w="1276" w:type="dxa"/>
            <w:vMerge w:val="restart"/>
            <w:tcBorders>
              <w:top w:val="single" w:sz="15" w:space="0" w:color="000000"/>
              <w:left w:val="single" w:sz="4" w:space="0" w:color="000000"/>
              <w:right w:val="single" w:sz="4" w:space="0" w:color="000000"/>
            </w:tcBorders>
          </w:tcPr>
          <w:p>
            <w:pPr>
              <w:pStyle w:val="TableParagraph"/>
              <w:spacing w:line="9361"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63.25pt;height:468.1pt;mso-position-horizontal-relative:char;mso-position-vertical-relative:line" coordorigin="0,0" coordsize="1265,9362">
                  <v:group style="position:absolute;left:0;top:0;width:1265;height:9362" coordorigin="0,0" coordsize="1265,9362">
                    <v:shape style="position:absolute;left:0;top:0;width:1265;height:9362" coordorigin="0,0" coordsize="1265,9362" path="m0,9361l1265,9361,1265,0,0,0,0,9361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3687" w:type="dxa"/>
            <w:vMerge w:val="restart"/>
            <w:tcBorders>
              <w:top w:val="single" w:sz="15"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可供分配的利润进行分配，必要时</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公司也可以进行中期利润分配。公</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司最近三年以现金方式累计分配</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的利润不少于最近三年实现的年</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均可分配利润的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。每年具体</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的现金分红比例预案由董事会根</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据前述规定、结合公司经营状况及</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相关规定拟定，并提交股东大会表</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1"/>
                <w:sz w:val="18"/>
                <w:szCs w:val="18"/>
              </w:rPr>
              <w:t>）</w:t>
            </w:r>
            <w:r>
              <w:rPr>
                <w:rFonts w:ascii="宋体" w:hAnsi="宋体" w:cs="宋体" w:eastAsia="宋体" w:hint="default"/>
                <w:sz w:val="18"/>
                <w:szCs w:val="18"/>
              </w:rPr>
              <w:t>利润分配的期间间隔</w:t>
            </w:r>
            <w:r>
              <w:rPr>
                <w:rFonts w:ascii="宋体" w:hAnsi="宋体" w:cs="宋体" w:eastAsia="宋体" w:hint="default"/>
                <w:spacing w:val="-21"/>
                <w:sz w:val="18"/>
                <w:szCs w:val="18"/>
              </w:rPr>
              <w:t>。</w:t>
            </w:r>
            <w:r>
              <w:rPr>
                <w:rFonts w:ascii="宋体" w:hAnsi="宋体" w:cs="宋体" w:eastAsia="宋体" w:hint="default"/>
                <w:sz w:val="18"/>
                <w:szCs w:val="18"/>
              </w:rPr>
              <w:t>每</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年度进行一次分红，在有条件的情</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况下，公司可以进行中期现金分</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红。</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公司董事会拟定现金股利分配方</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案的，由股东大会经普通决议的方</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式表决通过；公司董事会拟定股票</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股利分配方案的，由股东大会经特</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别决议的方式表决通过。公司监事</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会应当对董事会编制的股利分配</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方案进行审核并提出书面审核意</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见。公司在制定现金分红具体方案</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时，董事会应当认真研究和论证公</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司现金分红的时机、条件和最低比</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例、调整的条件及其决策程序要求</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等事宜，独立董事应当发表明确意</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见。独立董事可以征集中小股东的</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意见，提出分红提案，并直接提交</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董事会审议。股东大会对现金分红</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具体方案进行审议前，公司应当通</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过多种渠道主动与股东特别是中</w:t>
            </w: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680"/>
        </w:sectPr>
      </w:pPr>
    </w:p>
    <w:p>
      <w:pPr>
        <w:spacing w:line="316" w:lineRule="auto" w:before="87"/>
        <w:ind w:left="5838" w:right="6300" w:firstLine="0"/>
        <w:jc w:val="left"/>
        <w:rPr>
          <w:rFonts w:ascii="宋体" w:hAnsi="宋体" w:cs="宋体" w:eastAsia="宋体" w:hint="default"/>
          <w:sz w:val="18"/>
          <w:szCs w:val="18"/>
        </w:rPr>
      </w:pPr>
      <w:r>
        <w:rPr/>
        <w:pict>
          <v:group style="position:absolute;margin-left:70.139999pt;margin-top:55.260006pt;width:732.25pt;height:470.8pt;mso-position-horizontal-relative:page;mso-position-vertical-relative:page;z-index:-903664" coordorigin="1403,1105" coordsize="14645,9416">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2827;height:9362" coordorigin="1445,1144" coordsize="2827,9362">
              <v:shape style="position:absolute;left:1445;top:1144;width:2827;height:9362" coordorigin="1445,1144" coordsize="2827,9362" path="m1445,10505l4271,10505,4271,1144,1445,1144,1445,10505xe" filled="true" fillcolor="#d2d2d2" stroked="false">
                <v:path arrowok="t"/>
                <v:fill type="solid"/>
              </v:shape>
            </v:group>
            <v:group style="position:absolute;left:9810;top:1144;width:1265;height:9362" coordorigin="9810,1144" coordsize="1265,9362">
              <v:shape style="position:absolute;left:9810;top:1144;width:1265;height:9362" coordorigin="9810,1144" coordsize="1265,9362" path="m9810,10505l11074,10505,11074,1144,9810,1144,9810,10505xe" filled="true" fillcolor="#ffffff" stroked="false">
                <v:path arrowok="t"/>
                <v:fill type="solid"/>
              </v:shape>
            </v:group>
            <v:group style="position:absolute;left:1445;top:1139;width:2827;height:2" coordorigin="1445,1139" coordsize="2827,2">
              <v:shape style="position:absolute;left:1445;top:1139;width:2827;height:2" coordorigin="1445,1139" coordsize="2827,0" path="m1445,1139l4271,1139e" filled="false" stroked="true" strokeweight=".48pt" strokecolor="#000000">
                <v:path arrowok="t"/>
              </v:shape>
            </v:group>
            <v:group style="position:absolute;left:4281;top:1139;width:1408;height:2" coordorigin="4281,1139" coordsize="1408,2">
              <v:shape style="position:absolute;left:4281;top:1139;width:1408;height:2" coordorigin="4281,1139" coordsize="1408,0" path="m4281,1139l5688,1139e" filled="false" stroked="true" strokeweight=".48pt" strokecolor="#000000">
                <v:path arrowok="t"/>
              </v:shape>
            </v:group>
            <v:group style="position:absolute;left:5698;top:1139;width:1408;height:2" coordorigin="5698,1139" coordsize="1408,2">
              <v:shape style="position:absolute;left:5698;top:1139;width:1408;height:2" coordorigin="5698,1139" coordsize="1408,0" path="m5698,1139l7106,1139e" filled="false" stroked="true" strokeweight=".48pt" strokecolor="#000000">
                <v:path arrowok="t"/>
              </v:shape>
            </v:group>
            <v:group style="position:absolute;left:7115;top:1139;width:2685;height:2" coordorigin="7115,1139" coordsize="2685,2">
              <v:shape style="position:absolute;left:7115;top:1139;width:2685;height:2" coordorigin="7115,1139" coordsize="2685,0" path="m7115,1139l9800,1139e" filled="false" stroked="true" strokeweight=".48pt" strokecolor="#000000">
                <v:path arrowok="t"/>
              </v:shape>
            </v:group>
            <v:group style="position:absolute;left:9810;top:1139;width:1266;height:2" coordorigin="9810,1139" coordsize="1266,2">
              <v:shape style="position:absolute;left:9810;top:1139;width:1266;height:2" coordorigin="9810,1139" coordsize="1266,0" path="m9810,1139l11076,1139e" filled="false" stroked="true" strokeweight=".48pt" strokecolor="#000000">
                <v:path arrowok="t"/>
              </v:shape>
            </v:group>
            <v:group style="position:absolute;left:11085;top:1139;width:1266;height:2" coordorigin="11085,1139" coordsize="1266,2">
              <v:shape style="position:absolute;left:11085;top:1139;width:1266;height:2" coordorigin="11085,1139" coordsize="1266,0" path="m11085,1139l12351,1139e" filled="false" stroked="true" strokeweight=".48pt" strokecolor="#000000">
                <v:path arrowok="t"/>
              </v:shape>
            </v:group>
            <v:group style="position:absolute;left:12361;top:1139;width:3678;height:2" coordorigin="12361,1139" coordsize="3678,2">
              <v:shape style="position:absolute;left:12361;top:1139;width:3678;height:2" coordorigin="12361,1139" coordsize="3678,0" path="m12361,1139l16038,1139e" filled="false" stroked="true" strokeweight=".48pt" strokecolor="#000000">
                <v:path arrowok="t"/>
              </v:shape>
            </v:group>
            <v:group style="position:absolute;left:1440;top:1134;width:2;height:9382" coordorigin="1440,1134" coordsize="2,9382">
              <v:shape style="position:absolute;left:1440;top:1134;width:2;height:9382" coordorigin="1440,1134" coordsize="0,9382" path="m1440,1134l1440,10516e" filled="false" stroked="true" strokeweight=".48pt" strokecolor="#000000">
                <v:path arrowok="t"/>
              </v:shape>
            </v:group>
            <v:group style="position:absolute;left:1445;top:10511;width:2827;height:2" coordorigin="1445,10511" coordsize="2827,2">
              <v:shape style="position:absolute;left:1445;top:10511;width:2827;height:2" coordorigin="1445,10511" coordsize="2827,0" path="m1445,10511l4271,10511e" filled="false" stroked="true" strokeweight=".47998pt" strokecolor="#000000">
                <v:path arrowok="t"/>
              </v:shape>
            </v:group>
            <v:group style="position:absolute;left:4276;top:1134;width:2;height:9382" coordorigin="4276,1134" coordsize="2,9382">
              <v:shape style="position:absolute;left:4276;top:1134;width:2;height:9382" coordorigin="4276,1134" coordsize="0,9382" path="m4276,1134l4276,10516e" filled="false" stroked="true" strokeweight=".48pt" strokecolor="#000000">
                <v:path arrowok="t"/>
              </v:shape>
            </v:group>
            <v:group style="position:absolute;left:4281;top:10511;width:1408;height:2" coordorigin="4281,10511" coordsize="1408,2">
              <v:shape style="position:absolute;left:4281;top:10511;width:1408;height:2" coordorigin="4281,10511" coordsize="1408,0" path="m4281,10511l5688,10511e" filled="false" stroked="true" strokeweight=".47998pt" strokecolor="#000000">
                <v:path arrowok="t"/>
              </v:shape>
            </v:group>
            <v:group style="position:absolute;left:5693;top:1134;width:2;height:9382" coordorigin="5693,1134" coordsize="2,9382">
              <v:shape style="position:absolute;left:5693;top:1134;width:2;height:9382" coordorigin="5693,1134" coordsize="0,9382" path="m5693,1134l5693,10516e" filled="false" stroked="true" strokeweight=".48001pt" strokecolor="#000000">
                <v:path arrowok="t"/>
              </v:shape>
            </v:group>
            <v:group style="position:absolute;left:5698;top:10511;width:1408;height:2" coordorigin="5698,10511" coordsize="1408,2">
              <v:shape style="position:absolute;left:5698;top:10511;width:1408;height:2" coordorigin="5698,10511" coordsize="1408,0" path="m5698,10511l7106,10511e" filled="false" stroked="true" strokeweight=".47998pt" strokecolor="#000000">
                <v:path arrowok="t"/>
              </v:shape>
            </v:group>
            <v:group style="position:absolute;left:7110;top:1134;width:2;height:9382" coordorigin="7110,1134" coordsize="2,9382">
              <v:shape style="position:absolute;left:7110;top:1134;width:2;height:9382" coordorigin="7110,1134" coordsize="0,9382" path="m7110,1134l7110,10516e" filled="false" stroked="true" strokeweight=".47998pt" strokecolor="#000000">
                <v:path arrowok="t"/>
              </v:shape>
            </v:group>
            <v:group style="position:absolute;left:7115;top:10511;width:2685;height:2" coordorigin="7115,10511" coordsize="2685,2">
              <v:shape style="position:absolute;left:7115;top:10511;width:2685;height:2" coordorigin="7115,10511" coordsize="2685,0" path="m7115,10511l9800,10511e" filled="false" stroked="true" strokeweight=".47998pt" strokecolor="#000000">
                <v:path arrowok="t"/>
              </v:shape>
            </v:group>
            <v:group style="position:absolute;left:9805;top:1134;width:2;height:9382" coordorigin="9805,1134" coordsize="2,9382">
              <v:shape style="position:absolute;left:9805;top:1134;width:2;height:9382" coordorigin="9805,1134" coordsize="0,9382" path="m9805,1134l9805,10516e" filled="false" stroked="true" strokeweight=".47998pt" strokecolor="#000000">
                <v:path arrowok="t"/>
              </v:shape>
            </v:group>
            <v:group style="position:absolute;left:9810;top:10511;width:1266;height:2" coordorigin="9810,10511" coordsize="1266,2">
              <v:shape style="position:absolute;left:9810;top:10511;width:1266;height:2" coordorigin="9810,10511" coordsize="1266,0" path="m9810,10511l11076,10511e" filled="false" stroked="true" strokeweight=".47998pt" strokecolor="#000000">
                <v:path arrowok="t"/>
              </v:shape>
            </v:group>
            <v:group style="position:absolute;left:11080;top:1134;width:2;height:9382" coordorigin="11080,1134" coordsize="2,9382">
              <v:shape style="position:absolute;left:11080;top:1134;width:2;height:9382" coordorigin="11080,1134" coordsize="0,9382" path="m11080,1134l11080,10516e" filled="false" stroked="true" strokeweight=".48004pt" strokecolor="#000000">
                <v:path arrowok="t"/>
              </v:shape>
            </v:group>
            <v:group style="position:absolute;left:11085;top:10511;width:1266;height:2" coordorigin="11085,10511" coordsize="1266,2">
              <v:shape style="position:absolute;left:11085;top:10511;width:1266;height:2" coordorigin="11085,10511" coordsize="1266,0" path="m11085,10511l12351,10511e" filled="false" stroked="true" strokeweight=".47998pt" strokecolor="#000000">
                <v:path arrowok="t"/>
              </v:shape>
            </v:group>
            <v:group style="position:absolute;left:12356;top:1134;width:2;height:9382" coordorigin="12356,1134" coordsize="2,9382">
              <v:shape style="position:absolute;left:12356;top:1134;width:2;height:9382" coordorigin="12356,1134" coordsize="0,9382" path="m12356,1134l12356,10516e" filled="false" stroked="true" strokeweight=".47998pt" strokecolor="#000000">
                <v:path arrowok="t"/>
              </v:shape>
            </v:group>
            <v:group style="position:absolute;left:12361;top:10511;width:3678;height:2" coordorigin="12361,10511" coordsize="3678,2">
              <v:shape style="position:absolute;left:12361;top:10511;width:3678;height:2" coordorigin="12361,10511" coordsize="3678,0" path="m12361,10511l16038,10511e" filled="false" stroked="true" strokeweight=".47998pt" strokecolor="#000000">
                <v:path arrowok="t"/>
              </v:shape>
            </v:group>
            <v:group style="position:absolute;left:16043;top:1134;width:2;height:9382" coordorigin="16043,1134" coordsize="2,9382">
              <v:shape style="position:absolute;left:16043;top:1134;width:2;height:9382" coordorigin="16043,1134" coordsize="0,9382" path="m16043,1134l16043,10516e" filled="false" stroked="true" strokeweight=".48004pt" strokecolor="#000000">
                <v:path arrowok="t"/>
              </v:shape>
            </v:group>
            <w10:wrap type="none"/>
          </v:group>
        </w:pict>
      </w:r>
      <w:r>
        <w:rPr>
          <w:rFonts w:ascii="宋体" w:hAnsi="宋体" w:cs="宋体" w:eastAsia="宋体" w:hint="default"/>
          <w:spacing w:val="-5"/>
          <w:sz w:val="18"/>
          <w:szCs w:val="18"/>
        </w:rPr>
        <w:t>小股东进行沟通和交流，充分听取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中小股东的意见和诉求，及时答复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中小股东关心的问题。公司在上一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个会计年度实现盈利，但公司董事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会在上一会计年度结束后未提出 </w:t>
      </w:r>
      <w:r>
        <w:rPr>
          <w:rFonts w:ascii="宋体" w:hAnsi="宋体" w:cs="宋体" w:eastAsia="宋体" w:hint="default"/>
          <w:spacing w:val="-5"/>
          <w:sz w:val="18"/>
          <w:szCs w:val="18"/>
        </w:rPr>
        <w:t>现金利润分配预案的，应当在定期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报告中详细说明未分红的原因、未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用于分红的资金留存公司的用途， 独立董事还应当对此发表独立意 </w:t>
      </w:r>
      <w:r>
        <w:rPr>
          <w:rFonts w:ascii="宋体" w:hAnsi="宋体" w:cs="宋体" w:eastAsia="宋体" w:hint="default"/>
          <w:spacing w:val="-5"/>
          <w:sz w:val="18"/>
          <w:szCs w:val="18"/>
        </w:rPr>
        <w:t>见。公司若当年不进行或低于本章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程规定的现金分红比例进行利润 </w:t>
      </w:r>
      <w:r>
        <w:rPr>
          <w:rFonts w:ascii="宋体" w:hAnsi="宋体" w:cs="宋体" w:eastAsia="宋体" w:hint="default"/>
          <w:spacing w:val="-5"/>
          <w:sz w:val="18"/>
          <w:szCs w:val="18"/>
        </w:rPr>
        <w:t>分配的，公司董事会应当在定期报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告中披露原因，独立董事应当对此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发表独立意见，有关利润分配的议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案需经公司董事会审议后提交股 </w:t>
      </w:r>
      <w:r>
        <w:rPr>
          <w:rFonts w:ascii="宋体" w:hAnsi="宋体" w:cs="宋体" w:eastAsia="宋体" w:hint="default"/>
          <w:spacing w:val="-5"/>
          <w:sz w:val="18"/>
          <w:szCs w:val="18"/>
        </w:rPr>
        <w:t>东大会批准，并在股东大会提案中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详细论证说明原因及留存资金的 </w:t>
      </w:r>
      <w:r>
        <w:rPr>
          <w:rFonts w:ascii="宋体" w:hAnsi="宋体" w:cs="宋体" w:eastAsia="宋体" w:hint="default"/>
          <w:spacing w:val="-5"/>
          <w:sz w:val="18"/>
          <w:szCs w:val="18"/>
        </w:rPr>
        <w:t>具体用途，且公司需提供网络投票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的方式，由股东大会以特别决议的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方式表决通过。</w:t>
      </w:r>
      <w:r>
        <w:rPr>
          <w:rFonts w:ascii="Times New Roman" w:hAnsi="Times New Roman" w:cs="Times New Roman" w:eastAsia="Times New Roman" w:hint="default"/>
          <w:sz w:val="18"/>
          <w:szCs w:val="18"/>
        </w:rPr>
        <w:t>5</w:t>
      </w:r>
      <w:r>
        <w:rPr>
          <w:rFonts w:ascii="宋体" w:hAnsi="宋体" w:cs="宋体" w:eastAsia="宋体" w:hint="default"/>
          <w:sz w:val="18"/>
          <w:szCs w:val="18"/>
        </w:rPr>
        <w:t>、利润分配政策 </w:t>
      </w:r>
      <w:r>
        <w:rPr>
          <w:rFonts w:ascii="宋体" w:hAnsi="宋体" w:cs="宋体" w:eastAsia="宋体" w:hint="default"/>
          <w:spacing w:val="-5"/>
          <w:sz w:val="18"/>
          <w:szCs w:val="18"/>
        </w:rPr>
        <w:t>的调整机制。公司根据生产经营情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况、投资规划和长期发展的需要， </w:t>
      </w:r>
      <w:r>
        <w:rPr>
          <w:rFonts w:ascii="宋体" w:hAnsi="宋体" w:cs="宋体" w:eastAsia="宋体" w:hint="default"/>
          <w:spacing w:val="-5"/>
          <w:sz w:val="18"/>
          <w:szCs w:val="18"/>
        </w:rPr>
        <w:t>需调整利润分配政策的，调整后的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利润分配政策应以股东权益保护 </w:t>
      </w:r>
      <w:r>
        <w:rPr>
          <w:rFonts w:ascii="宋体" w:hAnsi="宋体" w:cs="宋体" w:eastAsia="宋体" w:hint="default"/>
          <w:spacing w:val="-5"/>
          <w:sz w:val="18"/>
          <w:szCs w:val="18"/>
        </w:rPr>
        <w:t>为出发点，不得违反中国证监会和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证券交易所的有关规定，独立董事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应当对此发表独立意见，有关调整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利润分配政策的议案需经公司董 事会审议后提交公司股东大会批 </w:t>
      </w:r>
      <w:r>
        <w:rPr>
          <w:rFonts w:ascii="宋体" w:hAnsi="宋体" w:cs="宋体" w:eastAsia="宋体" w:hint="default"/>
          <w:spacing w:val="-5"/>
          <w:sz w:val="18"/>
          <w:szCs w:val="18"/>
        </w:rPr>
        <w:t>准，并在股东大会提案中详细论证</w:t>
      </w:r>
    </w:p>
    <w:p>
      <w:pPr>
        <w:spacing w:after="0" w:line="316" w:lineRule="auto"/>
        <w:jc w:val="left"/>
        <w:rPr>
          <w:rFonts w:ascii="宋体" w:hAnsi="宋体" w:cs="宋体" w:eastAsia="宋体" w:hint="default"/>
          <w:sz w:val="18"/>
          <w:szCs w:val="18"/>
        </w:rPr>
        <w:sectPr>
          <w:pgSz w:w="16840" w:h="11910" w:orient="landscape"/>
          <w:pgMar w:header="867" w:footer="979" w:top="1060" w:bottom="1160" w:left="130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7554"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pacing w:val="-5"/>
                <w:sz w:val="18"/>
                <w:szCs w:val="18"/>
              </w:rPr>
              <w:t>和说明原因，且公司需提供网络投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票的方式，由股东大会以特别决议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的方式表决通过。（二）未来分红</w:t>
            </w:r>
            <w:r>
              <w:rPr>
                <w:rFonts w:ascii="宋体" w:hAnsi="宋体" w:cs="宋体" w:eastAsia="宋体" w:hint="default"/>
                <w:sz w:val="18"/>
                <w:szCs w:val="18"/>
              </w:rPr>
              <w:t> </w:t>
            </w:r>
            <w:r>
              <w:rPr>
                <w:rFonts w:ascii="宋体" w:hAnsi="宋体" w:cs="宋体" w:eastAsia="宋体" w:hint="default"/>
                <w:spacing w:val="-5"/>
                <w:sz w:val="18"/>
                <w:szCs w:val="18"/>
              </w:rPr>
              <w:t>回报规划。公司股票上市后未来三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年，利润分配可采取现金、股票、 </w:t>
            </w:r>
            <w:r>
              <w:rPr>
                <w:rFonts w:ascii="宋体" w:hAnsi="宋体" w:cs="宋体" w:eastAsia="宋体" w:hint="default"/>
                <w:spacing w:val="-5"/>
                <w:sz w:val="18"/>
                <w:szCs w:val="18"/>
              </w:rPr>
              <w:t>现金与股票相结合或者法律、法规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允许的其他方式。公司在选择利润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分配方式时，相对于股票股利等分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配方式优先采用现金分红的利润 分配方式。根据公司现金流状况、 </w:t>
            </w:r>
            <w:r>
              <w:rPr>
                <w:rFonts w:ascii="宋体" w:hAnsi="宋体" w:cs="宋体" w:eastAsia="宋体" w:hint="default"/>
                <w:spacing w:val="-5"/>
                <w:sz w:val="18"/>
                <w:szCs w:val="18"/>
              </w:rPr>
              <w:t>业务成长性、每股净资产规模等真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实合理因素，公司可以采用发放股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票股利方式进行利润分配。公司具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备现金分红条件的，公司应当采取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现金方式分配股利，公司最近三年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以现金方式累计分配的利润不少 于最近三年实现的年均可分配利 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；公司在实施上述现金 </w:t>
            </w:r>
            <w:r>
              <w:rPr>
                <w:rFonts w:ascii="宋体" w:hAnsi="宋体" w:cs="宋体" w:eastAsia="宋体" w:hint="default"/>
                <w:spacing w:val="-5"/>
                <w:sz w:val="18"/>
                <w:szCs w:val="18"/>
              </w:rPr>
              <w:t>分配股利的同时，可以派发股票股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利。为了回报股东，同时考虑募集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资金投资项目建设及公司业务发 展需要，公司在进行利润分配时， 现金分红在本次利润分配中所占 比例最低应达到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7530"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63.25pt;height:376.5pt;mso-position-horizontal-relative:char;mso-position-vertical-relative:line" coordorigin="0,0" coordsize="1265,7530">
                  <v:group style="position:absolute;left:0;top:0;width:1265;height:7530" coordorigin="0,0" coordsize="1265,7530">
                    <v:shape style="position:absolute;left:0;top:0;width:1265;height:7530" coordorigin="0,0" coordsize="1265,7530" path="m0,7530l1265,7530,1265,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276" w:type="dxa"/>
            <w:tcBorders>
              <w:top w:val="single" w:sz="15" w:space="0" w:color="000000"/>
              <w:left w:val="single" w:sz="4" w:space="0" w:color="000000"/>
              <w:bottom w:val="single" w:sz="4" w:space="0" w:color="000000"/>
              <w:right w:val="single" w:sz="4" w:space="0" w:color="000000"/>
            </w:tcBorders>
          </w:tcPr>
          <w:p>
            <w:pPr/>
          </w:p>
        </w:tc>
        <w:tc>
          <w:tcPr>
            <w:tcW w:w="3687" w:type="dxa"/>
            <w:tcBorders>
              <w:top w:val="single" w:sz="15" w:space="0" w:color="000000"/>
              <w:left w:val="single" w:sz="4" w:space="0" w:color="000000"/>
              <w:bottom w:val="single" w:sz="4" w:space="0" w:color="000000"/>
              <w:right w:val="single" w:sz="4" w:space="0" w:color="000000"/>
            </w:tcBorders>
          </w:tcPr>
          <w:p>
            <w:pPr/>
          </w:p>
        </w:tc>
      </w:tr>
      <w:tr>
        <w:trPr>
          <w:trHeight w:val="192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持股意向及减持 意向的承诺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在本公司所持中科信息股份锁定 </w:t>
            </w:r>
            <w:r>
              <w:rPr>
                <w:rFonts w:ascii="宋体" w:hAnsi="宋体" w:cs="宋体" w:eastAsia="宋体" w:hint="default"/>
                <w:spacing w:val="-5"/>
                <w:sz w:val="18"/>
                <w:szCs w:val="18"/>
              </w:rPr>
              <w:t>期届满后，且不丧失对发行人控制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权及违反已作出承诺的前提下，本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公司可依法减持所持有的公司股 </w:t>
            </w:r>
            <w:r>
              <w:rPr>
                <w:rFonts w:ascii="宋体" w:hAnsi="宋体" w:cs="宋体" w:eastAsia="宋体" w:hint="default"/>
                <w:spacing w:val="-5"/>
                <w:sz w:val="18"/>
                <w:szCs w:val="18"/>
              </w:rPr>
              <w:t>份，具体减持意向为：所持中科信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息股份在锁定期满后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r>
        <w:rPr/>
        <w:pict>
          <v:group style="position:absolute;margin-left:490.480011pt;margin-top:227.540009pt;width:63.25pt;height:39.050pt;mso-position-horizontal-relative:page;mso-position-vertical-relative:page;z-index:-903616" coordorigin="9810,4551" coordsize="1265,781">
            <v:shape style="position:absolute;left:9810;top:4551;width:1265;height:781" coordorigin="9810,4551" coordsize="1265,781" path="m9810,5331l11074,5331,11074,4551,9810,4551,9810,5331xe" filled="true" fillcolor="#ffffff" stroked="false">
              <v:path arrowok="t"/>
              <v:fill type="solid"/>
            </v:shape>
            <w10:wrap type="none"/>
          </v:group>
        </w:pict>
      </w:r>
      <w:r>
        <w:rPr/>
        <w:pict>
          <v:group style="position:absolute;margin-left:490.480011pt;margin-top:341.26001pt;width:63.25pt;height:39pt;mso-position-horizontal-relative:page;mso-position-vertical-relative:page;z-index:-903592" coordorigin="9810,6825" coordsize="1265,780">
            <v:shape style="position:absolute;left:9810;top:6825;width:1265;height:780" coordorigin="9810,6825" coordsize="1265,780" path="m9810,7605l11074,7605,11074,6825,9810,6825,9810,760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1937"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的，每年减持的股份合计不超过所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持有公司首次公开发行时的股份 </w:t>
            </w:r>
            <w:r>
              <w:rPr>
                <w:rFonts w:ascii="宋体" w:hAnsi="宋体" w:cs="宋体" w:eastAsia="宋体" w:hint="default"/>
                <w:spacing w:val="-5"/>
                <w:sz w:val="18"/>
                <w:szCs w:val="18"/>
              </w:rPr>
              <w:t>数的百分之二十，减持价格不低于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发行价（如遇除权除息，减持价格</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进行相应调整），且将提前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 易日予以公告。</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3687" w:type="dxa"/>
            <w:tcBorders>
              <w:top w:val="single" w:sz="15" w:space="0" w:color="000000"/>
              <w:left w:val="single" w:sz="4" w:space="0" w:color="000000"/>
              <w:bottom w:val="single" w:sz="4" w:space="0" w:color="000000"/>
              <w:right w:val="single" w:sz="4" w:space="0" w:color="000000"/>
            </w:tcBorders>
          </w:tcPr>
          <w:p>
            <w:pP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宇中投资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持股意向及减持 意向的承诺</w:t>
            </w:r>
          </w:p>
        </w:tc>
        <w:tc>
          <w:tcPr>
            <w:tcW w:w="2694"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所持中科信息股份在锁定期满后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年内减持的，每年减持的股份合计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不超过所持有公司首次公开发行 </w:t>
            </w:r>
            <w:r>
              <w:rPr>
                <w:rFonts w:ascii="宋体" w:hAnsi="宋体" w:cs="宋体" w:eastAsia="宋体" w:hint="default"/>
                <w:spacing w:val="-5"/>
                <w:sz w:val="18"/>
                <w:szCs w:val="18"/>
              </w:rPr>
              <w:t>时的股份数的百分之五十，减持价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格不低于发行价（如遇除权除息， </w:t>
            </w:r>
            <w:r>
              <w:rPr>
                <w:rFonts w:ascii="宋体" w:hAnsi="宋体" w:cs="宋体" w:eastAsia="宋体" w:hint="default"/>
                <w:spacing w:val="-6"/>
                <w:sz w:val="18"/>
                <w:szCs w:val="18"/>
              </w:rPr>
              <w:t>减持价格进行相应调整），且将提</w:t>
            </w:r>
            <w:r>
              <w:rPr>
                <w:rFonts w:ascii="宋体" w:hAnsi="宋体" w:cs="宋体" w:eastAsia="宋体" w:hint="default"/>
                <w:sz w:val="18"/>
                <w:szCs w:val="18"/>
              </w:rPr>
              <w:t>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9"/>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持股意向及减持 意向的承诺</w:t>
            </w:r>
          </w:p>
        </w:tc>
        <w:tc>
          <w:tcPr>
            <w:tcW w:w="2694"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所持中科信息股份在锁定期满后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年内减持的，每年减持的股份合计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不超过所持有公司首次公开发行 </w:t>
            </w:r>
            <w:r>
              <w:rPr>
                <w:rFonts w:ascii="宋体" w:hAnsi="宋体" w:cs="宋体" w:eastAsia="宋体" w:hint="default"/>
                <w:spacing w:val="-5"/>
                <w:sz w:val="18"/>
                <w:szCs w:val="18"/>
              </w:rPr>
              <w:t>时的股份数的百分之八十，减持价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格不低于发行价（如遇除权除息， </w:t>
            </w:r>
            <w:r>
              <w:rPr>
                <w:rFonts w:ascii="宋体" w:hAnsi="宋体" w:cs="宋体" w:eastAsia="宋体" w:hint="default"/>
                <w:spacing w:val="-6"/>
                <w:sz w:val="18"/>
                <w:szCs w:val="18"/>
              </w:rPr>
              <w:t>减持价格进行相应调整），且将提</w:t>
            </w:r>
            <w:r>
              <w:rPr>
                <w:rFonts w:ascii="宋体" w:hAnsi="宋体" w:cs="宋体" w:eastAsia="宋体" w:hint="default"/>
                <w:sz w:val="18"/>
                <w:szCs w:val="18"/>
              </w:rPr>
              <w:t>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9"/>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关于避免同业竞 争的承诺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、本公司或本公司实际控制的公 </w:t>
            </w:r>
            <w:r>
              <w:rPr>
                <w:rFonts w:ascii="宋体" w:hAnsi="宋体" w:cs="宋体" w:eastAsia="宋体" w:hint="default"/>
                <w:spacing w:val="-5"/>
                <w:sz w:val="18"/>
                <w:szCs w:val="18"/>
              </w:rPr>
              <w:t>司目前没有、将来也不会以任何方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式在中国境内外直接或间接开展 任何导致或可能导致与中科信息</w:t>
            </w:r>
          </w:p>
          <w:p>
            <w:pPr>
              <w:pStyle w:val="TableParagraph"/>
              <w:spacing w:line="316"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（包括其控股子公司及深圳市中 </w:t>
            </w:r>
            <w:r>
              <w:rPr>
                <w:rFonts w:ascii="宋体" w:hAnsi="宋体" w:cs="宋体" w:eastAsia="宋体" w:hint="default"/>
                <w:spacing w:val="-5"/>
                <w:sz w:val="18"/>
                <w:szCs w:val="18"/>
              </w:rPr>
              <w:t>钞科信金融科技有限公司）现有主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营业务产生竞争的业务或活动，亦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不生产任何与中科信息现有产品 相同或相似的产品。</w:t>
            </w:r>
            <w:r>
              <w:rPr>
                <w:rFonts w:ascii="Times New Roman" w:hAnsi="Times New Roman" w:cs="Times New Roman" w:eastAsia="Times New Roman" w:hint="default"/>
                <w:sz w:val="18"/>
                <w:szCs w:val="18"/>
              </w:rPr>
              <w:t>2</w:t>
            </w:r>
            <w:r>
              <w:rPr>
                <w:rFonts w:ascii="宋体" w:hAnsi="宋体" w:cs="宋体" w:eastAsia="宋体" w:hint="default"/>
                <w:sz w:val="18"/>
                <w:szCs w:val="18"/>
              </w:rPr>
              <w:t>、如本公司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9"/>
      </w:tblGrid>
      <w:tr>
        <w:trPr>
          <w:trHeight w:val="7866"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以及本公司控制的其他公司未来 取得可能与中科信息现有主营业 务及现有产品构成竞争关系的企 </w:t>
            </w:r>
            <w:r>
              <w:rPr>
                <w:rFonts w:ascii="宋体" w:hAnsi="宋体" w:cs="宋体" w:eastAsia="宋体" w:hint="default"/>
                <w:spacing w:val="-5"/>
                <w:sz w:val="18"/>
                <w:szCs w:val="18"/>
              </w:rPr>
              <w:t>业权益，则本公司同意将该等资产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或业务通过适当的、有效的方式及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时进行处理，以消除同业竞争的情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形，处理方式包括但不限于（</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5"/>
                <w:sz w:val="18"/>
                <w:szCs w:val="18"/>
              </w:rPr>
              <w:t>向第三方转让、出售在该等企业中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的股权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）在条件允许的</w:t>
            </w:r>
            <w:r>
              <w:rPr>
                <w:rFonts w:ascii="宋体" w:hAnsi="宋体" w:cs="宋体" w:eastAsia="宋体" w:hint="default"/>
                <w:spacing w:val="-84"/>
                <w:sz w:val="18"/>
                <w:szCs w:val="18"/>
              </w:rPr>
              <w:t> </w:t>
            </w:r>
            <w:r>
              <w:rPr>
                <w:rFonts w:ascii="宋体" w:hAnsi="宋体" w:cs="宋体" w:eastAsia="宋体" w:hint="default"/>
                <w:spacing w:val="-5"/>
                <w:sz w:val="18"/>
                <w:szCs w:val="18"/>
              </w:rPr>
              <w:t>情形下，将该等资产及业务纳入中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2"/>
                <w:sz w:val="18"/>
                <w:szCs w:val="18"/>
              </w:rPr>
              <w:t>科信息之经营或资产体系；（</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）在</w:t>
            </w:r>
            <w:r>
              <w:rPr>
                <w:rFonts w:ascii="宋体" w:hAnsi="宋体" w:cs="宋体" w:eastAsia="宋体" w:hint="default"/>
                <w:spacing w:val="-84"/>
                <w:sz w:val="18"/>
                <w:szCs w:val="18"/>
              </w:rPr>
              <w:t> </w:t>
            </w:r>
            <w:r>
              <w:rPr>
                <w:rFonts w:ascii="宋体" w:hAnsi="宋体" w:cs="宋体" w:eastAsia="宋体" w:hint="default"/>
                <w:spacing w:val="-5"/>
                <w:sz w:val="18"/>
                <w:szCs w:val="18"/>
              </w:rPr>
              <w:t>条件允许的情形下，由中科信息购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买该等资产，并将尽最大努力促使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该交易的价格公平合理。</w:t>
            </w:r>
            <w:r>
              <w:rPr>
                <w:rFonts w:ascii="Times New Roman" w:hAnsi="Times New Roman" w:cs="Times New Roman" w:eastAsia="Times New Roman" w:hint="default"/>
                <w:sz w:val="18"/>
                <w:szCs w:val="18"/>
              </w:rPr>
              <w:t>3</w:t>
            </w:r>
            <w:r>
              <w:rPr>
                <w:rFonts w:ascii="宋体" w:hAnsi="宋体" w:cs="宋体" w:eastAsia="宋体" w:hint="default"/>
                <w:sz w:val="18"/>
                <w:szCs w:val="18"/>
              </w:rPr>
              <w:t>、如本 公司以及本公司控制的其他公司 </w:t>
            </w:r>
            <w:r>
              <w:rPr>
                <w:rFonts w:ascii="宋体" w:hAnsi="宋体" w:cs="宋体" w:eastAsia="宋体" w:hint="default"/>
                <w:spacing w:val="-5"/>
                <w:sz w:val="18"/>
                <w:szCs w:val="18"/>
              </w:rPr>
              <w:t>出现违背以上承诺的情况，给中科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信息带来的任何损失均由本公司 </w:t>
            </w:r>
            <w:r>
              <w:rPr>
                <w:rFonts w:ascii="宋体" w:hAnsi="宋体" w:cs="宋体" w:eastAsia="宋体" w:hint="default"/>
                <w:spacing w:val="-5"/>
                <w:sz w:val="18"/>
                <w:szCs w:val="18"/>
              </w:rPr>
              <w:t>承担，以使中科信息恢复到产生损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失或者承担责任之前的状态。</w:t>
            </w:r>
            <w:r>
              <w:rPr>
                <w:rFonts w:ascii="Times New Roman" w:hAnsi="Times New Roman" w:cs="Times New Roman" w:eastAsia="Times New Roman" w:hint="default"/>
                <w:sz w:val="18"/>
                <w:szCs w:val="18"/>
              </w:rPr>
              <w:t>4</w:t>
            </w:r>
            <w:r>
              <w:rPr>
                <w:rFonts w:ascii="宋体" w:hAnsi="宋体" w:cs="宋体" w:eastAsia="宋体" w:hint="default"/>
                <w:sz w:val="18"/>
                <w:szCs w:val="18"/>
              </w:rPr>
              <w:t>、 本承诺函的有效期自签署之日起 至本公司不再是中科信息之控股 股东止。</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9" w:lineRule="auto" w:before="1"/>
              <w:ind w:left="22" w:right="81" w:firstLine="420"/>
              <w:jc w:val="both"/>
              <w:rPr>
                <w:rFonts w:ascii="宋体" w:hAnsi="宋体" w:cs="宋体" w:eastAsia="宋体" w:hint="default"/>
                <w:sz w:val="18"/>
                <w:szCs w:val="18"/>
              </w:rPr>
            </w:pPr>
            <w:r>
              <w:rPr>
                <w:rFonts w:ascii="宋体" w:hAnsi="宋体" w:cs="宋体" w:eastAsia="宋体" w:hint="default"/>
                <w:sz w:val="18"/>
                <w:szCs w:val="18"/>
              </w:rPr>
              <w:t>作出承诺时，至承诺履行完 毕</w:t>
            </w:r>
            <w:r>
              <w:rPr>
                <w:rFonts w:ascii="宋体" w:hAnsi="宋体" w:cs="宋体" w:eastAsia="宋体" w:hint="default"/>
                <w:spacing w:val="60"/>
                <w:sz w:val="18"/>
                <w:szCs w:val="18"/>
              </w:rPr>
              <w:t> </w:t>
            </w:r>
            <w:r>
              <w:rPr>
                <w:rFonts w:ascii="宋体" w:hAnsi="宋体" w:cs="宋体" w:eastAsia="宋体" w:hint="default"/>
                <w:sz w:val="18"/>
                <w:szCs w:val="18"/>
              </w:rPr>
              <w:t>承诺人严格信守承诺，未出</w:t>
            </w:r>
            <w:r>
              <w:rPr>
                <w:rFonts w:ascii="宋体" w:hAnsi="宋体" w:cs="宋体" w:eastAsia="宋体" w:hint="default"/>
                <w:sz w:val="18"/>
                <w:szCs w:val="18"/>
              </w:rPr>
              <w:t> 现违犯承诺的情况</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3689" w:type="dxa"/>
            <w:tcBorders>
              <w:top w:val="single" w:sz="15" w:space="0" w:color="000000"/>
              <w:left w:val="single" w:sz="4" w:space="0" w:color="000000"/>
              <w:bottom w:val="single" w:sz="4" w:space="0" w:color="000000"/>
              <w:right w:val="single" w:sz="4" w:space="0" w:color="000000"/>
            </w:tcBorders>
          </w:tcPr>
          <w:p>
            <w:pPr/>
          </w:p>
        </w:tc>
      </w:tr>
      <w:tr>
        <w:trPr>
          <w:trHeight w:val="16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2"/>
              <w:jc w:val="both"/>
              <w:rPr>
                <w:rFonts w:ascii="宋体" w:hAnsi="宋体" w:cs="宋体" w:eastAsia="宋体" w:hint="default"/>
                <w:sz w:val="18"/>
                <w:szCs w:val="18"/>
              </w:rPr>
            </w:pPr>
            <w:r>
              <w:rPr>
                <w:rFonts w:ascii="宋体" w:hAnsi="宋体" w:cs="宋体" w:eastAsia="宋体" w:hint="default"/>
                <w:sz w:val="18"/>
                <w:szCs w:val="18"/>
              </w:rPr>
              <w:t>关于减少及规范 关联交易的承诺 函</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或本公司关联方将</w:t>
            </w:r>
            <w:r>
              <w:rPr>
                <w:rFonts w:ascii="宋体" w:hAnsi="宋体" w:cs="宋体" w:eastAsia="宋体" w:hint="default"/>
                <w:spacing w:val="-81"/>
                <w:sz w:val="18"/>
                <w:szCs w:val="18"/>
              </w:rPr>
              <w:t> </w:t>
            </w:r>
            <w:r>
              <w:rPr>
                <w:rFonts w:ascii="宋体" w:hAnsi="宋体" w:cs="宋体" w:eastAsia="宋体" w:hint="default"/>
                <w:sz w:val="18"/>
                <w:szCs w:val="18"/>
              </w:rPr>
              <w:t>尽最大可能避免与中科信息发生 </w:t>
            </w:r>
            <w:r>
              <w:rPr>
                <w:rFonts w:ascii="宋体" w:hAnsi="宋体" w:cs="宋体" w:eastAsia="宋体" w:hint="default"/>
                <w:spacing w:val="-10"/>
                <w:sz w:val="18"/>
                <w:szCs w:val="18"/>
              </w:rPr>
              <w:t>关联交易。（</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）如果在今后的经营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活动中，中科信息确需与本公司或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本公司关联方发生任何关联交易</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20"/>
              <w:jc w:val="left"/>
              <w:rPr>
                <w:rFonts w:ascii="宋体" w:hAnsi="宋体" w:cs="宋体" w:eastAsia="宋体" w:hint="default"/>
                <w:sz w:val="18"/>
                <w:szCs w:val="18"/>
              </w:rPr>
            </w:pPr>
            <w:r>
              <w:rPr>
                <w:rFonts w:ascii="宋体" w:hAnsi="宋体" w:cs="宋体" w:eastAsia="宋体" w:hint="default"/>
                <w:spacing w:val="-6"/>
                <w:sz w:val="18"/>
                <w:szCs w:val="18"/>
              </w:rPr>
              <w:t>作出承诺时，至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承诺履行完毕</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承诺人严格信守承诺，未出现违犯承诺的情况</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417"/>
        <w:gridCol w:w="1417"/>
        <w:gridCol w:w="2694"/>
        <w:gridCol w:w="1276"/>
        <w:gridCol w:w="1276"/>
        <w:gridCol w:w="3687"/>
      </w:tblGrid>
      <w:tr>
        <w:trPr>
          <w:trHeight w:val="5994" w:hRule="exact"/>
        </w:trPr>
        <w:tc>
          <w:tcPr>
            <w:tcW w:w="283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的，则本公司将促使上述交易按照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公平合理和正常商业交易的条件 </w:t>
            </w:r>
            <w:r>
              <w:rPr>
                <w:rFonts w:ascii="宋体" w:hAnsi="宋体" w:cs="宋体" w:eastAsia="宋体" w:hint="default"/>
                <w:spacing w:val="-5"/>
                <w:sz w:val="18"/>
                <w:szCs w:val="18"/>
              </w:rPr>
              <w:t>进行，并且严格按照国家有关法律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法规、公司章程的规定履行有关程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序；涉及需要回避表决的，本公司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及本公司关联方将严格执行回避 </w:t>
            </w:r>
            <w:r>
              <w:rPr>
                <w:rFonts w:ascii="宋体" w:hAnsi="宋体" w:cs="宋体" w:eastAsia="宋体" w:hint="default"/>
                <w:spacing w:val="-5"/>
                <w:sz w:val="18"/>
                <w:szCs w:val="18"/>
              </w:rPr>
              <w:t>表决制度，并不会干涉其他董事和</w:t>
            </w:r>
          </w:p>
          <w:p>
            <w:pPr>
              <w:pStyle w:val="TableParagraph"/>
              <w:spacing w:line="316" w:lineRule="auto" w:before="1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或股东对关联交易的审议。关联 交易价格在国家物价部门有规定 </w:t>
            </w:r>
            <w:r>
              <w:rPr>
                <w:rFonts w:ascii="宋体" w:hAnsi="宋体" w:cs="宋体" w:eastAsia="宋体" w:hint="default"/>
                <w:spacing w:val="-5"/>
                <w:sz w:val="18"/>
                <w:szCs w:val="18"/>
              </w:rPr>
              <w:t>时，执行国家价格；在国家物价部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门无相关规定时，按照不高于同类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交易的市场价格、市场条件，由交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易双方协商确定，以维护公司及其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他股东的合法权益。本公司及本公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司关联方还将严格和善意的履行 与中科信息签订的各种关联交易 </w:t>
            </w:r>
            <w:r>
              <w:rPr>
                <w:rFonts w:ascii="宋体" w:hAnsi="宋体" w:cs="宋体" w:eastAsia="宋体" w:hint="default"/>
                <w:spacing w:val="-5"/>
                <w:sz w:val="18"/>
                <w:szCs w:val="18"/>
              </w:rPr>
              <w:t>协议。本公司承诺将不会向中科信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息谋求或给予任何超出上述协议 规定以外的利益或收益。</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368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41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117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68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0" w:firstLine="441"/>
        <w:jc w:val="left"/>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 </w:t>
      </w:r>
      <w:r>
        <w:rPr>
          <w:spacing w:val="-1"/>
        </w:rPr>
        <w:t>号），本公司根据该通知相关要求在编制财务报表时作了</w:t>
      </w:r>
      <w:r>
        <w:rPr>
          <w:rFonts w:ascii="Times New Roman" w:hAnsi="Times New Roman" w:cs="Times New Roman" w:eastAsia="Times New Roman" w:hint="default"/>
          <w:spacing w:val="-1"/>
        </w:rPr>
        <w:t>10</w:t>
      </w:r>
      <w:r>
        <w:rPr>
          <w:spacing w:val="-1"/>
        </w:rPr>
        <w:t>个项目的调整，公司二届十七次董事会议审议</w:t>
      </w:r>
      <w:r>
        <w:rPr>
          <w:spacing w:val="-85"/>
        </w:rPr>
        <w:t> </w:t>
      </w:r>
      <w:r>
        <w:rPr>
          <w:spacing w:val="-85"/>
        </w:rPr>
      </w:r>
      <w:r>
        <w:rPr/>
        <w:t>通过了上述会计政策变更事项。</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公司报告期无合并报表范围发生变化的情况。</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申军、刘浪</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after="0" w:line="338" w:lineRule="auto"/>
        <w:jc w:val="left"/>
        <w:rPr>
          <w:rFonts w:ascii="宋体" w:hAnsi="宋体" w:cs="宋体" w:eastAsia="宋体" w:hint="default"/>
          <w:sz w:val="18"/>
          <w:szCs w:val="18"/>
        </w:rPr>
        <w:sectPr>
          <w:headerReference w:type="default" r:id="rId23"/>
          <w:footerReference w:type="default" r:id="rId24"/>
          <w:pgSz w:w="11910" w:h="16840"/>
          <w:pgMar w:header="877" w:footer="979" w:top="1060" w:bottom="1160" w:left="980" w:right="0"/>
          <w:pgNumType w:start="78"/>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3"/>
        <w:ind w:left="154" w:right="184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公司报告期未发生与日常经营相关的关联交易。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公司报告期未发生资产或股权收购、出售的关联交易。</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both"/>
      </w:pPr>
      <w:r>
        <w:rPr/>
        <w:t>公司报告期未发生共同对外投资的关联交易。</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both"/>
      </w:pPr>
      <w:r>
        <w:rPr/>
        <w:t>公司报告期不存在关联债权债务往来。</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99" w:lineRule="auto" w:before="77"/>
        <w:ind w:left="154" w:right="7620" w:firstLine="0"/>
        <w:jc w:val="both"/>
        <w:rPr>
          <w:rFonts w:ascii="宋体" w:hAnsi="宋体" w:cs="宋体" w:eastAsia="宋体" w:hint="default"/>
          <w:sz w:val="21"/>
          <w:szCs w:val="21"/>
        </w:rPr>
      </w:pPr>
      <w:r>
        <w:rPr>
          <w:rFonts w:ascii="宋体" w:hAnsi="宋体" w:cs="宋体" w:eastAsia="宋体" w:hint="default"/>
          <w:sz w:val="21"/>
          <w:szCs w:val="21"/>
        </w:rPr>
        <w:t>公司报告期无其他重大关联交易。 </w:t>
      </w:r>
      <w:bookmarkStart w:name="十六、重大合同及其履行情况" w:id="85"/>
      <w:bookmarkEnd w:id="85"/>
      <w:r>
        <w:rPr>
          <w:rFonts w:ascii="宋体" w:hAnsi="宋体" w:cs="宋体" w:eastAsia="宋体" w:hint="default"/>
          <w:sz w:val="21"/>
          <w:szCs w:val="21"/>
        </w:rPr>
      </w:r>
      <w:r>
        <w:rPr>
          <w:rFonts w:ascii="宋体" w:hAnsi="宋体" w:cs="宋体" w:eastAsia="宋体" w:hint="default"/>
          <w:b/>
          <w:bCs/>
          <w:sz w:val="24"/>
          <w:szCs w:val="24"/>
        </w:rPr>
        <w:t>十六、重大合同及其履行情况</w:t>
      </w:r>
      <w:r>
        <w:rPr>
          <w:rFonts w:ascii="宋体" w:hAnsi="宋体" w:cs="宋体" w:eastAsia="宋体" w:hint="default"/>
          <w:b/>
          <w:bCs/>
          <w:w w:val="99"/>
          <w:sz w:val="24"/>
          <w:szCs w:val="24"/>
        </w:rPr>
        <w:t> </w:t>
      </w:r>
      <w:bookmarkStart w:name="1、托管、承包、租赁事项情况" w:id="86"/>
      <w:bookmarkEnd w:id="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4"/>
        <w:spacing w:line="240" w:lineRule="auto" w:before="71"/>
        <w:ind w:right="0"/>
        <w:jc w:val="both"/>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both"/>
      </w:pPr>
      <w:r>
        <w:rPr/>
        <w:t>公司报告期不存在托管情况。</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both"/>
      </w:pPr>
      <w:r>
        <w:rPr/>
        <w:t>公司报告期不存在承包情况。</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both"/>
      </w:pPr>
      <w:r>
        <w:rPr/>
        <w:t>公司报告期不存在租赁情况。</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both"/>
      </w:pPr>
      <w:r>
        <w:rPr/>
        <w:t>公司报告期不存在担保情况。</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公司报告期不存在委托理财。</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公司报告期不存在委托贷款。</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99" w:lineRule="auto" w:before="78"/>
        <w:ind w:left="154" w:right="7602" w:firstLine="0"/>
        <w:jc w:val="left"/>
        <w:rPr>
          <w:rFonts w:ascii="宋体" w:hAnsi="宋体" w:cs="宋体" w:eastAsia="宋体" w:hint="default"/>
          <w:sz w:val="21"/>
          <w:szCs w:val="21"/>
        </w:rPr>
      </w:pPr>
      <w:r>
        <w:rPr>
          <w:rFonts w:ascii="宋体" w:hAnsi="宋体" w:cs="宋体" w:eastAsia="宋体" w:hint="default"/>
          <w:sz w:val="21"/>
          <w:szCs w:val="21"/>
        </w:rPr>
        <w:t>公司报告期不存在其他重大合同。 </w:t>
      </w:r>
      <w:bookmarkStart w:name="十七、社会责任情况" w:id="95"/>
      <w:bookmarkEnd w:id="95"/>
      <w:r>
        <w:rPr>
          <w:rFonts w:ascii="宋体" w:hAnsi="宋体" w:cs="宋体" w:eastAsia="宋体" w:hint="default"/>
          <w:sz w:val="21"/>
          <w:szCs w:val="21"/>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6"/>
      <w:bookmarkEnd w:id="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pStyle w:val="BodyText"/>
        <w:spacing w:line="405" w:lineRule="auto" w:before="148"/>
        <w:ind w:right="1131" w:firstLine="420"/>
        <w:jc w:val="both"/>
      </w:pPr>
      <w:r>
        <w:rPr>
          <w:spacing w:val="-5"/>
        </w:rPr>
        <w:t>公司以</w:t>
      </w:r>
      <w:r>
        <w:rPr>
          <w:rFonts w:ascii="Times New Roman" w:hAnsi="Times New Roman" w:cs="Times New Roman" w:eastAsia="Times New Roman" w:hint="default"/>
          <w:spacing w:val="-5"/>
        </w:rPr>
        <w:t>“</w:t>
      </w:r>
      <w:r>
        <w:rPr>
          <w:spacing w:val="-5"/>
        </w:rPr>
        <w:t>服务客户、成就员工、回报股东、贡献社会</w:t>
      </w:r>
      <w:r>
        <w:rPr>
          <w:rFonts w:ascii="Times New Roman" w:hAnsi="Times New Roman" w:cs="Times New Roman" w:eastAsia="Times New Roman" w:hint="default"/>
          <w:spacing w:val="-5"/>
        </w:rPr>
        <w:t>”</w:t>
      </w:r>
      <w:r>
        <w:rPr>
          <w:spacing w:val="-5"/>
        </w:rPr>
        <w:t>为宗旨，努力维护全体股东的利益，严格按照《中</w:t>
      </w:r>
      <w:r>
        <w:rPr/>
        <w:t> </w:t>
      </w:r>
      <w:r>
        <w:rPr>
          <w:spacing w:val="-1"/>
        </w:rPr>
        <w:t>华人民共和国公司法》《中华人民共和国证券法》《深圳证券交易所创业板股票上市规则》《深圳证券交</w:t>
      </w:r>
      <w:r>
        <w:rPr>
          <w:spacing w:val="-83"/>
        </w:rPr>
        <w:t> </w:t>
      </w:r>
      <w:r>
        <w:rPr>
          <w:spacing w:val="-83"/>
        </w:rPr>
      </w:r>
      <w:r>
        <w:rPr>
          <w:spacing w:val="-1"/>
        </w:rPr>
        <w:t>易所创业板上市规范运作指引》等法律法规、规范性文件和公司《章程》等规定和要求，规范股东大会召</w:t>
      </w:r>
      <w:r>
        <w:rPr>
          <w:spacing w:val="-83"/>
        </w:rPr>
        <w:t> </w:t>
      </w:r>
      <w:r>
        <w:rPr>
          <w:spacing w:val="-83"/>
        </w:rPr>
      </w:r>
      <w:r>
        <w:rPr>
          <w:spacing w:val="-1"/>
        </w:rPr>
        <w:t>集、召开、表决程序，确保所有股东享有平等权利，让中小投资者充分行使自己的权利；严格执行分红政</w:t>
      </w:r>
      <w:r>
        <w:rPr>
          <w:spacing w:val="-83"/>
        </w:rPr>
        <w:t> </w:t>
      </w:r>
      <w:r>
        <w:rPr>
          <w:spacing w:val="-83"/>
        </w:rPr>
      </w:r>
      <w:r>
        <w:rPr>
          <w:spacing w:val="-1"/>
        </w:rPr>
        <w:t>策，确保股东实现投资回报。公司严格按照相关法律法规的要求，通过法定信息披露媒体真实、准确、完</w:t>
      </w:r>
      <w:r>
        <w:rPr>
          <w:spacing w:val="-83"/>
        </w:rPr>
        <w:t> </w:t>
      </w:r>
      <w:r>
        <w:rPr>
          <w:spacing w:val="-83"/>
        </w:rPr>
      </w:r>
      <w:r>
        <w:rPr>
          <w:spacing w:val="-1"/>
        </w:rPr>
        <w:t>整、及时、公平地进行信息披露，通过电话和投资者关系互动平台等多种方式与投资者进行沟通交流，提</w:t>
      </w:r>
      <w:r>
        <w:rPr>
          <w:spacing w:val="-85"/>
        </w:rPr>
        <w:t> </w:t>
      </w:r>
      <w:r>
        <w:rPr>
          <w:spacing w:val="-85"/>
        </w:rPr>
      </w:r>
      <w:r>
        <w:rPr>
          <w:spacing w:val="-1"/>
        </w:rPr>
        <w:t>高了公司的透明度和诚信度。公司财务政策稳健，与供应商及其他债权人保持长期的良好合作，保证了供</w:t>
      </w:r>
      <w:r>
        <w:rPr>
          <w:spacing w:val="-83"/>
        </w:rPr>
        <w:t> </w:t>
      </w:r>
      <w:r>
        <w:rPr>
          <w:spacing w:val="-83"/>
        </w:rPr>
      </w:r>
      <w:r>
        <w:rPr/>
        <w:t>应商及债权人的利益。</w:t>
      </w:r>
    </w:p>
    <w:p>
      <w:pPr>
        <w:pStyle w:val="BodyText"/>
        <w:spacing w:line="386" w:lineRule="auto" w:before="48"/>
        <w:ind w:left="574" w:right="0"/>
        <w:jc w:val="left"/>
      </w:pPr>
      <w:r>
        <w:rPr/>
        <w:t>（</w:t>
      </w:r>
      <w:r>
        <w:rPr>
          <w:rFonts w:ascii="Times New Roman" w:hAnsi="Times New Roman" w:cs="Times New Roman" w:eastAsia="Times New Roman" w:hint="default"/>
        </w:rPr>
        <w:t>1</w:t>
      </w:r>
      <w:r>
        <w:rPr/>
        <w:t>）职工权益保护 公司将</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作为人才工作的根本理念，大力倡导</w:t>
      </w:r>
      <w:r>
        <w:rPr>
          <w:rFonts w:ascii="Times New Roman" w:hAnsi="Times New Roman" w:cs="Times New Roman" w:eastAsia="Times New Roman" w:hint="default"/>
        </w:rPr>
        <w:t>“</w:t>
      </w:r>
      <w:r>
        <w:rPr/>
        <w:t>关注员工成长，关怀员工健康</w:t>
      </w:r>
      <w:r>
        <w:rPr>
          <w:rFonts w:ascii="Times New Roman" w:hAnsi="Times New Roman" w:cs="Times New Roman" w:eastAsia="Times New Roman" w:hint="default"/>
        </w:rPr>
        <w:t>”</w:t>
      </w:r>
      <w:r>
        <w:rPr/>
        <w:t>，持续发挥工</w:t>
      </w:r>
    </w:p>
    <w:p>
      <w:pPr>
        <w:pStyle w:val="BodyText"/>
        <w:spacing w:line="403" w:lineRule="auto" w:before="35"/>
        <w:ind w:right="1023"/>
        <w:jc w:val="left"/>
      </w:pPr>
      <w:r>
        <w:rPr/>
        <w:t>会在公司经营管理中的作用，通过工会切实维护职工合法权益，充分给予职工参与公司民主决策、民主管 理和民主监督的权力，尊重员工，积极采纳员工合理化建议，听取职工的意见和要求，关心职工生活，帮 </w:t>
      </w:r>
      <w:r>
        <w:rPr>
          <w:spacing w:val="-3"/>
        </w:rPr>
        <w:t>助职工解决困难。公司不断改善工作环境，为员工提供安全、环保、优美的工作环境；关心员工身心健康，</w:t>
      </w:r>
      <w:r>
        <w:rPr>
          <w:spacing w:val="-94"/>
        </w:rPr>
        <w:t> </w:t>
      </w:r>
      <w:r>
        <w:rPr>
          <w:spacing w:val="-94"/>
        </w:rPr>
      </w:r>
      <w:r>
        <w:rPr/>
        <w:t>定期组织员工体检，为员工提供</w:t>
      </w:r>
      <w:r>
        <w:rPr>
          <w:rFonts w:ascii="Times New Roman" w:hAnsi="Times New Roman" w:cs="Times New Roman" w:eastAsia="Times New Roman" w:hint="default"/>
        </w:rPr>
        <w:t>“</w:t>
      </w:r>
      <w:r>
        <w:rPr/>
        <w:t>五险一金</w:t>
      </w:r>
      <w:r>
        <w:rPr>
          <w:rFonts w:ascii="Times New Roman" w:hAnsi="Times New Roman" w:cs="Times New Roman" w:eastAsia="Times New Roman" w:hint="default"/>
        </w:rPr>
        <w:t>”</w:t>
      </w:r>
      <w:r>
        <w:rPr/>
        <w:t>保障；不断完善人力资源管理体系与考核激励机制，打造职工 职业晋升通道，为其提供施展才华的平台，帮助职工实现自我价值。</w:t>
      </w:r>
    </w:p>
    <w:p>
      <w:pPr>
        <w:pStyle w:val="BodyText"/>
        <w:spacing w:line="386" w:lineRule="auto" w:before="50"/>
        <w:ind w:left="490" w:right="0" w:firstLine="84"/>
        <w:jc w:val="left"/>
      </w:pPr>
      <w:r>
        <w:rPr/>
        <w:t>（</w:t>
      </w:r>
      <w:r>
        <w:rPr>
          <w:rFonts w:ascii="Times New Roman" w:hAnsi="Times New Roman" w:cs="Times New Roman" w:eastAsia="Times New Roman" w:hint="default"/>
        </w:rPr>
        <w:t>2</w:t>
      </w:r>
      <w:r>
        <w:rPr/>
        <w:t>）客户和消费者权益保护 公司坚持</w:t>
      </w:r>
      <w:r>
        <w:rPr>
          <w:rFonts w:ascii="Times New Roman" w:hAnsi="Times New Roman" w:cs="Times New Roman" w:eastAsia="Times New Roman" w:hint="default"/>
        </w:rPr>
        <w:t>“</w:t>
      </w:r>
      <w:r>
        <w:rPr/>
        <w:t>市场为先，客户至上</w:t>
      </w:r>
      <w:r>
        <w:rPr>
          <w:rFonts w:ascii="Times New Roman" w:hAnsi="Times New Roman" w:cs="Times New Roman" w:eastAsia="Times New Roman" w:hint="default"/>
        </w:rPr>
        <w:t>”</w:t>
      </w:r>
      <w:r>
        <w:rPr/>
        <w:t>，视产品与服务质量为生命，信守承诺，诚信经营，竭诚为客户提供</w:t>
      </w:r>
    </w:p>
    <w:p>
      <w:pPr>
        <w:pStyle w:val="BodyText"/>
        <w:spacing w:line="408" w:lineRule="auto" w:before="35"/>
        <w:ind w:right="1023"/>
        <w:jc w:val="left"/>
      </w:pPr>
      <w:r>
        <w:rPr>
          <w:spacing w:val="-3"/>
        </w:rPr>
        <w:t>优质产品和及时、细致、周到的服务，定期开展客户满意度调查，跟踪考察项目实施情况，确保项目质量。</w:t>
      </w:r>
      <w:r>
        <w:rPr>
          <w:spacing w:val="-94"/>
        </w:rPr>
        <w:t> </w:t>
      </w:r>
      <w:r>
        <w:rPr>
          <w:spacing w:val="-94"/>
        </w:rPr>
      </w:r>
      <w:r>
        <w:rPr/>
        <w:t>加强员工技能培训，不断提升业务水平，以标杆式的示范项目引导员工</w:t>
      </w:r>
      <w:r>
        <w:rPr>
          <w:rFonts w:ascii="Times New Roman" w:hAnsi="Times New Roman" w:cs="Times New Roman" w:eastAsia="Times New Roman" w:hint="default"/>
        </w:rPr>
        <w:t>“</w:t>
      </w:r>
      <w:r>
        <w:rPr/>
        <w:t>精益求精，追求卓越</w:t>
      </w:r>
      <w:r>
        <w:rPr>
          <w:rFonts w:ascii="Times New Roman" w:hAnsi="Times New Roman" w:cs="Times New Roman" w:eastAsia="Times New Roman" w:hint="default"/>
        </w:rPr>
        <w:t>”</w:t>
      </w:r>
      <w:r>
        <w:rPr/>
        <w:t>，获得行业</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客户充分的信赖与肯定，与客户建立起长期合作的良好关系。</w:t>
      </w:r>
    </w:p>
    <w:p>
      <w:pPr>
        <w:spacing w:line="240" w:lineRule="auto" w:before="10"/>
        <w:rPr>
          <w:rFonts w:ascii="宋体" w:hAnsi="宋体" w:cs="宋体" w:eastAsia="宋体" w:hint="default"/>
          <w:sz w:val="14"/>
          <w:szCs w:val="14"/>
        </w:rPr>
      </w:pPr>
    </w:p>
    <w:p>
      <w:pPr>
        <w:pStyle w:val="BodyText"/>
        <w:spacing w:line="386" w:lineRule="auto"/>
        <w:ind w:left="574" w:right="1116" w:hanging="84"/>
        <w:jc w:val="left"/>
      </w:pPr>
      <w:r>
        <w:rPr/>
        <w:t>（</w:t>
      </w:r>
      <w:r>
        <w:rPr>
          <w:rFonts w:ascii="Times New Roman" w:hAnsi="Times New Roman" w:cs="Times New Roman" w:eastAsia="Times New Roman" w:hint="default"/>
        </w:rPr>
        <w:t>3</w:t>
      </w:r>
      <w:r>
        <w:rPr/>
        <w:t>）履行其他社会责任 公司践行</w:t>
      </w:r>
      <w:r>
        <w:rPr>
          <w:rFonts w:ascii="Times New Roman" w:hAnsi="Times New Roman" w:cs="Times New Roman" w:eastAsia="Times New Roman" w:hint="default"/>
        </w:rPr>
        <w:t>“</w:t>
      </w:r>
      <w:r>
        <w:rPr/>
        <w:t>服务国家，回报社会</w:t>
      </w:r>
      <w:r>
        <w:rPr>
          <w:rFonts w:ascii="Times New Roman" w:hAnsi="Times New Roman" w:cs="Times New Roman" w:eastAsia="Times New Roman" w:hint="default"/>
        </w:rPr>
        <w:t>”</w:t>
      </w:r>
      <w:r>
        <w:rPr/>
        <w:t>，通过长期开展院地合作，带动地方企业提高经济效益，创造了较高</w:t>
      </w:r>
    </w:p>
    <w:p>
      <w:pPr>
        <w:pStyle w:val="BodyText"/>
        <w:spacing w:line="398" w:lineRule="auto" w:before="36"/>
        <w:ind w:right="1023"/>
        <w:jc w:val="left"/>
      </w:pPr>
      <w:r>
        <w:rPr/>
        <w:t>的社会效益；积极参与中科院科教融合工作，代中国科学院大学开展计算机软件与理论等专业方向的研究 生培养，报告期内为社会输送博士研究生</w:t>
      </w:r>
      <w:r>
        <w:rPr>
          <w:rFonts w:ascii="Times New Roman" w:hAnsi="Times New Roman" w:cs="Times New Roman" w:eastAsia="Times New Roman" w:hint="default"/>
        </w:rPr>
        <w:t>8</w:t>
      </w:r>
      <w:r>
        <w:rPr/>
        <w:t>人，硕士研究生</w:t>
      </w:r>
      <w:r>
        <w:rPr>
          <w:rFonts w:ascii="Times New Roman" w:hAnsi="Times New Roman" w:cs="Times New Roman" w:eastAsia="Times New Roman" w:hint="default"/>
        </w:rPr>
        <w:t>18</w:t>
      </w:r>
      <w:r>
        <w:rPr/>
        <w:t>人；同时还积极参与行业协会管理工作，长</w:t>
      </w:r>
      <w:r>
        <w:rPr>
          <w:spacing w:val="-29"/>
        </w:rPr>
        <w:t> </w:t>
      </w:r>
      <w:r>
        <w:rPr>
          <w:spacing w:val="-29"/>
        </w:rPr>
      </w:r>
      <w:r>
        <w:rPr/>
        <w:t>期担任四川省计算机协会理事长单位；支撑政府相关部门的科技和产业政策咨询与研究，派出专家负责主</w:t>
      </w:r>
      <w:r>
        <w:rPr/>
        <w:t> </w:t>
      </w:r>
      <w:r>
        <w:rPr>
          <w:spacing w:val="-3"/>
        </w:rPr>
        <w:t>持编制了《成都市关于推动新一代人工智能发展的实施意见》和《四川省新一代人工智能发展实施方案》，</w:t>
      </w:r>
      <w:r>
        <w:rPr>
          <w:spacing w:val="-95"/>
        </w:rPr>
        <w:t> </w:t>
      </w:r>
      <w:r>
        <w:rPr>
          <w:spacing w:val="-95"/>
        </w:rPr>
      </w:r>
      <w:r>
        <w:rPr/>
        <w:t>推荐多名专家担任国家核心科技期刊《计算机应用》杂志的编委，提升了本公司的社会影响力。公司积极</w:t>
      </w:r>
      <w:r>
        <w:rPr/>
        <w:t> 依法纳税，贯彻国家环保政策，为残疾人提供就业机会。响应国家精准扶贫号召，在精准扶贫对口单位</w:t>
      </w:r>
      <w:r>
        <w:rPr>
          <w:rFonts w:ascii="Times New Roman" w:hAnsi="Times New Roman" w:cs="Times New Roman" w:eastAsia="Times New Roman" w:hint="default"/>
        </w:rPr>
        <w:t>— </w:t>
      </w:r>
      <w:r>
        <w:rPr/>
        <w:t>四川省广元市利州区大石镇青岭村（全村贫困户</w:t>
      </w:r>
      <w:r>
        <w:rPr>
          <w:rFonts w:ascii="Times New Roman" w:hAnsi="Times New Roman" w:cs="Times New Roman" w:eastAsia="Times New Roman" w:hint="default"/>
        </w:rPr>
        <w:t>29</w:t>
      </w:r>
      <w:r>
        <w:rPr/>
        <w:t>户，</w:t>
      </w:r>
      <w:r>
        <w:rPr>
          <w:rFonts w:ascii="Times New Roman" w:hAnsi="Times New Roman" w:cs="Times New Roman" w:eastAsia="Times New Roman" w:hint="default"/>
        </w:rPr>
        <w:t>110</w:t>
      </w:r>
      <w:r>
        <w:rPr/>
        <w:t>人）持续开展精准扶贫活动，通过开展</w:t>
      </w:r>
      <w:r>
        <w:rPr>
          <w:rFonts w:ascii="Times New Roman" w:hAnsi="Times New Roman" w:cs="Times New Roman" w:eastAsia="Times New Roman" w:hint="default"/>
        </w:rPr>
        <w:t>“</w:t>
      </w:r>
      <w:r>
        <w:rPr/>
        <w:t>发展食 </w:t>
      </w:r>
      <w:r>
        <w:rPr>
          <w:spacing w:val="-2"/>
        </w:rPr>
        <w:t>用菌产业扶贫项目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安全优质水稻的试验示范和订单种植推广</w:t>
      </w:r>
      <w:r>
        <w:rPr>
          <w:rFonts w:ascii="Times New Roman" w:hAnsi="Times New Roman" w:cs="Times New Roman" w:eastAsia="Times New Roman" w:hint="default"/>
          <w:spacing w:val="-2"/>
        </w:rPr>
        <w:t>”</w:t>
      </w:r>
      <w:r>
        <w:rPr>
          <w:spacing w:val="-2"/>
        </w:rPr>
        <w:t>等扶贫项目，培训、引导贫困村发展优势</w:t>
      </w:r>
      <w:r>
        <w:rPr>
          <w:spacing w:val="-103"/>
        </w:rPr>
        <w:t> </w:t>
      </w:r>
      <w:r>
        <w:rPr>
          <w:spacing w:val="-103"/>
        </w:rPr>
      </w:r>
      <w:r>
        <w:rPr/>
        <w:t>产业，以实际行动帮助其</w:t>
      </w:r>
      <w:r>
        <w:rPr>
          <w:rFonts w:ascii="Times New Roman" w:hAnsi="Times New Roman" w:cs="Times New Roman" w:eastAsia="Times New Roman" w:hint="default"/>
        </w:rPr>
        <w:t>“</w:t>
      </w:r>
      <w:r>
        <w:rPr/>
        <w:t>脱贫摘帽</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pStyle w:val="BodyText"/>
        <w:spacing w:line="690" w:lineRule="exact" w:before="15"/>
        <w:ind w:left="574" w:right="1092" w:hanging="420"/>
        <w:jc w:val="left"/>
      </w:pPr>
      <w:bookmarkStart w:name="（1）精准扶贫规划" w:id="98"/>
      <w:bookmarkEnd w:id="98"/>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w w:val="99"/>
        </w:rPr>
        <w:t> </w:t>
      </w:r>
      <w:r>
        <w:rPr/>
        <w:t>根据国家、科学院、四川省和成都分院扶贫工作部署，公司党委高度重视精准扶贫工作，统一思想，</w:t>
      </w:r>
    </w:p>
    <w:p>
      <w:pPr>
        <w:pStyle w:val="BodyText"/>
        <w:spacing w:line="386" w:lineRule="auto" w:before="84"/>
        <w:ind w:right="0"/>
        <w:jc w:val="left"/>
      </w:pPr>
      <w:r>
        <w:rPr>
          <w:spacing w:val="-1"/>
        </w:rPr>
        <w:t>提高认识，明确目标，强化扶贫工作队伍，扎实开展扶贫工作，打好精准扶贫攻坚战，抓好</w:t>
      </w:r>
      <w:r>
        <w:rPr>
          <w:rFonts w:ascii="Times New Roman" w:hAnsi="Times New Roman" w:cs="Times New Roman" w:eastAsia="Times New Roman" w:hint="default"/>
          <w:spacing w:val="-1"/>
        </w:rPr>
        <w:t>2018</w:t>
      </w:r>
      <w:r>
        <w:rPr>
          <w:spacing w:val="-1"/>
        </w:rPr>
        <w:t>年扶贫专</w:t>
      </w:r>
      <w:r>
        <w:rPr>
          <w:spacing w:val="-79"/>
        </w:rPr>
        <w:t> </w:t>
      </w:r>
      <w:r>
        <w:rPr>
          <w:spacing w:val="-79"/>
        </w:rPr>
      </w:r>
      <w:r>
        <w:rPr/>
        <w:t>项计划等各项工作的实施。</w:t>
      </w:r>
    </w:p>
    <w:p>
      <w:pPr>
        <w:pStyle w:val="BodyText"/>
        <w:spacing w:line="240" w:lineRule="auto" w:before="106"/>
        <w:ind w:left="574" w:right="0"/>
        <w:jc w:val="left"/>
      </w:pPr>
      <w:r>
        <w:rPr/>
        <w:t>报告期内，公司在中国科学院成都分院扶贫工作领导小组总体指导下开展工作，主要内容如下：</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rFonts w:ascii="Times New Roman" w:hAnsi="Times New Roman" w:cs="Times New Roman" w:eastAsia="Times New Roman" w:hint="default"/>
        </w:rPr>
        <w:t>1</w:t>
      </w:r>
      <w:r>
        <w:rPr/>
        <w:t>、制定工作计划，抓好落实，确保青岭村绿色稻麦、绿色果蔬、乡村旅游等产业持续推进。</w:t>
      </w:r>
    </w:p>
    <w:p>
      <w:pPr>
        <w:spacing w:line="240" w:lineRule="auto" w:before="8"/>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2</w:t>
      </w:r>
      <w:r>
        <w:rPr/>
        <w:t>、抓好项目扶贫组织实施，确保产业项目顺利进行，促进集体经济快速增长。</w:t>
      </w:r>
    </w:p>
    <w:p>
      <w:pPr>
        <w:spacing w:line="240" w:lineRule="auto" w:before="8"/>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3</w:t>
      </w:r>
      <w:r>
        <w:rPr/>
        <w:t>、加大对贫困户（相对低收入家庭）参与产业项目的工作，提高贫困户经济收入。</w:t>
      </w:r>
    </w:p>
    <w:p>
      <w:pPr>
        <w:spacing w:line="240" w:lineRule="auto" w:before="8"/>
        <w:rPr>
          <w:rFonts w:ascii="宋体" w:hAnsi="宋体" w:cs="宋体" w:eastAsia="宋体" w:hint="default"/>
          <w:sz w:val="16"/>
          <w:szCs w:val="16"/>
        </w:rPr>
      </w:pPr>
    </w:p>
    <w:p>
      <w:pPr>
        <w:pStyle w:val="BodyText"/>
        <w:spacing w:line="240" w:lineRule="auto"/>
        <w:ind w:left="522" w:right="0"/>
        <w:jc w:val="left"/>
      </w:pPr>
      <w:r>
        <w:rPr>
          <w:rFonts w:ascii="Times New Roman" w:hAnsi="Times New Roman" w:cs="Times New Roman" w:eastAsia="Times New Roman" w:hint="default"/>
        </w:rPr>
        <w:t>4</w:t>
      </w:r>
      <w:r>
        <w:rPr/>
        <w:t>、配合省、市其他扶贫单位，共同搞好青岭村整体发展建设，加快全面实现小康步伐。</w:t>
      </w:r>
    </w:p>
    <w:p>
      <w:pPr>
        <w:spacing w:line="670" w:lineRule="atLeast" w:before="21"/>
        <w:ind w:left="574" w:right="0" w:hanging="420"/>
        <w:jc w:val="left"/>
        <w:rPr>
          <w:rFonts w:ascii="宋体" w:hAnsi="宋体" w:cs="宋体" w:eastAsia="宋体" w:hint="default"/>
          <w:sz w:val="21"/>
          <w:szCs w:val="21"/>
        </w:rPr>
      </w:pPr>
      <w:bookmarkStart w:name="（2）年度精准扶贫概要"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报告期内，公司通过帮助、指导青岭村发展高效农业、绿色稻麦及稻鱼混养等生态特色产业，实现稻</w:t>
      </w:r>
    </w:p>
    <w:p>
      <w:pPr>
        <w:spacing w:line="240" w:lineRule="auto" w:before="10"/>
        <w:rPr>
          <w:rFonts w:ascii="宋体" w:hAnsi="宋体" w:cs="宋体" w:eastAsia="宋体" w:hint="default"/>
          <w:sz w:val="14"/>
          <w:szCs w:val="14"/>
        </w:rPr>
      </w:pPr>
    </w:p>
    <w:p>
      <w:pPr>
        <w:pStyle w:val="BodyText"/>
        <w:spacing w:line="386" w:lineRule="auto"/>
        <w:ind w:right="1026"/>
        <w:jc w:val="both"/>
      </w:pPr>
      <w:r>
        <w:rPr/>
        <w:t>鱼共生种植基地面积</w:t>
      </w:r>
      <w:r>
        <w:rPr>
          <w:rFonts w:ascii="Times New Roman" w:hAnsi="Times New Roman" w:cs="Times New Roman" w:eastAsia="Times New Roman" w:hint="default"/>
        </w:rPr>
        <w:t>640</w:t>
      </w:r>
      <w:r>
        <w:rPr/>
        <w:t>亩、果蔬基地</w:t>
      </w:r>
      <w:r>
        <w:rPr>
          <w:rFonts w:ascii="Times New Roman" w:hAnsi="Times New Roman" w:cs="Times New Roman" w:eastAsia="Times New Roman" w:hint="default"/>
        </w:rPr>
        <w:t>240</w:t>
      </w:r>
      <w:r>
        <w:rPr/>
        <w:t>亩。为带动乡村旅游、产业增收，组织实施旅游扶贫示范村、环 境优美示范村等项目，帮助</w:t>
      </w:r>
      <w:r>
        <w:rPr>
          <w:rFonts w:ascii="Times New Roman" w:hAnsi="Times New Roman" w:cs="Times New Roman" w:eastAsia="Times New Roman" w:hint="default"/>
        </w:rPr>
        <w:t>1</w:t>
      </w:r>
      <w:r>
        <w:rPr/>
        <w:t>户村民开展民宿旅游项目，效益明显。针对稻鱼混养、种植技术、旅游示范</w:t>
      </w:r>
      <w:r>
        <w:rPr>
          <w:spacing w:val="-31"/>
        </w:rPr>
        <w:t> </w:t>
      </w:r>
      <w:r>
        <w:rPr>
          <w:spacing w:val="-31"/>
        </w:rPr>
      </w:r>
      <w:r>
        <w:rPr>
          <w:spacing w:val="-1"/>
        </w:rPr>
        <w:t>村等项目开展农业科技培训，受训人员</w:t>
      </w:r>
      <w:r>
        <w:rPr>
          <w:rFonts w:ascii="Times New Roman" w:hAnsi="Times New Roman" w:cs="Times New Roman" w:eastAsia="Times New Roman" w:hint="default"/>
          <w:spacing w:val="-1"/>
        </w:rPr>
        <w:t>250</w:t>
      </w:r>
      <w:r>
        <w:rPr>
          <w:spacing w:val="-1"/>
        </w:rPr>
        <w:t>余人次。同时公司还坚持开展走访慰问活动，为村民排忧解难，</w:t>
      </w:r>
    </w:p>
    <w:p>
      <w:pPr>
        <w:spacing w:after="0" w:line="386"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86" w:lineRule="auto" w:before="35"/>
        <w:ind w:right="1110"/>
        <w:jc w:val="both"/>
      </w:pPr>
      <w:r>
        <w:rPr/>
        <w:t>完成春节走访慰问贫困户</w:t>
      </w:r>
      <w:r>
        <w:rPr>
          <w:rFonts w:ascii="Times New Roman" w:hAnsi="Times New Roman" w:cs="Times New Roman" w:eastAsia="Times New Roman" w:hint="default"/>
        </w:rPr>
        <w:t>30</w:t>
      </w:r>
      <w:r>
        <w:rPr/>
        <w:t>户；完成与利州区体育局、旅游局、青岭村委会联合开展的送文化下乡活动， </w:t>
      </w:r>
      <w:r>
        <w:rPr>
          <w:spacing w:val="2"/>
        </w:rPr>
        <w:t>丰富了青岭村村民的物质文化生活。投入扶贫项目资金</w:t>
      </w:r>
      <w:r>
        <w:rPr>
          <w:rFonts w:ascii="Times New Roman" w:hAnsi="Times New Roman" w:cs="Times New Roman" w:eastAsia="Times New Roman" w:hint="default"/>
          <w:spacing w:val="2"/>
        </w:rPr>
        <w:t>10</w:t>
      </w:r>
      <w:r>
        <w:rPr>
          <w:spacing w:val="2"/>
        </w:rPr>
        <w:t>万，开展以购代扶、以培代扶合作项目经费</w:t>
      </w:r>
      <w:r>
        <w:rPr>
          <w:rFonts w:ascii="Times New Roman" w:hAnsi="Times New Roman" w:cs="Times New Roman" w:eastAsia="Times New Roman" w:hint="default"/>
          <w:spacing w:val="2"/>
        </w:rPr>
        <w:t>9.2</w:t>
      </w:r>
      <w:r>
        <w:rPr>
          <w:rFonts w:ascii="Times New Roman" w:hAnsi="Times New Roman" w:cs="Times New Roman" w:eastAsia="Times New Roman" w:hint="default"/>
          <w:spacing w:val="-22"/>
        </w:rPr>
        <w:t> </w:t>
      </w:r>
      <w:r>
        <w:rPr/>
        <w:t>万。通过公司的精准扶贫工作，</w:t>
      </w:r>
      <w:r>
        <w:rPr>
          <w:rFonts w:ascii="Times New Roman" w:hAnsi="Times New Roman" w:cs="Times New Roman" w:eastAsia="Times New Roman" w:hint="default"/>
        </w:rPr>
        <w:t>2018</w:t>
      </w:r>
      <w:r>
        <w:rPr/>
        <w:t>年全村人均收入</w:t>
      </w:r>
      <w:r>
        <w:rPr>
          <w:rFonts w:ascii="Times New Roman" w:hAnsi="Times New Roman" w:cs="Times New Roman" w:eastAsia="Times New Roman" w:hint="default"/>
        </w:rPr>
        <w:t>12668</w:t>
      </w:r>
      <w:r>
        <w:rPr/>
        <w:t>元，实现脱贫摘帽；贫困户人均收入</w:t>
      </w:r>
      <w:r>
        <w:rPr>
          <w:rFonts w:ascii="Times New Roman" w:hAnsi="Times New Roman" w:cs="Times New Roman" w:eastAsia="Times New Roman" w:hint="default"/>
        </w:rPr>
        <w:t>8231</w:t>
      </w:r>
      <w:r>
        <w:rPr/>
        <w:t>元，</w:t>
      </w:r>
      <w:r>
        <w:rPr>
          <w:spacing w:val="-25"/>
        </w:rPr>
        <w:t> </w:t>
      </w:r>
      <w:r>
        <w:rPr>
          <w:rFonts w:ascii="Times New Roman" w:hAnsi="Times New Roman" w:cs="Times New Roman" w:eastAsia="Times New Roman" w:hint="default"/>
        </w:rPr>
        <w:t>54</w:t>
      </w:r>
      <w:r>
        <w:rPr/>
        <w:t>户贫困户全部实现脱贫。</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97"/>
        <w:gridCol w:w="1558"/>
        <w:gridCol w:w="4403"/>
      </w:tblGrid>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农林产业扶贫</w:t>
            </w:r>
            <w:r>
              <w:rPr>
                <w:rFonts w:ascii="Times New Roman" w:hAnsi="Times New Roman" w:cs="Times New Roman" w:eastAsia="Times New Roman" w:hint="default"/>
                <w:sz w:val="18"/>
                <w:szCs w:val="18"/>
              </w:rPr>
              <w:t>;</w:t>
            </w:r>
            <w:r>
              <w:rPr>
                <w:rFonts w:ascii="宋体" w:hAnsi="宋体" w:cs="宋体" w:eastAsia="宋体" w:hint="default"/>
                <w:sz w:val="18"/>
                <w:szCs w:val="18"/>
              </w:rPr>
              <w:t>科技扶贫</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产业发展脱贫项目个数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职业技能培训投入金额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职业技能培训人数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161" w:hRule="exact"/>
        </w:trPr>
        <w:tc>
          <w:tcPr>
            <w:tcW w:w="3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帮助建档立卡贫困户实现就业</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3597" w:type="dxa"/>
            <w:vMerge/>
            <w:tcBorders>
              <w:left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vMerge/>
            <w:tcBorders>
              <w:left w:val="single" w:sz="9" w:space="0" w:color="D2D2D2"/>
              <w:right w:val="single" w:sz="4" w:space="0" w:color="000000"/>
            </w:tcBorders>
          </w:tcPr>
          <w:p>
            <w:pPr/>
          </w:p>
        </w:tc>
      </w:tr>
      <w:tr>
        <w:trPr>
          <w:trHeight w:val="161" w:hRule="exact"/>
        </w:trPr>
        <w:tc>
          <w:tcPr>
            <w:tcW w:w="3597"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4403" w:type="dxa"/>
            <w:vMerge/>
            <w:tcBorders>
              <w:left w:val="single" w:sz="9" w:space="0" w:color="D2D2D2"/>
              <w:bottom w:val="single" w:sz="4" w:space="0" w:color="000000"/>
              <w:right w:val="single" w:sz="4" w:space="0" w:color="000000"/>
            </w:tcBorders>
          </w:tcPr>
          <w:p>
            <w:pP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帮助搬迁户就业人数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3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3597" w:type="dxa"/>
            <w:vMerge/>
            <w:tcBorders>
              <w:left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vMerge/>
            <w:tcBorders>
              <w:left w:val="single" w:sz="9" w:space="0" w:color="D2D2D2"/>
              <w:right w:val="single" w:sz="4" w:space="0" w:color="000000"/>
            </w:tcBorders>
          </w:tcPr>
          <w:p>
            <w:pPr/>
          </w:p>
        </w:tc>
      </w:tr>
      <w:tr>
        <w:trPr>
          <w:trHeight w:val="161" w:hRule="exact"/>
        </w:trPr>
        <w:tc>
          <w:tcPr>
            <w:tcW w:w="3597"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4403" w:type="dxa"/>
            <w:vMerge/>
            <w:tcBorders>
              <w:left w:val="single" w:sz="9" w:space="0" w:color="D2D2D2"/>
              <w:bottom w:val="single" w:sz="4" w:space="0" w:color="000000"/>
              <w:right w:val="single" w:sz="4" w:space="0" w:color="000000"/>
            </w:tcBorders>
          </w:tcPr>
          <w:p>
            <w:pP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597" w:type="dxa"/>
            <w:vMerge w:val="restart"/>
            <w:tcBorders>
              <w:top w:val="single" w:sz="4" w:space="0" w:color="000000"/>
              <w:left w:val="single" w:sz="4" w:space="0" w:color="000000"/>
              <w:right w:val="single" w:sz="4" w:space="0" w:color="000000"/>
            </w:tcBorders>
            <w:shd w:val="clear" w:color="auto" w:fill="D2D2D2"/>
          </w:tcPr>
          <w:p>
            <w:pPr>
              <w:pStyle w:val="TableParagraph"/>
              <w:tabs>
                <w:tab w:pos="1091" w:val="left" w:leader="none"/>
              </w:tabs>
              <w:spacing w:line="302"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贫困地区医疗卫生资源投入 金额</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3597" w:type="dxa"/>
            <w:vMerge/>
            <w:tcBorders>
              <w:left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vMerge/>
            <w:tcBorders>
              <w:left w:val="single" w:sz="9" w:space="0" w:color="D2D2D2"/>
              <w:right w:val="single" w:sz="4" w:space="0" w:color="000000"/>
            </w:tcBorders>
          </w:tcPr>
          <w:p>
            <w:pPr/>
          </w:p>
        </w:tc>
      </w:tr>
      <w:tr>
        <w:trPr>
          <w:trHeight w:val="161" w:hRule="exact"/>
        </w:trPr>
        <w:tc>
          <w:tcPr>
            <w:tcW w:w="3597"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4403" w:type="dxa"/>
            <w:vMerge/>
            <w:tcBorders>
              <w:left w:val="single" w:sz="9" w:space="0" w:color="D2D2D2"/>
              <w:bottom w:val="single" w:sz="4" w:space="0" w:color="000000"/>
              <w:right w:val="single" w:sz="4" w:space="0" w:color="000000"/>
            </w:tcBorders>
          </w:tcPr>
          <w:p>
            <w:pP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投入金额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613"/>
        <w:gridCol w:w="1542"/>
        <w:gridCol w:w="4403"/>
      </w:tblGrid>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7.1“</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帮助</w:t>
            </w:r>
            <w:r>
              <w:rPr>
                <w:rFonts w:ascii="Times New Roman" w:hAnsi="Times New Roman" w:cs="Times New Roman" w:eastAsia="Times New Roman" w:hint="default"/>
                <w:sz w:val="18"/>
                <w:szCs w:val="18"/>
              </w:rPr>
              <w:t>“</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贫困残疾人投入金额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帮助贫困残疾人数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东西部扶贫协作投入金额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扶贫公益基金投入金额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14"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1" w:right="90" w:firstLine="90"/>
              <w:jc w:val="left"/>
              <w:rPr>
                <w:rFonts w:ascii="宋体" w:hAnsi="宋体" w:cs="宋体" w:eastAsia="宋体" w:hint="default"/>
                <w:sz w:val="18"/>
                <w:szCs w:val="18"/>
              </w:rPr>
            </w:pPr>
            <w:r>
              <w:rPr>
                <w:rFonts w:ascii="宋体" w:hAnsi="宋体" w:cs="宋体" w:eastAsia="宋体" w:hint="default"/>
                <w:sz w:val="18"/>
                <w:szCs w:val="18"/>
              </w:rPr>
              <w:t>中共四川省委</w:t>
            </w:r>
            <w:r>
              <w:rPr>
                <w:rFonts w:ascii="宋体" w:hAnsi="宋体" w:cs="宋体" w:eastAsia="宋体" w:hint="default"/>
                <w:spacing w:val="-1"/>
                <w:sz w:val="18"/>
                <w:szCs w:val="18"/>
              </w:rPr>
              <w:t> </w:t>
            </w:r>
            <w:r>
              <w:rPr>
                <w:rFonts w:ascii="宋体" w:hAnsi="宋体" w:cs="宋体" w:eastAsia="宋体" w:hint="default"/>
                <w:sz w:val="18"/>
                <w:szCs w:val="18"/>
              </w:rPr>
              <w:t>四川省人民政府授予的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年定点扶贫先进单位</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1" w:right="79"/>
              <w:jc w:val="left"/>
              <w:rPr>
                <w:rFonts w:ascii="宋体" w:hAnsi="宋体" w:cs="宋体" w:eastAsia="宋体" w:hint="default"/>
                <w:sz w:val="18"/>
                <w:szCs w:val="18"/>
              </w:rPr>
            </w:pPr>
            <w:r>
              <w:rPr>
                <w:rFonts w:ascii="宋体" w:hAnsi="宋体" w:cs="宋体" w:eastAsia="宋体" w:hint="default"/>
                <w:sz w:val="18"/>
                <w:szCs w:val="18"/>
              </w:rPr>
              <w:t>中共广元市利州区委 广元市利州区人民政府 授予的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年度脱贫攻坚驻村帮扶先进单 位</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1"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中共广元市委</w:t>
            </w:r>
            <w:r>
              <w:rPr>
                <w:rFonts w:ascii="宋体" w:hAnsi="宋体" w:cs="宋体" w:eastAsia="宋体" w:hint="default"/>
                <w:spacing w:val="-1"/>
                <w:sz w:val="18"/>
                <w:szCs w:val="18"/>
              </w:rPr>
              <w:t> </w:t>
            </w:r>
            <w:r>
              <w:rPr>
                <w:rFonts w:ascii="宋体" w:hAnsi="宋体" w:cs="宋体" w:eastAsia="宋体" w:hint="default"/>
                <w:sz w:val="18"/>
                <w:szCs w:val="18"/>
              </w:rPr>
              <w:t>广元市人民政府授予的</w:t>
            </w:r>
            <w:r>
              <w:rPr>
                <w:rFonts w:ascii="Times New Roman" w:hAnsi="Times New Roman" w:cs="Times New Roman" w:eastAsia="Times New Roman" w:hint="default"/>
                <w:sz w:val="18"/>
                <w:szCs w:val="18"/>
              </w:rPr>
              <w:t>“</w:t>
            </w:r>
            <w:r>
              <w:rPr>
                <w:rFonts w:ascii="宋体" w:hAnsi="宋体" w:cs="宋体" w:eastAsia="宋体" w:hint="default"/>
                <w:sz w:val="18"/>
                <w:szCs w:val="18"/>
              </w:rPr>
              <w:t>广元 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年度脱贫攻坚先进驻村帮扶单位</w:t>
            </w:r>
            <w:r>
              <w:rPr>
                <w:rFonts w:ascii="Times New Roman" w:hAnsi="Times New Roman" w:cs="Times New Roman" w:eastAsia="Times New Roman" w:hint="default"/>
                <w:sz w:val="18"/>
                <w:szCs w:val="18"/>
              </w:rPr>
              <w:t>”</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1071" w:firstLine="441"/>
        <w:jc w:val="left"/>
      </w:pPr>
      <w:r>
        <w:rPr>
          <w:rFonts w:ascii="Times New Roman" w:hAnsi="Times New Roman" w:cs="Times New Roman" w:eastAsia="Times New Roman" w:hint="default"/>
        </w:rPr>
        <w:t>2019</w:t>
      </w:r>
      <w:r>
        <w:rPr/>
        <w:t>年公司将继续按照国家扶贫战略部署，根据四川省扶贫办和成都分院扶贫工作领导小组的要求， 结合青岭村帮扶需要，认真扎实地开展扶贫工作，计划做好以下工作：</w:t>
      </w:r>
    </w:p>
    <w:p>
      <w:pPr>
        <w:pStyle w:val="BodyText"/>
        <w:spacing w:line="386" w:lineRule="auto" w:before="104"/>
        <w:ind w:right="1192" w:firstLine="441"/>
        <w:jc w:val="both"/>
      </w:pPr>
      <w:r>
        <w:rPr>
          <w:rFonts w:ascii="Times New Roman" w:hAnsi="Times New Roman" w:cs="Times New Roman" w:eastAsia="Times New Roman" w:hint="default"/>
        </w:rPr>
        <w:t>1</w:t>
      </w:r>
      <w:r>
        <w:rPr/>
        <w:t>、强化责任意识，提高帮扶工作效率。认真学习贯彻党中央和四川省委、成都分院关于攻坚扶贫工 作精神，进一步提高思想认识，全身心投入，尽职尽责完成扶贫工作任务。</w:t>
      </w:r>
    </w:p>
    <w:p>
      <w:pPr>
        <w:pStyle w:val="BodyText"/>
        <w:spacing w:line="398" w:lineRule="auto" w:before="103"/>
        <w:ind w:right="1133" w:firstLine="441"/>
        <w:jc w:val="both"/>
      </w:pPr>
      <w:r>
        <w:rPr>
          <w:rFonts w:ascii="Times New Roman" w:hAnsi="Times New Roman" w:cs="Times New Roman" w:eastAsia="Times New Roman" w:hint="default"/>
        </w:rPr>
        <w:t>2</w:t>
      </w:r>
      <w:r>
        <w:rPr/>
        <w:t>、加强组织协调，落实乡村振兴战略。积极参与协调青岭村乡村振兴战略示范村建设工作，持续开 </w:t>
      </w:r>
      <w:r>
        <w:rPr>
          <w:spacing w:val="-1"/>
        </w:rPr>
        <w:t>展稻鱼混养、小麦种植技术指导和培训，协助村民开展民宿、农家乐等乡村旅游建设，协调开展厨师培训</w:t>
      </w:r>
      <w:r>
        <w:rPr>
          <w:spacing w:val="-86"/>
        </w:rPr>
        <w:t> </w:t>
      </w:r>
      <w:r>
        <w:rPr>
          <w:spacing w:val="-86"/>
        </w:rPr>
      </w:r>
      <w:r>
        <w:rPr/>
        <w:t>工作。</w:t>
      </w:r>
    </w:p>
    <w:p>
      <w:pPr>
        <w:pStyle w:val="BodyText"/>
        <w:spacing w:line="386" w:lineRule="auto" w:before="93"/>
        <w:ind w:right="1190" w:firstLine="441"/>
        <w:jc w:val="both"/>
      </w:pPr>
      <w:r>
        <w:rPr>
          <w:rFonts w:ascii="Times New Roman" w:hAnsi="Times New Roman" w:cs="Times New Roman" w:eastAsia="Times New Roman" w:hint="default"/>
        </w:rPr>
        <w:t>3</w:t>
      </w:r>
      <w:r>
        <w:rPr/>
        <w:t>、开展党支部共建，发挥党支部战斗堡垒作用。计划与村党支部开展共建活动，支部成员与村</w:t>
      </w:r>
      <w:r>
        <w:rPr>
          <w:rFonts w:ascii="Times New Roman" w:hAnsi="Times New Roman" w:cs="Times New Roman" w:eastAsia="Times New Roman" w:hint="default"/>
        </w:rPr>
        <w:t>29</w:t>
      </w:r>
      <w:r>
        <w:rPr/>
        <w:t>户 贫困户结对帮扶，开展活动，切实为贫困户解困脱贫，提升其生产、生活水平，共同走向小康。</w:t>
      </w:r>
    </w:p>
    <w:p>
      <w:pPr>
        <w:pStyle w:val="BodyText"/>
        <w:spacing w:line="240" w:lineRule="auto" w:before="104"/>
        <w:ind w:left="595" w:right="0"/>
        <w:jc w:val="left"/>
      </w:pPr>
      <w:r>
        <w:rPr>
          <w:rFonts w:ascii="Times New Roman" w:hAnsi="Times New Roman" w:cs="Times New Roman" w:eastAsia="Times New Roman" w:hint="default"/>
        </w:rPr>
        <w:t>4</w:t>
      </w:r>
      <w:r>
        <w:rPr/>
        <w:t>、加强文化下乡，走访慰问活动。策划组织文化联谊活动，把先进文化送到青岭村民心中。公司领</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t>导和驻村帮扶干部要做到勤下乡、勤走访、勤慰问，多了解情况，多帮扶困难，确保扶贫工作务实高效。</w:t>
      </w:r>
    </w:p>
    <w:p>
      <w:pPr>
        <w:spacing w:line="240" w:lineRule="auto" w:before="0"/>
        <w:rPr>
          <w:rFonts w:ascii="宋体" w:hAnsi="宋体" w:cs="宋体" w:eastAsia="宋体" w:hint="default"/>
          <w:sz w:val="20"/>
          <w:szCs w:val="20"/>
        </w:rPr>
      </w:pPr>
    </w:p>
    <w:p>
      <w:pPr>
        <w:pStyle w:val="Heading4"/>
        <w:spacing w:line="240" w:lineRule="auto" w:before="152"/>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pStyle w:val="BodyText"/>
        <w:spacing w:line="240" w:lineRule="auto" w:before="2"/>
        <w:ind w:right="0"/>
        <w:jc w:val="left"/>
      </w:pPr>
      <w:r>
        <w:rPr/>
        <w:t>本公司及其子公司均不属于环境保护部门公布的重点排污单位。</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公司报告期不存在需要说明的其他重大事项。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-38,319,7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96,680,25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53.71%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37.41%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-1,029,30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66,308,70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37.59%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-37,290,4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-7,218,45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30,371,55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16.87%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37.59%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-37,290,4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-7,218,45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30,371,55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16.87%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38,319,75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58,319,75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83,319,75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46.29%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38,319,75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58,319,75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83,319,75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46.29%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4" w:lineRule="auto" w:before="153"/>
        <w:ind w:right="1131" w:firstLine="420"/>
        <w:jc w:val="left"/>
        <w:rPr>
          <w:sz w:val="18"/>
          <w:szCs w:val="18"/>
        </w:rPr>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日实施了</w:t>
      </w:r>
      <w:r>
        <w:rPr>
          <w:rFonts w:ascii="Times New Roman" w:hAnsi="Times New Roman" w:cs="Times New Roman" w:eastAsia="Times New Roman" w:hint="default"/>
        </w:rPr>
        <w:t>2017</w:t>
      </w:r>
      <w:r>
        <w:rPr/>
        <w:t>年年度权益分派方案，以资本公积金向全体股东每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 </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日起，恒合经纬、国科瑞祺、联升创投、科泰石油所持首发前限售股，以及宇中投资和全国社</w:t>
      </w:r>
      <w:r>
        <w:rPr>
          <w:spacing w:val="-81"/>
        </w:rPr>
        <w:t> </w:t>
      </w:r>
      <w:r>
        <w:rPr>
          <w:spacing w:val="-81"/>
        </w:rPr>
      </w:r>
      <w:r>
        <w:rPr>
          <w:spacing w:val="-1"/>
        </w:rPr>
        <w:t>会保障基金理事会转持一户所持的部分首发前限售股的股份锁定期</w:t>
      </w:r>
      <w:r>
        <w:rPr>
          <w:rFonts w:ascii="Times New Roman" w:hAnsi="Times New Roman" w:cs="Times New Roman" w:eastAsia="Times New Roman" w:hint="default"/>
          <w:spacing w:val="-1"/>
        </w:rPr>
        <w:t>12</w:t>
      </w:r>
      <w:r>
        <w:rPr>
          <w:spacing w:val="-1"/>
        </w:rPr>
        <w:t>个月已届满，股份解除锁定，具体见</w:t>
      </w:r>
      <w:r>
        <w:rPr>
          <w:spacing w:val="-81"/>
        </w:rPr>
        <w:t> </w:t>
      </w:r>
      <w:r>
        <w:rPr>
          <w:spacing w:val="-81"/>
        </w:rPr>
      </w:r>
      <w:r>
        <w:rPr/>
        <w:t>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日在巨潮网披露的公告，公告编号：</w:t>
      </w:r>
      <w:r>
        <w:rPr>
          <w:rFonts w:ascii="Times New Roman" w:hAnsi="Times New Roman" w:cs="Times New Roman" w:eastAsia="Times New Roman" w:hint="default"/>
        </w:rPr>
        <w:t>2018-032</w:t>
      </w:r>
      <w:r>
        <w:rPr/>
        <w:t>号和</w:t>
      </w:r>
      <w:r>
        <w:rPr>
          <w:rFonts w:ascii="Times New Roman" w:hAnsi="Times New Roman" w:cs="Times New Roman" w:eastAsia="Times New Roman" w:hint="default"/>
        </w:rPr>
        <w:t>2018-034</w:t>
      </w:r>
      <w:r>
        <w:rPr/>
        <w:t>号。 </w:t>
      </w:r>
      <w:r>
        <w:rPr>
          <w:sz w:val="18"/>
          <w:szCs w:val="18"/>
        </w:rPr>
        <w:t>股份变动的批准情况</w:t>
      </w:r>
    </w:p>
    <w:p>
      <w:pPr>
        <w:spacing w:before="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4"/>
        <w:ind w:right="1092" w:firstLine="420"/>
        <w:jc w:val="left"/>
      </w:pP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日分别召开的第二届董事会第十二次会议和</w:t>
      </w:r>
      <w:r>
        <w:rPr>
          <w:rFonts w:ascii="宋体" w:hAnsi="宋体" w:cs="宋体" w:eastAsia="宋体" w:hint="default"/>
        </w:rPr>
        <w:t>2017</w:t>
      </w:r>
      <w:r>
        <w:rPr/>
        <w:t>年度股东大会， 均审议并通过了《</w:t>
      </w:r>
      <w:r>
        <w:rPr>
          <w:rFonts w:ascii="宋体" w:hAnsi="宋体" w:cs="宋体" w:eastAsia="宋体" w:hint="default"/>
        </w:rPr>
        <w:t>2017</w:t>
      </w:r>
      <w:r>
        <w:rPr/>
        <w:t>年度净利润分配方案》，同意以现有公司总股本</w:t>
      </w:r>
      <w:r>
        <w:rPr>
          <w:rFonts w:ascii="宋体" w:hAnsi="宋体" w:cs="宋体" w:eastAsia="宋体" w:hint="default"/>
        </w:rPr>
        <w:t>100,000,000</w:t>
      </w:r>
      <w:r>
        <w:rPr/>
        <w:t>股为基数，以资本公 积金向全体股东每</w:t>
      </w:r>
      <w:r>
        <w:rPr>
          <w:rFonts w:ascii="宋体" w:hAnsi="宋体" w:cs="宋体" w:eastAsia="宋体" w:hint="default"/>
        </w:rPr>
        <w:t>10</w:t>
      </w:r>
      <w:r>
        <w:rPr/>
        <w:t>股转增</w:t>
      </w:r>
      <w:r>
        <w:rPr>
          <w:rFonts w:ascii="宋体" w:hAnsi="宋体" w:cs="宋体" w:eastAsia="宋体" w:hint="default"/>
        </w:rPr>
        <w:t>8</w:t>
      </w:r>
      <w:r>
        <w:rPr/>
        <w:t>股，合计转增</w:t>
      </w:r>
      <w:r>
        <w:rPr>
          <w:rFonts w:ascii="宋体" w:hAnsi="宋体" w:cs="宋体" w:eastAsia="宋体" w:hint="default"/>
        </w:rPr>
        <w:t>80,000,000</w:t>
      </w:r>
      <w:r>
        <w:rPr/>
        <w:t>股，本次转增后公司总股本增加为</w:t>
      </w:r>
      <w:r>
        <w:rPr>
          <w:rFonts w:ascii="宋体" w:hAnsi="宋体" w:cs="宋体" w:eastAsia="宋体" w:hint="default"/>
        </w:rPr>
        <w:t>180,000,000</w:t>
      </w:r>
      <w:r>
        <w:rPr/>
        <w:t>股。</w:t>
      </w:r>
    </w:p>
    <w:p>
      <w:pPr>
        <w:spacing w:after="0" w:line="408"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97" w:firstLine="420"/>
        <w:jc w:val="left"/>
      </w:pPr>
      <w:r>
        <w:rPr/>
        <w:t>公司所转增股份</w:t>
      </w:r>
      <w:r>
        <w:rPr>
          <w:rFonts w:ascii="宋体" w:hAnsi="宋体" w:cs="宋体" w:eastAsia="宋体" w:hint="default"/>
        </w:rPr>
        <w:t>80,000,000</w:t>
      </w:r>
      <w:r>
        <w:rPr/>
        <w:t>股，已由中国证券登记结算有限责任公司深圳分公司于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日直 接计入股东证券账户。</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0"/>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5" w:lineRule="auto" w:before="153"/>
        <w:ind w:right="0" w:firstLine="420"/>
        <w:jc w:val="left"/>
        <w:rPr>
          <w:sz w:val="18"/>
          <w:szCs w:val="18"/>
        </w:rPr>
      </w:pP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27</w:t>
      </w:r>
      <w:r>
        <w:rPr>
          <w:spacing w:val="-1"/>
        </w:rPr>
        <w:t>日，以截至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日公司股份总</w:t>
      </w:r>
      <w:r>
        <w:rPr>
          <w:rFonts w:ascii="宋体" w:hAnsi="宋体" w:cs="宋体" w:eastAsia="宋体" w:hint="default"/>
          <w:spacing w:val="-1"/>
        </w:rPr>
        <w:t>1</w:t>
      </w:r>
      <w:r>
        <w:rPr>
          <w:spacing w:val="-1"/>
        </w:rPr>
        <w:t>亿股为基数，以发行新股时所形成的资本</w:t>
      </w:r>
      <w:r>
        <w:rPr/>
        <w:t> </w:t>
      </w:r>
      <w:r>
        <w:rPr>
          <w:spacing w:val="-1"/>
        </w:rPr>
        <w:t>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8</w:t>
      </w:r>
      <w:r>
        <w:rPr>
          <w:spacing w:val="-1"/>
        </w:rPr>
        <w:t>股，共计转增</w:t>
      </w:r>
      <w:r>
        <w:rPr>
          <w:rFonts w:ascii="宋体" w:hAnsi="宋体" w:cs="宋体" w:eastAsia="宋体" w:hint="default"/>
          <w:spacing w:val="-1"/>
        </w:rPr>
        <w:t>8000</w:t>
      </w:r>
      <w:r>
        <w:rPr>
          <w:spacing w:val="-1"/>
        </w:rPr>
        <w:t>万股，转增后公司总股本增加至</w:t>
      </w:r>
      <w:r>
        <w:rPr>
          <w:rFonts w:ascii="宋体" w:hAnsi="宋体" w:cs="宋体" w:eastAsia="宋体" w:hint="default"/>
          <w:spacing w:val="-1"/>
        </w:rPr>
        <w:t>18000</w:t>
      </w:r>
      <w:r>
        <w:rPr>
          <w:spacing w:val="-1"/>
        </w:rPr>
        <w:t>万股，造成本报告</w:t>
      </w:r>
      <w:r>
        <w:rPr>
          <w:spacing w:val="-82"/>
        </w:rPr>
        <w:t> </w:t>
      </w:r>
      <w:r>
        <w:rPr>
          <w:spacing w:val="-82"/>
        </w:rPr>
      </w:r>
      <w:r>
        <w:rPr/>
        <w:t>期末公司基本每股收益、稀释每股收益以及归属于公司普通股东的每股净资产较去年同期减少。 </w:t>
      </w:r>
      <w:r>
        <w:rPr>
          <w:sz w:val="18"/>
          <w:szCs w:val="18"/>
        </w:rPr>
        <w:t>公司认为必要或证券监管机构要求披露的其他内容</w:t>
      </w:r>
    </w:p>
    <w:p>
      <w:pPr>
        <w:spacing w:line="242"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中国科学院控股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33,510,241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26,808,193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60,318,434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69"/>
              <w:jc w:val="both"/>
              <w:rPr>
                <w:rFonts w:ascii="宋体" w:hAnsi="宋体" w:cs="宋体" w:eastAsia="宋体" w:hint="default"/>
                <w:sz w:val="18"/>
                <w:szCs w:val="18"/>
              </w:rPr>
            </w:pPr>
            <w:r>
              <w:rPr>
                <w:rFonts w:ascii="宋体" w:hAnsi="宋体" w:cs="宋体" w:eastAsia="宋体" w:hint="default"/>
                <w:sz w:val="18"/>
                <w:szCs w:val="18"/>
              </w:rPr>
              <w:t>成都宇中投资管 理中心（有限合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23,807,250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21,162,000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23,807,250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日解除限售 </w:t>
            </w:r>
            <w:r>
              <w:rPr>
                <w:rFonts w:ascii="Times New Roman" w:hAnsi="Times New Roman" w:cs="Times New Roman" w:eastAsia="Times New Roman" w:hint="default"/>
                <w:sz w:val="18"/>
                <w:szCs w:val="18"/>
              </w:rPr>
              <w:t>23,807,250</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股，拟</w:t>
            </w:r>
          </w:p>
          <w:p>
            <w:pPr>
              <w:pStyle w:val="TableParagraph"/>
              <w:spacing w:line="309"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日解除余下 </w:t>
            </w:r>
            <w:r>
              <w:rPr>
                <w:rFonts w:ascii="Times New Roman" w:hAnsi="Times New Roman" w:cs="Times New Roman" w:eastAsia="Times New Roman" w:hint="default"/>
                <w:sz w:val="18"/>
                <w:szCs w:val="18"/>
              </w:rPr>
              <w:t>23,807,250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四川埃德凯森科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深圳市恒合经纬 投资管理合伙企 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2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全国社会保障基 金理事会转持一 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4,319,566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180434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股于</w:t>
            </w:r>
          </w:p>
          <w:p>
            <w:pPr>
              <w:pStyle w:val="TableParagraph"/>
              <w:spacing w:line="309" w:lineRule="auto" w:before="6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 解除限售，剩余 股份拟于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tc>
      </w:tr>
    </w:tbl>
    <w:p>
      <w:pPr>
        <w:spacing w:after="0" w:line="30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国科瑞祺物联网 创业投资有限公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上海联升创业投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1,399,759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2,519,566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胜利油田科泰石 油技术有限公司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38,319,750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96,680,250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092" w:firstLine="420"/>
        <w:jc w:val="left"/>
      </w:pP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日分别召开的第二届董事会第十二次会议和</w:t>
      </w:r>
      <w:r>
        <w:rPr>
          <w:rFonts w:ascii="宋体" w:hAnsi="宋体" w:cs="宋体" w:eastAsia="宋体" w:hint="default"/>
        </w:rPr>
        <w:t>2017</w:t>
      </w:r>
      <w:r>
        <w:rPr/>
        <w:t>年度股东大会， 均审议并通过了《</w:t>
      </w:r>
      <w:r>
        <w:rPr>
          <w:rFonts w:ascii="宋体" w:hAnsi="宋体" w:cs="宋体" w:eastAsia="宋体" w:hint="default"/>
        </w:rPr>
        <w:t>2017</w:t>
      </w:r>
      <w:r>
        <w:rPr/>
        <w:t>年度净利润分配方案》，同意以现有公司总股本</w:t>
      </w:r>
      <w:r>
        <w:rPr>
          <w:rFonts w:ascii="宋体" w:hAnsi="宋体" w:cs="宋体" w:eastAsia="宋体" w:hint="default"/>
        </w:rPr>
        <w:t>100,000,000</w:t>
      </w:r>
      <w:r>
        <w:rPr/>
        <w:t>股为基数，以资本公 积金向全体股东每</w:t>
      </w:r>
      <w:r>
        <w:rPr>
          <w:rFonts w:ascii="宋体" w:hAnsi="宋体" w:cs="宋体" w:eastAsia="宋体" w:hint="default"/>
        </w:rPr>
        <w:t>10</w:t>
      </w:r>
      <w:r>
        <w:rPr/>
        <w:t>股转增</w:t>
      </w:r>
      <w:r>
        <w:rPr>
          <w:rFonts w:ascii="宋体" w:hAnsi="宋体" w:cs="宋体" w:eastAsia="宋体" w:hint="default"/>
        </w:rPr>
        <w:t>8</w:t>
      </w:r>
      <w:r>
        <w:rPr/>
        <w:t>股，合计转增</w:t>
      </w:r>
      <w:r>
        <w:rPr>
          <w:rFonts w:ascii="宋体" w:hAnsi="宋体" w:cs="宋体" w:eastAsia="宋体" w:hint="default"/>
        </w:rPr>
        <w:t>80,000,000</w:t>
      </w:r>
      <w:r>
        <w:rPr/>
        <w:t>股，本次转增后公司总股本增加为</w:t>
      </w:r>
      <w:r>
        <w:rPr>
          <w:rFonts w:ascii="宋体" w:hAnsi="宋体" w:cs="宋体" w:eastAsia="宋体" w:hint="default"/>
        </w:rPr>
        <w:t>180,000,000</w:t>
      </w:r>
      <w:r>
        <w:rPr/>
        <w:t>股。</w:t>
      </w:r>
      <w:r>
        <w:rPr>
          <w:spacing w:val="1"/>
        </w:rPr>
        <w:t> </w:t>
      </w:r>
      <w:r>
        <w:rPr/>
        <w:t>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日实施了</w:t>
      </w:r>
      <w:r>
        <w:rPr>
          <w:rFonts w:ascii="宋体" w:hAnsi="宋体" w:cs="宋体" w:eastAsia="宋体" w:hint="default"/>
        </w:rPr>
        <w:t>2017</w:t>
      </w:r>
      <w:r>
        <w:rPr/>
        <w:t>年度权益分派方案，已由中国证券登记结算有限责任公司深圳分公司于 </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日直接计入股东证券账户。</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49.277008pt;margin-top:68.311714pt;width:85.6pt;height:31.2pt;mso-position-horizontal-relative:page;mso-position-vertical-relative:paragraph;z-index:-903568"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311714pt;width:52.45pt;height:31.2pt;mso-position-horizontal-relative:page;mso-position-vertical-relative:paragraph;z-index:-903544"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20,435</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21,044</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868"/>
        <w:gridCol w:w="851"/>
        <w:gridCol w:w="992"/>
        <w:gridCol w:w="993"/>
        <w:gridCol w:w="992"/>
        <w:gridCol w:w="1204"/>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68" w:right="6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中国科学院控股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60,318,434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26808193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60,318,434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成都宇中投资管 理中心（有限合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47,614,500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21162000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23,807,250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23,807,250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四川埃德凯森科 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8,235,000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深圳市恒合经纬 投资管理合伙企 业（有限合伙）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6,682,500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2970000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6,682,500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全国社会保障基 金理事会转持一 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4,319,566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180,434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上海联升创业投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1,490,266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90507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1,490,266</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王婉萍</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593,420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593,420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陈定一</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陈宁川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436,700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张健昌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274,860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274,860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02"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中国科学院控股有限公司持有上海联升创业投资有限公司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16.33%</w:t>
            </w:r>
            <w:r>
              <w:rPr>
                <w:rFonts w:ascii="宋体" w:hAnsi="宋体" w:cs="宋体" w:eastAsia="宋体" w:hint="default"/>
                <w:spacing w:val="-6"/>
                <w:sz w:val="18"/>
                <w:szCs w:val="18"/>
              </w:rPr>
              <w:t>股权。除上述关联关</w:t>
            </w:r>
            <w:r>
              <w:rPr>
                <w:rFonts w:ascii="宋体" w:hAnsi="宋体" w:cs="宋体" w:eastAsia="宋体" w:hint="default"/>
                <w:sz w:val="18"/>
                <w:szCs w:val="18"/>
              </w:rPr>
              <w:t> 系外，上述股东无其他关联关系或一致行动关系。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4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9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4492" w:type="dxa"/>
            <w:gridSpan w:val="5"/>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4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王婉萍</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593,420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593,420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陈定一</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陈宁川</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张健昌</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9"/>
              <w:jc w:val="right"/>
              <w:rPr>
                <w:rFonts w:ascii="宋体" w:hAnsi="宋体" w:cs="宋体" w:eastAsia="宋体" w:hint="default"/>
                <w:sz w:val="18"/>
                <w:szCs w:val="18"/>
              </w:rPr>
            </w:pPr>
            <w:r>
              <w:rPr>
                <w:rFonts w:ascii="宋体" w:hAnsi="宋体" w:cs="宋体" w:eastAsia="宋体" w:hint="default"/>
                <w:sz w:val="18"/>
                <w:szCs w:val="18"/>
              </w:rPr>
              <w:t>人民币普通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80"/>
        <w:gridCol w:w="4492"/>
        <w:gridCol w:w="992"/>
        <w:gridCol w:w="1204"/>
      </w:tblGrid>
      <w:tr>
        <w:trPr>
          <w:trHeight w:val="362" w:hRule="exact"/>
        </w:trPr>
        <w:tc>
          <w:tcPr>
            <w:tcW w:w="2880" w:type="dxa"/>
            <w:tcBorders>
              <w:top w:val="single" w:sz="4" w:space="0" w:color="000000"/>
              <w:left w:val="single" w:sz="4" w:space="0" w:color="000000"/>
              <w:bottom w:val="single" w:sz="4" w:space="0" w:color="000000"/>
              <w:right w:val="single" w:sz="4" w:space="0" w:color="000000"/>
            </w:tcBorders>
          </w:tcPr>
          <w:p>
            <w:pPr/>
          </w:p>
        </w:tc>
        <w:tc>
          <w:tcPr>
            <w:tcW w:w="44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陈泳良</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齐欣</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239,800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蔡正芳</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215,720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215,720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丁春蓉</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205,214</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尹霄羽</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204,040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郑玉珍</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201,300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公司股东尹霄羽通过华泰证券股份有限公司客户信用交易担保证券账户持有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204,040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7"/>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吴乐斌</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736450952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国有资产的管理与经营；项 目投资；投资管理；投资咨 询；企业管理咨询；高新技 术项目的研发；技术开发； 技术转让；技术咨询；技术 服务；技术推广；技术推广 培训；技术中介服务。</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中国科学院控股有限公司参股联想控股股份有限公司</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日持股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684,376,910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股；中国科学院控股有限公司参股中国科技出版传媒股份有限公司，截至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5,881,364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公司报告期控股股东未发生变更。</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199"/>
        <w:gridCol w:w="1792"/>
        <w:gridCol w:w="1435"/>
        <w:gridCol w:w="1593"/>
        <w:gridCol w:w="2550"/>
      </w:tblGrid>
      <w:tr>
        <w:trPr>
          <w:trHeight w:val="714"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2"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吴乐斌</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736450952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国有资产的管理与经营；项目投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资；投资管理；投资咨询；企业</w:t>
            </w:r>
            <w:r>
              <w:rPr>
                <w:rFonts w:ascii="宋体" w:hAnsi="宋体" w:cs="宋体" w:eastAsia="宋体" w:hint="default"/>
                <w:sz w:val="18"/>
                <w:szCs w:val="18"/>
              </w:rPr>
              <w:t> 管理咨询；高新技术项目的研 </w:t>
            </w:r>
            <w:r>
              <w:rPr>
                <w:rFonts w:ascii="宋体" w:hAnsi="宋体" w:cs="宋体" w:eastAsia="宋体" w:hint="default"/>
                <w:spacing w:val="-2"/>
                <w:sz w:val="18"/>
                <w:szCs w:val="18"/>
              </w:rPr>
              <w:t>发；技术开发；技术转让；技术</w:t>
            </w:r>
            <w:r>
              <w:rPr>
                <w:rFonts w:ascii="宋体" w:hAnsi="宋体" w:cs="宋体" w:eastAsia="宋体" w:hint="default"/>
                <w:sz w:val="18"/>
                <w:szCs w:val="18"/>
              </w:rPr>
              <w:t> </w:t>
            </w:r>
            <w:r>
              <w:rPr>
                <w:rFonts w:ascii="宋体" w:hAnsi="宋体" w:cs="宋体" w:eastAsia="宋体" w:hint="default"/>
                <w:spacing w:val="-2"/>
                <w:sz w:val="18"/>
                <w:szCs w:val="18"/>
              </w:rPr>
              <w:t>咨询；技术服务；技术推广；技</w:t>
            </w:r>
            <w:r>
              <w:rPr>
                <w:rFonts w:ascii="宋体" w:hAnsi="宋体" w:cs="宋体" w:eastAsia="宋体" w:hint="default"/>
                <w:sz w:val="18"/>
                <w:szCs w:val="18"/>
              </w:rPr>
              <w:t> 术推广培训；技术中介服务。</w:t>
            </w:r>
          </w:p>
        </w:tc>
      </w:tr>
      <w:tr>
        <w:trPr>
          <w:trHeight w:val="1026"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中国科学院控股有限公司参股联想控股股份有限公司</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日持股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684,376,910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股；中国科学院控股有限公司参股中国科技出版传媒股份有限公司，截至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5,881,364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21"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公司报告期实际控制人未发生变更。</w:t>
      </w:r>
      <w:r>
        <w:rPr>
          <w:rFonts w:ascii="宋体" w:hAnsi="宋体" w:cs="宋体" w:eastAsia="宋体" w:hint="default"/>
          <w:sz w:val="21"/>
          <w:szCs w:val="21"/>
        </w:rPr>
        <w:t> </w:t>
      </w:r>
      <w:r>
        <w:rPr>
          <w:rFonts w:ascii="宋体" w:hAnsi="宋体" w:cs="宋体" w:eastAsia="宋体" w:hint="default"/>
          <w:sz w:val="18"/>
          <w:szCs w:val="18"/>
        </w:rPr>
        <w:t>公司与实际控制人之间的产权及控制关系的方框图</w:t>
      </w:r>
    </w:p>
    <w:p>
      <w:pPr>
        <w:spacing w:line="240" w:lineRule="auto" w:before="12"/>
        <w:rPr>
          <w:rFonts w:ascii="宋体" w:hAnsi="宋体" w:cs="宋体" w:eastAsia="宋体" w:hint="default"/>
          <w:sz w:val="16"/>
          <w:szCs w:val="16"/>
        </w:rPr>
      </w:pPr>
    </w:p>
    <w:p>
      <w:pPr>
        <w:spacing w:line="3705" w:lineRule="exact"/>
        <w:ind w:left="1358"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0446" cy="2352675"/>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25" cstate="print"/>
                    <a:stretch>
                      <a:fillRect/>
                    </a:stretch>
                  </pic:blipFill>
                  <pic:spPr>
                    <a:xfrm>
                      <a:off x="0" y="0"/>
                      <a:ext cx="4590446" cy="235267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8"/>
        <w:rPr>
          <w:rFonts w:ascii="宋体" w:hAnsi="宋体" w:cs="宋体" w:eastAsia="宋体" w:hint="default"/>
          <w:sz w:val="26"/>
          <w:szCs w:val="26"/>
        </w:rPr>
      </w:pPr>
    </w:p>
    <w:p>
      <w:pPr>
        <w:pStyle w:val="Heading3"/>
        <w:spacing w:line="240" w:lineRule="auto"/>
        <w:ind w:right="0"/>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2"/>
        <w:rPr>
          <w:rFonts w:ascii="宋体" w:hAnsi="宋体" w:cs="宋体" w:eastAsia="宋体" w:hint="default"/>
          <w:sz w:val="30"/>
          <w:szCs w:val="3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962"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成都宇中投资管理中心（有限合 伙）</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成都科诚投资管理中 </w:t>
            </w:r>
            <w:r>
              <w:rPr>
                <w:rFonts w:ascii="宋体" w:hAnsi="宋体" w:cs="宋体" w:eastAsia="宋体" w:hint="default"/>
                <w:spacing w:val="-9"/>
                <w:sz w:val="18"/>
                <w:szCs w:val="18"/>
              </w:rPr>
              <w:t>心（有限合伙）（委托</w:t>
            </w:r>
            <w:r>
              <w:rPr>
                <w:rFonts w:ascii="宋体" w:hAnsi="宋体" w:cs="宋体" w:eastAsia="宋体" w:hint="default"/>
                <w:sz w:val="18"/>
                <w:szCs w:val="18"/>
              </w:rPr>
              <w:t> </w:t>
            </w:r>
            <w:r>
              <w:rPr>
                <w:rFonts w:ascii="宋体" w:hAnsi="宋体" w:cs="宋体" w:eastAsia="宋体" w:hint="default"/>
                <w:spacing w:val="-9"/>
                <w:sz w:val="18"/>
                <w:szCs w:val="18"/>
              </w:rPr>
              <w:t>人：付忠良）；成都众</w:t>
            </w:r>
            <w:r>
              <w:rPr>
                <w:rFonts w:ascii="宋体" w:hAnsi="宋体" w:cs="宋体" w:eastAsia="宋体" w:hint="default"/>
                <w:sz w:val="18"/>
                <w:szCs w:val="18"/>
              </w:rPr>
              <w:t> </w:t>
            </w:r>
            <w:r>
              <w:rPr>
                <w:rFonts w:ascii="宋体" w:hAnsi="宋体" w:cs="宋体" w:eastAsia="宋体" w:hint="default"/>
                <w:spacing w:val="-4"/>
                <w:sz w:val="18"/>
                <w:szCs w:val="18"/>
              </w:rPr>
              <w:t>智投资管理中心（有限</w:t>
            </w:r>
            <w:r>
              <w:rPr>
                <w:rFonts w:ascii="宋体" w:hAnsi="宋体" w:cs="宋体" w:eastAsia="宋体" w:hint="default"/>
                <w:sz w:val="18"/>
                <w:szCs w:val="18"/>
              </w:rPr>
              <w:t> </w:t>
            </w:r>
            <w:r>
              <w:rPr>
                <w:rFonts w:ascii="宋体" w:hAnsi="宋体" w:cs="宋体" w:eastAsia="宋体" w:hint="default"/>
                <w:spacing w:val="-20"/>
                <w:sz w:val="18"/>
                <w:szCs w:val="18"/>
              </w:rPr>
              <w:t>合伙）（委托人：王伟）</w:t>
            </w:r>
            <w:r>
              <w:rPr>
                <w:rFonts w:ascii="宋体" w:hAnsi="宋体" w:cs="宋体" w:eastAsia="宋体" w:hint="default"/>
                <w:sz w:val="18"/>
                <w:szCs w:val="18"/>
              </w:rPr>
              <w:t> 王晓宇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23,883,356.73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center"/>
              <w:rPr>
                <w:rFonts w:ascii="宋体" w:hAnsi="宋体" w:cs="宋体" w:eastAsia="宋体" w:hint="default"/>
                <w:sz w:val="18"/>
                <w:szCs w:val="18"/>
              </w:rPr>
            </w:pPr>
            <w:r>
              <w:rPr>
                <w:rFonts w:ascii="宋体" w:hAnsi="宋体" w:cs="宋体" w:eastAsia="宋体" w:hint="default"/>
                <w:sz w:val="18"/>
                <w:szCs w:val="18"/>
              </w:rPr>
              <w:t>投资及资产管理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投资咨询</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shape style="position:absolute;margin-left:270.559998pt;margin-top:-44.246349pt;width:76.3pt;height:31.2pt;mso-position-horizontal-relative:page;mso-position-vertical-relative:paragraph;z-index:-903520"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6.760010pt;margin-top:-44.246349pt;width:70.1pt;height:31.2pt;mso-position-horizontal-relative:page;mso-position-vertical-relative:paragraph;z-index:-903496" coordorigin="5535,-885" coordsize="1402,624">
            <v:shape style="position:absolute;left:5535;top:-885;width:1402;height:624" coordorigin="5535,-885" coordsize="1402,624" path="m5535,-261l6937,-261,6937,-885,5535,-885,5535,-261xe" filled="true" fillcolor="#ffffff" stroked="false">
              <v:path arrowok="t"/>
              <v:fill type="solid"/>
            </v:shape>
            <w10:wrap type="none"/>
          </v:group>
        </w:pict>
      </w: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报告期公司不存在优先股。</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2,215,100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1,772,080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3,987,180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1,162,900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2,093,220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1,063,280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2,392,380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221,520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498,420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288,900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241,520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543,420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468,720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516,060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6,263,500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5,010,800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任职情况" w:id="126"/>
      <w:bookmarkEnd w:id="126"/>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2"/>
          <w:szCs w:val="12"/>
        </w:rPr>
      </w:pPr>
    </w:p>
    <w:p>
      <w:pPr>
        <w:pStyle w:val="Heading4"/>
        <w:spacing w:line="240" w:lineRule="auto"/>
        <w:ind w:right="0"/>
        <w:jc w:val="left"/>
        <w:rPr>
          <w:b w:val="0"/>
          <w:bCs w:val="0"/>
        </w:rPr>
      </w:pPr>
      <w:r>
        <w:rPr/>
        <w:t>董事：</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ind w:right="1129" w:firstLine="422"/>
        <w:jc w:val="both"/>
      </w:pPr>
      <w:r>
        <w:rPr>
          <w:spacing w:val="-1"/>
        </w:rPr>
        <w:t>王晓宇先生：</w:t>
      </w:r>
      <w:r>
        <w:rPr>
          <w:rFonts w:ascii="Times New Roman" w:hAnsi="Times New Roman" w:cs="Times New Roman" w:eastAsia="Times New Roman" w:hint="default"/>
          <w:spacing w:val="-1"/>
        </w:rPr>
        <w:t>1955</w:t>
      </w:r>
      <w:r>
        <w:rPr>
          <w:spacing w:val="-1"/>
        </w:rPr>
        <w:t>年出生，无境外永久居留权，电子科技大学经济管理学院研究生毕业，工商管理硕</w:t>
      </w:r>
      <w:r>
        <w:rPr/>
        <w:t> </w:t>
      </w:r>
      <w:r>
        <w:rPr>
          <w:spacing w:val="-1"/>
        </w:rPr>
        <w:t>士，研究员，享受国务院政府特殊津贴专家。历任中科院成都信息技术有限公司副总经理、总经理、董事</w:t>
      </w:r>
      <w:r>
        <w:rPr>
          <w:spacing w:val="-83"/>
        </w:rPr>
        <w:t> </w:t>
      </w:r>
      <w:r>
        <w:rPr>
          <w:spacing w:val="-83"/>
        </w:rPr>
      </w:r>
      <w:r>
        <w:rPr>
          <w:spacing w:val="-1"/>
        </w:rPr>
        <w:t>长等职。现任中科院成都信息技术股份有限公司董事长，成都中科石油工程技术股份有限公司董事长，四</w:t>
      </w:r>
      <w:r>
        <w:rPr>
          <w:spacing w:val="-83"/>
        </w:rPr>
        <w:t> </w:t>
      </w:r>
      <w:r>
        <w:rPr>
          <w:spacing w:val="-83"/>
        </w:rPr>
      </w:r>
      <w:r>
        <w:rPr>
          <w:spacing w:val="-5"/>
        </w:rPr>
        <w:t>川省计算机学会执行理事长，中国科学院曼谷创新合作中心常务理事，中国科学院大学博士生导师。于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日起，不再任深圳中钞科信金融科技有限公司副董事长。</w:t>
      </w:r>
    </w:p>
    <w:p>
      <w:pPr>
        <w:pStyle w:val="BodyText"/>
        <w:spacing w:line="405" w:lineRule="auto" w:before="24"/>
        <w:ind w:right="0" w:firstLine="368"/>
        <w:jc w:val="left"/>
      </w:pPr>
      <w:r>
        <w:rPr>
          <w:spacing w:val="-2"/>
        </w:rPr>
        <w:t>索继栓先生：</w:t>
      </w:r>
      <w:r>
        <w:rPr>
          <w:rFonts w:ascii="Times New Roman" w:hAnsi="Times New Roman" w:cs="Times New Roman" w:eastAsia="Times New Roman" w:hint="default"/>
          <w:spacing w:val="-2"/>
        </w:rPr>
        <w:t>1964</w:t>
      </w:r>
      <w:r>
        <w:rPr>
          <w:spacing w:val="-2"/>
        </w:rPr>
        <w:t>年出生，无境外永久居留权，中科院兰州化学物理所理学博士研究生毕业，研究员。</w:t>
      </w:r>
      <w:r>
        <w:rPr/>
        <w:t> 历任中科院兰州化学物理所研究员、所长助理、副所长，中科院兰州分院副院长，中国科学院成都有机化 学有限公司董事长，国科控股副总经理等。现任中科院成都信息技术股份有限公司董事，国科控股董事兼 总经理，联想控股股份有限公司董事，上海碧科清洁能源技术有限公司董事，中信国科资产管理有限公司 董事，中国科技出版传媒股份有限公司董事，中科院广州化学有限公司董事，联泓新材料有限公司董事， 中科院新材料技术有限公司董事，国科离子医疗科技有限公司董事。于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29</w:t>
      </w:r>
      <w:r>
        <w:rPr/>
        <w:t>日起不再任北京中科 院软件中心有限公司董事，于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w:t>
      </w:r>
      <w:r>
        <w:rPr/>
        <w:t>日起不再任中国科技出版传媒集团有限公司董事长，于</w:t>
      </w:r>
      <w:r>
        <w:rPr>
          <w:rFonts w:ascii="宋体" w:hAnsi="宋体" w:cs="宋体" w:eastAsia="宋体" w:hint="default"/>
        </w:rPr>
        <w:t>2018</w:t>
      </w:r>
      <w:r>
        <w:rPr/>
        <w:t>年</w:t>
      </w:r>
      <w:r>
        <w:rPr>
          <w:rFonts w:ascii="宋体" w:hAnsi="宋体" w:cs="宋体" w:eastAsia="宋体" w:hint="default"/>
        </w:rPr>
        <w:t>6 </w:t>
      </w:r>
      <w:r>
        <w:rPr/>
        <w:t>月</w:t>
      </w:r>
      <w:r>
        <w:rPr>
          <w:rFonts w:ascii="宋体" w:hAnsi="宋体" w:cs="宋体" w:eastAsia="宋体" w:hint="default"/>
        </w:rPr>
        <w:t>21</w:t>
      </w:r>
      <w:r>
        <w:rPr/>
        <w:t>日起不再任北京中科科仪股份有限公司董事。</w:t>
      </w:r>
    </w:p>
    <w:p>
      <w:pPr>
        <w:pStyle w:val="BodyText"/>
        <w:spacing w:line="405" w:lineRule="auto" w:before="48"/>
        <w:ind w:right="1023" w:firstLine="441"/>
        <w:jc w:val="left"/>
      </w:pPr>
      <w:r>
        <w:rPr/>
        <w:t>张勇先生：</w:t>
      </w:r>
      <w:r>
        <w:rPr>
          <w:spacing w:val="-22"/>
        </w:rPr>
        <w:t> </w:t>
      </w:r>
      <w:r>
        <w:rPr>
          <w:rFonts w:ascii="Times New Roman" w:hAnsi="Times New Roman" w:cs="Times New Roman" w:eastAsia="Times New Roman" w:hint="default"/>
        </w:rPr>
        <w:t>1970</w:t>
      </w:r>
      <w:r>
        <w:rPr/>
        <w:t>年出生，无境外永久居留权，清华大学研究生毕业，工商管理硕士。历任北京中科 科仪技术发展有限责任公司董事兼总经理，国科控股监事、股权管理部总经理、上海碧科清洁能源技术有 限公司董事等职。现任中科院成都信息技术股份有限公司董事，国科控股副总经理，中国科技产业投资管 理有限公司董事，中科实业集团（控股）有限公司董事，中国科学院沈阳科学仪器股份有限公司董事，中 </w:t>
      </w:r>
      <w:r>
        <w:rPr>
          <w:spacing w:val="-3"/>
        </w:rPr>
        <w:t>国科技出版传媒集团有限公司董事，中科院南京天文仪器有限公司董事，上海联升创业投资有限公司董事，</w:t>
      </w:r>
      <w:r>
        <w:rPr>
          <w:spacing w:val="-92"/>
        </w:rPr>
        <w:t> </w:t>
      </w:r>
      <w:r>
        <w:rPr>
          <w:spacing w:val="-92"/>
        </w:rPr>
      </w:r>
      <w:r>
        <w:rPr/>
        <w:t>广东国科创业投资有限公司董事，上海联升承业创业投资有限公司董事，中信国科资产管理有限公司监事</w:t>
      </w:r>
      <w:r>
        <w:rPr/>
        <w:t> 会主席</w:t>
      </w:r>
      <w:r>
        <w:rPr>
          <w:rFonts w:ascii="宋体" w:hAnsi="宋体" w:cs="宋体" w:eastAsia="宋体" w:hint="default"/>
        </w:rPr>
        <w:t>,</w:t>
      </w:r>
      <w:r>
        <w:rPr>
          <w:rFonts w:ascii="宋体" w:hAnsi="宋体" w:cs="宋体" w:eastAsia="宋体" w:hint="default"/>
          <w:spacing w:val="-12"/>
        </w:rPr>
        <w:t> </w:t>
      </w:r>
      <w:r>
        <w:rPr/>
        <w:t>国科羲裕（上海）投资管理有限公司执行董事兼总经理、法定代表人，国科嘉和（北京）投资管 理有限公司董事，中国科技出版传媒股份有限公司董事，北京中科科仪股份有限公司董事，中科院资本管 理有限公司董事长。于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13</w:t>
      </w:r>
      <w:r>
        <w:rPr/>
        <w:t>日起，不再任中科院广州电子技术有限公司董事长兼法定代表人。</w:t>
      </w:r>
    </w:p>
    <w:p>
      <w:pPr>
        <w:pStyle w:val="BodyText"/>
        <w:spacing w:line="386" w:lineRule="auto" w:before="48"/>
        <w:ind w:right="0" w:firstLine="420"/>
        <w:jc w:val="left"/>
      </w:pPr>
      <w:r>
        <w:rPr>
          <w:spacing w:val="-1"/>
        </w:rPr>
        <w:t>杨红梅女士：</w:t>
      </w:r>
      <w:r>
        <w:rPr>
          <w:rFonts w:ascii="Times New Roman" w:hAnsi="Times New Roman" w:cs="Times New Roman" w:eastAsia="Times New Roman" w:hint="default"/>
          <w:spacing w:val="-1"/>
        </w:rPr>
        <w:t>1972</w:t>
      </w:r>
      <w:r>
        <w:rPr>
          <w:spacing w:val="-1"/>
        </w:rPr>
        <w:t>年出生，无境外永久居留权，中国科学院大学硕士研究生毕业，高级工程师。历任</w:t>
      </w:r>
      <w:r>
        <w:rPr/>
        <w:t> </w:t>
      </w:r>
      <w:r>
        <w:rPr>
          <w:spacing w:val="-1"/>
        </w:rPr>
        <w:t>中科院国有资产经营有限责任公司部门总经理、高级经理等职。现任中科院成都信息技术股份有限公司董</w:t>
      </w:r>
    </w:p>
    <w:p>
      <w:pPr>
        <w:spacing w:after="0" w:line="386"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事，国科控股监事兼股权管理部总经理，中国科技出版传媒集团有限公司董事，东方科仪控股集团有限公</w:t>
      </w:r>
      <w:r>
        <w:rPr>
          <w:spacing w:val="-83"/>
        </w:rPr>
        <w:t> </w:t>
      </w:r>
      <w:r>
        <w:rPr>
          <w:spacing w:val="-83"/>
        </w:rPr>
      </w:r>
      <w:r>
        <w:rPr>
          <w:spacing w:val="-1"/>
        </w:rPr>
        <w:t>司董事，北京中科院软件中心有限公司董事，中国科学院沈阳科学仪器股份有限公司董事，中科院创新孵</w:t>
      </w:r>
      <w:r>
        <w:rPr>
          <w:spacing w:val="-83"/>
        </w:rPr>
        <w:t> </w:t>
      </w:r>
      <w:r>
        <w:rPr>
          <w:spacing w:val="-83"/>
        </w:rPr>
      </w:r>
      <w:r>
        <w:rPr>
          <w:spacing w:val="-1"/>
        </w:rPr>
        <w:t>化投资有限责任公司董事，北京科诺伟业科技股份有限公司董事，中国科学院沈阳计算技术研究所有限公</w:t>
      </w:r>
      <w:r>
        <w:rPr>
          <w:spacing w:val="-81"/>
        </w:rPr>
        <w:t> </w:t>
      </w:r>
      <w:r>
        <w:rPr>
          <w:spacing w:val="-81"/>
        </w:rPr>
      </w:r>
      <w:r>
        <w:rPr/>
        <w:t>司董事，沈阳高精数控智能技术股份有限公司董事，中科院资本管理有限公司监事。</w:t>
      </w:r>
    </w:p>
    <w:p>
      <w:pPr>
        <w:pStyle w:val="BodyText"/>
        <w:spacing w:line="403" w:lineRule="auto" w:before="46"/>
        <w:ind w:right="1130" w:firstLine="422"/>
        <w:jc w:val="both"/>
      </w:pPr>
      <w:r>
        <w:rPr>
          <w:spacing w:val="-1"/>
        </w:rPr>
        <w:t>付忠良先生：</w:t>
      </w:r>
      <w:r>
        <w:rPr>
          <w:rFonts w:ascii="Times New Roman" w:hAnsi="Times New Roman" w:cs="Times New Roman" w:eastAsia="Times New Roman" w:hint="default"/>
          <w:spacing w:val="-1"/>
        </w:rPr>
        <w:t>1967</w:t>
      </w:r>
      <w:r>
        <w:rPr>
          <w:spacing w:val="-1"/>
        </w:rPr>
        <w:t>年出生，无境外永久居留权，中科院成都计算所硕士研究生毕业，研究员，享受国</w:t>
      </w:r>
      <w:r>
        <w:rPr/>
        <w:t> </w:t>
      </w:r>
      <w:r>
        <w:rPr>
          <w:spacing w:val="-1"/>
        </w:rPr>
        <w:t>务院政府特殊津贴专家。历任中科院成都信息技术有限公司工业计算机应用事业部经理、副总经理、常务</w:t>
      </w:r>
      <w:r>
        <w:rPr>
          <w:spacing w:val="-83"/>
        </w:rPr>
        <w:t> </w:t>
      </w:r>
      <w:r>
        <w:rPr>
          <w:spacing w:val="-83"/>
        </w:rPr>
      </w:r>
      <w:r>
        <w:rPr>
          <w:spacing w:val="-1"/>
        </w:rPr>
        <w:t>副总经理、董事、总经理等职。现任中科院成都信息技术股份有限公司董事、总经理，深圳中钞科信金融</w:t>
      </w:r>
      <w:r>
        <w:rPr>
          <w:spacing w:val="-83"/>
        </w:rPr>
        <w:t> </w:t>
      </w:r>
      <w:r>
        <w:rPr>
          <w:spacing w:val="-83"/>
        </w:rPr>
      </w:r>
      <w:r>
        <w:rPr>
          <w:spacing w:val="-1"/>
        </w:rPr>
        <w:t>科技有限公司董事，成都中科石油工程技术股份有限公司董事，中科院金华信息技术有限公司执行董事兼</w:t>
      </w:r>
      <w:r>
        <w:rPr>
          <w:spacing w:val="-80"/>
        </w:rPr>
        <w:t> </w:t>
      </w:r>
      <w:r>
        <w:rPr>
          <w:spacing w:val="-80"/>
        </w:rPr>
      </w:r>
      <w:r>
        <w:rPr/>
        <w:t>法定代表人，中国科学院大学博士生导师。</w:t>
      </w:r>
    </w:p>
    <w:p>
      <w:pPr>
        <w:pStyle w:val="BodyText"/>
        <w:spacing w:line="403" w:lineRule="auto" w:before="50"/>
        <w:ind w:right="1131" w:firstLine="422"/>
        <w:jc w:val="both"/>
      </w:pPr>
      <w:r>
        <w:rPr>
          <w:spacing w:val="-1"/>
        </w:rPr>
        <w:t>史志明先生：</w:t>
      </w:r>
      <w:r>
        <w:rPr>
          <w:rFonts w:ascii="Times New Roman" w:hAnsi="Times New Roman" w:cs="Times New Roman" w:eastAsia="Times New Roman" w:hint="default"/>
          <w:spacing w:val="-1"/>
        </w:rPr>
        <w:t>1977</w:t>
      </w:r>
      <w:r>
        <w:rPr>
          <w:spacing w:val="-1"/>
        </w:rPr>
        <w:t>年出生，无境外永久居留权，四川大学信息管理系本科毕业，西南财经大学工商管</w:t>
      </w:r>
      <w:r>
        <w:rPr/>
        <w:t> </w:t>
      </w:r>
      <w:r>
        <w:rPr>
          <w:spacing w:val="-1"/>
        </w:rPr>
        <w:t>理硕士，高级工程师。历任中科院成都信息技术有限公司办公自动化事业部经理、总经理助理、副总经理</w:t>
      </w:r>
      <w:r>
        <w:rPr>
          <w:spacing w:val="-86"/>
        </w:rPr>
        <w:t> </w:t>
      </w:r>
      <w:r>
        <w:rPr>
          <w:spacing w:val="-86"/>
        </w:rPr>
      </w:r>
      <w:r>
        <w:rPr>
          <w:spacing w:val="-1"/>
        </w:rPr>
        <w:t>等职。现任中科院成都信息技术股份有限公司董事、副总经理兼办公自动化事业部经理，成都中科信息技</w:t>
      </w:r>
      <w:r>
        <w:rPr>
          <w:spacing w:val="-83"/>
        </w:rPr>
        <w:t> </w:t>
      </w:r>
      <w:r>
        <w:rPr>
          <w:spacing w:val="-83"/>
        </w:rPr>
      </w:r>
      <w:r>
        <w:rPr/>
        <w:t>术有限公司法定代表人、执行董事兼总经理。于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13</w:t>
      </w:r>
      <w:r>
        <w:rPr/>
        <w:t>日起，任深圳中钞科信金融科技有限公司董</w:t>
      </w:r>
      <w:r>
        <w:rPr>
          <w:spacing w:val="-31"/>
        </w:rPr>
        <w:t> </w:t>
      </w:r>
      <w:r>
        <w:rPr>
          <w:spacing w:val="-31"/>
        </w:rPr>
      </w:r>
      <w:r>
        <w:rPr/>
        <w:t>事。</w:t>
      </w:r>
    </w:p>
    <w:p>
      <w:pPr>
        <w:pStyle w:val="BodyText"/>
        <w:spacing w:line="408" w:lineRule="auto" w:before="50"/>
        <w:ind w:right="1129" w:firstLine="422"/>
        <w:jc w:val="both"/>
      </w:pPr>
      <w:r>
        <w:rPr>
          <w:spacing w:val="-1"/>
        </w:rPr>
        <w:t>黄泽永先生：</w:t>
      </w:r>
      <w:r>
        <w:rPr>
          <w:rFonts w:ascii="宋体" w:hAnsi="宋体" w:cs="宋体" w:eastAsia="宋体" w:hint="default"/>
          <w:spacing w:val="-1"/>
        </w:rPr>
        <w:t>1948</w:t>
      </w:r>
      <w:r>
        <w:rPr>
          <w:spacing w:val="-1"/>
        </w:rPr>
        <w:t>年出生，无境外永久居留权，大学学历，研究员，享受国务院特殊贡献津贴。历任</w:t>
      </w:r>
      <w:r>
        <w:rPr/>
        <w:t> </w:t>
      </w:r>
      <w:r>
        <w:rPr>
          <w:spacing w:val="-1"/>
        </w:rPr>
        <w:t>中国科学院光电技术研究所研究室副主任、科技处副处长、所长助理、副所长，中国科学院成都分院副院</w:t>
      </w:r>
      <w:r>
        <w:rPr>
          <w:spacing w:val="-85"/>
        </w:rPr>
        <w:t> </w:t>
      </w:r>
      <w:r>
        <w:rPr>
          <w:spacing w:val="-85"/>
        </w:rPr>
      </w:r>
      <w:r>
        <w:rPr/>
        <w:t>长等职（</w:t>
      </w:r>
      <w:r>
        <w:rPr>
          <w:rFonts w:ascii="宋体" w:hAnsi="宋体" w:cs="宋体" w:eastAsia="宋体" w:hint="default"/>
        </w:rPr>
        <w:t>2010</w:t>
      </w:r>
      <w:r>
        <w:rPr/>
        <w:t>年</w:t>
      </w:r>
      <w:r>
        <w:rPr>
          <w:rFonts w:ascii="宋体" w:hAnsi="宋体" w:cs="宋体" w:eastAsia="宋体" w:hint="default"/>
        </w:rPr>
        <w:t>4</w:t>
      </w:r>
      <w:r>
        <w:rPr/>
        <w:t>月退休）。现任中科院成都信息技术股份有限公司独立董事。</w:t>
      </w:r>
    </w:p>
    <w:p>
      <w:pPr>
        <w:pStyle w:val="BodyText"/>
        <w:spacing w:line="408" w:lineRule="auto" w:before="46"/>
        <w:ind w:right="1131" w:firstLine="422"/>
        <w:jc w:val="both"/>
      </w:pPr>
      <w:r>
        <w:rPr>
          <w:spacing w:val="-1"/>
        </w:rPr>
        <w:t>赖肇庆先生：</w:t>
      </w:r>
      <w:r>
        <w:rPr>
          <w:rFonts w:ascii="宋体" w:hAnsi="宋体" w:cs="宋体" w:eastAsia="宋体" w:hint="default"/>
          <w:spacing w:val="-1"/>
        </w:rPr>
        <w:t>1945</w:t>
      </w:r>
      <w:r>
        <w:rPr>
          <w:spacing w:val="-1"/>
        </w:rPr>
        <w:t>年出生，无境外永久居留权，中国科学院研究生院硕士研究生毕业，享受政府特殊</w:t>
      </w:r>
      <w:r>
        <w:rPr/>
        <w:t> </w:t>
      </w:r>
      <w:r>
        <w:rPr>
          <w:spacing w:val="-1"/>
        </w:rPr>
        <w:t>津贴。历任中国科学院成都计算机应用研究所研究员、科技处处长（</w:t>
      </w:r>
      <w:r>
        <w:rPr>
          <w:rFonts w:ascii="宋体" w:hAnsi="宋体" w:cs="宋体" w:eastAsia="宋体" w:hint="default"/>
          <w:spacing w:val="-1"/>
        </w:rPr>
        <w:t>1996</w:t>
      </w:r>
      <w:r>
        <w:rPr>
          <w:spacing w:val="-1"/>
        </w:rPr>
        <w:t>年离职），四川大学计算机学院</w:t>
      </w:r>
      <w:r>
        <w:rPr>
          <w:spacing w:val="-81"/>
        </w:rPr>
        <w:t> </w:t>
      </w:r>
      <w:r>
        <w:rPr>
          <w:spacing w:val="-81"/>
        </w:rPr>
      </w:r>
      <w:r>
        <w:rPr>
          <w:spacing w:val="-1"/>
        </w:rPr>
        <w:t>教授，聚友网络公司总工程师，成都信息港公司副总经理，成都软件产业发展中心任首席专家，成都电子</w:t>
      </w:r>
      <w:r>
        <w:rPr>
          <w:spacing w:val="-86"/>
        </w:rPr>
        <w:t> </w:t>
      </w:r>
      <w:r>
        <w:rPr>
          <w:spacing w:val="-86"/>
        </w:rPr>
      </w:r>
      <w:r>
        <w:rPr>
          <w:spacing w:val="-1"/>
        </w:rPr>
        <w:t>商务协会秘书长，惠州经济职业技术学院就业办主任、惠州经济职业技术学院创业文化学院院长等职。现</w:t>
      </w:r>
      <w:r>
        <w:rPr>
          <w:spacing w:val="-83"/>
        </w:rPr>
        <w:t> </w:t>
      </w:r>
      <w:r>
        <w:rPr>
          <w:spacing w:val="-83"/>
        </w:rPr>
      </w:r>
      <w:r>
        <w:rPr/>
        <w:t>任中科院成都信息技术股份有限公司独立董事。</w:t>
      </w:r>
    </w:p>
    <w:p>
      <w:pPr>
        <w:pStyle w:val="BodyText"/>
        <w:spacing w:line="408" w:lineRule="auto" w:before="46"/>
        <w:ind w:right="1132" w:firstLine="422"/>
        <w:jc w:val="both"/>
      </w:pPr>
      <w:r>
        <w:rPr>
          <w:spacing w:val="-1"/>
        </w:rPr>
        <w:t>周玮先生：</w:t>
      </w:r>
      <w:r>
        <w:rPr>
          <w:rFonts w:ascii="宋体" w:hAnsi="宋体" w:cs="宋体" w:eastAsia="宋体" w:hint="default"/>
          <w:spacing w:val="-1"/>
        </w:rPr>
        <w:t>1980</w:t>
      </w:r>
      <w:r>
        <w:rPr>
          <w:spacing w:val="-1"/>
        </w:rPr>
        <w:t>年出生，无境外永久居留权，西南财经大学博士研究生毕业，会计学副研究员。现任</w:t>
      </w:r>
      <w:r>
        <w:rPr/>
        <w:t> </w:t>
      </w:r>
      <w:r>
        <w:rPr>
          <w:spacing w:val="-1"/>
        </w:rPr>
        <w:t>西南财经大学金融学院专业教师，四川大西洋焊接材料股份有限公司和成都卫士通信息产业股份有限公司</w:t>
      </w:r>
      <w:r>
        <w:rPr>
          <w:spacing w:val="-81"/>
        </w:rPr>
        <w:t> </w:t>
      </w:r>
      <w:r>
        <w:rPr>
          <w:spacing w:val="-81"/>
        </w:rPr>
      </w:r>
      <w:r>
        <w:rPr/>
        <w:t>独立董事，</w:t>
      </w:r>
      <w:r>
        <w:rPr>
          <w:rFonts w:ascii="宋体" w:hAnsi="宋体" w:cs="宋体" w:eastAsia="宋体" w:hint="default"/>
        </w:rPr>
        <w:t>2016</w:t>
      </w:r>
      <w:r>
        <w:rPr/>
        <w:t>年</w:t>
      </w:r>
      <w:r>
        <w:rPr>
          <w:rFonts w:ascii="宋体" w:hAnsi="宋体" w:cs="宋体" w:eastAsia="宋体" w:hint="default"/>
        </w:rPr>
        <w:t>8</w:t>
      </w:r>
      <w:r>
        <w:rPr/>
        <w:t>月当选中科院成都信息技术股份有限公司独立董事。</w:t>
      </w:r>
    </w:p>
    <w:p>
      <w:pPr>
        <w:pStyle w:val="Heading4"/>
        <w:spacing w:line="240" w:lineRule="auto" w:before="46"/>
        <w:ind w:right="0"/>
        <w:jc w:val="both"/>
        <w:rPr>
          <w:b w:val="0"/>
          <w:bCs w:val="0"/>
        </w:rPr>
      </w:pPr>
      <w:r>
        <w:rPr/>
        <w:t>监事：</w:t>
      </w:r>
      <w:r>
        <w:rPr>
          <w:b w:val="0"/>
          <w:bCs w:val="0"/>
        </w:rPr>
      </w:r>
    </w:p>
    <w:p>
      <w:pPr>
        <w:spacing w:line="240" w:lineRule="auto" w:before="10"/>
        <w:rPr>
          <w:rFonts w:ascii="宋体" w:hAnsi="宋体" w:cs="宋体" w:eastAsia="宋体" w:hint="default"/>
          <w:b/>
          <w:bCs/>
          <w:sz w:val="14"/>
          <w:szCs w:val="14"/>
        </w:rPr>
      </w:pPr>
    </w:p>
    <w:p>
      <w:pPr>
        <w:pStyle w:val="BodyText"/>
        <w:spacing w:line="393" w:lineRule="auto"/>
        <w:ind w:right="1076" w:firstLine="422"/>
        <w:jc w:val="both"/>
      </w:pPr>
      <w:r>
        <w:rPr/>
        <w:t>王伟先生：</w:t>
      </w:r>
      <w:r>
        <w:rPr>
          <w:rFonts w:ascii="Times New Roman" w:hAnsi="Times New Roman" w:cs="Times New Roman" w:eastAsia="Times New Roman" w:hint="default"/>
        </w:rPr>
        <w:t>1955</w:t>
      </w:r>
      <w:r>
        <w:rPr/>
        <w:t>年出生，无境外永久居留权，大学学历，正研级高级工程师。历任中科院成都信息技 术有限公司市场产业部经理、总经理助理、总经理、党委书记、监事会主席、工会主席等职。现任中科院 成都信息技术股份有限公司监事会主席</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成都中科石油工程技术股份有限公司监事。于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 不再任深圳中钞科信金融科技有限公司监事。</w:t>
      </w:r>
    </w:p>
    <w:p>
      <w:pPr>
        <w:spacing w:after="0" w:line="393"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98" w:lineRule="auto" w:before="35"/>
        <w:ind w:right="0" w:firstLine="420"/>
        <w:jc w:val="left"/>
      </w:pPr>
      <w:r>
        <w:rPr/>
        <w:t>傅敏先生：</w:t>
      </w:r>
      <w:r>
        <w:rPr>
          <w:rFonts w:ascii="Times New Roman" w:hAnsi="Times New Roman" w:cs="Times New Roman" w:eastAsia="Times New Roman" w:hint="default"/>
        </w:rPr>
        <w:t>1965</w:t>
      </w:r>
      <w:r>
        <w:rPr/>
        <w:t>年出生，无境外永久居留权，中国科学院力学研究所博士研究生毕业，高级工程师。 历任中国科学院院部机关处长，江西省科学院副院长、党组成员等职。现任中科院成都信息技术股份有限 公司监事，中国科学院京区企业党委办公室主任，中科院建筑设计研究院有限公司董事，北京中科院软件 </w:t>
      </w:r>
      <w:r>
        <w:rPr>
          <w:spacing w:val="-3"/>
        </w:rPr>
        <w:t>中心有限公司董事，北京中科资源有限公司董事，中科院广州电子技术有限公司董事。于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9</w:t>
      </w:r>
      <w:r>
        <w:rPr>
          <w:spacing w:val="-3"/>
        </w:rPr>
        <w:t>日起，</w:t>
      </w:r>
      <w:r>
        <w:rPr>
          <w:spacing w:val="-84"/>
        </w:rPr>
        <w:t> </w:t>
      </w:r>
      <w:r>
        <w:rPr/>
        <w:t>不再任中国科学院沈阳科学仪器股份有限公司监事。</w:t>
      </w:r>
    </w:p>
    <w:p>
      <w:pPr>
        <w:pStyle w:val="BodyText"/>
        <w:spacing w:line="398" w:lineRule="auto" w:before="54"/>
        <w:ind w:right="1021" w:firstLine="422"/>
        <w:jc w:val="left"/>
      </w:pPr>
      <w:r>
        <w:rPr>
          <w:spacing w:val="-3"/>
        </w:rPr>
        <w:t>肖帆先生：</w:t>
      </w:r>
      <w:r>
        <w:rPr>
          <w:rFonts w:ascii="Times New Roman" w:hAnsi="Times New Roman" w:cs="Times New Roman" w:eastAsia="Times New Roman" w:hint="default"/>
          <w:spacing w:val="-3"/>
        </w:rPr>
        <w:t>1963</w:t>
      </w:r>
      <w:r>
        <w:rPr>
          <w:spacing w:val="-3"/>
        </w:rPr>
        <w:t>年出生，无境外永久居留权，中科院成都分院数理科学研究室研究生毕业，理学硕士，</w:t>
      </w:r>
      <w:r>
        <w:rPr/>
        <w:t> 高级工程师。历任中科院成都信息技术有限公司市场部常务副经理、经理等职。现任中科院成都信息技术 股份有限公司职工代表监事兼市场部经理，成都中科信息技术有限公司监事。</w:t>
      </w:r>
    </w:p>
    <w:p>
      <w:pPr>
        <w:pStyle w:val="BodyText"/>
        <w:spacing w:line="408" w:lineRule="auto" w:before="54"/>
        <w:ind w:left="576" w:right="6340" w:hanging="423"/>
        <w:jc w:val="left"/>
      </w:pPr>
      <w:r>
        <w:rPr>
          <w:rFonts w:ascii="宋体" w:hAnsi="宋体" w:cs="宋体" w:eastAsia="宋体" w:hint="default"/>
          <w:b/>
          <w:bCs/>
        </w:rPr>
        <w:t>高级管理人员：</w:t>
      </w:r>
      <w:r>
        <w:rPr>
          <w:rFonts w:ascii="宋体" w:hAnsi="宋体" w:cs="宋体" w:eastAsia="宋体" w:hint="default"/>
          <w:b/>
          <w:bCs/>
          <w:w w:val="99"/>
        </w:rPr>
        <w:t> </w:t>
      </w:r>
      <w:r>
        <w:rPr/>
        <w:t>付忠良先生：简历见上述董事会成员介绍。 史志明先生：简历见上述董事会成员介绍。</w:t>
      </w:r>
    </w:p>
    <w:p>
      <w:pPr>
        <w:pStyle w:val="BodyText"/>
        <w:spacing w:line="393" w:lineRule="auto" w:before="46"/>
        <w:ind w:right="1130" w:firstLine="422"/>
        <w:jc w:val="both"/>
      </w:pPr>
      <w:r>
        <w:rPr>
          <w:spacing w:val="-1"/>
        </w:rPr>
        <w:t>尹邦明先生：</w:t>
      </w:r>
      <w:r>
        <w:rPr>
          <w:rFonts w:ascii="Times New Roman" w:hAnsi="Times New Roman" w:cs="Times New Roman" w:eastAsia="Times New Roman" w:hint="default"/>
          <w:spacing w:val="-1"/>
        </w:rPr>
        <w:t>1972</w:t>
      </w:r>
      <w:r>
        <w:rPr>
          <w:spacing w:val="-1"/>
        </w:rPr>
        <w:t>年出生，无境外永久居留权，兰州大学中文系毕业，文学学士。历任中科院成都信</w:t>
      </w:r>
      <w:r>
        <w:rPr/>
        <w:t> </w:t>
      </w:r>
      <w:r>
        <w:rPr>
          <w:spacing w:val="-1"/>
        </w:rPr>
        <w:t>息技术有限公司办公室秘书、办公室副主任、董事会秘书、总经理助理等职。现任中科院成都信息技术股</w:t>
      </w:r>
      <w:r>
        <w:rPr>
          <w:spacing w:val="-86"/>
        </w:rPr>
        <w:t> </w:t>
      </w:r>
      <w:r>
        <w:rPr>
          <w:spacing w:val="-86"/>
        </w:rPr>
      </w:r>
      <w:r>
        <w:rPr/>
        <w:t>份有限公司副总经理兼董事会秘书，深圳中钞科信金融科技有限公司董事。于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日起，不再任</w:t>
      </w:r>
      <w:r>
        <w:rPr>
          <w:spacing w:val="-28"/>
        </w:rPr>
        <w:t> </w:t>
      </w:r>
      <w:r>
        <w:rPr>
          <w:spacing w:val="-28"/>
        </w:rPr>
      </w:r>
      <w:r>
        <w:rPr/>
        <w:t>成都中科石油工程技术股份有限公司董事会秘书。</w:t>
      </w:r>
    </w:p>
    <w:p>
      <w:pPr>
        <w:pStyle w:val="BodyText"/>
        <w:spacing w:line="398" w:lineRule="auto" w:before="59"/>
        <w:ind w:right="1110" w:firstLine="422"/>
        <w:jc w:val="both"/>
      </w:pPr>
      <w:r>
        <w:rPr>
          <w:spacing w:val="-1"/>
        </w:rPr>
        <w:t>钟勇先生：</w:t>
      </w:r>
      <w:r>
        <w:rPr>
          <w:rFonts w:ascii="Times New Roman" w:hAnsi="Times New Roman" w:cs="Times New Roman" w:eastAsia="Times New Roman" w:hint="default"/>
          <w:spacing w:val="-1"/>
        </w:rPr>
        <w:t>1966</w:t>
      </w:r>
      <w:r>
        <w:rPr>
          <w:spacing w:val="-1"/>
        </w:rPr>
        <w:t>年出生，无境外永久居留权，中国科学院研究生院博士研究生毕业，研究员。历任中</w:t>
      </w:r>
      <w:r>
        <w:rPr/>
        <w:t> 科院成都信息技术有限公司总工程师等职。现任中科院成都信息技术股份有限公司副总经理、总工程师， 中国科学院大学博士生导师。</w:t>
      </w:r>
    </w:p>
    <w:p>
      <w:pPr>
        <w:pStyle w:val="BodyText"/>
        <w:spacing w:line="398" w:lineRule="auto" w:before="54"/>
        <w:ind w:right="1131" w:firstLine="422"/>
        <w:jc w:val="both"/>
      </w:pPr>
      <w:r>
        <w:rPr>
          <w:spacing w:val="-1"/>
        </w:rPr>
        <w:t>王晓东先生：</w:t>
      </w:r>
      <w:r>
        <w:rPr>
          <w:rFonts w:ascii="Times New Roman" w:hAnsi="Times New Roman" w:cs="Times New Roman" w:eastAsia="Times New Roman" w:hint="default"/>
          <w:spacing w:val="-1"/>
        </w:rPr>
        <w:t>1973</w:t>
      </w:r>
      <w:r>
        <w:rPr>
          <w:spacing w:val="-1"/>
        </w:rPr>
        <w:t>年出生，无境外永久居留权，北京航空航天大学本科毕业，高级工程师。历任中科</w:t>
      </w:r>
      <w:r>
        <w:rPr/>
        <w:t> </w:t>
      </w:r>
      <w:r>
        <w:rPr>
          <w:spacing w:val="-1"/>
        </w:rPr>
        <w:t>院成都信息技术有限公司总经理助理等职。现任中科院成都信息技术股份有限公司副总经理兼工业计算机</w:t>
      </w:r>
      <w:r>
        <w:rPr>
          <w:spacing w:val="-81"/>
        </w:rPr>
        <w:t> </w:t>
      </w:r>
      <w:r>
        <w:rPr>
          <w:spacing w:val="-81"/>
        </w:rPr>
      </w:r>
      <w:r>
        <w:rPr/>
        <w:t>应用事业部经理，中科院金华信息技术有限公司监事。</w:t>
      </w:r>
    </w:p>
    <w:p>
      <w:pPr>
        <w:pStyle w:val="BodyText"/>
        <w:spacing w:line="393" w:lineRule="auto" w:before="54"/>
        <w:ind w:right="1130" w:firstLine="422"/>
        <w:jc w:val="both"/>
      </w:pPr>
      <w:r>
        <w:rPr>
          <w:spacing w:val="-1"/>
        </w:rPr>
        <w:t>刘小兵先生：</w:t>
      </w:r>
      <w:r>
        <w:rPr>
          <w:rFonts w:ascii="Times New Roman" w:hAnsi="Times New Roman" w:cs="Times New Roman" w:eastAsia="Times New Roman" w:hint="default"/>
          <w:spacing w:val="-1"/>
        </w:rPr>
        <w:t>1970</w:t>
      </w:r>
      <w:r>
        <w:rPr>
          <w:spacing w:val="-1"/>
        </w:rPr>
        <w:t>年出生，无境外永久居留权，四川大学本科毕业。历任中科院成都信息技术有限公</w:t>
      </w:r>
      <w:r>
        <w:rPr/>
        <w:t> </w:t>
      </w:r>
      <w:r>
        <w:rPr>
          <w:spacing w:val="-1"/>
        </w:rPr>
        <w:t>司财务部副经理、财务副总监兼财务部经理等职。现任中科院成都信息技术股份有限公司财务总监，成都</w:t>
      </w:r>
      <w:r>
        <w:rPr>
          <w:spacing w:val="-83"/>
        </w:rPr>
        <w:t> </w:t>
      </w:r>
      <w:r>
        <w:rPr>
          <w:spacing w:val="-83"/>
        </w:rPr>
      </w:r>
      <w:r>
        <w:rPr/>
        <w:t>中科信息技术有限公司财务经理，中科院金华信息技术有限公司财务经理。于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日起，任深圳</w:t>
      </w:r>
      <w:r>
        <w:rPr>
          <w:spacing w:val="-28"/>
        </w:rPr>
        <w:t> </w:t>
      </w:r>
      <w:r>
        <w:rPr>
          <w:spacing w:val="-28"/>
        </w:rPr>
      </w:r>
      <w:r>
        <w:rPr/>
        <w:t>中钞科信金融科技有限公司监事。</w:t>
      </w: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9"/>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7"/>
              <w:jc w:val="righ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30"/>
        <w:gridCol w:w="1588"/>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监事、部门总经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联想控股股份有限公司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中国科技出版传媒集团有限公司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上海碧科清洁能源技术有限公司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中信国科资产管理有限公司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中国科技出版传媒股份有限公司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中科院广州化学有限公司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联泓新材料有限公司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中科院新材料技术有限公司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北京中科院软件中心有限公司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北京中科科仪股份有限公司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国科离子医疗科技有限公司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中科院广州电子技术有限公司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中科实业集团（控股）有限公司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中国科技出版传媒集团有限公司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中国科技产业投资管理有限公司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中国科学院沈阳科学仪器股份有限 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中科院南京天文仪器有限公司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国科嘉和（北京）投资管理有限公司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国科羲裕（上海）投资管理有限公司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上海联升创业投资有限公司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广东国科创业投资有限公司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上海联升承业创业投资有限公司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中信国科资产管理有限公司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中国科技出版传媒股份有限公司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中科院资本管理有限公司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北京中科科仪股份有限公司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四川省计算机学会</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执行理事长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博士生导师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中国科学院曼谷创新合作中心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执行董事兼法定 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博士生导师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中国科技出版传媒集团有限公司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东方科仪控股集团有限公司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中科院创新孵化投资有限责任公司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中科院沈阳科学仪器股份有限公司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北京科诺伟业科技股份有限公司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中国科学院沈阳计算技术研究所有 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沈阳高精数控智能技术股份有限公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北京中科院软件中心有限公司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中科院资本管理有限公司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75" w:right="35" w:hanging="540"/>
              <w:jc w:val="left"/>
              <w:rPr>
                <w:rFonts w:ascii="宋体" w:hAnsi="宋体" w:cs="宋体" w:eastAsia="宋体" w:hint="default"/>
                <w:sz w:val="18"/>
                <w:szCs w:val="18"/>
              </w:rPr>
            </w:pPr>
            <w:r>
              <w:rPr>
                <w:rFonts w:ascii="宋体" w:hAnsi="宋体" w:cs="宋体" w:eastAsia="宋体" w:hint="default"/>
                <w:sz w:val="18"/>
                <w:szCs w:val="18"/>
              </w:rPr>
              <w:t>执行董事兼总经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四川大西洋焊接材料股份有限公司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中国科学院京区企业党委办公室</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footerReference w:type="default" r:id="rId26"/>
          <w:pgSz w:w="11910" w:h="16840"/>
          <w:pgMar w:footer="979" w:header="877"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中科院沈阳科学仪器股份有限公司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中科院建筑设计研究院有限公司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北京中科院软件中心有限公司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北京中科资源有限公司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中科院广州电子技术有限公司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博士生导师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硕士生导师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240" w:lineRule="auto"/>
        <w:ind w:left="454" w:right="0"/>
        <w:jc w:val="left"/>
      </w:pPr>
      <w:r>
        <w:rPr/>
        <w:t>（一）由国科控股提名但不在公司担任具体管理职务的董事和监事，均不在公司领取薪酬。</w:t>
      </w:r>
    </w:p>
    <w:p>
      <w:pPr>
        <w:spacing w:after="0" w:line="240" w:lineRule="auto"/>
        <w:jc w:val="left"/>
        <w:sectPr>
          <w:footerReference w:type="default" r:id="rId27"/>
          <w:pgSz w:w="11910" w:h="16840"/>
          <w:pgMar w:footer="979" w:header="877" w:top="1100" w:bottom="1160" w:left="980" w:right="0"/>
          <w:pgNumType w:start="101"/>
        </w:sectPr>
      </w:pPr>
    </w:p>
    <w:p>
      <w:pPr>
        <w:spacing w:line="240" w:lineRule="auto" w:before="8"/>
        <w:rPr>
          <w:rFonts w:ascii="宋体" w:hAnsi="宋体" w:cs="宋体" w:eastAsia="宋体" w:hint="default"/>
          <w:sz w:val="26"/>
          <w:szCs w:val="26"/>
        </w:rPr>
      </w:pPr>
    </w:p>
    <w:p>
      <w:pPr>
        <w:pStyle w:val="BodyText"/>
        <w:spacing w:line="240" w:lineRule="auto" w:before="35"/>
        <w:ind w:left="454" w:right="0"/>
        <w:jc w:val="left"/>
      </w:pPr>
      <w:r>
        <w:rPr/>
        <w:t>（二）经本公司股东大会批准，向独立董事每人发放</w:t>
      </w:r>
      <w:r>
        <w:rPr>
          <w:rFonts w:ascii="Times New Roman" w:hAnsi="Times New Roman" w:cs="Times New Roman" w:eastAsia="Times New Roman" w:hint="default"/>
        </w:rPr>
        <w:t>5</w:t>
      </w:r>
      <w:r>
        <w:rPr/>
        <w:t>万元</w:t>
      </w:r>
      <w:r>
        <w:rPr>
          <w:rFonts w:ascii="Times New Roman" w:hAnsi="Times New Roman" w:cs="Times New Roman" w:eastAsia="Times New Roman" w:hint="default"/>
        </w:rPr>
        <w:t>/</w:t>
      </w:r>
      <w:r>
        <w:rPr/>
        <w:t>年的独立董事津贴。</w:t>
      </w:r>
    </w:p>
    <w:p>
      <w:pPr>
        <w:pStyle w:val="BodyText"/>
        <w:spacing w:line="408" w:lineRule="auto" w:before="177"/>
        <w:ind w:right="1134" w:firstLine="300"/>
        <w:jc w:val="both"/>
      </w:pPr>
      <w:r>
        <w:rPr>
          <w:spacing w:val="2"/>
        </w:rPr>
        <w:t>（三）在本公司担任职务的职工监事，根据公司《岗位薪酬制度》及其在所担任的行政职务发放薪级</w:t>
      </w:r>
      <w:r>
        <w:rPr/>
        <w:t> 工资，年终依据公司对个人的考评结果发放绩效薪酬。</w:t>
      </w:r>
    </w:p>
    <w:p>
      <w:pPr>
        <w:pStyle w:val="BodyText"/>
        <w:spacing w:line="398" w:lineRule="auto" w:before="46"/>
        <w:ind w:right="1110" w:firstLine="300"/>
        <w:jc w:val="both"/>
      </w:pPr>
      <w:r>
        <w:rPr/>
        <w:t>（四）根据</w:t>
      </w:r>
      <w:r>
        <w:rPr>
          <w:rFonts w:ascii="Times New Roman" w:hAnsi="Times New Roman" w:cs="Times New Roman" w:eastAsia="Times New Roman" w:hint="default"/>
        </w:rPr>
        <w:t>2017</w:t>
      </w:r>
      <w:r>
        <w:rPr/>
        <w:t>年度股东大会审议通过的《高管人员经营业绩考核暂行办法》，对公司高管人员实施 年薪制（公司</w:t>
      </w:r>
      <w:r>
        <w:rPr>
          <w:rFonts w:ascii="Times New Roman" w:hAnsi="Times New Roman" w:cs="Times New Roman" w:eastAsia="Times New Roman" w:hint="default"/>
        </w:rPr>
        <w:t>“</w:t>
      </w:r>
      <w:r>
        <w:rPr/>
        <w:t>高管人员</w:t>
      </w:r>
      <w:r>
        <w:rPr>
          <w:rFonts w:ascii="Times New Roman" w:hAnsi="Times New Roman" w:cs="Times New Roman" w:eastAsia="Times New Roman" w:hint="default"/>
        </w:rPr>
        <w:t>”</w:t>
      </w:r>
      <w:r>
        <w:rPr/>
        <w:t>特指：在本公司支取薪酬的董事（不包括独立董事）、监事会主席、党委书记、 </w:t>
      </w:r>
      <w:r>
        <w:rPr>
          <w:spacing w:val="-1"/>
        </w:rPr>
        <w:t>党委副书记、纪委书记，董事会聘任的总经理、副总经理、董事会秘书、财务负责人及公司章程认定的其</w:t>
      </w:r>
      <w:r>
        <w:rPr>
          <w:spacing w:val="-83"/>
        </w:rPr>
        <w:t> </w:t>
      </w:r>
      <w:r>
        <w:rPr>
          <w:spacing w:val="-83"/>
        </w:rPr>
      </w:r>
      <w:r>
        <w:rPr/>
        <w:t>他高级管理人员）。上述高管人员经营业绩考核以年度考核为主，辅以任期考核，任期考核以激励为主， 考核结果与年度薪酬和任期激励挂钩。经营业绩考核工作遵循以下原则：</w:t>
      </w:r>
    </w:p>
    <w:p>
      <w:pPr>
        <w:pStyle w:val="BodyText"/>
        <w:spacing w:line="240" w:lineRule="auto" w:before="54"/>
        <w:ind w:left="574" w:right="0"/>
        <w:jc w:val="left"/>
      </w:pPr>
      <w:r>
        <w:rPr>
          <w:rFonts w:ascii="Times New Roman" w:hAnsi="Times New Roman" w:cs="Times New Roman" w:eastAsia="Times New Roman" w:hint="default"/>
        </w:rPr>
        <w:t>1</w:t>
      </w:r>
      <w:r>
        <w:rPr/>
        <w:t>、有利于国有资产保值增值和公司价值最大化。</w:t>
      </w:r>
    </w:p>
    <w:p>
      <w:pPr>
        <w:pStyle w:val="BodyText"/>
        <w:spacing w:line="240" w:lineRule="auto" w:before="177"/>
        <w:ind w:left="574" w:right="0"/>
        <w:jc w:val="left"/>
      </w:pPr>
      <w:r>
        <w:rPr>
          <w:rFonts w:ascii="Times New Roman" w:hAnsi="Times New Roman" w:cs="Times New Roman" w:eastAsia="Times New Roman" w:hint="default"/>
        </w:rPr>
        <w:t>2</w:t>
      </w:r>
      <w:r>
        <w:rPr/>
        <w:t>、有利于公司提高战略管理能力和自主创新水平，不断增强公司核心竞争力和可持续发展能力。</w:t>
      </w:r>
    </w:p>
    <w:p>
      <w:pPr>
        <w:pStyle w:val="BodyText"/>
        <w:spacing w:line="386" w:lineRule="auto" w:before="177"/>
        <w:ind w:right="1141" w:firstLine="420"/>
        <w:jc w:val="both"/>
      </w:pPr>
      <w:r>
        <w:rPr>
          <w:rFonts w:ascii="Times New Roman" w:hAnsi="Times New Roman" w:cs="Times New Roman" w:eastAsia="Times New Roman" w:hint="default"/>
        </w:rPr>
        <w:t>3</w:t>
      </w:r>
      <w:r>
        <w:rPr/>
        <w:t>、有利于推动公司建立健全绩效管理体系，增强公司管控力和执行力，确保国有资产保值增值责任 层层落实。</w:t>
      </w:r>
    </w:p>
    <w:p>
      <w:pPr>
        <w:pStyle w:val="BodyText"/>
        <w:spacing w:line="398" w:lineRule="auto" w:before="65"/>
        <w:ind w:left="574" w:right="1118"/>
        <w:jc w:val="left"/>
      </w:pPr>
      <w:r>
        <w:rPr>
          <w:rFonts w:ascii="Times New Roman" w:hAnsi="Times New Roman" w:cs="Times New Roman" w:eastAsia="Times New Roman" w:hint="default"/>
        </w:rPr>
        <w:t>4</w:t>
      </w:r>
      <w:r>
        <w:rPr/>
        <w:t>、有利于落实公司发展规划，提高考核的针对性和有效性。 上述高管人员年度经营业绩考核程序为： </w:t>
      </w:r>
      <w:r>
        <w:rPr>
          <w:rFonts w:ascii="Times New Roman" w:hAnsi="Times New Roman" w:cs="Times New Roman" w:eastAsia="Times New Roman" w:hint="default"/>
        </w:rPr>
        <w:t>1</w:t>
      </w:r>
      <w:r>
        <w:rPr/>
        <w:t>、在相关董事会会议召开前，董事会薪酬与考核委员会应将审核后的公司年度经营业绩考核结果提</w:t>
      </w:r>
    </w:p>
    <w:p>
      <w:pPr>
        <w:pStyle w:val="BodyText"/>
        <w:spacing w:line="240" w:lineRule="auto" w:before="24"/>
        <w:ind w:right="0"/>
        <w:jc w:val="left"/>
      </w:pPr>
      <w:r>
        <w:rPr/>
        <w:t>交监事会主席复核，监事会主席在复核后的考核结果书面文件上签字确认。</w:t>
      </w:r>
    </w:p>
    <w:p>
      <w:pPr>
        <w:spacing w:line="240" w:lineRule="auto" w:before="10"/>
        <w:rPr>
          <w:rFonts w:ascii="宋体" w:hAnsi="宋体" w:cs="宋体" w:eastAsia="宋体" w:hint="default"/>
          <w:sz w:val="14"/>
          <w:szCs w:val="14"/>
        </w:rPr>
      </w:pPr>
    </w:p>
    <w:p>
      <w:pPr>
        <w:pStyle w:val="BodyText"/>
        <w:spacing w:line="386" w:lineRule="auto"/>
        <w:ind w:right="1137" w:firstLine="420"/>
        <w:jc w:val="both"/>
      </w:pPr>
      <w:r>
        <w:rPr>
          <w:rFonts w:ascii="Times New Roman" w:hAnsi="Times New Roman" w:cs="Times New Roman" w:eastAsia="Times New Roman" w:hint="default"/>
        </w:rPr>
        <w:t>2</w:t>
      </w:r>
      <w:r>
        <w:rPr/>
        <w:t>、董事会薪酬与考核委员会根据考核结果及董事长、总经理的相关奖惩提议，提出正式的考核与奖 惩专项议案提交董事会议审议通过后执行。</w:t>
      </w:r>
    </w:p>
    <w:p>
      <w:pPr>
        <w:pStyle w:val="BodyText"/>
        <w:spacing w:line="386" w:lineRule="auto" w:before="106"/>
        <w:ind w:right="1131" w:firstLine="420"/>
        <w:jc w:val="both"/>
      </w:pPr>
      <w:r>
        <w:rPr>
          <w:rFonts w:ascii="Times New Roman" w:hAnsi="Times New Roman" w:cs="Times New Roman" w:eastAsia="Times New Roman" w:hint="default"/>
        </w:rPr>
        <w:t>3</w:t>
      </w:r>
      <w:r>
        <w:rPr/>
        <w:t>、董事会应指定专人将董事会最终审定的考核与奖惩结果反馈给上述高管人员。高管人员对考核结 </w:t>
      </w:r>
      <w:r>
        <w:rPr>
          <w:spacing w:val="-1"/>
        </w:rPr>
        <w:t>果有异议的，可在</w:t>
      </w:r>
      <w:r>
        <w:rPr>
          <w:rFonts w:ascii="Times New Roman" w:hAnsi="Times New Roman" w:cs="Times New Roman" w:eastAsia="Times New Roman" w:hint="default"/>
          <w:spacing w:val="-1"/>
        </w:rPr>
        <w:t>10</w:t>
      </w:r>
      <w:r>
        <w:rPr>
          <w:spacing w:val="-1"/>
        </w:rPr>
        <w:t>日内向董事会或监事会书面反映，董事会须根据反映情况或监事会提议及时作出书面</w:t>
      </w:r>
      <w:r>
        <w:rPr>
          <w:spacing w:val="-82"/>
        </w:rPr>
        <w:t> </w:t>
      </w:r>
      <w:r>
        <w:rPr>
          <w:spacing w:val="-82"/>
        </w:rPr>
      </w:r>
      <w:r>
        <w:rPr/>
        <w:t>答复。</w:t>
      </w:r>
    </w:p>
    <w:p>
      <w:pPr>
        <w:spacing w:line="240" w:lineRule="auto" w:before="7"/>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副总经理兼董事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504.52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10" w:firstLine="441"/>
        <w:jc w:val="both"/>
      </w:pPr>
      <w:r>
        <w:rPr>
          <w:spacing w:val="-1"/>
        </w:rPr>
        <w:t>公司薪酬与考核体系严格遵守国家法律规定，根据公司战略发展方向及人力资源职能战略要求，结合</w:t>
      </w:r>
      <w:r>
        <w:rPr/>
        <w:t> 公司发展现状制定。在制定过程中，以地区薪酬水平为基础，广泛参考了同行业高科技企业的薪酬水平， </w:t>
      </w:r>
      <w:r>
        <w:rPr>
          <w:spacing w:val="-1"/>
        </w:rPr>
        <w:t>同时结合公司业务战略的预期目标，使公司整体薪酬政策体现出了综合竞争性，以此稳定和吸引人才。为</w:t>
      </w:r>
      <w:r>
        <w:rPr>
          <w:spacing w:val="-83"/>
        </w:rPr>
        <w:t> </w:t>
      </w:r>
      <w:r>
        <w:rPr>
          <w:spacing w:val="-83"/>
        </w:rPr>
      </w:r>
      <w:r>
        <w:rPr>
          <w:spacing w:val="-1"/>
        </w:rPr>
        <w:t>建立内部公平性，公司主要根据员工从事岗位的绩效情况、员工所具备的业务技能水平以及对公司的长期</w:t>
      </w:r>
      <w:r>
        <w:rPr>
          <w:spacing w:val="-81"/>
        </w:rPr>
        <w:t> </w:t>
      </w:r>
      <w:r>
        <w:rPr>
          <w:spacing w:val="-81"/>
        </w:rPr>
      </w:r>
      <w:r>
        <w:rPr>
          <w:spacing w:val="-1"/>
        </w:rPr>
        <w:t>贡献度，综合确定员工的薪酬水平，体现出稳定性、差异性和合理性。同时，积极鼓励员工创新，设计创</w:t>
      </w:r>
      <w:r>
        <w:rPr>
          <w:spacing w:val="-83"/>
        </w:rPr>
        <w:t> </w:t>
      </w:r>
      <w:r>
        <w:rPr>
          <w:spacing w:val="-83"/>
        </w:rPr>
      </w:r>
      <w:r>
        <w:rPr/>
        <w:t>新激励方案，实行创新专项奖励，以推动公司各项工作的创新水平不断发展。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9"/>
        <w:rPr>
          <w:rFonts w:ascii="宋体" w:hAnsi="宋体" w:cs="宋体" w:eastAsia="宋体" w:hint="default"/>
          <w:sz w:val="17"/>
          <w:szCs w:val="17"/>
        </w:rPr>
      </w:pPr>
    </w:p>
    <w:p>
      <w:pPr>
        <w:pStyle w:val="BodyText"/>
        <w:spacing w:line="386" w:lineRule="auto"/>
        <w:ind w:right="1130" w:firstLine="441"/>
        <w:jc w:val="both"/>
      </w:pPr>
      <w:r>
        <w:rPr>
          <w:spacing w:val="-2"/>
        </w:rPr>
        <w:t>报告期内，公司人工成本占营业成本比重为</w:t>
      </w:r>
      <w:r>
        <w:rPr>
          <w:rFonts w:ascii="Times New Roman" w:hAnsi="Times New Roman" w:cs="Times New Roman" w:eastAsia="Times New Roman" w:hint="default"/>
          <w:spacing w:val="-2"/>
        </w:rPr>
        <w:t>13.31%</w:t>
      </w:r>
      <w:r>
        <w:rPr>
          <w:spacing w:val="-2"/>
        </w:rPr>
        <w:t>，较去年同期减少</w:t>
      </w:r>
      <w:r>
        <w:rPr>
          <w:rFonts w:ascii="Times New Roman" w:hAnsi="Times New Roman" w:cs="Times New Roman" w:eastAsia="Times New Roman" w:hint="default"/>
          <w:spacing w:val="-2"/>
        </w:rPr>
        <w:t>0.2%</w:t>
      </w:r>
      <w:r>
        <w:rPr>
          <w:spacing w:val="-2"/>
        </w:rPr>
        <w:t>。核心人员数量占员工总数</w:t>
      </w:r>
      <w:r>
        <w:rPr/>
        <w:t> 的</w:t>
      </w:r>
      <w:r>
        <w:rPr>
          <w:rFonts w:ascii="Times New Roman" w:hAnsi="Times New Roman" w:cs="Times New Roman" w:eastAsia="Times New Roman" w:hint="default"/>
        </w:rPr>
        <w:t>1.79%</w:t>
      </w:r>
      <w:r>
        <w:rPr/>
        <w:t>，核心人员薪酬占员工薪酬总数比重为</w:t>
      </w:r>
      <w:r>
        <w:rPr>
          <w:rFonts w:ascii="Times New Roman" w:hAnsi="Times New Roman" w:cs="Times New Roman" w:eastAsia="Times New Roman" w:hint="default"/>
        </w:rPr>
        <w:t>15.77%</w:t>
      </w:r>
      <w:r>
        <w:rPr/>
        <w:t>。</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640"/>
        <w:gridCol w:w="637"/>
        <w:gridCol w:w="1306"/>
        <w:gridCol w:w="1814"/>
        <w:gridCol w:w="2015"/>
        <w:gridCol w:w="1020"/>
        <w:gridCol w:w="1516"/>
        <w:gridCol w:w="694"/>
      </w:tblGrid>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24" w:right="0"/>
              <w:jc w:val="left"/>
              <w:rPr>
                <w:rFonts w:ascii="宋体" w:hAnsi="宋体" w:cs="宋体" w:eastAsia="宋体" w:hint="default"/>
                <w:sz w:val="21"/>
                <w:szCs w:val="21"/>
              </w:rPr>
            </w:pPr>
            <w:r>
              <w:rPr>
                <w:rFonts w:ascii="宋体" w:hAnsi="宋体" w:cs="宋体" w:eastAsia="宋体" w:hint="default"/>
                <w:b/>
                <w:bCs/>
                <w:sz w:val="21"/>
                <w:szCs w:val="21"/>
              </w:rPr>
              <w:t>培训名称</w:t>
            </w:r>
            <w:r>
              <w:rPr>
                <w:rFonts w:ascii="宋体" w:hAnsi="宋体" w:cs="宋体" w:eastAsia="宋体" w:hint="default"/>
                <w:sz w:val="21"/>
                <w:szCs w:val="21"/>
              </w:rPr>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76" w:right="0"/>
              <w:jc w:val="left"/>
              <w:rPr>
                <w:rFonts w:ascii="宋体" w:hAnsi="宋体" w:cs="宋体" w:eastAsia="宋体" w:hint="default"/>
                <w:sz w:val="21"/>
                <w:szCs w:val="21"/>
              </w:rPr>
            </w:pPr>
            <w:r>
              <w:rPr>
                <w:rFonts w:ascii="宋体" w:hAnsi="宋体" w:cs="宋体" w:eastAsia="宋体" w:hint="default"/>
                <w:b/>
                <w:bCs/>
                <w:sz w:val="21"/>
                <w:szCs w:val="21"/>
              </w:rPr>
              <w:t>培训目的</w:t>
            </w:r>
            <w:r>
              <w:rPr>
                <w:rFonts w:ascii="宋体" w:hAnsi="宋体" w:cs="宋体" w:eastAsia="宋体" w:hint="default"/>
                <w:sz w:val="21"/>
                <w:szCs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培训内容</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培训对象</w:t>
            </w:r>
            <w:r>
              <w:rPr>
                <w:rFonts w:ascii="宋体" w:hAnsi="宋体" w:cs="宋体" w:eastAsia="宋体" w:hint="default"/>
                <w:sz w:val="21"/>
                <w:szCs w:val="21"/>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28" w:right="0"/>
              <w:jc w:val="left"/>
              <w:rPr>
                <w:rFonts w:ascii="宋体" w:hAnsi="宋体" w:cs="宋体" w:eastAsia="宋体" w:hint="default"/>
                <w:sz w:val="21"/>
                <w:szCs w:val="21"/>
              </w:rPr>
            </w:pPr>
            <w:r>
              <w:rPr>
                <w:rFonts w:ascii="宋体" w:hAnsi="宋体" w:cs="宋体" w:eastAsia="宋体" w:hint="default"/>
                <w:b/>
                <w:bCs/>
                <w:sz w:val="21"/>
                <w:szCs w:val="21"/>
              </w:rPr>
              <w:t>预计经费</w:t>
            </w:r>
            <w:r>
              <w:rPr>
                <w:rFonts w:ascii="宋体" w:hAnsi="宋体" w:cs="宋体" w:eastAsia="宋体" w:hint="default"/>
                <w:sz w:val="21"/>
                <w:szCs w:val="21"/>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8"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2219" w:hRule="exact"/>
        </w:trPr>
        <w:tc>
          <w:tcPr>
            <w:tcW w:w="6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73" w:lineRule="auto"/>
              <w:ind w:left="206" w:right="207"/>
              <w:jc w:val="both"/>
              <w:rPr>
                <w:rFonts w:ascii="宋体" w:hAnsi="宋体" w:cs="宋体" w:eastAsia="宋体" w:hint="default"/>
                <w:sz w:val="21"/>
                <w:szCs w:val="21"/>
              </w:rPr>
            </w:pPr>
            <w:r>
              <w:rPr>
                <w:rFonts w:ascii="宋体" w:hAnsi="宋体" w:cs="宋体" w:eastAsia="宋体" w:hint="default"/>
                <w:b/>
                <w:bCs/>
                <w:sz w:val="21"/>
                <w:szCs w:val="21"/>
              </w:rPr>
              <w:t>内</w:t>
            </w:r>
            <w:r>
              <w:rPr>
                <w:rFonts w:ascii="宋体" w:hAnsi="宋体" w:cs="宋体" w:eastAsia="宋体" w:hint="default"/>
                <w:b/>
                <w:bCs/>
                <w:w w:val="99"/>
                <w:sz w:val="21"/>
                <w:szCs w:val="21"/>
              </w:rPr>
              <w:t> </w:t>
            </w:r>
            <w:r>
              <w:rPr>
                <w:rFonts w:ascii="宋体" w:hAnsi="宋体" w:cs="宋体" w:eastAsia="宋体" w:hint="default"/>
                <w:b/>
                <w:bCs/>
                <w:sz w:val="21"/>
                <w:szCs w:val="21"/>
              </w:rPr>
              <w:t>部</w:t>
            </w:r>
            <w:r>
              <w:rPr>
                <w:rFonts w:ascii="宋体" w:hAnsi="宋体" w:cs="宋体" w:eastAsia="宋体" w:hint="default"/>
                <w:b/>
                <w:bCs/>
                <w:w w:val="99"/>
                <w:sz w:val="21"/>
                <w:szCs w:val="21"/>
              </w:rPr>
              <w:t> </w:t>
            </w:r>
            <w:r>
              <w:rPr>
                <w:rFonts w:ascii="宋体" w:hAnsi="宋体" w:cs="宋体" w:eastAsia="宋体" w:hint="default"/>
                <w:b/>
                <w:bCs/>
                <w:sz w:val="21"/>
                <w:szCs w:val="21"/>
              </w:rPr>
              <w:t>培</w:t>
            </w:r>
            <w:r>
              <w:rPr>
                <w:rFonts w:ascii="宋体" w:hAnsi="宋体" w:cs="宋体" w:eastAsia="宋体" w:hint="default"/>
                <w:b/>
                <w:bCs/>
                <w:w w:val="99"/>
                <w:sz w:val="21"/>
                <w:szCs w:val="21"/>
              </w:rPr>
              <w:t> </w:t>
            </w:r>
            <w:r>
              <w:rPr>
                <w:rFonts w:ascii="宋体" w:hAnsi="宋体" w:cs="宋体" w:eastAsia="宋体" w:hint="default"/>
                <w:b/>
                <w:bCs/>
                <w:sz w:val="21"/>
                <w:szCs w:val="21"/>
              </w:rPr>
              <w:t>训</w:t>
            </w:r>
            <w:r>
              <w:rPr>
                <w:rFonts w:ascii="宋体" w:hAnsi="宋体" w:cs="宋体" w:eastAsia="宋体" w:hint="default"/>
                <w:sz w:val="21"/>
                <w:szCs w:val="21"/>
              </w:rPr>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25"/>
              <w:jc w:val="left"/>
              <w:rPr>
                <w:rFonts w:ascii="宋体" w:hAnsi="宋体" w:cs="宋体" w:eastAsia="宋体" w:hint="default"/>
                <w:sz w:val="21"/>
                <w:szCs w:val="21"/>
              </w:rPr>
            </w:pPr>
            <w:r>
              <w:rPr>
                <w:rFonts w:ascii="宋体" w:hAnsi="宋体" w:cs="宋体" w:eastAsia="宋体" w:hint="default"/>
                <w:sz w:val="21"/>
                <w:szCs w:val="21"/>
              </w:rPr>
              <w:t>新员工入职培 训</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促进新入职员工融 </w:t>
            </w:r>
            <w:r>
              <w:rPr>
                <w:rFonts w:ascii="宋体" w:hAnsi="宋体" w:cs="宋体" w:eastAsia="宋体" w:hint="default"/>
                <w:spacing w:val="-11"/>
                <w:sz w:val="21"/>
                <w:szCs w:val="21"/>
              </w:rPr>
              <w:t>入企业文化，了解企</w:t>
            </w:r>
            <w:r>
              <w:rPr>
                <w:rFonts w:ascii="宋体" w:hAnsi="宋体" w:cs="宋体" w:eastAsia="宋体" w:hint="default"/>
                <w:sz w:val="21"/>
                <w:szCs w:val="21"/>
              </w:rPr>
              <w:t> </w:t>
            </w:r>
            <w:r>
              <w:rPr>
                <w:rFonts w:ascii="宋体" w:hAnsi="宋体" w:cs="宋体" w:eastAsia="宋体" w:hint="default"/>
                <w:spacing w:val="-11"/>
                <w:sz w:val="21"/>
                <w:szCs w:val="21"/>
              </w:rPr>
              <w:t>业制度，提升岗位胜</w:t>
            </w:r>
            <w:r>
              <w:rPr>
                <w:rFonts w:ascii="宋体" w:hAnsi="宋体" w:cs="宋体" w:eastAsia="宋体" w:hint="default"/>
                <w:sz w:val="21"/>
                <w:szCs w:val="21"/>
              </w:rPr>
              <w:t> 任能力。</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培训时间为新员工集 </w:t>
            </w:r>
            <w:r>
              <w:rPr>
                <w:rFonts w:ascii="宋体" w:hAnsi="宋体" w:cs="宋体" w:eastAsia="宋体" w:hint="default"/>
                <w:spacing w:val="-11"/>
                <w:sz w:val="21"/>
                <w:szCs w:val="21"/>
              </w:rPr>
              <w:t>中入职的第一周，一般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在</w:t>
            </w:r>
            <w:r>
              <w:rPr>
                <w:rFonts w:ascii="宋体" w:hAnsi="宋体" w:cs="宋体" w:eastAsia="宋体" w:hint="default"/>
                <w:sz w:val="21"/>
                <w:szCs w:val="21"/>
              </w:rPr>
              <w:t>7</w:t>
            </w:r>
            <w:r>
              <w:rPr>
                <w:rFonts w:ascii="宋体" w:hAnsi="宋体" w:cs="宋体" w:eastAsia="宋体" w:hint="default"/>
                <w:sz w:val="21"/>
                <w:szCs w:val="21"/>
              </w:rPr>
              <w:t>月上旬。课程内容 为企业文化、规章制 度、安全和保密教育 职场素养及户外拓展 训练等。</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p>
            <w:pPr>
              <w:pStyle w:val="TableParagraph"/>
              <w:spacing w:line="240" w:lineRule="auto" w:before="21"/>
              <w:ind w:left="7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p>
          <w:p>
            <w:pPr>
              <w:pStyle w:val="TableParagraph"/>
              <w:spacing w:line="273" w:lineRule="auto" w:before="21"/>
              <w:ind w:left="291" w:right="82" w:hanging="210"/>
              <w:jc w:val="left"/>
              <w:rPr>
                <w:rFonts w:ascii="宋体" w:hAnsi="宋体" w:cs="宋体" w:eastAsia="宋体" w:hint="default"/>
                <w:sz w:val="21"/>
                <w:szCs w:val="21"/>
              </w:rPr>
            </w:pPr>
            <w:r>
              <w:rPr>
                <w:rFonts w:ascii="宋体" w:hAnsi="宋体" w:cs="宋体" w:eastAsia="宋体" w:hint="default"/>
                <w:sz w:val="21"/>
                <w:szCs w:val="21"/>
              </w:rPr>
              <w:t>月入职新 员工</w:t>
            </w:r>
          </w:p>
          <w:p>
            <w:pPr>
              <w:pStyle w:val="TableParagraph"/>
              <w:spacing w:line="240" w:lineRule="auto" w:before="7"/>
              <w:ind w:left="-123" w:right="0"/>
              <w:jc w:val="left"/>
              <w:rPr>
                <w:rFonts w:ascii="宋体" w:hAnsi="宋体" w:cs="宋体" w:eastAsia="宋体" w:hint="default"/>
                <w:sz w:val="21"/>
                <w:szCs w:val="21"/>
              </w:rPr>
            </w:pPr>
            <w:r>
              <w:rPr>
                <w:rFonts w:ascii="宋体" w:hAnsi="宋体" w:cs="宋体" w:eastAsia="宋体" w:hint="default"/>
                <w:sz w:val="21"/>
                <w:szCs w:val="21"/>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p>
            <w:pPr>
              <w:pStyle w:val="TableParagraph"/>
              <w:spacing w:line="264" w:lineRule="auto" w:before="21"/>
              <w:ind w:left="2" w:right="18"/>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月入职</w:t>
            </w:r>
            <w:r>
              <w:rPr>
                <w:rFonts w:ascii="宋体" w:hAnsi="宋体" w:cs="宋体" w:eastAsia="宋体" w:hint="default"/>
                <w:w w:val="99"/>
                <w:sz w:val="21"/>
                <w:szCs w:val="21"/>
              </w:rPr>
              <w:t> </w:t>
            </w:r>
            <w:r>
              <w:rPr>
                <w:rFonts w:ascii="宋体" w:hAnsi="宋体" w:cs="宋体" w:eastAsia="宋体" w:hint="default"/>
                <w:sz w:val="21"/>
                <w:szCs w:val="21"/>
              </w:rPr>
              <w:t>新员工人数确</w:t>
            </w:r>
            <w:r>
              <w:rPr>
                <w:rFonts w:ascii="宋体" w:hAnsi="宋体" w:cs="宋体" w:eastAsia="宋体" w:hint="default"/>
                <w:w w:val="99"/>
                <w:sz w:val="21"/>
                <w:szCs w:val="21"/>
              </w:rPr>
              <w:t> </w:t>
            </w:r>
            <w:r>
              <w:rPr>
                <w:rFonts w:ascii="宋体" w:hAnsi="宋体" w:cs="宋体" w:eastAsia="宋体" w:hint="default"/>
                <w:sz w:val="21"/>
                <w:szCs w:val="21"/>
              </w:rPr>
              <w:t>定。</w:t>
            </w: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1907" w:hRule="exact"/>
        </w:trPr>
        <w:tc>
          <w:tcPr>
            <w:tcW w:w="640" w:type="dxa"/>
            <w:vMerge/>
            <w:tcBorders>
              <w:left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25"/>
              <w:jc w:val="left"/>
              <w:rPr>
                <w:rFonts w:ascii="宋体" w:hAnsi="宋体" w:cs="宋体" w:eastAsia="宋体" w:hint="default"/>
                <w:sz w:val="21"/>
                <w:szCs w:val="21"/>
              </w:rPr>
            </w:pPr>
            <w:r>
              <w:rPr>
                <w:rFonts w:ascii="宋体" w:hAnsi="宋体" w:cs="宋体" w:eastAsia="宋体" w:hint="default"/>
                <w:sz w:val="21"/>
                <w:szCs w:val="21"/>
              </w:rPr>
              <w:t>内训会、交流 会、研讨会</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z w:val="21"/>
                <w:szCs w:val="21"/>
              </w:rPr>
              <w:t>促进员工间的知识 </w:t>
            </w:r>
            <w:r>
              <w:rPr>
                <w:rFonts w:ascii="宋体" w:hAnsi="宋体" w:cs="宋体" w:eastAsia="宋体" w:hint="default"/>
                <w:spacing w:val="-11"/>
                <w:sz w:val="21"/>
                <w:szCs w:val="21"/>
              </w:rPr>
              <w:t>与经验交流，实现技</w:t>
            </w:r>
            <w:r>
              <w:rPr>
                <w:rFonts w:ascii="宋体" w:hAnsi="宋体" w:cs="宋体" w:eastAsia="宋体" w:hint="default"/>
                <w:sz w:val="21"/>
                <w:szCs w:val="21"/>
              </w:rPr>
              <w:t> </w:t>
            </w:r>
            <w:r>
              <w:rPr>
                <w:rFonts w:ascii="宋体" w:hAnsi="宋体" w:cs="宋体" w:eastAsia="宋体" w:hint="default"/>
                <w:spacing w:val="-9"/>
                <w:sz w:val="21"/>
                <w:szCs w:val="21"/>
              </w:rPr>
              <w:t>术传承和经验沉淀。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提升员工对行业技</w:t>
            </w:r>
            <w:r>
              <w:rPr>
                <w:rFonts w:ascii="宋体" w:hAnsi="宋体" w:cs="宋体" w:eastAsia="宋体" w:hint="default"/>
                <w:sz w:val="21"/>
                <w:szCs w:val="21"/>
              </w:rPr>
              <w:t> 术和发展趋势的关 注</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与内部讲师制度相结 </w:t>
            </w:r>
            <w:r>
              <w:rPr>
                <w:rFonts w:ascii="宋体" w:hAnsi="宋体" w:cs="宋体" w:eastAsia="宋体" w:hint="default"/>
                <w:spacing w:val="-11"/>
                <w:sz w:val="21"/>
                <w:szCs w:val="21"/>
              </w:rPr>
              <w:t>合，视企业发展和员工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成长需要适时开展。培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训内容为技能传授、管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理能力、经验分享、前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沿技术探讨等。</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6"/>
              <w:jc w:val="both"/>
              <w:rPr>
                <w:rFonts w:ascii="宋体" w:hAnsi="宋体" w:cs="宋体" w:eastAsia="宋体" w:hint="default"/>
                <w:sz w:val="21"/>
                <w:szCs w:val="21"/>
              </w:rPr>
            </w:pPr>
            <w:r>
              <w:rPr>
                <w:rFonts w:ascii="宋体" w:hAnsi="宋体" w:cs="宋体" w:eastAsia="宋体" w:hint="default"/>
                <w:sz w:val="21"/>
                <w:szCs w:val="21"/>
              </w:rPr>
              <w:t>按照《中科院成 都信息技术股份 有限公司培训管 理制度》中关于 讲师和课程的管 理办法执行</w:t>
            </w: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1908" w:hRule="exact"/>
        </w:trPr>
        <w:tc>
          <w:tcPr>
            <w:tcW w:w="640" w:type="dxa"/>
            <w:vMerge/>
            <w:tcBorders>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25"/>
              <w:jc w:val="left"/>
              <w:rPr>
                <w:rFonts w:ascii="宋体" w:hAnsi="宋体" w:cs="宋体" w:eastAsia="宋体" w:hint="default"/>
                <w:sz w:val="21"/>
                <w:szCs w:val="21"/>
              </w:rPr>
            </w:pPr>
            <w:r>
              <w:rPr>
                <w:rFonts w:ascii="宋体" w:hAnsi="宋体" w:cs="宋体" w:eastAsia="宋体" w:hint="default"/>
                <w:sz w:val="21"/>
                <w:szCs w:val="21"/>
              </w:rPr>
              <w:t>保密教育和培 训</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4"/>
              <w:jc w:val="both"/>
              <w:rPr>
                <w:rFonts w:ascii="宋体" w:hAnsi="宋体" w:cs="宋体" w:eastAsia="宋体" w:hint="default"/>
                <w:sz w:val="21"/>
                <w:szCs w:val="21"/>
              </w:rPr>
            </w:pPr>
            <w:r>
              <w:rPr>
                <w:rFonts w:ascii="宋体" w:hAnsi="宋体" w:cs="宋体" w:eastAsia="宋体" w:hint="default"/>
                <w:sz w:val="21"/>
                <w:szCs w:val="21"/>
              </w:rPr>
              <w:t>根据保密工作和涉 密资质的管理要求 开展</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7"/>
              <w:jc w:val="both"/>
              <w:rPr>
                <w:rFonts w:ascii="宋体" w:hAnsi="宋体" w:cs="宋体" w:eastAsia="宋体" w:hint="default"/>
                <w:sz w:val="21"/>
                <w:szCs w:val="21"/>
              </w:rPr>
            </w:pPr>
            <w:r>
              <w:rPr>
                <w:rFonts w:ascii="宋体" w:hAnsi="宋体" w:cs="宋体" w:eastAsia="宋体" w:hint="default"/>
                <w:sz w:val="21"/>
                <w:szCs w:val="21"/>
              </w:rPr>
              <w:t>国家保密工作法规和 公司保密工作规则制 度。</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7"/>
              <w:jc w:val="center"/>
              <w:rPr>
                <w:rFonts w:ascii="宋体" w:hAnsi="宋体" w:cs="宋体" w:eastAsia="宋体" w:hint="default"/>
                <w:sz w:val="21"/>
                <w:szCs w:val="21"/>
              </w:rPr>
            </w:pPr>
            <w:r>
              <w:rPr>
                <w:rFonts w:ascii="宋体" w:hAnsi="宋体" w:cs="宋体" w:eastAsia="宋体" w:hint="default"/>
                <w:sz w:val="21"/>
                <w:szCs w:val="21"/>
              </w:rPr>
              <w:t>全体员工， 重点针对 </w:t>
            </w:r>
            <w:r>
              <w:rPr>
                <w:rFonts w:ascii="宋体" w:hAnsi="宋体" w:cs="宋体" w:eastAsia="宋体" w:hint="default"/>
                <w:spacing w:val="-11"/>
                <w:sz w:val="21"/>
                <w:szCs w:val="21"/>
              </w:rPr>
              <w:t>公司、子公</w:t>
            </w:r>
            <w:r>
              <w:rPr>
                <w:rFonts w:ascii="宋体" w:hAnsi="宋体" w:cs="宋体" w:eastAsia="宋体" w:hint="default"/>
                <w:sz w:val="21"/>
                <w:szCs w:val="21"/>
              </w:rPr>
              <w:t> 司的涉密 人员和专、 兼职保密</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 w:right="13"/>
              <w:jc w:val="center"/>
              <w:rPr>
                <w:rFonts w:ascii="宋体" w:hAnsi="宋体" w:cs="宋体" w:eastAsia="宋体" w:hint="default"/>
                <w:sz w:val="21"/>
                <w:szCs w:val="21"/>
              </w:rPr>
            </w:pPr>
            <w:r>
              <w:rPr>
                <w:rFonts w:ascii="宋体" w:hAnsi="宋体" w:cs="宋体" w:eastAsia="宋体" w:hint="default"/>
                <w:sz w:val="21"/>
                <w:szCs w:val="21"/>
              </w:rPr>
              <w:t>按照《中科院成 都信息技术股份 有限公司培训管 理制度》中关于 讲师和课程的管 理办法执行</w:t>
            </w:r>
          </w:p>
        </w:tc>
        <w:tc>
          <w:tcPr>
            <w:tcW w:w="6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b/>
          <w:bCs/>
          <w:sz w:val="22"/>
          <w:szCs w:val="22"/>
        </w:rPr>
      </w:pPr>
    </w:p>
    <w:p>
      <w:pPr>
        <w:tabs>
          <w:tab w:pos="6653" w:val="left" w:leader="none"/>
        </w:tabs>
        <w:spacing w:before="35"/>
        <w:ind w:left="367" w:right="0" w:firstLine="0"/>
        <w:jc w:val="left"/>
        <w:rPr>
          <w:rFonts w:ascii="宋体" w:hAnsi="宋体" w:cs="宋体" w:eastAsia="宋体" w:hint="default"/>
          <w:sz w:val="21"/>
          <w:szCs w:val="21"/>
        </w:rPr>
      </w:pPr>
      <w:r>
        <w:rPr>
          <w:rFonts w:ascii="宋体" w:hAnsi="宋体" w:cs="宋体" w:eastAsia="宋体" w:hint="default"/>
          <w:b/>
          <w:bCs/>
          <w:w w:val="95"/>
          <w:sz w:val="21"/>
          <w:szCs w:val="21"/>
        </w:rPr>
        <w:t>内</w:t>
        <w:tab/>
      </w:r>
      <w:r>
        <w:rPr>
          <w:rFonts w:ascii="宋体" w:hAnsi="宋体" w:cs="宋体" w:eastAsia="宋体" w:hint="default"/>
          <w:sz w:val="21"/>
          <w:szCs w:val="21"/>
        </w:rPr>
        <w:t>管理工作</w:t>
      </w:r>
    </w:p>
    <w:p>
      <w:pPr>
        <w:tabs>
          <w:tab w:pos="6863" w:val="left" w:leader="none"/>
        </w:tabs>
        <w:spacing w:before="37"/>
        <w:ind w:left="367" w:right="0" w:firstLine="0"/>
        <w:jc w:val="left"/>
        <w:rPr>
          <w:rFonts w:ascii="宋体" w:hAnsi="宋体" w:cs="宋体" w:eastAsia="宋体" w:hint="default"/>
          <w:sz w:val="21"/>
          <w:szCs w:val="21"/>
        </w:rPr>
      </w:pPr>
      <w:r>
        <w:rPr>
          <w:rFonts w:ascii="宋体" w:hAnsi="宋体" w:cs="宋体" w:eastAsia="宋体" w:hint="default"/>
          <w:b/>
          <w:bCs/>
          <w:w w:val="95"/>
          <w:sz w:val="21"/>
          <w:szCs w:val="21"/>
        </w:rPr>
        <w:t>部</w:t>
        <w:tab/>
      </w:r>
      <w:r>
        <w:rPr>
          <w:rFonts w:ascii="宋体" w:hAnsi="宋体" w:cs="宋体" w:eastAsia="宋体" w:hint="default"/>
          <w:sz w:val="21"/>
          <w:szCs w:val="21"/>
        </w:rPr>
        <w:t>人员</w:t>
      </w:r>
    </w:p>
    <w:p>
      <w:pPr>
        <w:pStyle w:val="Heading4"/>
        <w:spacing w:line="273" w:lineRule="auto" w:before="37"/>
        <w:ind w:left="367" w:right="10328"/>
        <w:jc w:val="left"/>
        <w:rPr>
          <w:b w:val="0"/>
          <w:bCs w:val="0"/>
        </w:rPr>
      </w:pPr>
      <w:r>
        <w:rPr/>
        <w:t>培</w:t>
      </w:r>
      <w:r>
        <w:rPr>
          <w:w w:val="99"/>
        </w:rPr>
        <w:t> </w:t>
      </w:r>
      <w:r>
        <w:rPr/>
        <w:t>训</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pStyle w:val="BodyText"/>
        <w:tabs>
          <w:tab w:pos="1559" w:val="left" w:leader="none"/>
        </w:tabs>
        <w:spacing w:line="240" w:lineRule="auto" w:before="35"/>
        <w:ind w:left="1060" w:right="-18"/>
        <w:jc w:val="left"/>
      </w:pPr>
      <w:r>
        <w:rPr>
          <w:rFonts w:ascii="Times New Roman" w:hAnsi="Times New Roman" w:cs="Times New Roman" w:eastAsia="Times New Roman" w:hint="default"/>
        </w:rPr>
        <w:t>1</w:t>
        <w:tab/>
      </w:r>
      <w:r>
        <w:rPr/>
        <w:t>益策公开课</w:t>
      </w:r>
      <w:r>
        <w:rPr>
          <w:spacing w:val="44"/>
        </w:rPr>
        <w:t> </w:t>
      </w:r>
      <w:r>
        <w:rPr>
          <w:spacing w:val="-5"/>
        </w:rPr>
        <w:t>提高员工综合素质，课程内容主要为价值</w:t>
      </w:r>
    </w:p>
    <w:p>
      <w:pPr>
        <w:pStyle w:val="BodyText"/>
        <w:spacing w:line="240" w:lineRule="auto" w:before="35"/>
        <w:ind w:left="163" w:right="-19"/>
        <w:jc w:val="left"/>
      </w:pPr>
      <w:r>
        <w:rPr/>
        <w:br w:type="column"/>
      </w:r>
      <w:r>
        <w:rPr/>
        <w:t>各部门骨</w:t>
      </w:r>
    </w:p>
    <w:p>
      <w:pPr>
        <w:pStyle w:val="BodyText"/>
        <w:spacing w:line="240" w:lineRule="auto" w:before="35"/>
        <w:ind w:left="74" w:right="0"/>
        <w:jc w:val="left"/>
      </w:pPr>
      <w:r>
        <w:rPr/>
        <w:br w:type="column"/>
      </w:r>
      <w:r>
        <w:rPr/>
        <w:t>购买年度套餐，</w:t>
      </w:r>
    </w:p>
    <w:p>
      <w:pPr>
        <w:spacing w:after="0" w:line="240" w:lineRule="auto"/>
        <w:jc w:val="left"/>
        <w:sectPr>
          <w:type w:val="continuous"/>
          <w:pgSz w:w="11910" w:h="16840"/>
          <w:pgMar w:top="1580" w:bottom="280" w:left="980" w:right="0"/>
          <w:cols w:num="3" w:equalWidth="0">
            <w:col w:w="6451" w:space="40"/>
            <w:col w:w="1004" w:space="40"/>
            <w:col w:w="3395"/>
          </w:cols>
        </w:sectPr>
      </w:pPr>
    </w:p>
    <w:p>
      <w:pPr>
        <w:pStyle w:val="BodyText"/>
        <w:spacing w:line="273" w:lineRule="auto" w:before="21"/>
        <w:ind w:left="2746" w:right="-20"/>
        <w:jc w:val="left"/>
      </w:pPr>
      <w:r>
        <w:rPr/>
        <w:t>为员工建立正确价 值观，了解前沿技</w:t>
      </w:r>
    </w:p>
    <w:p>
      <w:pPr>
        <w:pStyle w:val="BodyText"/>
        <w:spacing w:line="273" w:lineRule="auto" w:before="21"/>
        <w:ind w:left="93" w:right="-15"/>
        <w:jc w:val="left"/>
      </w:pPr>
      <w:r>
        <w:rPr>
          <w:spacing w:val="-11"/>
        </w:rPr>
        <w:br w:type="column"/>
      </w:r>
      <w:r>
        <w:rPr>
          <w:spacing w:val="-11"/>
        </w:rPr>
        <w:t>观、前沿技术、思维方</w:t>
      </w:r>
      <w:r>
        <w:rPr>
          <w:spacing w:val="-101"/>
        </w:rPr>
        <w:t> </w:t>
      </w:r>
      <w:r>
        <w:rPr>
          <w:spacing w:val="-101"/>
        </w:rPr>
      </w:r>
      <w:r>
        <w:rPr>
          <w:spacing w:val="-11"/>
        </w:rPr>
        <w:t>法、团队建设，管理工</w:t>
      </w:r>
    </w:p>
    <w:p>
      <w:pPr>
        <w:spacing w:before="21"/>
        <w:ind w:left="165"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干员工</w:t>
      </w:r>
    </w:p>
    <w:p>
      <w:pPr>
        <w:pStyle w:val="BodyText"/>
        <w:spacing w:line="240" w:lineRule="auto" w:before="21"/>
        <w:ind w:left="231" w:right="0"/>
        <w:jc w:val="left"/>
        <w:rPr>
          <w:rFonts w:ascii="Times New Roman" w:hAnsi="Times New Roman" w:cs="Times New Roman" w:eastAsia="Times New Roman" w:hint="default"/>
        </w:rPr>
      </w:pPr>
      <w:r>
        <w:rPr/>
        <w:br w:type="column"/>
      </w:r>
      <w:r>
        <w:rPr/>
        <w:t>价格为：</w:t>
      </w:r>
      <w:r>
        <w:rPr>
          <w:rFonts w:ascii="Times New Roman" w:hAnsi="Times New Roman" w:cs="Times New Roman" w:eastAsia="Times New Roman" w:hint="default"/>
        </w:rPr>
        <w:t>98880</w:t>
      </w:r>
    </w:p>
    <w:p>
      <w:pPr>
        <w:spacing w:after="0" w:line="240" w:lineRule="auto"/>
        <w:jc w:val="left"/>
        <w:rPr>
          <w:rFonts w:ascii="Times New Roman" w:hAnsi="Times New Roman" w:cs="Times New Roman" w:eastAsia="Times New Roman" w:hint="default"/>
        </w:rPr>
        <w:sectPr>
          <w:type w:val="continuous"/>
          <w:pgSz w:w="11910" w:h="16840"/>
          <w:pgMar w:top="1580" w:bottom="280" w:left="980" w:right="0"/>
          <w:cols w:num="4" w:equalWidth="0">
            <w:col w:w="4427" w:space="40"/>
            <w:col w:w="2089" w:space="40"/>
            <w:col w:w="796" w:space="40"/>
            <w:col w:w="3498"/>
          </w:cols>
        </w:sectPr>
      </w:pPr>
    </w:p>
    <w:p>
      <w:pPr>
        <w:pStyle w:val="BodyText"/>
        <w:spacing w:line="273" w:lineRule="auto" w:before="7"/>
        <w:ind w:left="2746" w:right="1453"/>
        <w:jc w:val="left"/>
      </w:pPr>
      <w:r>
        <w:rPr>
          <w:spacing w:val="-11"/>
        </w:rPr>
        <w:t>术，掌握先进管理办</w:t>
      </w:r>
      <w:r>
        <w:rPr>
          <w:spacing w:val="-85"/>
        </w:rPr>
        <w:t> </w:t>
      </w:r>
      <w:r>
        <w:rPr/>
        <w:t>具等</w:t>
      </w:r>
      <w:r>
        <w:rPr/>
        <w:t> 法提供学习渠道。</w:t>
      </w:r>
    </w:p>
    <w:p>
      <w:pPr>
        <w:pStyle w:val="BodyText"/>
        <w:tabs>
          <w:tab w:pos="1559" w:val="left" w:leader="none"/>
        </w:tabs>
        <w:spacing w:line="240" w:lineRule="auto" w:before="42"/>
        <w:ind w:left="1060" w:right="-18"/>
        <w:jc w:val="left"/>
      </w:pPr>
      <w:r>
        <w:rPr>
          <w:rFonts w:ascii="Times New Roman" w:hAnsi="Times New Roman" w:cs="Times New Roman" w:eastAsia="Times New Roman" w:hint="default"/>
        </w:rPr>
        <w:t>2</w:t>
        <w:tab/>
      </w:r>
      <w:r>
        <w:rPr/>
        <w:t>智联公开课</w:t>
      </w:r>
      <w:r>
        <w:rPr>
          <w:spacing w:val="44"/>
        </w:rPr>
        <w:t> </w:t>
      </w:r>
      <w:r>
        <w:rPr>
          <w:spacing w:val="-5"/>
        </w:rPr>
        <w:t>提高员工综合素质，课程内容主要为价值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3"/>
        <w:ind w:left="163" w:right="-19"/>
        <w:jc w:val="left"/>
      </w:pPr>
      <w:r>
        <w:rPr/>
        <w:t>各部门骨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3"/>
        <w:ind w:left="74" w:right="0"/>
        <w:jc w:val="left"/>
      </w:pPr>
      <w:r>
        <w:rPr/>
        <w:t>购买年度套餐，</w:t>
      </w:r>
    </w:p>
    <w:p>
      <w:pPr>
        <w:spacing w:after="0" w:line="240" w:lineRule="auto"/>
        <w:jc w:val="left"/>
        <w:sectPr>
          <w:type w:val="continuous"/>
          <w:pgSz w:w="11910" w:h="16840"/>
          <w:pgMar w:top="1580" w:bottom="280" w:left="980" w:right="0"/>
          <w:cols w:num="3" w:equalWidth="0">
            <w:col w:w="6451" w:space="40"/>
            <w:col w:w="1004" w:space="40"/>
            <w:col w:w="3395"/>
          </w:cols>
        </w:sectPr>
      </w:pPr>
    </w:p>
    <w:p>
      <w:pPr>
        <w:pStyle w:val="BodyText"/>
        <w:spacing w:line="273" w:lineRule="auto" w:before="21"/>
        <w:ind w:left="2746" w:right="-20"/>
        <w:jc w:val="left"/>
      </w:pPr>
      <w:r>
        <w:rPr/>
        <w:t>为员工建立正确价 值观，了解前沿技</w:t>
      </w:r>
    </w:p>
    <w:p>
      <w:pPr>
        <w:pStyle w:val="BodyText"/>
        <w:spacing w:line="273" w:lineRule="auto" w:before="21"/>
        <w:ind w:left="93" w:right="-15"/>
        <w:jc w:val="left"/>
      </w:pPr>
      <w:r>
        <w:rPr>
          <w:spacing w:val="-11"/>
        </w:rPr>
        <w:br w:type="column"/>
      </w:r>
      <w:r>
        <w:rPr>
          <w:spacing w:val="-11"/>
        </w:rPr>
        <w:t>观、前沿技术、思维方</w:t>
      </w:r>
      <w:r>
        <w:rPr>
          <w:spacing w:val="-102"/>
        </w:rPr>
        <w:t> </w:t>
      </w:r>
      <w:r>
        <w:rPr>
          <w:spacing w:val="-102"/>
        </w:rPr>
      </w:r>
      <w:r>
        <w:rPr>
          <w:spacing w:val="-11"/>
        </w:rPr>
        <w:t>法、团队建设，管理工</w:t>
      </w:r>
    </w:p>
    <w:p>
      <w:pPr>
        <w:spacing w:before="21"/>
        <w:ind w:left="165"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干员工</w:t>
      </w:r>
    </w:p>
    <w:p>
      <w:pPr>
        <w:pStyle w:val="BodyText"/>
        <w:spacing w:line="240" w:lineRule="auto" w:before="21"/>
        <w:ind w:left="231" w:right="0"/>
        <w:jc w:val="left"/>
      </w:pPr>
      <w:r>
        <w:rPr/>
        <w:br w:type="column"/>
      </w:r>
      <w:r>
        <w:rPr/>
        <w:t>价格为</w:t>
      </w:r>
      <w:r>
        <w:rPr>
          <w:rFonts w:ascii="Times New Roman" w:hAnsi="Times New Roman" w:cs="Times New Roman" w:eastAsia="Times New Roman" w:hint="default"/>
        </w:rPr>
        <w:t>15100</w:t>
      </w:r>
      <w:r>
        <w:rPr/>
        <w:t>。</w:t>
      </w:r>
    </w:p>
    <w:p>
      <w:pPr>
        <w:spacing w:after="0" w:line="240" w:lineRule="auto"/>
        <w:jc w:val="left"/>
        <w:sectPr>
          <w:type w:val="continuous"/>
          <w:pgSz w:w="11910" w:h="16840"/>
          <w:pgMar w:top="1580" w:bottom="280" w:left="980" w:right="0"/>
          <w:cols w:num="4" w:equalWidth="0">
            <w:col w:w="4427" w:space="40"/>
            <w:col w:w="2089" w:space="40"/>
            <w:col w:w="796" w:space="40"/>
            <w:col w:w="3498"/>
          </w:cols>
        </w:sectPr>
      </w:pPr>
    </w:p>
    <w:p>
      <w:pPr>
        <w:pStyle w:val="BodyText"/>
        <w:spacing w:line="273" w:lineRule="auto" w:before="7"/>
        <w:ind w:left="2746" w:right="2497"/>
        <w:jc w:val="left"/>
      </w:pPr>
      <w:r>
        <w:rPr>
          <w:spacing w:val="-11"/>
        </w:rPr>
        <w:t>术，掌握先进管理办</w:t>
      </w:r>
      <w:r>
        <w:rPr>
          <w:spacing w:val="-85"/>
        </w:rPr>
        <w:t> </w:t>
      </w:r>
      <w:r>
        <w:rPr/>
        <w:t>具等</w:t>
      </w:r>
      <w:r>
        <w:rPr/>
        <w:t> 法提供学习渠道。</w:t>
      </w:r>
    </w:p>
    <w:p>
      <w:pPr>
        <w:pStyle w:val="BodyText"/>
        <w:tabs>
          <w:tab w:pos="1060" w:val="left" w:leader="none"/>
          <w:tab w:pos="1441" w:val="left" w:leader="none"/>
        </w:tabs>
        <w:spacing w:line="333" w:lineRule="exact"/>
        <w:ind w:left="262" w:right="-16"/>
        <w:jc w:val="left"/>
      </w:pPr>
      <w:r>
        <w:rPr>
          <w:rFonts w:ascii="宋体" w:hAnsi="宋体" w:cs="宋体" w:eastAsia="宋体" w:hint="default"/>
          <w:b/>
          <w:bCs/>
          <w:spacing w:val="1"/>
          <w:w w:val="99"/>
          <w:position w:val="7"/>
        </w:rPr>
        <w:t>外</w:t>
      </w:r>
      <w:r>
        <w:rPr>
          <w:rFonts w:ascii="宋体" w:hAnsi="宋体" w:cs="宋体" w:eastAsia="宋体" w:hint="default"/>
          <w:b/>
          <w:bCs/>
          <w:w w:val="99"/>
          <w:position w:val="7"/>
        </w:rPr>
        <w:t>部</w:t>
      </w:r>
      <w:r>
        <w:rPr>
          <w:rFonts w:ascii="宋体" w:hAnsi="宋体" w:cs="宋体" w:eastAsia="宋体" w:hint="default"/>
          <w:b/>
          <w:bCs/>
          <w:position w:val="7"/>
        </w:rPr>
        <w:tab/>
      </w:r>
      <w:r>
        <w:rPr>
          <w:rFonts w:ascii="Times New Roman" w:hAnsi="Times New Roman" w:cs="Times New Roman" w:eastAsia="Times New Roman" w:hint="default"/>
        </w:rPr>
        <w:t>3</w:t>
        <w:tab/>
      </w:r>
      <w:r>
        <w:rPr/>
        <w:t>执业教育与培</w:t>
      </w:r>
      <w:r>
        <w:rPr>
          <w:spacing w:val="-61"/>
        </w:rPr>
        <w:t> </w:t>
      </w:r>
      <w:r>
        <w:rPr/>
        <w:t>资质申请</w:t>
      </w:r>
      <w:r>
        <w:rPr>
          <w:spacing w:val="-98"/>
        </w:rPr>
        <w:t>、</w:t>
      </w:r>
      <w:r>
        <w:rPr/>
        <w:t>项目投标</w:t>
      </w:r>
      <w:r>
        <w:rPr>
          <w:spacing w:val="-85"/>
        </w:rPr>
        <w:t> </w:t>
      </w:r>
      <w:r>
        <w:rPr/>
        <w:t>项目经理培训</w:t>
      </w:r>
      <w:r>
        <w:rPr>
          <w:spacing w:val="-105"/>
        </w:rPr>
        <w:t>、</w:t>
      </w:r>
      <w:r>
        <w:rPr/>
        <w:t>建造师</w:t>
      </w:r>
      <w:r>
        <w:rPr>
          <w:spacing w:val="-7"/>
        </w:rPr>
        <w:t> </w:t>
      </w:r>
      <w:r>
        <w:rPr/>
        <w:t>由公司或</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3"/>
        <w:ind w:left="74" w:right="0"/>
        <w:jc w:val="left"/>
      </w:pPr>
      <w:r>
        <w:rPr/>
        <w:t>视学习类型和报</w:t>
      </w:r>
    </w:p>
    <w:p>
      <w:pPr>
        <w:spacing w:after="0" w:line="240" w:lineRule="auto"/>
        <w:jc w:val="left"/>
        <w:sectPr>
          <w:type w:val="continuous"/>
          <w:pgSz w:w="11910" w:h="16840"/>
          <w:pgMar w:top="1580" w:bottom="280" w:left="980" w:right="0"/>
          <w:cols w:num="2" w:equalWidth="0">
            <w:col w:w="7495" w:space="40"/>
            <w:col w:w="3395"/>
          </w:cols>
        </w:sectPr>
      </w:pPr>
    </w:p>
    <w:p>
      <w:pPr>
        <w:tabs>
          <w:tab w:pos="1441" w:val="left" w:leader="none"/>
        </w:tabs>
        <w:spacing w:line="297" w:lineRule="exact" w:before="0"/>
        <w:ind w:left="262" w:right="-19" w:firstLine="0"/>
        <w:jc w:val="left"/>
        <w:rPr>
          <w:rFonts w:ascii="宋体" w:hAnsi="宋体" w:cs="宋体" w:eastAsia="宋体" w:hint="default"/>
          <w:sz w:val="21"/>
          <w:szCs w:val="21"/>
        </w:rPr>
      </w:pPr>
      <w:r>
        <w:rPr>
          <w:rFonts w:ascii="宋体" w:hAnsi="宋体" w:cs="宋体" w:eastAsia="宋体" w:hint="default"/>
          <w:b/>
          <w:bCs/>
          <w:w w:val="95"/>
          <w:sz w:val="21"/>
          <w:szCs w:val="21"/>
        </w:rPr>
        <w:t>培训</w:t>
        <w:tab/>
      </w:r>
      <w:r>
        <w:rPr>
          <w:rFonts w:ascii="宋体" w:hAnsi="宋体" w:cs="宋体" w:eastAsia="宋体" w:hint="default"/>
          <w:position w:val="-6"/>
          <w:sz w:val="21"/>
          <w:szCs w:val="21"/>
        </w:rPr>
        <w:t>训</w:t>
      </w:r>
      <w:r>
        <w:rPr>
          <w:rFonts w:ascii="宋体" w:hAnsi="宋体" w:cs="宋体" w:eastAsia="宋体" w:hint="default"/>
          <w:sz w:val="21"/>
          <w:szCs w:val="21"/>
        </w:rPr>
      </w:r>
    </w:p>
    <w:p>
      <w:pPr>
        <w:pStyle w:val="BodyText"/>
        <w:spacing w:line="240" w:lineRule="auto" w:before="21"/>
        <w:ind w:left="261" w:right="-18"/>
        <w:jc w:val="left"/>
      </w:pPr>
      <w:r>
        <w:rPr/>
        <w:br w:type="column"/>
      </w:r>
      <w:r>
        <w:rPr/>
        <w:t>和员工成长的需要 </w:t>
      </w:r>
      <w:r>
        <w:rPr>
          <w:spacing w:val="-11"/>
        </w:rPr>
        <w:t>培训、安全员培训、九</w:t>
      </w:r>
      <w:r>
        <w:rPr>
          <w:spacing w:val="-30"/>
        </w:rPr>
        <w:t> </w:t>
      </w:r>
      <w:r>
        <w:rPr/>
        <w:t>有资质需</w:t>
      </w:r>
    </w:p>
    <w:p>
      <w:pPr>
        <w:pStyle w:val="BodyText"/>
        <w:spacing w:line="240" w:lineRule="auto" w:before="21"/>
        <w:ind w:left="262" w:right="0"/>
        <w:jc w:val="left"/>
      </w:pPr>
      <w:r>
        <w:rPr/>
        <w:br w:type="column"/>
      </w:r>
      <w:r>
        <w:rPr/>
        <w:t>名人数确定</w:t>
      </w:r>
    </w:p>
    <w:p>
      <w:pPr>
        <w:spacing w:after="0" w:line="240" w:lineRule="auto"/>
        <w:jc w:val="left"/>
        <w:sectPr>
          <w:type w:val="continuous"/>
          <w:pgSz w:w="11910" w:h="16840"/>
          <w:pgMar w:top="1580" w:bottom="280" w:left="980" w:right="0"/>
          <w:cols w:num="3" w:equalWidth="0">
            <w:col w:w="1653" w:space="888"/>
            <w:col w:w="4954" w:space="62"/>
            <w:col w:w="3373"/>
          </w:cols>
        </w:sectPr>
      </w:pPr>
    </w:p>
    <w:p>
      <w:pPr>
        <w:pStyle w:val="BodyText"/>
        <w:spacing w:line="240" w:lineRule="auto" w:before="36"/>
        <w:ind w:left="0" w:right="0"/>
        <w:jc w:val="right"/>
      </w:pPr>
      <w:r>
        <w:rPr/>
        <w:t>大员培训等</w:t>
      </w:r>
    </w:p>
    <w:p>
      <w:pPr>
        <w:pStyle w:val="BodyText"/>
        <w:spacing w:line="273" w:lineRule="auto" w:before="36"/>
        <w:ind w:left="1003" w:right="3430"/>
        <w:jc w:val="both"/>
      </w:pPr>
      <w:r>
        <w:rPr/>
        <w:br w:type="column"/>
      </w:r>
      <w:r>
        <w:rPr/>
        <w:t>求的部门 组织人员 参训。</w:t>
      </w:r>
    </w:p>
    <w:p>
      <w:pPr>
        <w:spacing w:after="0" w:line="273" w:lineRule="auto"/>
        <w:jc w:val="both"/>
        <w:sectPr>
          <w:type w:val="continuous"/>
          <w:pgSz w:w="11910" w:h="16840"/>
          <w:pgMar w:top="1580" w:bottom="280" w:left="980" w:right="0"/>
          <w:cols w:num="2" w:equalWidth="0">
            <w:col w:w="5611" w:space="40"/>
            <w:col w:w="5279"/>
          </w:cols>
        </w:sectPr>
      </w:pPr>
    </w:p>
    <w:p>
      <w:pPr>
        <w:pStyle w:val="BodyText"/>
        <w:tabs>
          <w:tab w:pos="1441" w:val="left" w:leader="none"/>
        </w:tabs>
        <w:spacing w:line="240" w:lineRule="auto" w:before="42"/>
        <w:ind w:left="1060" w:right="0"/>
        <w:jc w:val="left"/>
      </w:pPr>
      <w:r>
        <w:rPr>
          <w:rFonts w:ascii="Times New Roman" w:hAnsi="Times New Roman" w:cs="Times New Roman" w:eastAsia="Times New Roman" w:hint="default"/>
        </w:rPr>
        <w:t>1</w:t>
        <w:tab/>
      </w:r>
      <w:r>
        <w:rPr/>
        <w:t>中科信息网络</w:t>
      </w:r>
      <w:r>
        <w:rPr>
          <w:spacing w:val="-61"/>
        </w:rPr>
        <w:t> </w:t>
      </w:r>
      <w:r>
        <w:rPr/>
        <w:t>（</w:t>
      </w:r>
      <w:r>
        <w:rPr>
          <w:rFonts w:ascii="Times New Roman" w:hAnsi="Times New Roman" w:cs="Times New Roman" w:eastAsia="Times New Roman" w:hint="default"/>
        </w:rPr>
        <w:t>1</w:t>
      </w:r>
      <w:r>
        <w:rPr/>
        <w:t>）提高员工受训</w:t>
      </w:r>
      <w:r>
        <w:rPr>
          <w:spacing w:val="-76"/>
        </w:rPr>
        <w:t> </w:t>
      </w:r>
      <w:r>
        <w:rPr>
          <w:spacing w:val="-11"/>
        </w:rPr>
        <w:t>价值观、前沿技术、思</w:t>
      </w:r>
      <w:r>
        <w:rPr>
          <w:spacing w:val="-6"/>
        </w:rPr>
        <w:t> </w:t>
      </w:r>
      <w:r>
        <w:rPr/>
        <w:t>公司员工</w:t>
      </w:r>
      <w:r>
        <w:rPr>
          <w:spacing w:val="9"/>
        </w:rPr>
        <w:t> </w:t>
      </w:r>
      <w:r>
        <w:rPr/>
        <w:t>费用：</w:t>
      </w:r>
      <w:r>
        <w:rPr>
          <w:rFonts w:ascii="Times New Roman" w:hAnsi="Times New Roman" w:cs="Times New Roman" w:eastAsia="Times New Roman" w:hint="default"/>
        </w:rPr>
        <w:t>126000</w:t>
      </w:r>
      <w:r>
        <w:rPr/>
        <w:t>，</w:t>
      </w:r>
    </w:p>
    <w:p>
      <w:pPr>
        <w:pStyle w:val="BodyText"/>
        <w:tabs>
          <w:tab w:pos="2746" w:val="left" w:leader="none"/>
          <w:tab w:pos="7818" w:val="left" w:leader="none"/>
        </w:tabs>
        <w:spacing w:line="240" w:lineRule="auto" w:before="21"/>
        <w:ind w:left="1442" w:right="0"/>
        <w:jc w:val="left"/>
      </w:pPr>
      <w:r>
        <w:rPr/>
        <w:t>学院</w:t>
        <w:tab/>
        <w:t>的覆盖面</w:t>
      </w:r>
      <w:r>
        <w:rPr>
          <w:spacing w:val="-98"/>
        </w:rPr>
        <w:t>，</w:t>
      </w:r>
      <w:r>
        <w:rPr/>
        <w:t>解决长期</w:t>
      </w:r>
      <w:r>
        <w:rPr>
          <w:spacing w:val="-85"/>
        </w:rPr>
        <w:t> </w:t>
      </w:r>
      <w:r>
        <w:rPr/>
        <w:t>维方法</w:t>
      </w:r>
      <w:r>
        <w:rPr>
          <w:spacing w:val="-53"/>
        </w:rPr>
        <w:t>、</w:t>
      </w:r>
      <w:r>
        <w:rPr/>
        <w:t>团队建设</w:t>
      </w:r>
      <w:r>
        <w:rPr>
          <w:spacing w:val="-53"/>
        </w:rPr>
        <w:t>，</w:t>
      </w:r>
      <w:r>
        <w:rPr/>
        <w:t>管</w:t>
        <w:tab/>
        <w:t>学习时间为</w:t>
      </w:r>
    </w:p>
    <w:p>
      <w:pPr>
        <w:spacing w:after="0" w:line="240" w:lineRule="auto"/>
        <w:jc w:val="left"/>
        <w:sectPr>
          <w:type w:val="continuous"/>
          <w:pgSz w:w="11910" w:h="16840"/>
          <w:pgMar w:top="1580" w:bottom="280" w:left="980" w:right="0"/>
        </w:sectPr>
      </w:pPr>
    </w:p>
    <w:p>
      <w:pPr>
        <w:pStyle w:val="BodyText"/>
        <w:spacing w:line="273" w:lineRule="auto" w:before="37"/>
        <w:ind w:left="2746" w:right="93"/>
        <w:jc w:val="left"/>
      </w:pPr>
      <w:r>
        <w:rPr/>
        <w:t>出差员工不能参加 培训活动的问题。</w:t>
      </w:r>
    </w:p>
    <w:p>
      <w:pPr>
        <w:pStyle w:val="BodyText"/>
        <w:spacing w:line="256" w:lineRule="auto" w:before="7"/>
        <w:ind w:left="2746" w:right="-18"/>
        <w:jc w:val="left"/>
      </w:pPr>
      <w:r>
        <w:rPr/>
        <w:t>（</w:t>
      </w:r>
      <w:r>
        <w:rPr>
          <w:rFonts w:ascii="Times New Roman" w:hAnsi="Times New Roman" w:cs="Times New Roman" w:eastAsia="Times New Roman" w:hint="default"/>
        </w:rPr>
        <w:t>2</w:t>
      </w:r>
      <w:r>
        <w:rPr/>
        <w:t>）利用互联网资 </w:t>
      </w:r>
      <w:r>
        <w:rPr>
          <w:spacing w:val="-11"/>
        </w:rPr>
        <w:t>源优势，为员工持续</w:t>
      </w:r>
    </w:p>
    <w:p>
      <w:pPr>
        <w:pStyle w:val="BodyText"/>
        <w:spacing w:line="240" w:lineRule="auto" w:before="37"/>
        <w:ind w:left="-20" w:right="-20"/>
        <w:jc w:val="left"/>
      </w:pPr>
      <w:r>
        <w:rPr/>
        <w:br w:type="column"/>
      </w:r>
      <w:r>
        <w:rPr/>
        <w:t>理工具等。</w:t>
      </w:r>
    </w:p>
    <w:p>
      <w:pPr>
        <w:pStyle w:val="BodyText"/>
        <w:spacing w:line="240" w:lineRule="auto" w:before="87"/>
        <w:ind w:left="2038" w:right="1928"/>
        <w:jc w:val="center"/>
        <w:rPr>
          <w:rFonts w:ascii="Times New Roman" w:hAnsi="Times New Roman" w:cs="Times New Roman" w:eastAsia="Times New Roman" w:hint="default"/>
        </w:rPr>
      </w:pPr>
      <w:r>
        <w:rPr/>
        <w:br w:type="column"/>
      </w:r>
      <w:r>
        <w:rPr>
          <w:rFonts w:ascii="Times New Roman"/>
        </w:rPr>
        <w:t>2018.3~2019.2</w:t>
      </w:r>
    </w:p>
    <w:p>
      <w:pPr>
        <w:spacing w:after="0" w:line="240" w:lineRule="auto"/>
        <w:jc w:val="center"/>
        <w:rPr>
          <w:rFonts w:ascii="Times New Roman" w:hAnsi="Times New Roman" w:cs="Times New Roman" w:eastAsia="Times New Roman" w:hint="default"/>
        </w:rPr>
        <w:sectPr>
          <w:type w:val="continuous"/>
          <w:pgSz w:w="11910" w:h="16840"/>
          <w:pgMar w:top="1580" w:bottom="280" w:left="980" w:right="0"/>
          <w:cols w:num="3" w:equalWidth="0">
            <w:col w:w="4540" w:space="40"/>
            <w:col w:w="1031" w:space="40"/>
            <w:col w:w="5279"/>
          </w:cols>
        </w:sectPr>
      </w:pPr>
    </w:p>
    <w:p>
      <w:pPr>
        <w:pStyle w:val="BodyText"/>
        <w:spacing w:line="240" w:lineRule="auto" w:before="22"/>
        <w:ind w:left="2746" w:right="0"/>
        <w:jc w:val="left"/>
      </w:pPr>
      <w:r>
        <w:rPr/>
        <w:t>系统学习提供渠道。</w:t>
      </w:r>
    </w:p>
    <w:p>
      <w:pPr>
        <w:tabs>
          <w:tab w:pos="2746" w:val="left" w:leader="none"/>
        </w:tabs>
        <w:spacing w:before="25"/>
        <w:ind w:left="262" w:right="0" w:firstLine="0"/>
        <w:jc w:val="left"/>
        <w:rPr>
          <w:rFonts w:ascii="宋体" w:hAnsi="宋体" w:cs="宋体" w:eastAsia="宋体" w:hint="default"/>
          <w:sz w:val="21"/>
          <w:szCs w:val="21"/>
        </w:rPr>
      </w:pPr>
      <w:r>
        <w:rPr>
          <w:rFonts w:ascii="宋体" w:hAnsi="宋体" w:cs="宋体" w:eastAsia="宋体" w:hint="default"/>
          <w:b/>
          <w:bCs/>
          <w:w w:val="95"/>
          <w:sz w:val="21"/>
          <w:szCs w:val="21"/>
        </w:rPr>
        <w:t>网络</w:t>
        <w:tab/>
      </w:r>
      <w:r>
        <w:rPr>
          <w:rFonts w:ascii="宋体" w:hAnsi="宋体" w:cs="宋体" w:eastAsia="宋体" w:hint="default"/>
          <w:i/>
          <w:sz w:val="22"/>
          <w:szCs w:val="22"/>
        </w:rPr>
        <w:t>（</w:t>
      </w:r>
      <w:r>
        <w:rPr>
          <w:rFonts w:ascii="宋体" w:hAnsi="宋体" w:cs="宋体" w:eastAsia="宋体" w:hint="default"/>
          <w:sz w:val="21"/>
          <w:szCs w:val="21"/>
        </w:rPr>
        <w:t>3</w:t>
      </w:r>
      <w:r>
        <w:rPr>
          <w:rFonts w:ascii="宋体" w:hAnsi="宋体" w:cs="宋体" w:eastAsia="宋体" w:hint="default"/>
          <w:sz w:val="21"/>
          <w:szCs w:val="21"/>
        </w:rPr>
        <w:t>）提供内部课程</w:t>
      </w:r>
    </w:p>
    <w:p>
      <w:pPr>
        <w:pStyle w:val="BodyText"/>
        <w:tabs>
          <w:tab w:pos="2746" w:val="left" w:leader="none"/>
        </w:tabs>
        <w:spacing w:line="273" w:lineRule="auto" w:before="35"/>
        <w:ind w:left="2746" w:right="6385" w:hanging="2485"/>
        <w:jc w:val="left"/>
      </w:pPr>
      <w:r>
        <w:rPr>
          <w:rFonts w:ascii="宋体" w:hAnsi="宋体" w:cs="宋体" w:eastAsia="宋体" w:hint="default"/>
          <w:b/>
          <w:bCs/>
          <w:w w:val="99"/>
        </w:rPr>
        <w:t>培训</w:t>
        <w:tab/>
      </w:r>
      <w:r>
        <w:rPr>
          <w:spacing w:val="-11"/>
        </w:rPr>
        <w:t>搭载平台，为内部课</w:t>
      </w:r>
      <w:r>
        <w:rPr/>
        <w:t> 程传授提供技术支 撑。</w:t>
      </w:r>
    </w:p>
    <w:p>
      <w:pPr>
        <w:pStyle w:val="BodyText"/>
        <w:tabs>
          <w:tab w:pos="1060" w:val="left" w:leader="none"/>
          <w:tab w:pos="1663" w:val="left" w:leader="none"/>
          <w:tab w:pos="2746" w:val="left" w:leader="none"/>
        </w:tabs>
        <w:spacing w:line="240" w:lineRule="auto" w:before="43"/>
        <w:ind w:left="262" w:right="0"/>
        <w:jc w:val="left"/>
      </w:pPr>
      <w:r>
        <w:rPr>
          <w:rFonts w:ascii="宋体" w:hAnsi="宋体" w:cs="宋体" w:eastAsia="宋体" w:hint="default"/>
          <w:b/>
          <w:bCs/>
          <w:spacing w:val="1"/>
          <w:w w:val="99"/>
        </w:rPr>
        <w:t>其</w:t>
      </w:r>
      <w:r>
        <w:rPr>
          <w:rFonts w:ascii="宋体" w:hAnsi="宋体" w:cs="宋体" w:eastAsia="宋体" w:hint="default"/>
          <w:b/>
          <w:bCs/>
          <w:w w:val="99"/>
        </w:rPr>
        <w:t>他</w:t>
      </w:r>
      <w:r>
        <w:rPr>
          <w:rFonts w:ascii="宋体" w:hAnsi="宋体" w:cs="宋体" w:eastAsia="宋体" w:hint="default"/>
          <w:b/>
          <w:bCs/>
        </w:rPr>
        <w:tab/>
      </w:r>
      <w:r>
        <w:rPr>
          <w:rFonts w:ascii="Times New Roman" w:hAnsi="Times New Roman" w:cs="Times New Roman" w:eastAsia="Times New Roman" w:hint="default"/>
        </w:rPr>
        <w:t>1</w:t>
        <w:tab/>
      </w:r>
      <w:r>
        <w:rPr/>
        <w:t>企业讲坛</w:t>
        <w:tab/>
        <w:t>打造学习型组织</w:t>
      </w:r>
      <w:r>
        <w:rPr>
          <w:spacing w:val="-98"/>
        </w:rPr>
        <w:t>，</w:t>
      </w:r>
      <w:r>
        <w:rPr/>
        <w:t>丰</w:t>
      </w:r>
      <w:r>
        <w:rPr>
          <w:spacing w:val="-85"/>
        </w:rPr>
        <w:t> </w:t>
      </w:r>
      <w:r>
        <w:rPr/>
        <w:t>企业文化、工作技能</w:t>
      </w:r>
      <w:r>
        <w:rPr>
          <w:spacing w:val="-6"/>
        </w:rPr>
        <w:t>、</w:t>
      </w:r>
      <w:r>
        <w:rPr/>
        <w:t>公司员工</w:t>
      </w:r>
      <w:r>
        <w:rPr>
          <w:spacing w:val="9"/>
        </w:rPr>
        <w:t> </w:t>
      </w:r>
      <w:r>
        <w:rPr/>
        <w:t>按照《中科院成</w:t>
      </w:r>
    </w:p>
    <w:p>
      <w:pPr>
        <w:spacing w:after="0" w:line="240" w:lineRule="auto"/>
        <w:jc w:val="left"/>
        <w:sectPr>
          <w:type w:val="continuous"/>
          <w:pgSz w:w="11910" w:h="16840"/>
          <w:pgMar w:top="1580" w:bottom="280" w:left="980" w:right="0"/>
        </w:sectPr>
      </w:pPr>
    </w:p>
    <w:p>
      <w:pPr>
        <w:pStyle w:val="BodyText"/>
        <w:tabs>
          <w:tab w:pos="2746" w:val="left" w:leader="none"/>
        </w:tabs>
        <w:spacing w:line="273" w:lineRule="auto" w:before="21"/>
        <w:ind w:left="2802" w:right="0" w:hanging="2541"/>
        <w:jc w:val="left"/>
      </w:pPr>
      <w:r>
        <w:rPr>
          <w:rFonts w:ascii="宋体" w:hAnsi="宋体" w:cs="宋体" w:eastAsia="宋体" w:hint="default"/>
          <w:b/>
          <w:bCs/>
          <w:w w:val="99"/>
        </w:rPr>
        <w:t>培训</w:t>
        <w:tab/>
      </w:r>
      <w:r>
        <w:rPr>
          <w:spacing w:val="-11"/>
        </w:rPr>
        <w:t>富企业文化，促进企</w:t>
      </w:r>
      <w:r>
        <w:rPr>
          <w:spacing w:val="-84"/>
        </w:rPr>
        <w:t> </w:t>
      </w:r>
      <w:r>
        <w:rPr/>
        <w:t>思维方法、团队建设，</w:t>
      </w:r>
      <w:r>
        <w:rPr/>
        <w:t> 业内部知识传递。</w:t>
      </w:r>
      <w:r>
        <w:rPr>
          <w:spacing w:val="-28"/>
        </w:rPr>
        <w:t> </w:t>
      </w:r>
      <w:r>
        <w:rPr/>
        <w:t>管理工具等</w:t>
      </w:r>
    </w:p>
    <w:p>
      <w:pPr>
        <w:pStyle w:val="BodyText"/>
        <w:spacing w:line="273" w:lineRule="auto" w:before="21"/>
        <w:ind w:left="262" w:right="1846"/>
        <w:jc w:val="center"/>
      </w:pPr>
      <w:r>
        <w:rPr/>
        <w:br w:type="column"/>
      </w:r>
      <w:r>
        <w:rPr/>
        <w:t>都信息技术股份 有限公司培训管 理制度》中关于 讲师和课程的管 理办法执行</w:t>
      </w:r>
    </w:p>
    <w:p>
      <w:pPr>
        <w:spacing w:after="0" w:line="273" w:lineRule="auto"/>
        <w:jc w:val="center"/>
        <w:sectPr>
          <w:type w:val="continuous"/>
          <w:pgSz w:w="11910" w:h="16840"/>
          <w:pgMar w:top="1580" w:bottom="280" w:left="980" w:right="0"/>
          <w:cols w:num="2" w:equalWidth="0">
            <w:col w:w="6661" w:space="686"/>
            <w:col w:w="3583"/>
          </w:cols>
        </w:sectPr>
      </w:pPr>
    </w:p>
    <w:p>
      <w:pPr>
        <w:pStyle w:val="BodyText"/>
        <w:tabs>
          <w:tab w:pos="1559" w:val="left" w:leader="none"/>
        </w:tabs>
        <w:spacing w:line="240" w:lineRule="auto" w:before="42"/>
        <w:ind w:left="954" w:right="-18"/>
        <w:jc w:val="left"/>
      </w:pPr>
      <w:r>
        <w:rPr>
          <w:rFonts w:ascii="Times New Roman" w:hAnsi="Times New Roman" w:cs="Times New Roman" w:eastAsia="Times New Roman" w:hint="default"/>
        </w:rPr>
        <w:t>2</w:t>
      </w:r>
      <w:r>
        <w:rPr/>
        <w:t>、</w:t>
        <w:tab/>
        <w:t>员工读书会 </w:t>
      </w:r>
      <w:r>
        <w:rPr>
          <w:rFonts w:ascii="Times New Roman" w:hAnsi="Times New Roman" w:cs="Times New Roman" w:eastAsia="Times New Roman" w:hint="default"/>
        </w:rPr>
        <w:t>1</w:t>
      </w:r>
      <w:r>
        <w:rPr/>
        <w:t>、帮助新员工融入</w:t>
      </w:r>
      <w:r>
        <w:rPr>
          <w:spacing w:val="6"/>
        </w:rPr>
        <w:t> </w:t>
      </w:r>
      <w:r>
        <w:rPr/>
        <w:t>根据每期分享的图书</w:t>
      </w:r>
    </w:p>
    <w:p>
      <w:pPr>
        <w:pStyle w:val="BodyText"/>
        <w:spacing w:line="240" w:lineRule="auto" w:before="42"/>
        <w:ind w:left="111" w:right="-20"/>
        <w:jc w:val="left"/>
      </w:pPr>
      <w:r>
        <w:rPr/>
        <w:br w:type="column"/>
      </w:r>
      <w:r>
        <w:rPr/>
        <w:t>以新员工</w:t>
      </w:r>
    </w:p>
    <w:p>
      <w:pPr>
        <w:pStyle w:val="BodyText"/>
        <w:spacing w:line="240" w:lineRule="auto" w:before="42"/>
        <w:ind w:left="74" w:right="0"/>
        <w:jc w:val="left"/>
      </w:pPr>
      <w:r>
        <w:rPr/>
        <w:br w:type="column"/>
      </w:r>
      <w:r>
        <w:rPr/>
        <w:t>员工读书会经费</w:t>
      </w:r>
    </w:p>
    <w:p>
      <w:pPr>
        <w:spacing w:after="0" w:line="240" w:lineRule="auto"/>
        <w:jc w:val="left"/>
        <w:sectPr>
          <w:type w:val="continuous"/>
          <w:pgSz w:w="11910" w:h="16840"/>
          <w:pgMar w:top="1580" w:bottom="280" w:left="980" w:right="0"/>
          <w:cols w:num="3" w:equalWidth="0">
            <w:col w:w="6503" w:space="40"/>
            <w:col w:w="952" w:space="40"/>
            <w:col w:w="3395"/>
          </w:cols>
        </w:sectPr>
      </w:pPr>
    </w:p>
    <w:p>
      <w:pPr>
        <w:pStyle w:val="BodyText"/>
        <w:spacing w:line="240" w:lineRule="auto" w:before="21"/>
        <w:ind w:left="2746" w:right="0"/>
        <w:jc w:val="left"/>
      </w:pPr>
      <w:r>
        <w:rPr/>
        <w:t>团队</w:t>
      </w:r>
      <w:r>
        <w:rPr>
          <w:spacing w:val="-98"/>
        </w:rPr>
        <w:t>，</w:t>
      </w:r>
      <w:r>
        <w:rPr/>
        <w:t>培养新员工对</w:t>
      </w:r>
      <w:r>
        <w:rPr>
          <w:spacing w:val="-85"/>
        </w:rPr>
        <w:t> </w:t>
      </w:r>
      <w:r>
        <w:rPr/>
        <w:t>内容确定</w:t>
      </w:r>
      <w:r>
        <w:rPr>
          <w:spacing w:val="-105"/>
        </w:rPr>
        <w:t>，</w:t>
      </w:r>
      <w:r>
        <w:rPr>
          <w:spacing w:val="-2"/>
        </w:rPr>
        <w:t>一</w:t>
      </w:r>
      <w:r>
        <w:rPr/>
        <w:t>般为价值</w:t>
      </w:r>
      <w:r>
        <w:rPr>
          <w:spacing w:val="-85"/>
        </w:rPr>
        <w:t> </w:t>
      </w:r>
      <w:r>
        <w:rPr/>
        <w:t>为主</w:t>
      </w:r>
      <w:r>
        <w:rPr>
          <w:spacing w:val="-51"/>
        </w:rPr>
        <w:t>，</w:t>
      </w:r>
      <w:r>
        <w:rPr/>
        <w:t>所有</w:t>
      </w:r>
      <w:r>
        <w:rPr>
          <w:spacing w:val="-71"/>
        </w:rPr>
        <w:t> </w:t>
      </w:r>
      <w:r>
        <w:rPr/>
        <w:t>主要为图书购置</w:t>
      </w:r>
    </w:p>
    <w:p>
      <w:pPr>
        <w:pStyle w:val="BodyText"/>
        <w:tabs>
          <w:tab w:pos="8028" w:val="left" w:leader="none"/>
        </w:tabs>
        <w:spacing w:line="240" w:lineRule="auto" w:before="37"/>
        <w:ind w:left="2746" w:right="0"/>
        <w:jc w:val="left"/>
      </w:pPr>
      <w:r>
        <w:rPr>
          <w:spacing w:val="-10"/>
        </w:rPr>
        <w:t>公司文化的认同感。观、工作技能、思维方</w:t>
      </w:r>
      <w:r>
        <w:rPr>
          <w:spacing w:val="1"/>
        </w:rPr>
        <w:t> </w:t>
      </w:r>
      <w:r>
        <w:rPr/>
        <w:t>员工都可</w:t>
        <w:tab/>
        <w:t>费用。</w:t>
      </w:r>
    </w:p>
    <w:p>
      <w:pPr>
        <w:spacing w:after="0" w:line="240" w:lineRule="auto"/>
        <w:jc w:val="left"/>
        <w:sectPr>
          <w:type w:val="continuous"/>
          <w:pgSz w:w="11910" w:h="16840"/>
          <w:pgMar w:top="1580" w:bottom="280" w:left="980" w:right="0"/>
        </w:sectPr>
      </w:pPr>
    </w:p>
    <w:p>
      <w:pPr>
        <w:pStyle w:val="BodyText"/>
        <w:spacing w:line="264" w:lineRule="auto" w:before="37"/>
        <w:ind w:left="2746" w:right="-20" w:firstLine="3"/>
        <w:jc w:val="left"/>
      </w:pPr>
      <w:r>
        <w:rPr/>
        <w:pict>
          <v:group style="position:absolute;margin-left:56.34pt;margin-top:71.639984pt;width:482.8pt;height:684.6pt;mso-position-horizontal-relative:page;mso-position-vertical-relative:page;z-index:-903472" coordorigin="1127,1433" coordsize="9656,13692">
            <v:group style="position:absolute;left:1141;top:1447;width:626;height:2" coordorigin="1141,1447" coordsize="626,2">
              <v:shape style="position:absolute;left:1141;top:1447;width:626;height:2" coordorigin="1141,1447" coordsize="626,0" path="m1141,1447l1767,1447e" filled="false" stroked="true" strokeweight=".72pt" strokecolor="#000000">
                <v:path arrowok="t"/>
              </v:shape>
            </v:group>
            <v:group style="position:absolute;left:1781;top:1447;width:623;height:2" coordorigin="1781,1447" coordsize="623,2">
              <v:shape style="position:absolute;left:1781;top:1447;width:623;height:2" coordorigin="1781,1447" coordsize="623,0" path="m1781,1447l2404,1447e" filled="false" stroked="true" strokeweight=".72pt" strokecolor="#000000">
                <v:path arrowok="t"/>
              </v:shape>
            </v:group>
            <v:group style="position:absolute;left:2418;top:1447;width:1292;height:2" coordorigin="2418,1447" coordsize="1292,2">
              <v:shape style="position:absolute;left:2418;top:1447;width:1292;height:2" coordorigin="2418,1447" coordsize="1292,0" path="m2418,1447l3710,1447e" filled="false" stroked="true" strokeweight=".72pt" strokecolor="#000000">
                <v:path arrowok="t"/>
              </v:shape>
            </v:group>
            <v:group style="position:absolute;left:3724;top:1447;width:1800;height:2" coordorigin="3724,1447" coordsize="1800,2">
              <v:shape style="position:absolute;left:3724;top:1447;width:1800;height:2" coordorigin="3724,1447" coordsize="1800,0" path="m3724,1447l5523,1447e" filled="false" stroked="true" strokeweight=".72pt" strokecolor="#000000">
                <v:path arrowok="t"/>
              </v:shape>
            </v:group>
            <v:group style="position:absolute;left:5538;top:1447;width:2001;height:2" coordorigin="5538,1447" coordsize="2001,2">
              <v:shape style="position:absolute;left:5538;top:1447;width:2001;height:2" coordorigin="5538,1447" coordsize="2001,0" path="m5538,1447l7538,1447e" filled="false" stroked="true" strokeweight=".72pt" strokecolor="#000000">
                <v:path arrowok="t"/>
              </v:shape>
            </v:group>
            <v:group style="position:absolute;left:7552;top:1447;width:1006;height:2" coordorigin="7552,1447" coordsize="1006,2">
              <v:shape style="position:absolute;left:7552;top:1447;width:1006;height:2" coordorigin="7552,1447" coordsize="1006,0" path="m7552,1447l8558,1447e" filled="false" stroked="true" strokeweight=".72pt" strokecolor="#000000">
                <v:path arrowok="t"/>
              </v:shape>
            </v:group>
            <v:group style="position:absolute;left:8573;top:1447;width:1502;height:2" coordorigin="8573,1447" coordsize="1502,2">
              <v:shape style="position:absolute;left:8573;top:1447;width:1502;height:2" coordorigin="8573,1447" coordsize="1502,0" path="m8573,1447l10074,1447e" filled="false" stroked="true" strokeweight=".72pt" strokecolor="#000000">
                <v:path arrowok="t"/>
              </v:shape>
            </v:group>
            <v:group style="position:absolute;left:10088;top:1447;width:680;height:2" coordorigin="10088,1447" coordsize="680,2">
              <v:shape style="position:absolute;left:10088;top:1447;width:680;height:2" coordorigin="10088,1447" coordsize="680,0" path="m10088,1447l10768,1447e" filled="false" stroked="true" strokeweight=".72pt" strokecolor="#000000">
                <v:path arrowok="t"/>
              </v:shape>
            </v:group>
            <v:group style="position:absolute;left:1141;top:3042;width:626;height:2" coordorigin="1141,3042" coordsize="626,2">
              <v:shape style="position:absolute;left:1141;top:3042;width:626;height:2" coordorigin="1141,3042" coordsize="626,0" path="m1141,3042l1767,3042e" filled="false" stroked="true" strokeweight=".72pt" strokecolor="#000000">
                <v:path arrowok="t"/>
              </v:shape>
            </v:group>
            <v:group style="position:absolute;left:1781;top:3042;width:623;height:2" coordorigin="1781,3042" coordsize="623,2">
              <v:shape style="position:absolute;left:1781;top:3042;width:623;height:2" coordorigin="1781,3042" coordsize="623,0" path="m1781,3042l2404,3042e" filled="false" stroked="true" strokeweight=".72pt" strokecolor="#000000">
                <v:path arrowok="t"/>
              </v:shape>
            </v:group>
            <v:group style="position:absolute;left:2418;top:3042;width:1292;height:2" coordorigin="2418,3042" coordsize="1292,2">
              <v:shape style="position:absolute;left:2418;top:3042;width:1292;height:2" coordorigin="2418,3042" coordsize="1292,0" path="m2418,3042l3710,3042e" filled="false" stroked="true" strokeweight=".72pt" strokecolor="#000000">
                <v:path arrowok="t"/>
              </v:shape>
            </v:group>
            <v:group style="position:absolute;left:3724;top:3042;width:1800;height:2" coordorigin="3724,3042" coordsize="1800,2">
              <v:shape style="position:absolute;left:3724;top:3042;width:1800;height:2" coordorigin="3724,3042" coordsize="1800,0" path="m3724,3042l5523,3042e" filled="false" stroked="true" strokeweight=".72pt" strokecolor="#000000">
                <v:path arrowok="t"/>
              </v:shape>
            </v:group>
            <v:group style="position:absolute;left:5538;top:3042;width:2001;height:2" coordorigin="5538,3042" coordsize="2001,2">
              <v:shape style="position:absolute;left:5538;top:3042;width:2001;height:2" coordorigin="5538,3042" coordsize="2001,0" path="m5538,3042l7538,3042e" filled="false" stroked="true" strokeweight=".72pt" strokecolor="#000000">
                <v:path arrowok="t"/>
              </v:shape>
            </v:group>
            <v:group style="position:absolute;left:7552;top:3042;width:1006;height:2" coordorigin="7552,3042" coordsize="1006,2">
              <v:shape style="position:absolute;left:7552;top:3042;width:1006;height:2" coordorigin="7552,3042" coordsize="1006,0" path="m7552,3042l8558,3042e" filled="false" stroked="true" strokeweight=".72pt" strokecolor="#000000">
                <v:path arrowok="t"/>
              </v:shape>
            </v:group>
            <v:group style="position:absolute;left:8573;top:3042;width:1502;height:2" coordorigin="8573,3042" coordsize="1502,2">
              <v:shape style="position:absolute;left:8573;top:3042;width:1502;height:2" coordorigin="8573,3042" coordsize="1502,0" path="m8573,3042l10074,3042e" filled="false" stroked="true" strokeweight=".72pt" strokecolor="#000000">
                <v:path arrowok="t"/>
              </v:shape>
            </v:group>
            <v:group style="position:absolute;left:10088;top:3042;width:680;height:2" coordorigin="10088,3042" coordsize="680,2">
              <v:shape style="position:absolute;left:10088;top:3042;width:680;height:2" coordorigin="10088,3042" coordsize="680,0" path="m10088,3042l10768,3042e" filled="false" stroked="true" strokeweight=".72pt" strokecolor="#000000">
                <v:path arrowok="t"/>
              </v:shape>
            </v:group>
            <v:group style="position:absolute;left:1141;top:7828;width:626;height:2" coordorigin="1141,7828" coordsize="626,2">
              <v:shape style="position:absolute;left:1141;top:7828;width:626;height:2" coordorigin="1141,7828" coordsize="626,0" path="m1141,7828l1767,7828e" filled="false" stroked="true" strokeweight=".72pt" strokecolor="#000000">
                <v:path arrowok="t"/>
              </v:shape>
            </v:group>
            <v:group style="position:absolute;left:1781;top:7828;width:623;height:2" coordorigin="1781,7828" coordsize="623,2">
              <v:shape style="position:absolute;left:1781;top:7828;width:623;height:2" coordorigin="1781,7828" coordsize="623,0" path="m1781,7828l2404,7828e" filled="false" stroked="true" strokeweight=".72pt" strokecolor="#000000">
                <v:path arrowok="t"/>
              </v:shape>
            </v:group>
            <v:group style="position:absolute;left:2418;top:7828;width:1292;height:2" coordorigin="2418,7828" coordsize="1292,2">
              <v:shape style="position:absolute;left:2418;top:7828;width:1292;height:2" coordorigin="2418,7828" coordsize="1292,0" path="m2418,7828l3710,7828e" filled="false" stroked="true" strokeweight=".72pt" strokecolor="#000000">
                <v:path arrowok="t"/>
              </v:shape>
            </v:group>
            <v:group style="position:absolute;left:3724;top:7828;width:1800;height:2" coordorigin="3724,7828" coordsize="1800,2">
              <v:shape style="position:absolute;left:3724;top:7828;width:1800;height:2" coordorigin="3724,7828" coordsize="1800,0" path="m3724,7828l5523,7828e" filled="false" stroked="true" strokeweight=".72pt" strokecolor="#000000">
                <v:path arrowok="t"/>
              </v:shape>
            </v:group>
            <v:group style="position:absolute;left:5538;top:7828;width:2001;height:2" coordorigin="5538,7828" coordsize="2001,2">
              <v:shape style="position:absolute;left:5538;top:7828;width:2001;height:2" coordorigin="5538,7828" coordsize="2001,0" path="m5538,7828l7538,7828e" filled="false" stroked="true" strokeweight=".72pt" strokecolor="#000000">
                <v:path arrowok="t"/>
              </v:shape>
            </v:group>
            <v:group style="position:absolute;left:7552;top:7828;width:1006;height:2" coordorigin="7552,7828" coordsize="1006,2">
              <v:shape style="position:absolute;left:7552;top:7828;width:1006;height:2" coordorigin="7552,7828" coordsize="1006,0" path="m7552,7828l8558,7828e" filled="false" stroked="true" strokeweight=".72pt" strokecolor="#000000">
                <v:path arrowok="t"/>
              </v:shape>
            </v:group>
            <v:group style="position:absolute;left:8573;top:7828;width:1502;height:2" coordorigin="8573,7828" coordsize="1502,2">
              <v:shape style="position:absolute;left:8573;top:7828;width:1502;height:2" coordorigin="8573,7828" coordsize="1502,0" path="m8573,7828l10074,7828e" filled="false" stroked="true" strokeweight=".72pt" strokecolor="#000000">
                <v:path arrowok="t"/>
              </v:shape>
            </v:group>
            <v:group style="position:absolute;left:10088;top:7828;width:680;height:2" coordorigin="10088,7828" coordsize="680,2">
              <v:shape style="position:absolute;left:10088;top:7828;width:680;height:2" coordorigin="10088,7828" coordsize="680,0" path="m10088,7828l10768,7828e" filled="false" stroked="true" strokeweight=".72pt" strokecolor="#000000">
                <v:path arrowok="t"/>
              </v:shape>
            </v:group>
            <v:group style="position:absolute;left:1141;top:11295;width:626;height:2" coordorigin="1141,11295" coordsize="626,2">
              <v:shape style="position:absolute;left:1141;top:11295;width:626;height:2" coordorigin="1141,11295" coordsize="626,0" path="m1141,11295l1767,11295e" filled="false" stroked="true" strokeweight=".72003pt" strokecolor="#000000">
                <v:path arrowok="t"/>
              </v:shape>
            </v:group>
            <v:group style="position:absolute;left:1781;top:11295;width:623;height:2" coordorigin="1781,11295" coordsize="623,2">
              <v:shape style="position:absolute;left:1781;top:11295;width:623;height:2" coordorigin="1781,11295" coordsize="623,0" path="m1781,11295l2404,11295e" filled="false" stroked="true" strokeweight=".72003pt" strokecolor="#000000">
                <v:path arrowok="t"/>
              </v:shape>
            </v:group>
            <v:group style="position:absolute;left:2418;top:11295;width:1292;height:2" coordorigin="2418,11295" coordsize="1292,2">
              <v:shape style="position:absolute;left:2418;top:11295;width:1292;height:2" coordorigin="2418,11295" coordsize="1292,0" path="m2418,11295l3710,11295e" filled="false" stroked="true" strokeweight=".72003pt" strokecolor="#000000">
                <v:path arrowok="t"/>
              </v:shape>
            </v:group>
            <v:group style="position:absolute;left:3724;top:11295;width:1800;height:2" coordorigin="3724,11295" coordsize="1800,2">
              <v:shape style="position:absolute;left:3724;top:11295;width:1800;height:2" coordorigin="3724,11295" coordsize="1800,0" path="m3724,11295l5523,11295e" filled="false" stroked="true" strokeweight=".72003pt" strokecolor="#000000">
                <v:path arrowok="t"/>
              </v:shape>
            </v:group>
            <v:group style="position:absolute;left:5538;top:11295;width:2001;height:2" coordorigin="5538,11295" coordsize="2001,2">
              <v:shape style="position:absolute;left:5538;top:11295;width:2001;height:2" coordorigin="5538,11295" coordsize="2001,0" path="m5538,11295l7538,11295e" filled="false" stroked="true" strokeweight=".72003pt" strokecolor="#000000">
                <v:path arrowok="t"/>
              </v:shape>
            </v:group>
            <v:group style="position:absolute;left:7552;top:11295;width:1006;height:2" coordorigin="7552,11295" coordsize="1006,2">
              <v:shape style="position:absolute;left:7552;top:11295;width:1006;height:2" coordorigin="7552,11295" coordsize="1006,0" path="m7552,11295l8558,11295e" filled="false" stroked="true" strokeweight=".72003pt" strokecolor="#000000">
                <v:path arrowok="t"/>
              </v:shape>
            </v:group>
            <v:group style="position:absolute;left:8573;top:11295;width:1502;height:2" coordorigin="8573,11295" coordsize="1502,2">
              <v:shape style="position:absolute;left:8573;top:11295;width:1502;height:2" coordorigin="8573,11295" coordsize="1502,0" path="m8573,11295l10074,11295e" filled="false" stroked="true" strokeweight=".72003pt" strokecolor="#000000">
                <v:path arrowok="t"/>
              </v:shape>
            </v:group>
            <v:group style="position:absolute;left:10088;top:11295;width:680;height:2" coordorigin="10088,11295" coordsize="680,2">
              <v:shape style="position:absolute;left:10088;top:11295;width:680;height:2" coordorigin="10088,11295" coordsize="680,0" path="m10088,11295l10768,11295e" filled="false" stroked="true" strokeweight=".72003pt" strokecolor="#000000">
                <v:path arrowok="t"/>
              </v:shape>
            </v:group>
            <v:group style="position:absolute;left:1134;top:1440;width:2;height:13678" coordorigin="1134,1440" coordsize="2,13678">
              <v:shape style="position:absolute;left:1134;top:1440;width:2;height:13678" coordorigin="1134,1440" coordsize="0,13678" path="m1134,1440l1134,15118e" filled="false" stroked="true" strokeweight=".72pt" strokecolor="#000000">
                <v:path arrowok="t"/>
              </v:shape>
            </v:group>
            <v:group style="position:absolute;left:1141;top:15110;width:626;height:2" coordorigin="1141,15110" coordsize="626,2">
              <v:shape style="position:absolute;left:1141;top:15110;width:626;height:2" coordorigin="1141,15110" coordsize="626,0" path="m1141,15110l1767,15110e" filled="false" stroked="true" strokeweight=".72003pt" strokecolor="#000000">
                <v:path arrowok="t"/>
              </v:shape>
            </v:group>
            <v:group style="position:absolute;left:1781;top:4637;width:623;height:2" coordorigin="1781,4637" coordsize="623,2">
              <v:shape style="position:absolute;left:1781;top:4637;width:623;height:2" coordorigin="1781,4637" coordsize="623,0" path="m1781,4637l2404,4637e" filled="false" stroked="true" strokeweight=".72pt" strokecolor="#000000">
                <v:path arrowok="t"/>
              </v:shape>
            </v:group>
            <v:group style="position:absolute;left:2418;top:4637;width:1292;height:2" coordorigin="2418,4637" coordsize="1292,2">
              <v:shape style="position:absolute;left:2418;top:4637;width:1292;height:2" coordorigin="2418,4637" coordsize="1292,0" path="m2418,4637l3710,4637e" filled="false" stroked="true" strokeweight=".72pt" strokecolor="#000000">
                <v:path arrowok="t"/>
              </v:shape>
            </v:group>
            <v:group style="position:absolute;left:3724;top:4637;width:1800;height:2" coordorigin="3724,4637" coordsize="1800,2">
              <v:shape style="position:absolute;left:3724;top:4637;width:1800;height:2" coordorigin="3724,4637" coordsize="1800,0" path="m3724,4637l5523,4637e" filled="false" stroked="true" strokeweight=".72pt" strokecolor="#000000">
                <v:path arrowok="t"/>
              </v:shape>
            </v:group>
            <v:group style="position:absolute;left:5538;top:4637;width:2001;height:2" coordorigin="5538,4637" coordsize="2001,2">
              <v:shape style="position:absolute;left:5538;top:4637;width:2001;height:2" coordorigin="5538,4637" coordsize="2001,0" path="m5538,4637l7538,4637e" filled="false" stroked="true" strokeweight=".72pt" strokecolor="#000000">
                <v:path arrowok="t"/>
              </v:shape>
            </v:group>
            <v:group style="position:absolute;left:7552;top:4637;width:1006;height:2" coordorigin="7552,4637" coordsize="1006,2">
              <v:shape style="position:absolute;left:7552;top:4637;width:1006;height:2" coordorigin="7552,4637" coordsize="1006,0" path="m7552,4637l8558,4637e" filled="false" stroked="true" strokeweight=".72pt" strokecolor="#000000">
                <v:path arrowok="t"/>
              </v:shape>
            </v:group>
            <v:group style="position:absolute;left:8573;top:4637;width:1502;height:2" coordorigin="8573,4637" coordsize="1502,2">
              <v:shape style="position:absolute;left:8573;top:4637;width:1502;height:2" coordorigin="8573,4637" coordsize="1502,0" path="m8573,4637l10074,4637e" filled="false" stroked="true" strokeweight=".72pt" strokecolor="#000000">
                <v:path arrowok="t"/>
              </v:shape>
            </v:group>
            <v:group style="position:absolute;left:10088;top:4637;width:680;height:2" coordorigin="10088,4637" coordsize="680,2">
              <v:shape style="position:absolute;left:10088;top:4637;width:680;height:2" coordorigin="10088,4637" coordsize="680,0" path="m10088,4637l10768,4637e" filled="false" stroked="true" strokeweight=".72pt" strokecolor="#000000">
                <v:path arrowok="t"/>
              </v:shape>
            </v:group>
            <v:group style="position:absolute;left:1781;top:6232;width:623;height:2" coordorigin="1781,6232" coordsize="623,2">
              <v:shape style="position:absolute;left:1781;top:6232;width:623;height:2" coordorigin="1781,6232" coordsize="623,0" path="m1781,6232l2404,6232e" filled="false" stroked="true" strokeweight=".72pt" strokecolor="#000000">
                <v:path arrowok="t"/>
              </v:shape>
            </v:group>
            <v:group style="position:absolute;left:2418;top:6232;width:1292;height:2" coordorigin="2418,6232" coordsize="1292,2">
              <v:shape style="position:absolute;left:2418;top:6232;width:1292;height:2" coordorigin="2418,6232" coordsize="1292,0" path="m2418,6232l3710,6232e" filled="false" stroked="true" strokeweight=".72pt" strokecolor="#000000">
                <v:path arrowok="t"/>
              </v:shape>
            </v:group>
            <v:group style="position:absolute;left:3724;top:6232;width:1800;height:2" coordorigin="3724,6232" coordsize="1800,2">
              <v:shape style="position:absolute;left:3724;top:6232;width:1800;height:2" coordorigin="3724,6232" coordsize="1800,0" path="m3724,6232l5523,6232e" filled="false" stroked="true" strokeweight=".72pt" strokecolor="#000000">
                <v:path arrowok="t"/>
              </v:shape>
            </v:group>
            <v:group style="position:absolute;left:5538;top:6232;width:2001;height:2" coordorigin="5538,6232" coordsize="2001,2">
              <v:shape style="position:absolute;left:5538;top:6232;width:2001;height:2" coordorigin="5538,6232" coordsize="2001,0" path="m5538,6232l7538,6232e" filled="false" stroked="true" strokeweight=".72pt" strokecolor="#000000">
                <v:path arrowok="t"/>
              </v:shape>
            </v:group>
            <v:group style="position:absolute;left:7552;top:6232;width:1006;height:2" coordorigin="7552,6232" coordsize="1006,2">
              <v:shape style="position:absolute;left:7552;top:6232;width:1006;height:2" coordorigin="7552,6232" coordsize="1006,0" path="m7552,6232l8558,6232e" filled="false" stroked="true" strokeweight=".72pt" strokecolor="#000000">
                <v:path arrowok="t"/>
              </v:shape>
            </v:group>
            <v:group style="position:absolute;left:8573;top:6232;width:1502;height:2" coordorigin="8573,6232" coordsize="1502,2">
              <v:shape style="position:absolute;left:8573;top:6232;width:1502;height:2" coordorigin="8573,6232" coordsize="1502,0" path="m8573,6232l10074,6232e" filled="false" stroked="true" strokeweight=".72pt" strokecolor="#000000">
                <v:path arrowok="t"/>
              </v:shape>
            </v:group>
            <v:group style="position:absolute;left:10088;top:6232;width:680;height:2" coordorigin="10088,6232" coordsize="680,2">
              <v:shape style="position:absolute;left:10088;top:6232;width:680;height:2" coordorigin="10088,6232" coordsize="680,0" path="m10088,6232l10768,6232e" filled="false" stroked="true" strokeweight=".72pt" strokecolor="#000000">
                <v:path arrowok="t"/>
              </v:shape>
            </v:group>
            <v:group style="position:absolute;left:1781;top:13202;width:623;height:2" coordorigin="1781,13202" coordsize="623,2">
              <v:shape style="position:absolute;left:1781;top:13202;width:623;height:2" coordorigin="1781,13202" coordsize="623,0" path="m1781,13202l2404,13202e" filled="false" stroked="true" strokeweight=".71997pt" strokecolor="#000000">
                <v:path arrowok="t"/>
              </v:shape>
            </v:group>
            <v:group style="position:absolute;left:2418;top:13202;width:1292;height:2" coordorigin="2418,13202" coordsize="1292,2">
              <v:shape style="position:absolute;left:2418;top:13202;width:1292;height:2" coordorigin="2418,13202" coordsize="1292,0" path="m2418,13202l3710,13202e" filled="false" stroked="true" strokeweight=".71997pt" strokecolor="#000000">
                <v:path arrowok="t"/>
              </v:shape>
            </v:group>
            <v:group style="position:absolute;left:3724;top:13202;width:1800;height:2" coordorigin="3724,13202" coordsize="1800,2">
              <v:shape style="position:absolute;left:3724;top:13202;width:1800;height:2" coordorigin="3724,13202" coordsize="1800,0" path="m3724,13202l5523,13202e" filled="false" stroked="true" strokeweight=".71997pt" strokecolor="#000000">
                <v:path arrowok="t"/>
              </v:shape>
            </v:group>
            <v:group style="position:absolute;left:5538;top:13202;width:2001;height:2" coordorigin="5538,13202" coordsize="2001,2">
              <v:shape style="position:absolute;left:5538;top:13202;width:2001;height:2" coordorigin="5538,13202" coordsize="2001,0" path="m5538,13202l7538,13202e" filled="false" stroked="true" strokeweight=".71997pt" strokecolor="#000000">
                <v:path arrowok="t"/>
              </v:shape>
            </v:group>
            <v:group style="position:absolute;left:7552;top:13202;width:1006;height:2" coordorigin="7552,13202" coordsize="1006,2">
              <v:shape style="position:absolute;left:7552;top:13202;width:1006;height:2" coordorigin="7552,13202" coordsize="1006,0" path="m7552,13202l8558,13202e" filled="false" stroked="true" strokeweight=".71997pt" strokecolor="#000000">
                <v:path arrowok="t"/>
              </v:shape>
            </v:group>
            <v:group style="position:absolute;left:8573;top:13202;width:1502;height:2" coordorigin="8573,13202" coordsize="1502,2">
              <v:shape style="position:absolute;left:8573;top:13202;width:1502;height:2" coordorigin="8573,13202" coordsize="1502,0" path="m8573,13202l10074,13202e" filled="false" stroked="true" strokeweight=".71997pt" strokecolor="#000000">
                <v:path arrowok="t"/>
              </v:shape>
            </v:group>
            <v:group style="position:absolute;left:10088;top:13202;width:680;height:2" coordorigin="10088,13202" coordsize="680,2">
              <v:shape style="position:absolute;left:10088;top:13202;width:680;height:2" coordorigin="10088,13202" coordsize="680,0" path="m10088,13202l10768,13202e" filled="false" stroked="true" strokeweight=".71997pt" strokecolor="#000000">
                <v:path arrowok="t"/>
              </v:shape>
            </v:group>
            <v:group style="position:absolute;left:1774;top:1440;width:2;height:13678" coordorigin="1774,1440" coordsize="2,13678">
              <v:shape style="position:absolute;left:1774;top:1440;width:2;height:13678" coordorigin="1774,1440" coordsize="0,13678" path="m1774,1440l1774,15118e" filled="false" stroked="true" strokeweight=".72pt" strokecolor="#000000">
                <v:path arrowok="t"/>
              </v:shape>
            </v:group>
            <v:group style="position:absolute;left:1781;top:15110;width:623;height:2" coordorigin="1781,15110" coordsize="623,2">
              <v:shape style="position:absolute;left:1781;top:15110;width:623;height:2" coordorigin="1781,15110" coordsize="623,0" path="m1781,15110l2404,15110e" filled="false" stroked="true" strokeweight=".72003pt" strokecolor="#000000">
                <v:path arrowok="t"/>
              </v:shape>
            </v:group>
            <v:group style="position:absolute;left:2411;top:1440;width:2;height:13678" coordorigin="2411,1440" coordsize="2,13678">
              <v:shape style="position:absolute;left:2411;top:1440;width:2;height:13678" coordorigin="2411,1440" coordsize="0,13678" path="m2411,1440l2411,15118e" filled="false" stroked="true" strokeweight=".72pt" strokecolor="#000000">
                <v:path arrowok="t"/>
              </v:shape>
            </v:group>
            <v:group style="position:absolute;left:2418;top:15110;width:1292;height:2" coordorigin="2418,15110" coordsize="1292,2">
              <v:shape style="position:absolute;left:2418;top:15110;width:1292;height:2" coordorigin="2418,15110" coordsize="1292,0" path="m2418,15110l3710,15110e" filled="false" stroked="true" strokeweight=".72003pt" strokecolor="#000000">
                <v:path arrowok="t"/>
              </v:shape>
            </v:group>
            <v:group style="position:absolute;left:3717;top:1440;width:2;height:13678" coordorigin="3717,1440" coordsize="2,13678">
              <v:shape style="position:absolute;left:3717;top:1440;width:2;height:13678" coordorigin="3717,1440" coordsize="0,13678" path="m3717,1440l3717,15118e" filled="false" stroked="true" strokeweight=".72pt" strokecolor="#000000">
                <v:path arrowok="t"/>
              </v:shape>
            </v:group>
            <v:group style="position:absolute;left:3724;top:15110;width:1800;height:2" coordorigin="3724,15110" coordsize="1800,2">
              <v:shape style="position:absolute;left:3724;top:15110;width:1800;height:2" coordorigin="3724,15110" coordsize="1800,0" path="m3724,15110l5523,15110e" filled="false" stroked="true" strokeweight=".72003pt" strokecolor="#000000">
                <v:path arrowok="t"/>
              </v:shape>
            </v:group>
            <v:group style="position:absolute;left:5530;top:1440;width:2;height:13678" coordorigin="5530,1440" coordsize="2,13678">
              <v:shape style="position:absolute;left:5530;top:1440;width:2;height:13678" coordorigin="5530,1440" coordsize="0,13678" path="m5530,1440l5530,15118e" filled="false" stroked="true" strokeweight=".72pt" strokecolor="#000000">
                <v:path arrowok="t"/>
              </v:shape>
            </v:group>
            <v:group style="position:absolute;left:5538;top:15110;width:2001;height:2" coordorigin="5538,15110" coordsize="2001,2">
              <v:shape style="position:absolute;left:5538;top:15110;width:2001;height:2" coordorigin="5538,15110" coordsize="2001,0" path="m5538,15110l7538,15110e" filled="false" stroked="true" strokeweight=".72003pt" strokecolor="#000000">
                <v:path arrowok="t"/>
              </v:shape>
            </v:group>
            <v:group style="position:absolute;left:7545;top:1440;width:2;height:13678" coordorigin="7545,1440" coordsize="2,13678">
              <v:shape style="position:absolute;left:7545;top:1440;width:2;height:13678" coordorigin="7545,1440" coordsize="0,13678" path="m7545,1440l7545,15118e" filled="false" stroked="true" strokeweight=".72pt" strokecolor="#000000">
                <v:path arrowok="t"/>
              </v:shape>
            </v:group>
            <v:group style="position:absolute;left:7552;top:15110;width:1006;height:2" coordorigin="7552,15110" coordsize="1006,2">
              <v:shape style="position:absolute;left:7552;top:15110;width:1006;height:2" coordorigin="7552,15110" coordsize="1006,0" path="m7552,15110l8558,15110e" filled="false" stroked="true" strokeweight=".72003pt" strokecolor="#000000">
                <v:path arrowok="t"/>
              </v:shape>
            </v:group>
            <v:group style="position:absolute;left:8566;top:1440;width:2;height:13678" coordorigin="8566,1440" coordsize="2,13678">
              <v:shape style="position:absolute;left:8566;top:1440;width:2;height:13678" coordorigin="8566,1440" coordsize="0,13678" path="m8566,1440l8566,15118e" filled="false" stroked="true" strokeweight=".72pt" strokecolor="#000000">
                <v:path arrowok="t"/>
              </v:shape>
            </v:group>
            <v:group style="position:absolute;left:8573;top:15110;width:1502;height:2" coordorigin="8573,15110" coordsize="1502,2">
              <v:shape style="position:absolute;left:8573;top:15110;width:1502;height:2" coordorigin="8573,15110" coordsize="1502,0" path="m8573,15110l10074,15110e" filled="false" stroked="true" strokeweight=".72003pt" strokecolor="#000000">
                <v:path arrowok="t"/>
              </v:shape>
            </v:group>
            <v:group style="position:absolute;left:10081;top:1440;width:2;height:13678" coordorigin="10081,1440" coordsize="2,13678">
              <v:shape style="position:absolute;left:10081;top:1440;width:2;height:13678" coordorigin="10081,1440" coordsize="0,13678" path="m10081,1440l10081,15118e" filled="false" stroked="true" strokeweight=".72pt" strokecolor="#000000">
                <v:path arrowok="t"/>
              </v:shape>
            </v:group>
            <v:group style="position:absolute;left:10088;top:15110;width:680;height:2" coordorigin="10088,15110" coordsize="680,2">
              <v:shape style="position:absolute;left:10088;top:15110;width:680;height:2" coordorigin="10088,15110" coordsize="680,0" path="m10088,15110l10768,15110e" filled="false" stroked="true" strokeweight=".72003pt" strokecolor="#000000">
                <v:path arrowok="t"/>
              </v:shape>
            </v:group>
            <v:group style="position:absolute;left:10775;top:1440;width:2;height:13678" coordorigin="10775,1440" coordsize="2,13678">
              <v:shape style="position:absolute;left:10775;top:1440;width:2;height:13678" coordorigin="10775,1440" coordsize="0,13678" path="m10775,1440l10775,15118e" filled="false" stroked="true" strokeweight=".71997pt" strokecolor="#000000">
                <v:path arrowok="t"/>
              </v:shape>
            </v:group>
            <w10:wrap type="none"/>
          </v:group>
        </w:pict>
      </w:r>
      <w:r>
        <w:rPr>
          <w:rFonts w:ascii="Times New Roman" w:hAnsi="Times New Roman" w:cs="Times New Roman" w:eastAsia="Times New Roman" w:hint="default"/>
        </w:rPr>
        <w:t>2</w:t>
      </w:r>
      <w:r>
        <w:rPr/>
        <w:t>、培养新员工的学 习能力和交流能力， </w:t>
      </w:r>
      <w:r>
        <w:rPr>
          <w:rFonts w:ascii="Times New Roman" w:hAnsi="Times New Roman" w:cs="Times New Roman" w:eastAsia="Times New Roman" w:hint="default"/>
        </w:rPr>
        <w:t>3</w:t>
      </w:r>
      <w:r>
        <w:rPr/>
        <w:t>、丰富企业文化，</w:t>
      </w:r>
    </w:p>
    <w:p>
      <w:pPr>
        <w:pStyle w:val="BodyText"/>
        <w:spacing w:line="240" w:lineRule="auto" w:before="37"/>
        <w:ind w:left="146" w:right="-20"/>
        <w:jc w:val="left"/>
      </w:pPr>
      <w:r>
        <w:rPr/>
        <w:br w:type="column"/>
      </w:r>
      <w:r>
        <w:rPr/>
        <w:t>法、管理工具等</w:t>
      </w:r>
    </w:p>
    <w:p>
      <w:pPr>
        <w:spacing w:before="37"/>
        <w:ind w:left="42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参与。</w:t>
      </w:r>
    </w:p>
    <w:p>
      <w:pPr>
        <w:spacing w:after="0"/>
        <w:jc w:val="left"/>
        <w:rPr>
          <w:rFonts w:ascii="宋体" w:hAnsi="宋体" w:cs="宋体" w:eastAsia="宋体" w:hint="default"/>
          <w:sz w:val="21"/>
          <w:szCs w:val="21"/>
        </w:rPr>
        <w:sectPr>
          <w:type w:val="continuous"/>
          <w:pgSz w:w="11910" w:h="16840"/>
          <w:pgMar w:top="1580" w:bottom="280" w:left="980" w:right="0"/>
          <w:cols w:num="3" w:equalWidth="0">
            <w:col w:w="4637" w:space="40"/>
            <w:col w:w="1617" w:space="40"/>
            <w:col w:w="4596"/>
          </w:cols>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640"/>
        <w:gridCol w:w="637"/>
        <w:gridCol w:w="1306"/>
        <w:gridCol w:w="1814"/>
        <w:gridCol w:w="2015"/>
        <w:gridCol w:w="1020"/>
        <w:gridCol w:w="1516"/>
        <w:gridCol w:w="694"/>
      </w:tblGrid>
      <w:tr>
        <w:trPr>
          <w:trHeight w:val="972" w:hRule="exact"/>
        </w:trPr>
        <w:tc>
          <w:tcPr>
            <w:tcW w:w="64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83" w:right="58" w:hanging="525"/>
              <w:jc w:val="left"/>
              <w:rPr>
                <w:rFonts w:ascii="宋体" w:hAnsi="宋体" w:cs="宋体" w:eastAsia="宋体" w:hint="default"/>
                <w:sz w:val="21"/>
                <w:szCs w:val="21"/>
              </w:rPr>
            </w:pPr>
            <w:r>
              <w:rPr>
                <w:rFonts w:ascii="宋体" w:hAnsi="宋体" w:cs="宋体" w:eastAsia="宋体" w:hint="default"/>
                <w:sz w:val="21"/>
                <w:szCs w:val="21"/>
              </w:rPr>
              <w:t>营造企业内部学习 氛围。</w:t>
            </w:r>
          </w:p>
        </w:tc>
        <w:tc>
          <w:tcPr>
            <w:tcW w:w="201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3" w:lineRule="auto"/>
        <w:ind w:right="1129" w:firstLine="420"/>
        <w:jc w:val="both"/>
      </w:pPr>
      <w:r>
        <w:rPr>
          <w:spacing w:val="-1"/>
        </w:rPr>
        <w:t>报告期内，公司严格按照《中华人民共和国公司法》（以下简称《公司法》）、《中华人民共和国证</w:t>
      </w:r>
      <w:r>
        <w:rPr/>
        <w:t> 券法》（以下简称《证券法》）、</w:t>
      </w:r>
      <w:r>
        <w:rPr>
          <w:spacing w:val="-42"/>
        </w:rPr>
        <w:t> </w:t>
      </w:r>
      <w:r>
        <w:rPr/>
        <w:t>《上市公司治理规则》</w:t>
      </w:r>
      <w:r>
        <w:rPr>
          <w:spacing w:val="-37"/>
        </w:rPr>
        <w:t> </w:t>
      </w:r>
      <w:r>
        <w:rPr/>
        <w:t>、《深圳证券交易所创业板上市规则》</w:t>
      </w:r>
      <w:r>
        <w:rPr>
          <w:spacing w:val="-37"/>
        </w:rPr>
        <w:t> </w:t>
      </w:r>
      <w:r>
        <w:rPr>
          <w:spacing w:val="-4"/>
        </w:rPr>
        <w:t>、《深</w:t>
      </w:r>
      <w:r>
        <w:rPr/>
        <w:t> </w:t>
      </w:r>
      <w:r>
        <w:rPr>
          <w:spacing w:val="-1"/>
        </w:rPr>
        <w:t>圳证券交易所创业板上市公司规范运作指引》及其他相关法律、法规、规范性文件，建立了科学规范的法</w:t>
      </w:r>
      <w:r>
        <w:rPr>
          <w:spacing w:val="-86"/>
        </w:rPr>
        <w:t> </w:t>
      </w:r>
      <w:r>
        <w:rPr>
          <w:spacing w:val="-86"/>
        </w:rPr>
      </w:r>
      <w:r>
        <w:rPr>
          <w:spacing w:val="-1"/>
        </w:rPr>
        <w:t>人治理结构、健全的内部控制制度，促进公司规范运作。督促公司董事、监事、经理等高级管理人员加强</w:t>
      </w:r>
      <w:r>
        <w:rPr>
          <w:spacing w:val="-83"/>
        </w:rPr>
        <w:t> </w:t>
      </w:r>
      <w:r>
        <w:rPr>
          <w:spacing w:val="-83"/>
        </w:rPr>
      </w:r>
      <w:r>
        <w:rPr>
          <w:spacing w:val="-1"/>
        </w:rPr>
        <w:t>对相关法律、法规及规范性文件的学习，使其明确应当遵循的基本行为准则和职业道德。切实保护投资者</w:t>
      </w:r>
      <w:r>
        <w:rPr>
          <w:spacing w:val="-83"/>
        </w:rPr>
        <w:t> </w:t>
      </w:r>
      <w:r>
        <w:rPr>
          <w:spacing w:val="-83"/>
        </w:rPr>
      </w:r>
      <w:r>
        <w:rPr>
          <w:spacing w:val="-2"/>
        </w:rPr>
        <w:t>权利，真实、准确、完整、及时、公平地披露信息，公司规范运作水平不断提高。公司明确</w:t>
      </w:r>
      <w:r>
        <w:rPr>
          <w:spacing w:val="-2"/>
          <w:sz w:val="22"/>
          <w:szCs w:val="22"/>
        </w:rPr>
        <w:t>了党委会</w:t>
      </w:r>
      <w:r>
        <w:rPr>
          <w:spacing w:val="-2"/>
        </w:rPr>
        <w:t>、股</w:t>
      </w:r>
      <w:r>
        <w:rPr>
          <w:spacing w:val="-86"/>
        </w:rPr>
        <w:t> </w:t>
      </w:r>
      <w:r>
        <w:rPr>
          <w:spacing w:val="-86"/>
        </w:rPr>
      </w:r>
      <w:r>
        <w:rPr/>
        <w:t>东大会、董事会、监事会、经理层的权责边界，严格执行相应的决策流程。公司党委会和</w:t>
      </w:r>
      <w:r>
        <w:rPr>
          <w:rFonts w:ascii="Times New Roman" w:hAnsi="Times New Roman" w:cs="Times New Roman" w:eastAsia="Times New Roman" w:hint="default"/>
        </w:rPr>
        <w:t>“</w:t>
      </w:r>
      <w:r>
        <w:rPr/>
        <w:t>三会一层</w:t>
      </w:r>
      <w:r>
        <w:rPr>
          <w:rFonts w:ascii="Times New Roman" w:hAnsi="Times New Roman" w:cs="Times New Roman" w:eastAsia="Times New Roman" w:hint="default"/>
        </w:rPr>
        <w:t>”</w:t>
      </w:r>
      <w:r>
        <w:rPr/>
        <w:t>科学 </w:t>
      </w:r>
      <w:r>
        <w:rPr>
          <w:spacing w:val="-1"/>
        </w:rPr>
        <w:t>分工、相互制衡、权责分明，按其职责行使权力，股东大会、董事会、监事会会议的召开程序、提案审议</w:t>
      </w:r>
      <w:r>
        <w:rPr>
          <w:spacing w:val="-84"/>
        </w:rPr>
        <w:t> </w:t>
      </w:r>
      <w:r>
        <w:rPr>
          <w:spacing w:val="-84"/>
        </w:rPr>
      </w:r>
      <w:r>
        <w:rPr>
          <w:spacing w:val="-1"/>
        </w:rPr>
        <w:t>程序、表决、公告等程序均符合相关规定。报告期内，公司治理的实际状况符合相关法律法规及中国证监</w:t>
      </w:r>
      <w:r>
        <w:rPr>
          <w:spacing w:val="-86"/>
        </w:rPr>
        <w:t> </w:t>
      </w:r>
      <w:r>
        <w:rPr>
          <w:spacing w:val="-86"/>
        </w:rPr>
      </w:r>
      <w:r>
        <w:rPr/>
        <w:t>会、深圳证券交易所发布的有关上市公司治理的规范性文件要求。</w:t>
      </w:r>
    </w:p>
    <w:p>
      <w:pPr>
        <w:pStyle w:val="BodyText"/>
        <w:spacing w:line="240" w:lineRule="auto" w:before="50"/>
        <w:ind w:left="405" w:right="0"/>
        <w:jc w:val="left"/>
      </w:pPr>
      <w:r>
        <w:rPr/>
        <w:t>（一）关于股东与股东大会</w:t>
      </w:r>
    </w:p>
    <w:p>
      <w:pPr>
        <w:spacing w:line="240" w:lineRule="auto" w:before="10"/>
        <w:rPr>
          <w:rFonts w:ascii="宋体" w:hAnsi="宋体" w:cs="宋体" w:eastAsia="宋体" w:hint="default"/>
          <w:sz w:val="14"/>
          <w:szCs w:val="14"/>
        </w:rPr>
      </w:pPr>
    </w:p>
    <w:p>
      <w:pPr>
        <w:pStyle w:val="BodyText"/>
        <w:spacing w:line="408" w:lineRule="auto"/>
        <w:ind w:right="1023" w:firstLine="405"/>
        <w:jc w:val="left"/>
      </w:pPr>
      <w:r>
        <w:rPr>
          <w:spacing w:val="-8"/>
        </w:rPr>
        <w:t>公司严格遵守《公司法》、《上市公司治理规则》</w:t>
      </w:r>
      <w:r>
        <w:rPr>
          <w:spacing w:val="-60"/>
        </w:rPr>
        <w:t> </w:t>
      </w:r>
      <w:r>
        <w:rPr>
          <w:spacing w:val="-7"/>
        </w:rPr>
        <w:t>、《上市公司股东大会规则》等法律法规和公司</w:t>
      </w:r>
      <w:r>
        <w:rPr>
          <w:spacing w:val="-60"/>
        </w:rPr>
        <w:t> </w:t>
      </w:r>
      <w:r>
        <w:rPr/>
        <w:t>《章</w:t>
      </w:r>
      <w:r>
        <w:rPr/>
        <w:t> 程》、《股东大会议事规则》的规定和要求，规范执行股东大会的召集、召开、表决程序，请见证律师进 行全程的现场见证并出具了法律意见书，确保会议全部程序符合相关法律法规的规定、出席会议人员和召 集人的资格有效，表决程序和表决结果合法有效。公司对股东大会中每一项需要审议的事项均安排充裕的 </w:t>
      </w:r>
      <w:r>
        <w:rPr>
          <w:spacing w:val="-3"/>
        </w:rPr>
        <w:t>时间给股东发表意见，保证了全体股东，特别是中小股东享有平等地位、平等权利，充分行使自己的权利，</w:t>
      </w:r>
      <w:r>
        <w:rPr>
          <w:spacing w:val="-96"/>
        </w:rPr>
        <w:t> </w:t>
      </w:r>
      <w:r>
        <w:rPr>
          <w:spacing w:val="-96"/>
        </w:rPr>
      </w:r>
      <w:r>
        <w:rPr/>
        <w:t>并承担相应的义务。</w:t>
      </w:r>
    </w:p>
    <w:p>
      <w:pPr>
        <w:pStyle w:val="BodyText"/>
        <w:spacing w:line="393" w:lineRule="auto" w:before="46"/>
        <w:ind w:right="1126" w:firstLine="424"/>
        <w:jc w:val="both"/>
      </w:pPr>
      <w:r>
        <w:rPr/>
        <w:t>报告期内，公司共召开了</w:t>
      </w:r>
      <w:r>
        <w:rPr>
          <w:rFonts w:ascii="Times New Roman" w:hAnsi="Times New Roman" w:cs="Times New Roman" w:eastAsia="Times New Roman" w:hint="default"/>
        </w:rPr>
        <w:t>2</w:t>
      </w:r>
      <w:r>
        <w:rPr/>
        <w:t>次股东大会，均由董事会召集，审议并通过议案共计</w:t>
      </w:r>
      <w:r>
        <w:rPr>
          <w:rFonts w:ascii="Times New Roman" w:hAnsi="Times New Roman" w:cs="Times New Roman" w:eastAsia="Times New Roman" w:hint="default"/>
        </w:rPr>
        <w:t>10</w:t>
      </w:r>
      <w:r>
        <w:rPr/>
        <w:t>项。其中</w:t>
      </w:r>
      <w:r>
        <w:rPr>
          <w:rFonts w:ascii="Times New Roman" w:hAnsi="Times New Roman" w:cs="Times New Roman" w:eastAsia="Times New Roman" w:hint="default"/>
        </w:rPr>
        <w:t>2018</w:t>
      </w:r>
      <w:r>
        <w:rPr/>
        <w:t>年度</w:t>
      </w:r>
      <w:r>
        <w:rPr>
          <w:spacing w:val="2"/>
        </w:rPr>
        <w:t> </w:t>
      </w:r>
      <w:r>
        <w:rPr>
          <w:spacing w:val="8"/>
        </w:rPr>
        <w:t>第一临时股东大会审议通过了《关于公司〈章程修正案〉的议案》，同意根据权益分派后总股本增至</w:t>
      </w:r>
      <w:r>
        <w:rPr>
          <w:spacing w:val="-81"/>
        </w:rPr>
        <w:t> </w:t>
      </w:r>
      <w:r>
        <w:rPr>
          <w:spacing w:val="-81"/>
        </w:rPr>
      </w:r>
      <w:r>
        <w:rPr>
          <w:rFonts w:ascii="Times New Roman" w:hAnsi="Times New Roman" w:cs="Times New Roman" w:eastAsia="Times New Roman" w:hint="default"/>
          <w:spacing w:val="-1"/>
        </w:rPr>
        <w:t>180,000,000</w:t>
      </w:r>
      <w:r>
        <w:rPr>
          <w:spacing w:val="-1"/>
        </w:rPr>
        <w:t>股导致公司注册资本、总股本发生变化的实际情况，对公司《章程》的第六条中关于公司注册</w:t>
      </w:r>
      <w:r>
        <w:rPr>
          <w:spacing w:val="-80"/>
        </w:rPr>
        <w:t> </w:t>
      </w:r>
      <w:r>
        <w:rPr>
          <w:spacing w:val="-80"/>
        </w:rPr>
      </w:r>
      <w:r>
        <w:rPr/>
        <w:t>资本和第二十条中关于公司总股本的内容进行了相应修改。</w:t>
      </w:r>
    </w:p>
    <w:p>
      <w:pPr>
        <w:pStyle w:val="BodyText"/>
        <w:spacing w:line="240" w:lineRule="auto" w:before="58"/>
        <w:ind w:left="576" w:right="0"/>
        <w:jc w:val="left"/>
      </w:pPr>
      <w:r>
        <w:rPr/>
        <w:t>（二）关于关联交易、对外投资、对外担保</w:t>
      </w:r>
    </w:p>
    <w:p>
      <w:pPr>
        <w:spacing w:line="240" w:lineRule="auto" w:before="13"/>
        <w:rPr>
          <w:rFonts w:ascii="宋体" w:hAnsi="宋体" w:cs="宋体" w:eastAsia="宋体" w:hint="default"/>
          <w:sz w:val="23"/>
          <w:szCs w:val="23"/>
        </w:rPr>
      </w:pPr>
    </w:p>
    <w:p>
      <w:pPr>
        <w:pStyle w:val="BodyText"/>
        <w:spacing w:line="408" w:lineRule="auto"/>
        <w:ind w:right="1131" w:firstLine="441"/>
        <w:jc w:val="both"/>
      </w:pPr>
      <w:r>
        <w:rPr>
          <w:spacing w:val="-1"/>
        </w:rPr>
        <w:t>为更好地规范公司运作，严格执行相关法律法规和公司《关联交易管理制度》的要求，加强对关联交</w:t>
      </w:r>
      <w:r>
        <w:rPr/>
        <w:t> </w:t>
      </w:r>
      <w:r>
        <w:rPr>
          <w:spacing w:val="-1"/>
        </w:rPr>
        <w:t>易、对外投资、担保决策与披露的监督，确保合法合规。报告期内，公司无对外投资、担保事项，涉及关</w:t>
      </w:r>
      <w:r>
        <w:rPr>
          <w:spacing w:val="-85"/>
        </w:rPr>
        <w:t> </w:t>
      </w:r>
      <w:r>
        <w:rPr>
          <w:spacing w:val="-85"/>
        </w:rPr>
      </w:r>
      <w:r>
        <w:rPr/>
        <w:t>联交易事项均按照《关联交易管理制度》相关规定履行了相关决策程序。</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95" w:right="0" w:hanging="22"/>
        <w:jc w:val="left"/>
      </w:pPr>
      <w:r>
        <w:rPr/>
        <w:t>（三）关于董事与董事会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名，董事选聘程序、董事会人数及人员构成均符合法律、法规</w:t>
      </w:r>
    </w:p>
    <w:p>
      <w:pPr>
        <w:pStyle w:val="BodyText"/>
        <w:spacing w:line="403" w:lineRule="auto" w:before="14"/>
        <w:ind w:right="1067"/>
        <w:jc w:val="both"/>
      </w:pPr>
      <w:r>
        <w:rPr/>
        <w:t>和公司</w:t>
      </w:r>
      <w:r>
        <w:rPr>
          <w:spacing w:val="-15"/>
        </w:rPr>
        <w:t> </w:t>
      </w:r>
      <w:r>
        <w:rPr/>
        <w:t>《章程》</w:t>
      </w:r>
      <w:r>
        <w:rPr>
          <w:spacing w:val="-15"/>
        </w:rPr>
        <w:t> </w:t>
      </w:r>
      <w:r>
        <w:rPr/>
        <w:t>的要求。报告期内，董事会成员未发生变化。公司全体董事能够依照公司《深圳证券交</w:t>
      </w:r>
      <w:r>
        <w:rPr>
          <w:spacing w:val="-101"/>
        </w:rPr>
        <w:t> </w:t>
      </w:r>
      <w:r>
        <w:rPr>
          <w:spacing w:val="-101"/>
        </w:rPr>
      </w:r>
      <w:r>
        <w:rPr/>
        <w:t>易所创业板上市公司规范运作指引》 、《董事会议事规则》 、《独立董事工作制度》</w:t>
      </w:r>
      <w:r>
        <w:rPr>
          <w:spacing w:val="-63"/>
        </w:rPr>
        <w:t> </w:t>
      </w:r>
      <w:r>
        <w:rPr/>
        <w:t>规范地开展工作，</w:t>
      </w:r>
      <w:r>
        <w:rPr/>
        <w:t> 勤勉尽责，积极履行职责和义务，按时出席董事会和股东大会，坚持参加有关培训，学习法律法规及各类 规范指引的要求，推进公司规范运作。报告期内，公司共召开了</w:t>
      </w:r>
      <w:r>
        <w:rPr>
          <w:rFonts w:ascii="Times New Roman" w:hAnsi="Times New Roman" w:cs="Times New Roman" w:eastAsia="Times New Roman" w:hint="default"/>
        </w:rPr>
        <w:t>6</w:t>
      </w:r>
      <w:r>
        <w:rPr/>
        <w:t>次董事会会议，审议并通过议案共计</w:t>
      </w:r>
      <w:r>
        <w:rPr>
          <w:rFonts w:ascii="Times New Roman" w:hAnsi="Times New Roman" w:cs="Times New Roman" w:eastAsia="Times New Roman" w:hint="default"/>
        </w:rPr>
        <w:t>28</w:t>
      </w:r>
      <w:r>
        <w:rPr>
          <w:rFonts w:ascii="Times New Roman" w:hAnsi="Times New Roman" w:cs="Times New Roman" w:eastAsia="Times New Roman" w:hint="default"/>
          <w:spacing w:val="27"/>
        </w:rPr>
        <w:t> </w:t>
      </w:r>
      <w:r>
        <w:rPr/>
        <w:t>项。</w:t>
      </w:r>
    </w:p>
    <w:p>
      <w:pPr>
        <w:pStyle w:val="BodyText"/>
        <w:spacing w:line="408" w:lineRule="auto" w:before="50"/>
        <w:ind w:left="595" w:right="1071" w:hanging="22"/>
        <w:jc w:val="left"/>
      </w:pPr>
      <w:r>
        <w:rPr/>
        <w:t>（四）关于监事与监事会 公司监事会由</w:t>
      </w:r>
      <w:r>
        <w:rPr>
          <w:rFonts w:ascii="Times New Roman" w:hAnsi="Times New Roman" w:cs="Times New Roman" w:eastAsia="Times New Roman" w:hint="default"/>
        </w:rPr>
        <w:t>3</w:t>
      </w:r>
      <w:r>
        <w:rPr/>
        <w:t>名监事组成，其中职工监事</w:t>
      </w:r>
      <w:r>
        <w:rPr>
          <w:rFonts w:ascii="Times New Roman" w:hAnsi="Times New Roman" w:cs="Times New Roman" w:eastAsia="Times New Roman" w:hint="default"/>
        </w:rPr>
        <w:t>1</w:t>
      </w:r>
      <w:r>
        <w:rPr/>
        <w:t>名，监事会的人数和构成符合法律、法规和公司《章程》</w:t>
      </w:r>
    </w:p>
    <w:p>
      <w:pPr>
        <w:pStyle w:val="BodyText"/>
        <w:spacing w:line="408" w:lineRule="auto" w:before="14"/>
        <w:ind w:right="1023"/>
        <w:jc w:val="left"/>
      </w:pPr>
      <w:r>
        <w:rPr/>
        <w:t>的要求。报告期内，监事会成员未发生变化。公司全体监事能够按照《监事会议事规则》的要求，认真履 行职责，积极参加相关培训，对董事会决策程序、决议事项、公司依法运作情况、公司董事和高级管理人 </w:t>
      </w:r>
      <w:r>
        <w:rPr>
          <w:spacing w:val="-3"/>
        </w:rPr>
        <w:t>员履行职责的合法合规性进行了有效监督。对公司重大事项、关联交易、财务状况的合法合规性进行监督。</w:t>
      </w:r>
      <w:r>
        <w:rPr>
          <w:spacing w:val="-90"/>
        </w:rPr>
        <w:t> </w:t>
      </w:r>
      <w:r>
        <w:rPr>
          <w:spacing w:val="-90"/>
        </w:rPr>
      </w:r>
      <w:r>
        <w:rPr/>
        <w:t>报告期内，公司共召开了</w:t>
      </w:r>
      <w:r>
        <w:rPr>
          <w:rFonts w:ascii="Times New Roman" w:hAnsi="Times New Roman" w:cs="Times New Roman" w:eastAsia="Times New Roman" w:hint="default"/>
        </w:rPr>
        <w:t>3</w:t>
      </w:r>
      <w:r>
        <w:rPr/>
        <w:t>次监事会会议，审议并通过议案共计</w:t>
      </w:r>
      <w:r>
        <w:rPr>
          <w:rFonts w:ascii="Times New Roman" w:hAnsi="Times New Roman" w:cs="Times New Roman" w:eastAsia="Times New Roman" w:hint="default"/>
        </w:rPr>
        <w:t>10</w:t>
      </w:r>
      <w:r>
        <w:rPr/>
        <w:t>项。</w:t>
      </w:r>
    </w:p>
    <w:p>
      <w:pPr>
        <w:pStyle w:val="BodyText"/>
        <w:spacing w:line="408" w:lineRule="auto" w:before="14"/>
        <w:ind w:left="595" w:right="0" w:hanging="106"/>
        <w:jc w:val="left"/>
      </w:pPr>
      <w:r>
        <w:rPr/>
        <w:t>（五）关于绩效评价和激励约束机制 </w:t>
      </w:r>
      <w:r>
        <w:rPr>
          <w:spacing w:val="-2"/>
        </w:rPr>
        <w:t>公司《章程》明确规定了董事、监事和高级管理人员的聘任、履职行为、权限和职责，建立《董事会</w:t>
      </w:r>
    </w:p>
    <w:p>
      <w:pPr>
        <w:pStyle w:val="BodyText"/>
        <w:spacing w:line="408" w:lineRule="auto" w:before="46"/>
        <w:ind w:right="1131"/>
        <w:jc w:val="both"/>
      </w:pPr>
      <w:r>
        <w:rPr>
          <w:spacing w:val="-1"/>
        </w:rPr>
        <w:t>议事规则》、《薪酬与考核委员会工作细则》、《高管人员经营业绩考核暂行办法》，明确了对董事和高</w:t>
      </w:r>
      <w:r>
        <w:rPr>
          <w:spacing w:val="-87"/>
        </w:rPr>
        <w:t> </w:t>
      </w:r>
      <w:r>
        <w:rPr>
          <w:spacing w:val="-87"/>
        </w:rPr>
      </w:r>
      <w:r>
        <w:rPr>
          <w:spacing w:val="-1"/>
        </w:rPr>
        <w:t>级管理人员绩效评价标准和程序。独立董事、监事的评价采取自我评价与相互评价相结合的方式进行，董</w:t>
      </w:r>
      <w:r>
        <w:rPr>
          <w:spacing w:val="-83"/>
        </w:rPr>
        <w:t> </w:t>
      </w:r>
      <w:r>
        <w:rPr>
          <w:spacing w:val="-83"/>
        </w:rPr>
      </w:r>
      <w:r>
        <w:rPr>
          <w:spacing w:val="-1"/>
        </w:rPr>
        <w:t>事会、监事会、独立董事向股东大会报告年度工作情况、绩效评价结果及薪酬情况，并予以了披露，做到</w:t>
      </w:r>
      <w:r>
        <w:rPr>
          <w:spacing w:val="-83"/>
        </w:rPr>
        <w:t> </w:t>
      </w:r>
      <w:r>
        <w:rPr>
          <w:spacing w:val="-83"/>
        </w:rPr>
      </w:r>
      <w:r>
        <w:rPr/>
        <w:t>了公正、透明。</w:t>
      </w:r>
    </w:p>
    <w:p>
      <w:pPr>
        <w:pStyle w:val="BodyText"/>
        <w:spacing w:line="408" w:lineRule="auto" w:before="46"/>
        <w:ind w:left="595" w:right="0" w:hanging="106"/>
        <w:jc w:val="left"/>
      </w:pPr>
      <w:r>
        <w:rPr/>
        <w:t>（六）关于信息披露与透明度 </w:t>
      </w:r>
      <w:r>
        <w:rPr>
          <w:spacing w:val="-2"/>
        </w:rPr>
        <w:t>公司高度重视投资者关系管理工作，严格执行《证券法》和《深交所上市规则》等法规和公司《信息</w:t>
      </w:r>
    </w:p>
    <w:p>
      <w:pPr>
        <w:pStyle w:val="BodyText"/>
        <w:spacing w:line="405" w:lineRule="auto" w:before="46"/>
        <w:ind w:right="1130"/>
        <w:jc w:val="both"/>
      </w:pPr>
      <w:r>
        <w:rPr>
          <w:spacing w:val="-1"/>
        </w:rPr>
        <w:t>披露管理制度》、《投资者关系管理制度》等规定，指定公司董事会秘书负责信息披露与投资者关系管理</w:t>
      </w:r>
      <w:r>
        <w:rPr>
          <w:spacing w:val="-83"/>
        </w:rPr>
        <w:t> </w:t>
      </w:r>
      <w:r>
        <w:rPr>
          <w:spacing w:val="-83"/>
        </w:rPr>
      </w:r>
      <w:r>
        <w:rPr>
          <w:spacing w:val="-1"/>
        </w:rPr>
        <w:t>工作。报告期内，公司制订了公司《定期报告信息披露重大差错责任追究制度》，加大定期报告信息披露</w:t>
      </w:r>
      <w:r>
        <w:rPr>
          <w:spacing w:val="-82"/>
        </w:rPr>
        <w:t> </w:t>
      </w:r>
      <w:r>
        <w:rPr>
          <w:spacing w:val="-82"/>
        </w:rPr>
      </w:r>
      <w:r>
        <w:rPr>
          <w:spacing w:val="-1"/>
        </w:rPr>
        <w:t>责任人的问责力度，以提高定期报告信息披露的质量和透明度，增强信息披露的真实性、准确性、完整性</w:t>
      </w:r>
      <w:r>
        <w:rPr>
          <w:spacing w:val="-86"/>
        </w:rPr>
        <w:t> </w:t>
      </w:r>
      <w:r>
        <w:rPr>
          <w:spacing w:val="-86"/>
        </w:rPr>
      </w:r>
      <w:r>
        <w:rPr>
          <w:spacing w:val="-1"/>
        </w:rPr>
        <w:t>和及时性，推进公司内控制度建设。通过与投资者之间保持良好的双向沟通，促进投资者对公司的了解和</w:t>
      </w:r>
      <w:r>
        <w:rPr>
          <w:spacing w:val="-83"/>
        </w:rPr>
        <w:t> </w:t>
      </w:r>
      <w:r>
        <w:rPr>
          <w:spacing w:val="-83"/>
        </w:rPr>
      </w:r>
      <w:r>
        <w:rPr>
          <w:spacing w:val="-1"/>
        </w:rPr>
        <w:t>认同，确保所有股东有公平获得信息的机会，保障投资者的知情权。公司还通过深交所互动易平台、投资</w:t>
      </w:r>
      <w:r>
        <w:rPr>
          <w:spacing w:val="-86"/>
        </w:rPr>
        <w:t> </w:t>
      </w:r>
      <w:r>
        <w:rPr>
          <w:spacing w:val="-86"/>
        </w:rPr>
      </w:r>
      <w:r>
        <w:rPr>
          <w:spacing w:val="-1"/>
        </w:rPr>
        <w:t>者专线电话、新闻媒体、网站专栏、现场接待等渠道（方式）与各类投资者、中介机构的行研人员及中小</w:t>
      </w:r>
      <w:r>
        <w:rPr>
          <w:spacing w:val="-83"/>
        </w:rPr>
        <w:t> </w:t>
      </w:r>
      <w:r>
        <w:rPr>
          <w:spacing w:val="-83"/>
        </w:rPr>
      </w:r>
      <w:r>
        <w:rPr>
          <w:spacing w:val="-1"/>
        </w:rPr>
        <w:t>投资者保持经常性联系，方便投资者及时知悉、查询和咨询公司信息。按时公布公司定期报告，并将印刷</w:t>
      </w:r>
      <w:r>
        <w:rPr>
          <w:spacing w:val="-86"/>
        </w:rPr>
        <w:t> </w:t>
      </w:r>
      <w:r>
        <w:rPr>
          <w:spacing w:val="-86"/>
        </w:rPr>
      </w:r>
      <w:r>
        <w:rPr/>
        <w:t>版摆放在公司证券事务管理部门供投资者查阅。公司在报告期内通过</w:t>
      </w:r>
      <w:r>
        <w:rPr>
          <w:rFonts w:ascii="Times New Roman" w:hAnsi="Times New Roman" w:cs="Times New Roman" w:eastAsia="Times New Roman" w:hint="default"/>
        </w:rPr>
        <w:t>“</w:t>
      </w:r>
      <w:r>
        <w:rPr/>
        <w:t>互动易</w:t>
      </w:r>
      <w:r>
        <w:rPr>
          <w:rFonts w:ascii="Times New Roman" w:hAnsi="Times New Roman" w:cs="Times New Roman" w:eastAsia="Times New Roman" w:hint="default"/>
        </w:rPr>
        <w:t>”</w:t>
      </w:r>
      <w:r>
        <w:rPr/>
        <w:t>平台收到有效提问</w:t>
      </w:r>
      <w:r>
        <w:rPr>
          <w:rFonts w:ascii="Times New Roman" w:hAnsi="Times New Roman" w:cs="Times New Roman" w:eastAsia="Times New Roman" w:hint="default"/>
        </w:rPr>
        <w:t>76</w:t>
      </w:r>
      <w:r>
        <w:rPr/>
        <w:t>条，回 </w:t>
      </w:r>
      <w:r>
        <w:rPr>
          <w:spacing w:val="-2"/>
        </w:rPr>
        <w:t>复率</w:t>
      </w:r>
      <w:r>
        <w:rPr>
          <w:rFonts w:ascii="Times New Roman" w:hAnsi="Times New Roman" w:cs="Times New Roman" w:eastAsia="Times New Roman" w:hint="default"/>
          <w:spacing w:val="-2"/>
        </w:rPr>
        <w:t>100%</w:t>
      </w:r>
      <w:r>
        <w:rPr>
          <w:spacing w:val="-2"/>
        </w:rPr>
        <w:t>，未有超时未回复记录。热情、周到地接听投资者专线电话，客观、耐心地回答各种提问，未出</w:t>
      </w:r>
    </w:p>
    <w:p>
      <w:pPr>
        <w:spacing w:after="0" w:line="405"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现投资者投诉情况。未发生信息披露不规范而受到监管部门批评的情形。</w:t>
      </w:r>
    </w:p>
    <w:p>
      <w:pPr>
        <w:spacing w:line="240" w:lineRule="auto" w:before="10"/>
        <w:rPr>
          <w:rFonts w:ascii="宋体" w:hAnsi="宋体" w:cs="宋体" w:eastAsia="宋体" w:hint="default"/>
          <w:sz w:val="14"/>
          <w:szCs w:val="14"/>
        </w:rPr>
      </w:pPr>
    </w:p>
    <w:p>
      <w:pPr>
        <w:pStyle w:val="BodyText"/>
        <w:spacing w:line="408" w:lineRule="auto"/>
        <w:ind w:left="595" w:right="0" w:hanging="106"/>
        <w:jc w:val="left"/>
      </w:pPr>
      <w:r>
        <w:rPr/>
        <w:t>（七）关于相关利益者 </w:t>
      </w:r>
      <w:r>
        <w:rPr>
          <w:spacing w:val="-2"/>
        </w:rPr>
        <w:t>公司充分尊重和维护相关利益者的合法权益，实现公司与客户、供应商、员工、股东、监管机构、政</w:t>
      </w:r>
    </w:p>
    <w:p>
      <w:pPr>
        <w:pStyle w:val="BodyText"/>
        <w:spacing w:line="408" w:lineRule="auto" w:before="46"/>
        <w:ind w:right="1132"/>
        <w:jc w:val="both"/>
      </w:pPr>
      <w:r>
        <w:rPr>
          <w:spacing w:val="-1"/>
        </w:rPr>
        <w:t>府相关部门、社会相关方面等各方利益的协调平衡，加强与各方的沟通与交流，共同推动公司持续、稳健</w:t>
      </w:r>
      <w:r>
        <w:rPr>
          <w:spacing w:val="-86"/>
        </w:rPr>
        <w:t> </w:t>
      </w:r>
      <w:r>
        <w:rPr>
          <w:spacing w:val="-86"/>
        </w:rPr>
      </w:r>
      <w:r>
        <w:rPr>
          <w:spacing w:val="-1"/>
        </w:rPr>
        <w:t>发展。同时，公司还积极参与国家精准扶贫工作，力所能及的参与社会公益事业，展现国有企业应有的社</w:t>
      </w:r>
      <w:r>
        <w:rPr>
          <w:spacing w:val="-85"/>
        </w:rPr>
        <w:t> </w:t>
      </w:r>
      <w:r>
        <w:rPr>
          <w:spacing w:val="-85"/>
        </w:rPr>
      </w:r>
      <w:r>
        <w:rPr/>
        <w:t>会担当和责任。</w:t>
      </w:r>
    </w:p>
    <w:p>
      <w:pPr>
        <w:spacing w:line="240" w:lineRule="auto" w:before="8"/>
        <w:rPr>
          <w:rFonts w:ascii="宋体" w:hAnsi="宋体" w:cs="宋体" w:eastAsia="宋体" w:hint="default"/>
          <w:sz w:val="29"/>
          <w:szCs w:val="29"/>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6"/>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4" w:right="0"/>
        <w:jc w:val="left"/>
      </w:pPr>
      <w:r>
        <w:rPr/>
        <w:t>（一）业务独立情况 </w:t>
      </w:r>
      <w:r>
        <w:rPr>
          <w:spacing w:val="-1"/>
        </w:rPr>
        <w:t>报告期内，公司主营业务突出，拥有独立完整的研发、采购、实施和销售业务体系，独立采购所需原</w:t>
      </w:r>
    </w:p>
    <w:p>
      <w:pPr>
        <w:pStyle w:val="BodyText"/>
        <w:spacing w:line="408" w:lineRule="auto" w:before="46"/>
        <w:ind w:right="1133"/>
        <w:jc w:val="both"/>
      </w:pPr>
      <w:r>
        <w:rPr>
          <w:spacing w:val="-1"/>
        </w:rPr>
        <w:t>材料，独立组织项目实施，独立销售产品和提供售后服务。不存在依赖股东及其他关联方的情况，与控股</w:t>
      </w:r>
      <w:r>
        <w:rPr>
          <w:spacing w:val="-86"/>
        </w:rPr>
        <w:t> </w:t>
      </w:r>
      <w:r>
        <w:rPr>
          <w:spacing w:val="-86"/>
        </w:rPr>
      </w:r>
      <w:r>
        <w:rPr/>
        <w:t>股东不存在同业竞争情况。</w:t>
      </w:r>
    </w:p>
    <w:p>
      <w:pPr>
        <w:pStyle w:val="BodyText"/>
        <w:spacing w:line="408" w:lineRule="auto" w:before="46"/>
        <w:ind w:left="574" w:right="0"/>
        <w:jc w:val="left"/>
      </w:pPr>
      <w:r>
        <w:rPr/>
        <w:t>（二）人员独立情况 </w:t>
      </w:r>
      <w:r>
        <w:rPr>
          <w:spacing w:val="-1"/>
        </w:rPr>
        <w:t>公司与全体在册职工分别签订了劳动合同，员工的劳动、人事、工资关系与关联方完全分离；公司总</w:t>
      </w:r>
    </w:p>
    <w:p>
      <w:pPr>
        <w:pStyle w:val="BodyText"/>
        <w:spacing w:line="408" w:lineRule="auto" w:before="46"/>
        <w:ind w:right="1131"/>
        <w:jc w:val="both"/>
      </w:pPr>
      <w:r>
        <w:rPr>
          <w:spacing w:val="-1"/>
        </w:rPr>
        <w:t>经理、副总经理、财务负责人及董事会秘书等高级管理人员均专职在公司工作并领取薪酬，没有在关联方</w:t>
      </w:r>
      <w:r>
        <w:rPr>
          <w:spacing w:val="-83"/>
        </w:rPr>
        <w:t> </w:t>
      </w:r>
      <w:r>
        <w:rPr>
          <w:spacing w:val="-83"/>
        </w:rPr>
      </w:r>
      <w:r>
        <w:rPr>
          <w:spacing w:val="-1"/>
        </w:rPr>
        <w:t>中担任除董事、监事以外的其他职务，没有在关联方领薪；公司的财务人员没有在关联方中兼职。公司董</w:t>
      </w:r>
      <w:r>
        <w:rPr>
          <w:spacing w:val="-86"/>
        </w:rPr>
        <w:t> </w:t>
      </w:r>
      <w:r>
        <w:rPr>
          <w:spacing w:val="-86"/>
        </w:rPr>
      </w:r>
      <w:r>
        <w:rPr>
          <w:spacing w:val="-1"/>
        </w:rPr>
        <w:t>事、监事及高级管理人员的任职，均严格按照《公司法》及其他法律、法规、规范性文件、公司章程规定</w:t>
      </w:r>
      <w:r>
        <w:rPr>
          <w:spacing w:val="-85"/>
        </w:rPr>
        <w:t> </w:t>
      </w:r>
      <w:r>
        <w:rPr>
          <w:spacing w:val="-85"/>
        </w:rPr>
      </w:r>
      <w:r>
        <w:rPr/>
        <w:t>的程序推选和任免，不存在股东超越公司股东大会和董事会作出人事任免决定的情况。</w:t>
      </w:r>
    </w:p>
    <w:p>
      <w:pPr>
        <w:pStyle w:val="BodyText"/>
        <w:spacing w:line="408" w:lineRule="auto" w:before="46"/>
        <w:ind w:left="574" w:right="0"/>
        <w:jc w:val="left"/>
      </w:pPr>
      <w:r>
        <w:rPr/>
        <w:t>（三）</w:t>
      </w:r>
      <w:r>
        <w:rPr>
          <w:spacing w:val="-21"/>
        </w:rPr>
        <w:t> </w:t>
      </w:r>
      <w:r>
        <w:rPr/>
        <w:t>资产独立情况</w:t>
      </w:r>
      <w:r>
        <w:rPr/>
        <w:t> </w:t>
      </w:r>
      <w:r>
        <w:rPr>
          <w:spacing w:val="-1"/>
        </w:rPr>
        <w:t>公司拥有独立完整的采购、实施、销售系统及辅助运营设施，与经营相关的房产等固定资产、土地使</w:t>
      </w:r>
    </w:p>
    <w:p>
      <w:pPr>
        <w:pStyle w:val="BodyText"/>
        <w:spacing w:line="408" w:lineRule="auto" w:before="46"/>
        <w:ind w:right="1133"/>
        <w:jc w:val="both"/>
      </w:pPr>
      <w:r>
        <w:rPr>
          <w:spacing w:val="-1"/>
        </w:rPr>
        <w:t>用权、商标、专利等无形资产的权属均为公司所有，不存在关联方违规占用公司资金、资产和其他资源的</w:t>
      </w:r>
      <w:r>
        <w:rPr>
          <w:spacing w:val="-86"/>
        </w:rPr>
        <w:t> </w:t>
      </w:r>
      <w:r>
        <w:rPr>
          <w:spacing w:val="-86"/>
        </w:rPr>
      </w:r>
      <w:r>
        <w:rPr>
          <w:spacing w:val="-1"/>
        </w:rPr>
        <w:t>情形，不存在以承包、委托经营、租赁或其他类似方式依赖关联方进行经营的情况，与经营有关的业务体</w:t>
      </w:r>
      <w:r>
        <w:rPr>
          <w:spacing w:val="-86"/>
        </w:rPr>
        <w:t> </w:t>
      </w:r>
      <w:r>
        <w:rPr>
          <w:spacing w:val="-86"/>
        </w:rPr>
      </w:r>
      <w:r>
        <w:rPr/>
        <w:t>系及主要相关资产不存在产权界定不清晰的情况。</w:t>
      </w:r>
    </w:p>
    <w:p>
      <w:pPr>
        <w:pStyle w:val="BodyText"/>
        <w:spacing w:line="408" w:lineRule="auto" w:before="46"/>
        <w:ind w:left="574" w:right="0"/>
        <w:jc w:val="left"/>
      </w:pPr>
      <w:r>
        <w:rPr/>
        <w:t>（四）机构独立情况 </w:t>
      </w:r>
      <w:r>
        <w:rPr>
          <w:spacing w:val="-1"/>
        </w:rPr>
        <w:t>公司建立健全了股东大会、董事会、监事会及总经理负责的经理层等机构及相应的三会议事规则和总</w:t>
      </w:r>
    </w:p>
    <w:p>
      <w:pPr>
        <w:pStyle w:val="BodyText"/>
        <w:spacing w:line="408" w:lineRule="auto" w:before="46"/>
        <w:ind w:right="1131"/>
        <w:jc w:val="both"/>
      </w:pPr>
      <w:r>
        <w:rPr>
          <w:spacing w:val="-1"/>
        </w:rPr>
        <w:t>经理工作细则，形成了完善的法人治理结构和规范化的运作体系。根据经营发展需要，发行人建立了符合</w:t>
      </w:r>
      <w:r>
        <w:rPr>
          <w:spacing w:val="-83"/>
        </w:rPr>
        <w:t> </w:t>
      </w:r>
      <w:r>
        <w:rPr>
          <w:spacing w:val="-83"/>
        </w:rPr>
      </w:r>
      <w:r>
        <w:rPr>
          <w:spacing w:val="-1"/>
        </w:rPr>
        <w:t>公司实际情况的各级管理部门等机构，独立行使经营管理职权。发行人的经营和办公场所与控股股东、实</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92"/>
        <w:jc w:val="left"/>
      </w:pPr>
      <w:r>
        <w:rPr/>
        <w:t>际控制人及其控制的其他企业严格分开，不存在与控股股东、实际控制人及其控制的其他企业混合经营、 合署办公的情形，不存在受控股股东及其他任何单位或个人干预的情形。</w:t>
      </w:r>
    </w:p>
    <w:p>
      <w:pPr>
        <w:pStyle w:val="BodyText"/>
        <w:spacing w:line="408" w:lineRule="auto" w:before="46"/>
        <w:ind w:left="574" w:right="0"/>
        <w:jc w:val="left"/>
      </w:pPr>
      <w:r>
        <w:rPr/>
        <w:t>（五）财务独立情况 </w:t>
      </w:r>
      <w:r>
        <w:rPr>
          <w:spacing w:val="-1"/>
        </w:rPr>
        <w:t>公司按照企业会计准则的要求建立了一套独立、完整、规范的财务会计核算体系和财务管理制度，并</w:t>
      </w:r>
    </w:p>
    <w:p>
      <w:pPr>
        <w:pStyle w:val="BodyText"/>
        <w:spacing w:line="408" w:lineRule="auto" w:before="46"/>
        <w:ind w:right="1131"/>
        <w:jc w:val="both"/>
      </w:pPr>
      <w:r>
        <w:rPr>
          <w:spacing w:val="-1"/>
        </w:rPr>
        <w:t>建立了相应的内部控制制度，能根据法律法规及公司《章程》的相关规定并结合自身的情况独立作出财务</w:t>
      </w:r>
      <w:r>
        <w:rPr>
          <w:spacing w:val="-83"/>
        </w:rPr>
        <w:t> </w:t>
      </w:r>
      <w:r>
        <w:rPr>
          <w:spacing w:val="-83"/>
        </w:rPr>
      </w:r>
      <w:r>
        <w:rPr>
          <w:spacing w:val="-1"/>
        </w:rPr>
        <w:t>决策。公司设立了独立的财务部门及内部审计部门，配备了专职财务人员及内审人员；公司在银行单独开</w:t>
      </w:r>
      <w:r>
        <w:rPr>
          <w:spacing w:val="-83"/>
        </w:rPr>
        <w:t> </w:t>
      </w:r>
      <w:r>
        <w:rPr>
          <w:spacing w:val="-83"/>
        </w:rPr>
      </w:r>
      <w:r>
        <w:rPr>
          <w:spacing w:val="-1"/>
        </w:rPr>
        <w:t>立账户，拥有独立的银行账号，不存在与控股股东共用账户的情况。公司作为独立的纳税人，依法独立纳</w:t>
      </w:r>
      <w:r>
        <w:rPr>
          <w:spacing w:val="-86"/>
        </w:rPr>
        <w:t> </w:t>
      </w:r>
      <w:r>
        <w:rPr>
          <w:spacing w:val="-86"/>
        </w:rPr>
      </w:r>
      <w:r>
        <w:rPr/>
        <w:t>税。公司控股股东未以任何形式占用公司货币资金或其他资产。</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9"/>
              <w:jc w:val="both"/>
              <w:rPr>
                <w:rFonts w:ascii="宋体" w:hAnsi="宋体" w:cs="宋体" w:eastAsia="宋体" w:hint="default"/>
                <w:sz w:val="18"/>
                <w:szCs w:val="18"/>
              </w:rPr>
            </w:pPr>
            <w:r>
              <w:rPr>
                <w:rFonts w:ascii="宋体" w:hAnsi="宋体" w:cs="宋体" w:eastAsia="宋体" w:hint="default"/>
                <w:sz w:val="18"/>
                <w:szCs w:val="18"/>
              </w:rPr>
              <w:t>详见中国证监会指 定的创业板信息披 露网站</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）刊登的</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大会决议公告</w:t>
            </w:r>
            <w:r>
              <w:rPr>
                <w:rFonts w:ascii="宋体" w:hAnsi="宋体" w:cs="宋体" w:eastAsia="宋体" w:hint="default"/>
                <w:spacing w:val="1"/>
                <w:sz w:val="18"/>
                <w:szCs w:val="18"/>
              </w:rPr>
              <w:t> </w:t>
            </w:r>
            <w:r>
              <w:rPr>
                <w:rFonts w:ascii="宋体" w:hAnsi="宋体" w:cs="宋体" w:eastAsia="宋体" w:hint="default"/>
                <w:spacing w:val="-58"/>
                <w:sz w:val="18"/>
                <w:szCs w:val="18"/>
              </w:rPr>
              <w:t>》（公</w:t>
            </w:r>
            <w:r>
              <w:rPr>
                <w:rFonts w:ascii="宋体" w:hAnsi="宋体" w:cs="宋体" w:eastAsia="宋体" w:hint="default"/>
                <w:sz w:val="18"/>
                <w:szCs w:val="18"/>
              </w:rPr>
              <w:t> 告编号 </w:t>
            </w:r>
            <w:r>
              <w:rPr>
                <w:rFonts w:ascii="Times New Roman" w:hAnsi="Times New Roman" w:cs="Times New Roman" w:eastAsia="Times New Roman" w:hint="default"/>
                <w:sz w:val="18"/>
                <w:szCs w:val="18"/>
              </w:rPr>
              <w:t>2018-025</w:t>
            </w:r>
            <w:r>
              <w:rPr>
                <w:rFonts w:ascii="宋体" w:hAnsi="宋体" w:cs="宋体" w:eastAsia="宋体" w:hint="default"/>
                <w:sz w:val="18"/>
                <w:szCs w:val="18"/>
              </w:rPr>
              <w:t>）</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59.96%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详见中国证监会指 定的创业板信息披 露网站</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）刊登的</w:t>
            </w:r>
          </w:p>
          <w:p>
            <w:pPr>
              <w:pStyle w:val="TableParagraph"/>
              <w:spacing w:line="312"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临时股东大会决议 公告 </w:t>
            </w:r>
            <w:r>
              <w:rPr>
                <w:rFonts w:ascii="宋体" w:hAnsi="宋体" w:cs="宋体" w:eastAsia="宋体" w:hint="default"/>
                <w:spacing w:val="-15"/>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2018-049</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w:t>
              <w:tab/>
              <w:t>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7"/>
        <w:ind w:right="0"/>
        <w:jc w:val="left"/>
      </w:pPr>
      <w:r>
        <w:rPr/>
        <w:t>报告期内独立董事对公司有关事项未提出异议。</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3"/>
        <w:ind w:right="1023" w:firstLine="420"/>
        <w:jc w:val="left"/>
      </w:pPr>
      <w:r>
        <w:rPr/>
        <w:t>报告期内，公司独立董事能够严格按照《深圳证券交易所创业板上市公司规范运作指引》等法律法规 以及《公司章程》、《独立董事工作制度》等规定，本着对公司、股东负责的态度，忠实、勤勉地履行职 责，按时出席相关会议，认真审议各项议案，客观地发表自己的看法及观点，通过电话、邮件及现场调查 </w:t>
      </w:r>
      <w:r>
        <w:rPr>
          <w:spacing w:val="-3"/>
        </w:rPr>
        <w:t>等形式，与公司其他董事、高级管理人员及相关人员保持沟通，积极了解公司的生产经营情况及财务状况，</w:t>
      </w:r>
      <w:r>
        <w:rPr>
          <w:spacing w:val="-90"/>
        </w:rPr>
        <w:t> </w:t>
      </w:r>
      <w:r>
        <w:rPr>
          <w:spacing w:val="-90"/>
        </w:rPr>
      </w:r>
      <w:r>
        <w:rPr/>
        <w:t>为公司的发展战略、完善公司治理等方面提出了积极建议。对公司定期报告、控股股东及其他关联方资金</w:t>
      </w:r>
      <w:r>
        <w:rPr/>
        <w:t> 占用和对外担保、关联交易等事项发表了独立意见，有效保证了公司董事会决策的公正性和客观性，认真 履行应有的监督职能，维护了公司整体利益和广大中小股东的合法权益，为公司的规范运作和健康发展发 挥了积极作用。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95" w:right="0" w:hanging="190"/>
        <w:jc w:val="left"/>
      </w:pPr>
      <w:r>
        <w:rPr/>
        <w:t>（一）审计委员会的履职情况 </w:t>
      </w:r>
      <w:r>
        <w:rPr>
          <w:spacing w:val="-2"/>
        </w:rPr>
        <w:t>报告期内，根据《审计委员会工作细则》，审计委员会充分发挥了审核与监督作用，主要负责公司财</w:t>
      </w:r>
    </w:p>
    <w:p>
      <w:pPr>
        <w:pStyle w:val="BodyText"/>
        <w:spacing w:line="240" w:lineRule="auto" w:before="46"/>
        <w:ind w:right="0"/>
        <w:jc w:val="left"/>
      </w:pPr>
      <w:r>
        <w:rPr/>
        <w:t>务监督和核查工作及外部审计机构的沟通、协调工作。审计委员会对公司内部控制情况进行了核查，认为</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388" w:lineRule="auto" w:before="35"/>
        <w:ind w:right="1128"/>
        <w:jc w:val="both"/>
      </w:pPr>
      <w:r>
        <w:rPr>
          <w:spacing w:val="-1"/>
        </w:rPr>
        <w:t>公司已经建立的内控制度体系符合相关法规的规定，并能有效控制相关风险。</w:t>
      </w:r>
      <w:r>
        <w:rPr>
          <w:rFonts w:ascii="Times New Roman" w:hAnsi="Times New Roman" w:cs="Times New Roman" w:eastAsia="Times New Roman" w:hint="default"/>
          <w:spacing w:val="-1"/>
        </w:rPr>
        <w:t>2018</w:t>
      </w:r>
      <w:r>
        <w:rPr>
          <w:spacing w:val="-1"/>
        </w:rPr>
        <w:t>年，审计委员会共计召</w:t>
      </w:r>
      <w:r>
        <w:rPr>
          <w:spacing w:val="-82"/>
        </w:rPr>
        <w:t> </w:t>
      </w:r>
      <w:r>
        <w:rPr>
          <w:spacing w:val="-82"/>
        </w:rPr>
      </w:r>
      <w:r>
        <w:rPr/>
        <w:t>开</w:t>
      </w:r>
      <w:r>
        <w:rPr>
          <w:rFonts w:ascii="Times New Roman" w:hAnsi="Times New Roman" w:cs="Times New Roman" w:eastAsia="Times New Roman" w:hint="default"/>
        </w:rPr>
        <w:t>3</w:t>
      </w:r>
      <w:r>
        <w:rPr/>
        <w:t>次会议，对公司《关于</w:t>
      </w:r>
      <w:r>
        <w:rPr>
          <w:rFonts w:ascii="Times New Roman" w:hAnsi="Times New Roman" w:cs="Times New Roman" w:eastAsia="Times New Roman" w:hint="default"/>
        </w:rPr>
        <w:t>2017</w:t>
      </w:r>
      <w:r>
        <w:rPr/>
        <w:t>年度报告全文及摘要的议案》、《关于</w:t>
      </w:r>
      <w:r>
        <w:rPr>
          <w:rFonts w:ascii="Times New Roman" w:hAnsi="Times New Roman" w:cs="Times New Roman" w:eastAsia="Times New Roman" w:hint="default"/>
        </w:rPr>
        <w:t>2017</w:t>
      </w:r>
      <w:r>
        <w:rPr/>
        <w:t>年度内部控制自我评价报告的</w:t>
      </w:r>
      <w:r>
        <w:rPr>
          <w:spacing w:val="-31"/>
        </w:rPr>
        <w:t> </w:t>
      </w:r>
      <w:r>
        <w:rPr>
          <w:spacing w:val="-31"/>
        </w:rPr>
      </w:r>
      <w:r>
        <w:rPr>
          <w:spacing w:val="-1"/>
        </w:rPr>
        <w:t>议案》、《关于</w:t>
      </w:r>
      <w:r>
        <w:rPr>
          <w:rFonts w:ascii="Times New Roman" w:hAnsi="Times New Roman" w:cs="Times New Roman" w:eastAsia="Times New Roman" w:hint="default"/>
          <w:spacing w:val="-1"/>
        </w:rPr>
        <w:t>2017</w:t>
      </w:r>
      <w:r>
        <w:rPr>
          <w:spacing w:val="-1"/>
        </w:rPr>
        <w:t>年度控股股东及其他关联方资金占用情况专项报告的议案》、《关于</w:t>
      </w:r>
      <w:r>
        <w:rPr>
          <w:rFonts w:ascii="Times New Roman" w:hAnsi="Times New Roman" w:cs="Times New Roman" w:eastAsia="Times New Roman" w:hint="default"/>
          <w:spacing w:val="-1"/>
        </w:rPr>
        <w:t>2017</w:t>
      </w:r>
      <w:r>
        <w:rPr>
          <w:spacing w:val="-1"/>
        </w:rPr>
        <w:t>年度募集资</w:t>
      </w:r>
      <w:r>
        <w:rPr>
          <w:spacing w:val="-80"/>
        </w:rPr>
        <w:t> </w:t>
      </w:r>
      <w:r>
        <w:rPr>
          <w:spacing w:val="-1"/>
        </w:rPr>
        <w:t>金存放与使用情况专项报告的议案》、《关于</w:t>
      </w:r>
      <w:r>
        <w:rPr>
          <w:rFonts w:ascii="Times New Roman" w:hAnsi="Times New Roman" w:cs="Times New Roman" w:eastAsia="Times New Roman" w:hint="default"/>
          <w:spacing w:val="-1"/>
        </w:rPr>
        <w:t>2017</w:t>
      </w:r>
      <w:r>
        <w:rPr>
          <w:spacing w:val="-1"/>
        </w:rPr>
        <w:t>年度财务决算报告的议案》、《关于</w:t>
      </w:r>
      <w:r>
        <w:rPr>
          <w:rFonts w:ascii="Times New Roman" w:hAnsi="Times New Roman" w:cs="Times New Roman" w:eastAsia="Times New Roman" w:hint="default"/>
          <w:spacing w:val="-1"/>
        </w:rPr>
        <w:t>2018</w:t>
      </w:r>
      <w:r>
        <w:rPr>
          <w:spacing w:val="-1"/>
        </w:rPr>
        <w:t>年度财务预算</w:t>
      </w:r>
      <w:r>
        <w:rPr>
          <w:spacing w:val="-82"/>
        </w:rPr>
        <w:t> </w:t>
      </w:r>
      <w:r>
        <w:rPr>
          <w:spacing w:val="-82"/>
        </w:rPr>
      </w:r>
      <w:r>
        <w:rPr>
          <w:spacing w:val="-5"/>
        </w:rPr>
        <w:t>方案的议案》、《关于预计</w:t>
      </w:r>
      <w:r>
        <w:rPr>
          <w:rFonts w:ascii="Times New Roman" w:hAnsi="Times New Roman" w:cs="Times New Roman" w:eastAsia="Times New Roman" w:hint="default"/>
          <w:spacing w:val="-5"/>
        </w:rPr>
        <w:t>2018</w:t>
      </w:r>
      <w:r>
        <w:rPr>
          <w:spacing w:val="-5"/>
        </w:rPr>
        <w:t>年度经常性关联交易的议案》、《关于</w:t>
      </w:r>
      <w:r>
        <w:rPr>
          <w:rFonts w:ascii="Times New Roman" w:hAnsi="Times New Roman" w:cs="Times New Roman" w:eastAsia="Times New Roman" w:hint="default"/>
          <w:spacing w:val="-5"/>
        </w:rPr>
        <w:t>2018</w:t>
      </w:r>
      <w:r>
        <w:rPr>
          <w:spacing w:val="-5"/>
        </w:rPr>
        <w:t>年第一季度报告的议案》、《关</w:t>
      </w:r>
      <w:r>
        <w:rPr>
          <w:spacing w:val="-86"/>
        </w:rPr>
        <w:t> </w:t>
      </w:r>
      <w:r>
        <w:rPr>
          <w:spacing w:val="-86"/>
        </w:rPr>
      </w:r>
      <w:r>
        <w:rPr>
          <w:spacing w:val="-1"/>
        </w:rPr>
        <w:t>于</w:t>
      </w:r>
      <w:r>
        <w:rPr>
          <w:rFonts w:ascii="Times New Roman" w:hAnsi="Times New Roman" w:cs="Times New Roman" w:eastAsia="Times New Roman" w:hint="default"/>
          <w:spacing w:val="-1"/>
        </w:rPr>
        <w:t>2018</w:t>
      </w:r>
      <w:r>
        <w:rPr>
          <w:spacing w:val="-1"/>
        </w:rPr>
        <w:t>年半年度报告及其摘要的议案》、《关于更换外部审计机构的议案》、《关于</w:t>
      </w:r>
      <w:r>
        <w:rPr>
          <w:rFonts w:ascii="Times New Roman" w:hAnsi="Times New Roman" w:cs="Times New Roman" w:eastAsia="Times New Roman" w:hint="default"/>
          <w:spacing w:val="-1"/>
        </w:rPr>
        <w:t>2018</w:t>
      </w:r>
      <w:r>
        <w:rPr>
          <w:spacing w:val="-1"/>
        </w:rPr>
        <w:t>年半年度募集资</w:t>
      </w:r>
      <w:r>
        <w:rPr>
          <w:spacing w:val="-82"/>
        </w:rPr>
        <w:t> </w:t>
      </w:r>
      <w:r>
        <w:rPr>
          <w:spacing w:val="-82"/>
        </w:rPr>
      </w:r>
      <w:r>
        <w:rPr>
          <w:spacing w:val="-1"/>
        </w:rPr>
        <w:t>金存放与使用情况专项报告的议案》、《关于使用部分闲置募集资金暂时补充流动资金的议案》、《关于</w:t>
      </w:r>
      <w:r>
        <w:rPr>
          <w:spacing w:val="-83"/>
        </w:rPr>
        <w:t> </w:t>
      </w:r>
      <w:r>
        <w:rPr>
          <w:spacing w:val="-83"/>
        </w:rPr>
      </w:r>
      <w:r>
        <w:rPr>
          <w:rFonts w:ascii="Times New Roman" w:hAnsi="Times New Roman" w:cs="Times New Roman" w:eastAsia="Times New Roman" w:hint="default"/>
        </w:rPr>
        <w:t>2018</w:t>
      </w:r>
      <w:r>
        <w:rPr/>
        <w:t>年三季度报告的议案》共计</w:t>
      </w:r>
      <w:r>
        <w:rPr>
          <w:rFonts w:ascii="Times New Roman" w:hAnsi="Times New Roman" w:cs="Times New Roman" w:eastAsia="Times New Roman" w:hint="default"/>
        </w:rPr>
        <w:t>13</w:t>
      </w:r>
      <w:r>
        <w:rPr/>
        <w:t>项议案进行了审议并提交董事会审议。</w:t>
      </w:r>
    </w:p>
    <w:p>
      <w:pPr>
        <w:pStyle w:val="BodyText"/>
        <w:spacing w:line="408" w:lineRule="auto" w:before="33"/>
        <w:ind w:left="574" w:right="0"/>
        <w:jc w:val="left"/>
      </w:pPr>
      <w:r>
        <w:rPr/>
        <w:t>（二）薪酬与考核委员会的履职情况 </w:t>
      </w:r>
      <w:r>
        <w:rPr>
          <w:spacing w:val="-1"/>
        </w:rPr>
        <w:t>报告期内，公司董事会薪酬与考核委员会依照相关法规及公司《章程》、《薪酬与考核委员会工作细</w:t>
      </w:r>
    </w:p>
    <w:p>
      <w:pPr>
        <w:pStyle w:val="BodyText"/>
        <w:spacing w:line="386" w:lineRule="auto" w:before="46"/>
        <w:ind w:right="1128"/>
        <w:jc w:val="both"/>
      </w:pPr>
      <w:r>
        <w:rPr/>
        <w:t>则》</w:t>
      </w:r>
      <w:r>
        <w:rPr>
          <w:spacing w:val="50"/>
        </w:rPr>
        <w:t> </w:t>
      </w:r>
      <w:r>
        <w:rPr/>
        <w:t>的规定审查了公司董事及高级管理人员的履行职责情况等相关职责。</w:t>
      </w:r>
      <w:r>
        <w:rPr>
          <w:rFonts w:ascii="Times New Roman" w:hAnsi="Times New Roman" w:cs="Times New Roman" w:eastAsia="Times New Roman" w:hint="default"/>
        </w:rPr>
        <w:t>2018</w:t>
      </w:r>
      <w:r>
        <w:rPr/>
        <w:t>年，薪酬与考核委员会共</w:t>
      </w:r>
      <w:r>
        <w:rPr>
          <w:spacing w:val="-87"/>
        </w:rPr>
        <w:t> </w:t>
      </w:r>
      <w:r>
        <w:rPr>
          <w:spacing w:val="-87"/>
        </w:rPr>
      </w:r>
      <w:r>
        <w:rPr/>
        <w:t>召开</w:t>
      </w:r>
      <w:r>
        <w:rPr>
          <w:rFonts w:ascii="Times New Roman" w:hAnsi="Times New Roman" w:cs="Times New Roman" w:eastAsia="Times New Roman" w:hint="default"/>
        </w:rPr>
        <w:t>2</w:t>
      </w:r>
      <w:r>
        <w:rPr/>
        <w:t>次会议，对公司《关于〈高管人员经营业绩考核暂行办法〉的议案》、《关于高级管理人员</w:t>
      </w:r>
      <w:r>
        <w:rPr>
          <w:rFonts w:ascii="Times New Roman" w:hAnsi="Times New Roman" w:cs="Times New Roman" w:eastAsia="Times New Roman" w:hint="default"/>
        </w:rPr>
        <w:t>2017</w:t>
      </w:r>
      <w:r>
        <w:rPr/>
        <w:t>年</w:t>
      </w:r>
      <w:r>
        <w:rPr>
          <w:spacing w:val="-24"/>
        </w:rPr>
        <w:t> </w:t>
      </w:r>
      <w:r>
        <w:rPr/>
        <w:t>度经营业绩考核结果与奖惩的议案》、《关于高级管理人员</w:t>
      </w:r>
      <w:r>
        <w:rPr>
          <w:rFonts w:ascii="Times New Roman" w:hAnsi="Times New Roman" w:cs="Times New Roman" w:eastAsia="Times New Roman" w:hint="default"/>
        </w:rPr>
        <w:t>2018</w:t>
      </w:r>
      <w:r>
        <w:rPr/>
        <w:t>年度经营业绩考核目标的议案》共计</w:t>
      </w:r>
      <w:r>
        <w:rPr>
          <w:rFonts w:ascii="Times New Roman" w:hAnsi="Times New Roman" w:cs="Times New Roman" w:eastAsia="Times New Roman" w:hint="default"/>
        </w:rPr>
        <w:t>3</w:t>
      </w:r>
      <w:r>
        <w:rPr/>
        <w:t>项</w:t>
      </w:r>
      <w:r>
        <w:rPr>
          <w:spacing w:val="-24"/>
        </w:rPr>
        <w:t> </w:t>
      </w:r>
      <w:r>
        <w:rPr/>
        <w:t>议案进行了审议并提交董事会审议。</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8"/>
        <w:ind w:right="0"/>
        <w:jc w:val="both"/>
      </w:pPr>
      <w:r>
        <w:rPr/>
        <w:t>公司监事会对报告期内的监督事项无异议。</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0"/>
        <w:jc w:val="left"/>
      </w:pPr>
      <w:r>
        <w:rPr/>
        <w:t>根据</w:t>
      </w:r>
      <w:r>
        <w:rPr>
          <w:rFonts w:ascii="Times New Roman" w:hAnsi="Times New Roman" w:cs="Times New Roman" w:eastAsia="Times New Roman" w:hint="default"/>
        </w:rPr>
        <w:t>2017</w:t>
      </w:r>
      <w:r>
        <w:rPr/>
        <w:t>年度股东大会审议通过的《高管人员经营业绩考核暂行办法》，对公司高管人员实施年薪制</w:t>
      </w:r>
    </w:p>
    <w:p>
      <w:pPr>
        <w:pStyle w:val="BodyText"/>
        <w:spacing w:line="400" w:lineRule="auto" w:before="177"/>
        <w:ind w:right="1132"/>
        <w:jc w:val="both"/>
      </w:pPr>
      <w:r>
        <w:rPr/>
        <w:t>（公司</w:t>
      </w:r>
      <w:r>
        <w:rPr>
          <w:rFonts w:ascii="Times New Roman" w:hAnsi="Times New Roman" w:cs="Times New Roman" w:eastAsia="Times New Roman" w:hint="default"/>
        </w:rPr>
        <w:t>“</w:t>
      </w:r>
      <w:r>
        <w:rPr/>
        <w:t>高管人员</w:t>
      </w:r>
      <w:r>
        <w:rPr>
          <w:rFonts w:ascii="Times New Roman" w:hAnsi="Times New Roman" w:cs="Times New Roman" w:eastAsia="Times New Roman" w:hint="default"/>
        </w:rPr>
        <w:t>”</w:t>
      </w:r>
      <w:r>
        <w:rPr/>
        <w:t>特指：在本公司支取薪酬的董事（不包括独立董事）、监事会主席、党委书记、党委副 </w:t>
      </w:r>
      <w:r>
        <w:rPr>
          <w:spacing w:val="-1"/>
        </w:rPr>
        <w:t>书记、纪委书记，董事会聘任的总经理、副总经理、董事会秘书、财务负责人及公司章程认定的其他高级</w:t>
      </w:r>
      <w:r>
        <w:rPr>
          <w:spacing w:val="-83"/>
        </w:rPr>
        <w:t> </w:t>
      </w:r>
      <w:r>
        <w:rPr>
          <w:spacing w:val="-83"/>
        </w:rPr>
      </w:r>
      <w:r>
        <w:rPr>
          <w:spacing w:val="-1"/>
        </w:rPr>
        <w:t>管理人员）。上述高管人员经营业绩考核以年度考核为主，辅以任期考核，任期考核以激励为主，考核结</w:t>
      </w:r>
      <w:r>
        <w:rPr>
          <w:spacing w:val="-83"/>
        </w:rPr>
        <w:t> </w:t>
      </w:r>
      <w:r>
        <w:rPr>
          <w:spacing w:val="-83"/>
        </w:rPr>
      </w:r>
      <w:r>
        <w:rPr/>
        <w:t>果与年度薪酬和任期激励挂钩。经营业绩考核工作遵循以下原则：</w:t>
      </w:r>
    </w:p>
    <w:p>
      <w:pPr>
        <w:pStyle w:val="BodyText"/>
        <w:spacing w:line="240" w:lineRule="auto" w:before="52"/>
        <w:ind w:left="574" w:right="0"/>
        <w:jc w:val="left"/>
      </w:pPr>
      <w:r>
        <w:rPr/>
        <w:t>（一）有利于国有资产保值增值和公司价值最大化。</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（二）有利于公司提高战略管理能力和自主创新水平，不断增强公司核心竞争力和可持续发展能力。</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1"/>
        </w:rPr>
        <w:t>（三）有利于推动公司建立健全绩效管理体系，增强公司管控力和执行力，确保国有资产保值增值责</w:t>
      </w:r>
      <w:r>
        <w:rPr/>
        <w:t> 任层层落实。</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r>
        <w:rPr/>
        <w:pict>
          <v:group style="position:absolute;margin-left:383.980011pt;margin-top:675.940002pt;width:149.8pt;height:15.6pt;mso-position-horizontal-relative:page;mso-position-vertical-relative:page;z-index:-903448" coordorigin="7680,13519" coordsize="2996,312">
            <v:shape style="position:absolute;left:7680;top:13519;width:2996;height:312" coordorigin="7680,13519" coordsize="2996,312" path="m7680,13831l10675,13831,10675,13519,7680,13519,7680,13831xe" filled="true" fillcolor="#ffffff" stroked="false">
              <v:path arrowok="t"/>
              <v:fill type="solid"/>
            </v:shape>
            <w10:wrap type="none"/>
          </v:group>
        </w:pict>
      </w:r>
    </w:p>
    <w:p>
      <w:pPr>
        <w:pStyle w:val="BodyText"/>
        <w:spacing w:line="408" w:lineRule="auto" w:before="35"/>
        <w:ind w:left="574" w:right="4452"/>
        <w:jc w:val="left"/>
      </w:pPr>
      <w:r>
        <w:rPr/>
        <w:t>（四）有利于落实公司发展规划，提高考核的针对性和有效性。 上述高管人员年度经营业绩考核程序为：</w:t>
      </w:r>
    </w:p>
    <w:p>
      <w:pPr>
        <w:pStyle w:val="BodyText"/>
        <w:spacing w:line="408" w:lineRule="auto" w:before="46"/>
        <w:ind w:right="1131" w:firstLine="420"/>
        <w:jc w:val="both"/>
      </w:pPr>
      <w:r>
        <w:rPr>
          <w:spacing w:val="-1"/>
        </w:rPr>
        <w:t>（一）在相关董事会会议召开前，董事会薪酬与考核委员会应将审核后的公司年度经营业绩考核结果</w:t>
      </w:r>
      <w:r>
        <w:rPr/>
        <w:t> 提交监事会主席复核，监事会主席在复核后的考核结果书面文件上签字确认。</w:t>
      </w:r>
    </w:p>
    <w:p>
      <w:pPr>
        <w:pStyle w:val="BodyText"/>
        <w:spacing w:line="408" w:lineRule="auto" w:before="46"/>
        <w:ind w:right="1131" w:firstLine="420"/>
        <w:jc w:val="both"/>
      </w:pPr>
      <w:r>
        <w:rPr>
          <w:spacing w:val="-1"/>
        </w:rPr>
        <w:t>（二）董事会薪酬与考核委员会根据考核结果及董事长、总经理的相关奖惩提议，提出正式的考核与</w:t>
      </w:r>
      <w:r>
        <w:rPr/>
        <w:t> 奖惩专项议案提交董事会议审议通过后执行。</w:t>
      </w:r>
    </w:p>
    <w:p>
      <w:pPr>
        <w:pStyle w:val="BodyText"/>
        <w:spacing w:line="398" w:lineRule="auto" w:before="46"/>
        <w:ind w:right="1131" w:firstLine="420"/>
        <w:jc w:val="both"/>
      </w:pPr>
      <w:r>
        <w:rPr>
          <w:spacing w:val="-1"/>
        </w:rPr>
        <w:t>（三）董事会应指定专人将董事会最终审定的考核与奖惩结果反馈给上述高管人员。高管人员对考核</w:t>
      </w:r>
      <w:r>
        <w:rPr/>
        <w:t> </w:t>
      </w:r>
      <w:r>
        <w:rPr>
          <w:spacing w:val="-1"/>
        </w:rPr>
        <w:t>结果有异议的，可在</w:t>
      </w:r>
      <w:r>
        <w:rPr>
          <w:rFonts w:ascii="Times New Roman" w:hAnsi="Times New Roman" w:cs="Times New Roman" w:eastAsia="Times New Roman" w:hint="default"/>
          <w:spacing w:val="-1"/>
        </w:rPr>
        <w:t>10</w:t>
      </w:r>
      <w:r>
        <w:rPr>
          <w:spacing w:val="-1"/>
        </w:rPr>
        <w:t>日内向董事会或监事会书面反映，董事会须根据反映情况或监事会提议及时作出书</w:t>
      </w:r>
      <w:r>
        <w:rPr>
          <w:spacing w:val="-81"/>
        </w:rPr>
        <w:t> </w:t>
      </w:r>
      <w:r>
        <w:rPr>
          <w:spacing w:val="-81"/>
        </w:rPr>
      </w:r>
      <w:r>
        <w:rPr/>
        <w:t>面答复。</w:t>
      </w:r>
    </w:p>
    <w:p>
      <w:pPr>
        <w:pStyle w:val="BodyText"/>
        <w:spacing w:line="398" w:lineRule="auto" w:before="54"/>
        <w:ind w:right="1131" w:firstLine="420"/>
        <w:jc w:val="both"/>
      </w:pPr>
      <w:r>
        <w:rPr>
          <w:spacing w:val="-1"/>
        </w:rPr>
        <w:t>公司自</w:t>
      </w:r>
      <w:r>
        <w:rPr>
          <w:rFonts w:ascii="Times New Roman" w:hAnsi="Times New Roman" w:cs="Times New Roman" w:eastAsia="Times New Roman" w:hint="default"/>
          <w:spacing w:val="-1"/>
        </w:rPr>
        <w:t>2017</w:t>
      </w:r>
      <w:r>
        <w:rPr>
          <w:spacing w:val="-1"/>
        </w:rPr>
        <w:t>年度开始实施全新的《高管人员经营业绩考核暂行办法》，采用定量与定性相结合的方式</w:t>
      </w:r>
      <w:r>
        <w:rPr/>
        <w:t> </w:t>
      </w:r>
      <w:r>
        <w:rPr>
          <w:spacing w:val="-1"/>
        </w:rPr>
        <w:t>进行年度考评，并将其收入与其承担的责任、贡献、经营业绩挂钩，起到了很好的激励效果，较好的促进</w:t>
      </w:r>
      <w:r>
        <w:rPr>
          <w:spacing w:val="-83"/>
        </w:rPr>
        <w:t> </w:t>
      </w:r>
      <w:r>
        <w:rPr>
          <w:spacing w:val="-83"/>
        </w:rPr>
      </w:r>
      <w:r>
        <w:rPr/>
        <w:t>了公司的经营发展和业绩提升。</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2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07"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财务报告内部控制存在重大缺陷的迹象包 括：</w:t>
            </w:r>
            <w:r>
              <w:rPr>
                <w:rFonts w:ascii="Times New Roman" w:hAnsi="Times New Roman" w:cs="Times New Roman" w:eastAsia="Times New Roman" w:hint="default"/>
                <w:sz w:val="18"/>
                <w:szCs w:val="18"/>
              </w:rPr>
              <w:t>a)</w:t>
            </w:r>
            <w:r>
              <w:rPr>
                <w:rFonts w:ascii="宋体" w:hAnsi="宋体" w:cs="宋体" w:eastAsia="宋体" w:hint="default"/>
                <w:sz w:val="18"/>
                <w:szCs w:val="18"/>
              </w:rPr>
              <w:t>公司董事、监事或高级管理人员的 </w:t>
            </w:r>
            <w:r>
              <w:rPr>
                <w:rFonts w:ascii="宋体" w:hAnsi="宋体" w:cs="宋体" w:eastAsia="宋体" w:hint="default"/>
                <w:spacing w:val="-4"/>
                <w:sz w:val="18"/>
                <w:szCs w:val="18"/>
              </w:rPr>
              <w:t>舞弊行为；</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公司更正已公布的财务报告；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c)</w:t>
            </w:r>
            <w:r>
              <w:rPr>
                <w:rFonts w:ascii="宋体" w:hAnsi="宋体" w:cs="宋体" w:eastAsia="宋体" w:hint="default"/>
                <w:sz w:val="18"/>
                <w:szCs w:val="18"/>
              </w:rPr>
              <w:t>公司的内部控制体系未发现当期财务报 告的重大错报；</w:t>
            </w:r>
            <w:r>
              <w:rPr>
                <w:rFonts w:ascii="Times New Roman" w:hAnsi="Times New Roman" w:cs="Times New Roman" w:eastAsia="Times New Roman" w:hint="default"/>
                <w:sz w:val="18"/>
                <w:szCs w:val="18"/>
              </w:rPr>
              <w:t>d)</w:t>
            </w:r>
            <w:r>
              <w:rPr>
                <w:rFonts w:ascii="宋体" w:hAnsi="宋体" w:cs="宋体" w:eastAsia="宋体" w:hint="default"/>
                <w:sz w:val="18"/>
                <w:szCs w:val="18"/>
              </w:rPr>
              <w:t>报</w:t>
            </w:r>
            <w:r>
              <w:rPr>
                <w:rFonts w:ascii="宋体" w:hAnsi="宋体" w:cs="宋体" w:eastAsia="宋体" w:hint="default"/>
                <w:spacing w:val="-18"/>
                <w:sz w:val="18"/>
                <w:szCs w:val="18"/>
              </w:rPr>
              <w:t> </w:t>
            </w:r>
            <w:r>
              <w:rPr>
                <w:rFonts w:ascii="宋体" w:hAnsi="宋体" w:cs="宋体" w:eastAsia="宋体" w:hint="default"/>
                <w:sz w:val="18"/>
                <w:szCs w:val="18"/>
              </w:rPr>
              <w:t>告给管理层、董事会</w:t>
            </w:r>
            <w:r>
              <w:rPr>
                <w:rFonts w:ascii="宋体" w:hAnsi="宋体" w:cs="宋体" w:eastAsia="宋体" w:hint="default"/>
                <w:sz w:val="18"/>
                <w:szCs w:val="18"/>
              </w:rPr>
              <w:t> 的重大缺陷在经过合理的时间后，未加以 改正；</w:t>
            </w:r>
            <w:r>
              <w:rPr>
                <w:rFonts w:ascii="Times New Roman" w:hAnsi="Times New Roman" w:cs="Times New Roman" w:eastAsia="Times New Roman" w:hint="default"/>
                <w:sz w:val="18"/>
                <w:szCs w:val="18"/>
              </w:rPr>
              <w:t>e)</w:t>
            </w:r>
            <w:r>
              <w:rPr>
                <w:rFonts w:ascii="宋体" w:hAnsi="宋体" w:cs="宋体" w:eastAsia="宋体" w:hint="default"/>
                <w:sz w:val="18"/>
                <w:szCs w:val="18"/>
              </w:rPr>
              <w:t>审计委员会和内部审计部对内部</w:t>
            </w:r>
          </w:p>
        </w:tc>
        <w:tc>
          <w:tcPr>
            <w:tcW w:w="3039" w:type="dxa"/>
            <w:vMerge w:val="restart"/>
            <w:tcBorders>
              <w:top w:val="single" w:sz="4" w:space="0" w:color="000000"/>
              <w:left w:val="single" w:sz="9" w:space="0" w:color="FFFFFF"/>
              <w:right w:val="single" w:sz="4" w:space="0" w:color="000000"/>
            </w:tcBorders>
          </w:tcPr>
          <w:p>
            <w:pPr>
              <w:pStyle w:val="TableParagraph"/>
              <w:spacing w:line="302" w:lineRule="auto" w:before="51"/>
              <w:ind w:left="4" w:right="-42"/>
              <w:jc w:val="left"/>
              <w:rPr>
                <w:rFonts w:ascii="宋体" w:hAnsi="宋体" w:cs="宋体" w:eastAsia="宋体" w:hint="default"/>
                <w:sz w:val="18"/>
                <w:szCs w:val="18"/>
              </w:rPr>
            </w:pPr>
            <w:r>
              <w:rPr>
                <w:rFonts w:ascii="宋体" w:hAnsi="宋体" w:cs="宋体" w:eastAsia="宋体" w:hint="default"/>
                <w:sz w:val="18"/>
                <w:szCs w:val="18"/>
              </w:rPr>
              <w:t>非财务报告内部控制存在重大缺陷包 括以下情形：</w:t>
            </w:r>
            <w:r>
              <w:rPr>
                <w:rFonts w:ascii="Times New Roman" w:hAnsi="Times New Roman" w:cs="Times New Roman" w:eastAsia="Times New Roman" w:hint="default"/>
                <w:sz w:val="18"/>
                <w:szCs w:val="18"/>
              </w:rPr>
              <w:t>a)</w:t>
            </w:r>
            <w:r>
              <w:rPr>
                <w:rFonts w:ascii="宋体" w:hAnsi="宋体" w:cs="宋体" w:eastAsia="宋体" w:hint="default"/>
                <w:sz w:val="18"/>
                <w:szCs w:val="18"/>
              </w:rPr>
              <w:t>违反国家法律法规等规 范文件并受到处罚；</w:t>
            </w:r>
            <w:r>
              <w:rPr>
                <w:rFonts w:ascii="Times New Roman" w:hAnsi="Times New Roman" w:cs="Times New Roman" w:eastAsia="Times New Roman" w:hint="default"/>
                <w:sz w:val="18"/>
                <w:szCs w:val="18"/>
              </w:rPr>
              <w:t>b)</w:t>
            </w:r>
            <w:r>
              <w:rPr>
                <w:rFonts w:ascii="宋体" w:hAnsi="宋体" w:cs="宋体" w:eastAsia="宋体" w:hint="default"/>
                <w:sz w:val="18"/>
                <w:szCs w:val="18"/>
              </w:rPr>
              <w:t>重大决策程序不 科学导致重大失误；</w:t>
            </w:r>
            <w:r>
              <w:rPr>
                <w:rFonts w:ascii="Times New Roman" w:hAnsi="Times New Roman" w:cs="Times New Roman" w:eastAsia="Times New Roman" w:hint="default"/>
                <w:sz w:val="18"/>
                <w:szCs w:val="18"/>
              </w:rPr>
              <w:t>c)</w:t>
            </w:r>
            <w:r>
              <w:rPr>
                <w:rFonts w:ascii="宋体" w:hAnsi="宋体" w:cs="宋体" w:eastAsia="宋体" w:hint="default"/>
                <w:sz w:val="18"/>
                <w:szCs w:val="18"/>
              </w:rPr>
              <w:t>重要业务缺乏制 度控制或者制度体系失效；</w:t>
            </w:r>
            <w:r>
              <w:rPr>
                <w:rFonts w:ascii="Times New Roman" w:hAnsi="Times New Roman" w:cs="Times New Roman" w:eastAsia="Times New Roman" w:hint="default"/>
                <w:sz w:val="18"/>
                <w:szCs w:val="18"/>
              </w:rPr>
              <w:t>d)</w:t>
            </w:r>
            <w:r>
              <w:rPr>
                <w:rFonts w:ascii="宋体" w:hAnsi="宋体" w:cs="宋体" w:eastAsia="宋体" w:hint="default"/>
                <w:sz w:val="18"/>
                <w:szCs w:val="18"/>
              </w:rPr>
              <w:t>中高级管 理人员和高级技术人才流失严重；</w:t>
            </w:r>
            <w:r>
              <w:rPr>
                <w:rFonts w:ascii="Times New Roman" w:hAnsi="Times New Roman" w:cs="Times New Roman" w:eastAsia="Times New Roman" w:hint="default"/>
                <w:sz w:val="18"/>
                <w:szCs w:val="18"/>
              </w:rPr>
              <w:t>e)</w:t>
            </w:r>
            <w:r>
              <w:rPr>
                <w:rFonts w:ascii="宋体" w:hAnsi="宋体" w:cs="宋体" w:eastAsia="宋体" w:hint="default"/>
                <w:sz w:val="18"/>
                <w:szCs w:val="18"/>
              </w:rPr>
              <w:t>媒 体频现负面新闻，涉及面广且未消除；</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92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48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控制的监督无效。财务报告内部控制存在 重要缺陷的迹象包括：</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未依照公认会</w:t>
            </w:r>
            <w:r>
              <w:rPr>
                <w:rFonts w:ascii="宋体" w:hAnsi="宋体" w:cs="宋体" w:eastAsia="宋体" w:hint="default"/>
                <w:spacing w:val="-22"/>
                <w:sz w:val="18"/>
                <w:szCs w:val="18"/>
              </w:rPr>
              <w:t> </w:t>
            </w:r>
            <w:r>
              <w:rPr>
                <w:rFonts w:ascii="宋体" w:hAnsi="宋体" w:cs="宋体" w:eastAsia="宋体" w:hint="default"/>
                <w:sz w:val="18"/>
                <w:szCs w:val="18"/>
              </w:rPr>
              <w:t>计</w:t>
            </w:r>
            <w:r>
              <w:rPr>
                <w:rFonts w:ascii="宋体" w:hAnsi="宋体" w:cs="宋体" w:eastAsia="宋体" w:hint="default"/>
                <w:sz w:val="18"/>
                <w:szCs w:val="18"/>
              </w:rPr>
              <w:t> 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 弊</w:t>
            </w:r>
            <w:r>
              <w:rPr>
                <w:rFonts w:ascii="宋体" w:hAnsi="宋体" w:cs="宋体" w:eastAsia="宋体" w:hint="default"/>
                <w:spacing w:val="-22"/>
                <w:sz w:val="18"/>
                <w:szCs w:val="18"/>
              </w:rPr>
              <w:t> </w:t>
            </w:r>
            <w:r>
              <w:rPr>
                <w:rFonts w:ascii="宋体" w:hAnsi="宋体" w:cs="宋体" w:eastAsia="宋体" w:hint="default"/>
                <w:sz w:val="18"/>
                <w:szCs w:val="18"/>
              </w:rPr>
              <w:t>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对于非常规或特殊 交易的账务处理没有建立相应的控制机制 或没有实施且没有相应的补偿性控制；</w:t>
            </w:r>
            <w:r>
              <w:rPr>
                <w:rFonts w:ascii="Times New Roman" w:hAnsi="Times New Roman" w:cs="Times New Roman" w:eastAsia="Times New Roman" w:hint="default"/>
                <w:sz w:val="18"/>
                <w:szCs w:val="18"/>
              </w:rPr>
              <w:t>d) </w:t>
            </w:r>
            <w:r>
              <w:rPr>
                <w:rFonts w:ascii="宋体" w:hAnsi="宋体" w:cs="宋体" w:eastAsia="宋体" w:hint="default"/>
                <w:sz w:val="18"/>
                <w:szCs w:val="18"/>
              </w:rPr>
              <w:t>对于期末财务报告过程的控制存在一项或 多项缺陷且不能合理 保证编制的财务报 </w:t>
            </w:r>
            <w:r>
              <w:rPr>
                <w:rFonts w:ascii="宋体" w:hAnsi="宋体" w:cs="宋体" w:eastAsia="宋体" w:hint="default"/>
                <w:spacing w:val="-3"/>
                <w:sz w:val="18"/>
                <w:szCs w:val="18"/>
              </w:rPr>
              <w:t>表达到真实、完整的目标。</w:t>
            </w:r>
            <w:r>
              <w:rPr>
                <w:rFonts w:ascii="宋体" w:hAnsi="宋体" w:cs="宋体" w:eastAsia="宋体" w:hint="default"/>
                <w:spacing w:val="-28"/>
                <w:sz w:val="18"/>
                <w:szCs w:val="18"/>
              </w:rPr>
              <w:t> </w:t>
            </w:r>
            <w:r>
              <w:rPr>
                <w:rFonts w:ascii="宋体" w:hAnsi="宋体" w:cs="宋体" w:eastAsia="宋体" w:hint="default"/>
                <w:sz w:val="18"/>
                <w:szCs w:val="18"/>
              </w:rPr>
              <w:t>财务报告内部</w:t>
            </w:r>
            <w:r>
              <w:rPr>
                <w:rFonts w:ascii="宋体" w:hAnsi="宋体" w:cs="宋体" w:eastAsia="宋体" w:hint="default"/>
                <w:sz w:val="18"/>
                <w:szCs w:val="18"/>
              </w:rPr>
              <w:t> 控制的一般缺陷是指除上述重大缺陷、重 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内部控制重大缺陷未得到整改。</w:t>
            </w:r>
            <w:r>
              <w:rPr>
                <w:rFonts w:ascii="宋体" w:hAnsi="宋体" w:cs="宋体" w:eastAsia="宋体" w:hint="default"/>
                <w:spacing w:val="-1"/>
                <w:sz w:val="18"/>
                <w:szCs w:val="18"/>
              </w:rPr>
              <w:t> </w:t>
            </w:r>
            <w:r>
              <w:rPr>
                <w:rFonts w:ascii="宋体" w:hAnsi="宋体" w:cs="宋体" w:eastAsia="宋体" w:hint="default"/>
                <w:sz w:val="18"/>
                <w:szCs w:val="18"/>
              </w:rPr>
              <w:t>非</w:t>
            </w:r>
            <w:r>
              <w:rPr>
                <w:rFonts w:ascii="宋体" w:hAnsi="宋体" w:cs="宋体" w:eastAsia="宋体" w:hint="default"/>
                <w:w w:val="99"/>
                <w:sz w:val="18"/>
                <w:szCs w:val="18"/>
              </w:rPr>
              <w:t> </w:t>
            </w:r>
            <w:r>
              <w:rPr>
                <w:rFonts w:ascii="宋体" w:hAnsi="宋体" w:cs="宋体" w:eastAsia="宋体" w:hint="default"/>
                <w:sz w:val="18"/>
                <w:szCs w:val="18"/>
              </w:rPr>
              <w:t>财务报告内部控制存在重要缺陷包括</w:t>
            </w:r>
            <w:r>
              <w:rPr>
                <w:rFonts w:ascii="宋体" w:hAnsi="宋体" w:cs="宋体" w:eastAsia="宋体" w:hint="default"/>
                <w:w w:val="99"/>
                <w:sz w:val="18"/>
                <w:szCs w:val="18"/>
              </w:rPr>
              <w:t> </w:t>
            </w:r>
            <w:r>
              <w:rPr>
                <w:rFonts w:ascii="宋体" w:hAnsi="宋体" w:cs="宋体" w:eastAsia="宋体" w:hint="default"/>
                <w:spacing w:val="-2"/>
                <w:sz w:val="18"/>
                <w:szCs w:val="18"/>
              </w:rPr>
              <w:t>以下情形：</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民主决策程序存在但不够</w:t>
            </w:r>
            <w:r>
              <w:rPr>
                <w:rFonts w:ascii="宋体" w:hAnsi="宋体" w:cs="宋体" w:eastAsia="宋体" w:hint="default"/>
                <w:spacing w:val="-80"/>
                <w:sz w:val="18"/>
                <w:szCs w:val="18"/>
              </w:rPr>
              <w:t> </w:t>
            </w:r>
            <w:r>
              <w:rPr>
                <w:rFonts w:ascii="宋体" w:hAnsi="宋体" w:cs="宋体" w:eastAsia="宋体" w:hint="default"/>
                <w:sz w:val="18"/>
                <w:szCs w:val="18"/>
              </w:rPr>
              <w:t>完善；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决策程序导致出现一般性失</w:t>
            </w:r>
            <w:r>
              <w:rPr>
                <w:rFonts w:ascii="宋体" w:hAnsi="宋体" w:cs="宋体" w:eastAsia="宋体" w:hint="default"/>
                <w:w w:val="99"/>
                <w:sz w:val="18"/>
                <w:szCs w:val="18"/>
              </w:rPr>
              <w:t> </w:t>
            </w:r>
            <w:r>
              <w:rPr>
                <w:rFonts w:ascii="宋体" w:hAnsi="宋体" w:cs="宋体" w:eastAsia="宋体" w:hint="default"/>
                <w:sz w:val="18"/>
                <w:szCs w:val="18"/>
              </w:rPr>
              <w:t>误；</w:t>
            </w:r>
            <w:r>
              <w:rPr>
                <w:rFonts w:ascii="Times New Roman" w:hAnsi="Times New Roman" w:cs="Times New Roman" w:eastAsia="Times New Roman" w:hint="default"/>
                <w:sz w:val="18"/>
                <w:szCs w:val="18"/>
              </w:rPr>
              <w:t>c)</w:t>
            </w:r>
            <w:r>
              <w:rPr>
                <w:rFonts w:ascii="宋体" w:hAnsi="宋体" w:cs="宋体" w:eastAsia="宋体" w:hint="default"/>
                <w:sz w:val="18"/>
                <w:szCs w:val="18"/>
              </w:rPr>
              <w:t>重要业务制度或系统存在缺陷；</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d)</w:t>
            </w:r>
            <w:r>
              <w:rPr>
                <w:rFonts w:ascii="宋体" w:hAnsi="宋体" w:cs="宋体" w:eastAsia="宋体" w:hint="default"/>
                <w:sz w:val="18"/>
                <w:szCs w:val="18"/>
              </w:rPr>
              <w:t>关键岗位业务人员流失严重；</w:t>
            </w:r>
            <w:r>
              <w:rPr>
                <w:rFonts w:ascii="Times New Roman" w:hAnsi="Times New Roman" w:cs="Times New Roman" w:eastAsia="Times New Roman" w:hint="default"/>
                <w:sz w:val="18"/>
                <w:szCs w:val="18"/>
              </w:rPr>
              <w:t>e)</w:t>
            </w:r>
            <w:r>
              <w:rPr>
                <w:rFonts w:ascii="宋体" w:hAnsi="宋体" w:cs="宋体" w:eastAsia="宋体" w:hint="default"/>
                <w:sz w:val="18"/>
                <w:szCs w:val="18"/>
              </w:rPr>
              <w:t>媒体</w:t>
            </w:r>
            <w:r>
              <w:rPr>
                <w:rFonts w:ascii="宋体" w:hAnsi="宋体" w:cs="宋体" w:eastAsia="宋体" w:hint="default"/>
                <w:w w:val="99"/>
                <w:sz w:val="18"/>
                <w:szCs w:val="18"/>
              </w:rPr>
              <w:t> </w:t>
            </w:r>
            <w:r>
              <w:rPr>
                <w:rFonts w:ascii="宋体" w:hAnsi="宋体" w:cs="宋体" w:eastAsia="宋体" w:hint="default"/>
                <w:sz w:val="18"/>
                <w:szCs w:val="18"/>
              </w:rPr>
              <w:t>出现负面新闻，波及局部区域；</w:t>
            </w:r>
            <w:r>
              <w:rPr>
                <w:rFonts w:ascii="Times New Roman" w:hAnsi="Times New Roman" w:cs="Times New Roman" w:eastAsia="Times New Roman" w:hint="default"/>
                <w:sz w:val="18"/>
                <w:szCs w:val="18"/>
              </w:rPr>
              <w:t>f)</w:t>
            </w:r>
            <w:r>
              <w:rPr>
                <w:rFonts w:ascii="宋体" w:hAnsi="宋体" w:cs="宋体" w:eastAsia="宋体" w:hint="default"/>
                <w:sz w:val="18"/>
                <w:szCs w:val="18"/>
              </w:rPr>
              <w:t>内部</w:t>
            </w:r>
            <w:r>
              <w:rPr>
                <w:rFonts w:ascii="宋体" w:hAnsi="宋体" w:cs="宋体" w:eastAsia="宋体" w:hint="default"/>
                <w:w w:val="99"/>
                <w:sz w:val="18"/>
                <w:szCs w:val="18"/>
              </w:rPr>
              <w:t> </w:t>
            </w:r>
            <w:r>
              <w:rPr>
                <w:rFonts w:ascii="宋体" w:hAnsi="宋体" w:cs="宋体" w:eastAsia="宋体" w:hint="default"/>
                <w:spacing w:val="-4"/>
                <w:sz w:val="18"/>
                <w:szCs w:val="18"/>
              </w:rPr>
              <w:t>控制重要或者一般缺陷未得到整改。非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财务报告内部控制的一般缺陷是指除</w:t>
            </w:r>
            <w:r>
              <w:rPr>
                <w:rFonts w:ascii="宋体" w:hAnsi="宋体" w:cs="宋体" w:eastAsia="宋体" w:hint="default"/>
                <w:w w:val="99"/>
                <w:sz w:val="18"/>
                <w:szCs w:val="18"/>
              </w:rPr>
              <w:t> </w:t>
            </w:r>
            <w:r>
              <w:rPr>
                <w:rFonts w:ascii="宋体" w:hAnsi="宋体" w:cs="宋体" w:eastAsia="宋体" w:hint="default"/>
                <w:spacing w:val="-4"/>
                <w:sz w:val="18"/>
                <w:szCs w:val="18"/>
              </w:rPr>
              <w:t>上述重大缺陷、重要缺陷之外的其他控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制缺陷。</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3" w:right="-37"/>
              <w:jc w:val="left"/>
              <w:rPr>
                <w:rFonts w:ascii="宋体" w:hAnsi="宋体" w:cs="宋体" w:eastAsia="宋体" w:hint="default"/>
                <w:sz w:val="18"/>
                <w:szCs w:val="18"/>
              </w:rPr>
            </w:pPr>
            <w:r>
              <w:rPr>
                <w:rFonts w:ascii="宋体" w:hAnsi="宋体" w:cs="宋体" w:eastAsia="宋体" w:hint="default"/>
                <w:sz w:val="18"/>
                <w:szCs w:val="18"/>
              </w:rPr>
              <w:t>重大缺陷：潜在错报金额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×5%</w:t>
            </w:r>
            <w:r>
              <w:rPr>
                <w:rFonts w:ascii="宋体" w:hAnsi="宋体" w:cs="宋体" w:eastAsia="宋体" w:hint="default"/>
                <w:sz w:val="18"/>
                <w:szCs w:val="18"/>
              </w:rPr>
              <w:t>； 重要缺陷：利润总额</w:t>
            </w:r>
            <w:r>
              <w:rPr>
                <w:rFonts w:ascii="Times New Roman" w:hAnsi="Times New Roman" w:cs="Times New Roman" w:eastAsia="Times New Roman" w:hint="default"/>
                <w:sz w:val="18"/>
                <w:szCs w:val="18"/>
              </w:rPr>
              <w:t>×3%</w:t>
            </w:r>
            <w:r>
              <w:rPr>
                <w:rFonts w:ascii="宋体" w:hAnsi="宋体" w:cs="宋体" w:eastAsia="宋体" w:hint="default"/>
                <w:sz w:val="18"/>
                <w:szCs w:val="18"/>
              </w:rPr>
              <w:t>＜潜在错报金额</w:t>
            </w:r>
          </w:p>
          <w:p>
            <w:pPr>
              <w:pStyle w:val="TableParagraph"/>
              <w:spacing w:line="302" w:lineRule="auto" w:before="13"/>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；一般缺陷：潜在错报金 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pStyle w:val="TableParagraph"/>
              <w:spacing w:line="240" w:lineRule="auto" w:before="6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万元；重要缺陷：人民币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w:t>
            </w:r>
          </w:p>
          <w:p>
            <w:pPr>
              <w:pStyle w:val="TableParagraph"/>
              <w:spacing w:line="300" w:lineRule="auto" w:before="63"/>
              <w:ind w:left="16" w:right="21"/>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 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人民币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pacing w:val="-8"/>
                <w:sz w:val="18"/>
                <w:szCs w:val="18"/>
              </w:rPr>
              <w:t>万元；一般缺陷：直接财</w:t>
            </w:r>
            <w:r>
              <w:rPr>
                <w:rFonts w:ascii="宋体" w:hAnsi="宋体" w:cs="宋体" w:eastAsia="宋体" w:hint="default"/>
                <w:spacing w:val="8"/>
                <w:sz w:val="18"/>
                <w:szCs w:val="18"/>
              </w:rPr>
              <w:t> </w:t>
            </w:r>
            <w:r>
              <w:rPr>
                <w:rFonts w:ascii="宋体" w:hAnsi="宋体" w:cs="宋体" w:eastAsia="宋体" w:hint="default"/>
                <w:sz w:val="18"/>
                <w:szCs w:val="18"/>
              </w:rPr>
              <w:t>产损失金额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认为，中科信息公司按照《企业内部控制基本规范》及相关规定于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《内部控制鉴证报告》详风巨潮咨询网（</w:t>
            </w:r>
            <w:r>
              <w:rPr>
                <w:rFonts w:ascii="Times New Roman" w:hAnsi="Times New Roman" w:cs="Times New Roman" w:eastAsia="Times New Roman" w:hint="default"/>
                <w:sz w:val="18"/>
                <w:szCs w:val="18"/>
              </w:rPr>
              <w:t>www.cninfo.cn)</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w:t>
      </w:r>
    </w:p>
    <w:p>
      <w:pPr>
        <w:pStyle w:val="BodyText"/>
        <w:spacing w:line="240" w:lineRule="auto" w:before="90"/>
        <w:ind w:right="0"/>
        <w:jc w:val="left"/>
      </w:pP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[2019]7375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申军、刘浪</w:t>
            </w:r>
          </w:p>
        </w:tc>
      </w:tr>
    </w:tbl>
    <w:p>
      <w:pPr>
        <w:spacing w:before="51"/>
        <w:ind w:left="0" w:right="97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审计报告</w:t>
      </w:r>
    </w:p>
    <w:p>
      <w:pPr>
        <w:spacing w:line="240" w:lineRule="auto" w:before="1"/>
        <w:rPr>
          <w:rFonts w:ascii="宋体" w:hAnsi="宋体" w:cs="宋体" w:eastAsia="宋体" w:hint="default"/>
          <w:sz w:val="12"/>
          <w:szCs w:val="12"/>
        </w:rPr>
      </w:pPr>
    </w:p>
    <w:p>
      <w:pPr>
        <w:pStyle w:val="BodyText"/>
        <w:spacing w:line="240" w:lineRule="auto" w:before="35"/>
        <w:ind w:left="0" w:right="1129"/>
        <w:jc w:val="right"/>
      </w:pPr>
      <w:r>
        <w:rPr/>
        <w:t>天职业字</w:t>
      </w:r>
      <w:r>
        <w:rPr>
          <w:rFonts w:ascii="Times New Roman" w:hAnsi="Times New Roman" w:cs="Times New Roman" w:eastAsia="Times New Roman" w:hint="default"/>
        </w:rPr>
        <w:t>[2019]7375</w:t>
      </w:r>
      <w:r>
        <w:rPr/>
        <w:t>号</w:t>
      </w:r>
    </w:p>
    <w:p>
      <w:pPr>
        <w:spacing w:line="240" w:lineRule="auto" w:before="11"/>
        <w:rPr>
          <w:rFonts w:ascii="宋体" w:hAnsi="宋体" w:cs="宋体" w:eastAsia="宋体" w:hint="default"/>
          <w:sz w:val="10"/>
          <w:szCs w:val="10"/>
        </w:rPr>
      </w:pPr>
    </w:p>
    <w:p>
      <w:pPr>
        <w:pStyle w:val="BodyText"/>
        <w:spacing w:line="240" w:lineRule="auto" w:before="35"/>
        <w:ind w:right="0"/>
        <w:jc w:val="left"/>
      </w:pPr>
      <w:r>
        <w:rPr/>
        <w:t>中科院成都信息技术股份有限公司全体股东：</w:t>
      </w:r>
    </w:p>
    <w:p>
      <w:pPr>
        <w:spacing w:line="240" w:lineRule="auto" w:before="12"/>
        <w:rPr>
          <w:rFonts w:ascii="宋体" w:hAnsi="宋体" w:cs="宋体" w:eastAsia="宋体" w:hint="default"/>
          <w:sz w:val="24"/>
          <w:szCs w:val="24"/>
        </w:rPr>
      </w:pPr>
    </w:p>
    <w:p>
      <w:pPr>
        <w:pStyle w:val="Heading2"/>
        <w:spacing w:line="240" w:lineRule="auto"/>
        <w:ind w:left="636" w:right="0"/>
        <w:jc w:val="left"/>
        <w:rPr>
          <w:b w:val="0"/>
          <w:bCs w:val="0"/>
        </w:rPr>
      </w:pPr>
      <w:r>
        <w:rPr/>
        <w:t>一、审计意见</w:t>
      </w:r>
      <w:r>
        <w:rPr>
          <w:b w:val="0"/>
          <w:bCs w:val="0"/>
        </w:rPr>
      </w:r>
    </w:p>
    <w:p>
      <w:pPr>
        <w:spacing w:line="240" w:lineRule="auto" w:before="6"/>
        <w:rPr>
          <w:rFonts w:ascii="宋体" w:hAnsi="宋体" w:cs="宋体" w:eastAsia="宋体" w:hint="default"/>
          <w:b/>
          <w:bCs/>
          <w:sz w:val="25"/>
          <w:szCs w:val="25"/>
        </w:rPr>
      </w:pPr>
    </w:p>
    <w:p>
      <w:pPr>
        <w:pStyle w:val="BodyText"/>
        <w:spacing w:line="256" w:lineRule="auto"/>
        <w:ind w:right="1129" w:firstLine="420"/>
        <w:jc w:val="both"/>
      </w:pPr>
      <w:r>
        <w:rPr/>
        <w:t>我们审计了中科院成都信息技术股份有限公司（以下简称</w:t>
      </w:r>
      <w:r>
        <w:rPr>
          <w:rFonts w:ascii="Times New Roman" w:hAnsi="Times New Roman" w:cs="Times New Roman" w:eastAsia="Times New Roman" w:hint="default"/>
        </w:rPr>
        <w:t>“</w:t>
      </w:r>
      <w:r>
        <w:rPr/>
        <w:t>中科信息</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1"/>
        </w:rPr>
        <w:t>日的合并及母公司资产负债表，</w:t>
      </w:r>
      <w:r>
        <w:rPr>
          <w:rFonts w:ascii="Times New Roman" w:hAnsi="Times New Roman" w:cs="Times New Roman" w:eastAsia="Times New Roman" w:hint="default"/>
          <w:spacing w:val="-1"/>
        </w:rPr>
        <w:t>2018</w:t>
      </w:r>
      <w:r>
        <w:rPr>
          <w:spacing w:val="-1"/>
        </w:rPr>
        <w:t>年度的合并及母公司利润表、合并及母公司现金流量表、合并及母公</w:t>
      </w:r>
      <w:r>
        <w:rPr>
          <w:spacing w:val="-82"/>
        </w:rPr>
        <w:t> </w:t>
      </w:r>
      <w:r>
        <w:rPr>
          <w:spacing w:val="-82"/>
        </w:rPr>
      </w:r>
      <w:r>
        <w:rPr/>
        <w:t>司股东权益变动表以及相关财务报表附注。</w:t>
      </w:r>
    </w:p>
    <w:p>
      <w:pPr>
        <w:pStyle w:val="BodyText"/>
        <w:spacing w:line="256" w:lineRule="auto" w:before="178"/>
        <w:ind w:right="1130" w:firstLine="420"/>
        <w:jc w:val="both"/>
      </w:pPr>
      <w:r>
        <w:rPr>
          <w:spacing w:val="-1"/>
        </w:rPr>
        <w:t>我们认为，后附的财务报表在所有重大方面按照企业会计准则的规定编制，公允反映了中科信息</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spacing w:line="240" w:lineRule="auto" w:before="6"/>
        <w:rPr>
          <w:rFonts w:ascii="宋体" w:hAnsi="宋体" w:cs="宋体" w:eastAsia="宋体" w:hint="default"/>
          <w:sz w:val="22"/>
          <w:szCs w:val="22"/>
        </w:rPr>
      </w:pPr>
    </w:p>
    <w:p>
      <w:pPr>
        <w:pStyle w:val="Heading2"/>
        <w:spacing w:line="240" w:lineRule="auto"/>
        <w:ind w:left="636" w:right="0"/>
        <w:jc w:val="left"/>
        <w:rPr>
          <w:b w:val="0"/>
          <w:bCs w:val="0"/>
        </w:rPr>
      </w:pPr>
      <w:r>
        <w:rPr/>
        <w:t>二、形成审计意见的基础</w:t>
      </w:r>
      <w:r>
        <w:rPr>
          <w:b w:val="0"/>
          <w:bCs w:val="0"/>
        </w:rPr>
      </w:r>
    </w:p>
    <w:p>
      <w:pPr>
        <w:spacing w:line="240" w:lineRule="auto" w:before="6"/>
        <w:rPr>
          <w:rFonts w:ascii="宋体" w:hAnsi="宋体" w:cs="宋体" w:eastAsia="宋体" w:hint="default"/>
          <w:b/>
          <w:bCs/>
          <w:sz w:val="25"/>
          <w:szCs w:val="25"/>
        </w:rPr>
      </w:pPr>
    </w:p>
    <w:p>
      <w:pPr>
        <w:pStyle w:val="BodyText"/>
        <w:spacing w:line="261" w:lineRule="auto"/>
        <w:ind w:right="1129" w:firstLine="42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部分进一步阐述了我们在这些准则下的责任。按照中国注册会计师职业道德守则，我们独立于中</w:t>
      </w:r>
      <w:r>
        <w:rPr>
          <w:spacing w:val="-25"/>
        </w:rPr>
        <w:t> </w:t>
      </w:r>
      <w:r>
        <w:rPr>
          <w:spacing w:val="-25"/>
        </w:rPr>
      </w:r>
      <w:r>
        <w:rPr>
          <w:spacing w:val="-1"/>
        </w:rPr>
        <w:t>科信息，并履行了职业道德方面的其他责任。我们相信，我们获取的审计证据是充分、适当的，为发表审</w:t>
      </w:r>
      <w:r>
        <w:rPr>
          <w:spacing w:val="-83"/>
        </w:rPr>
        <w:t> </w:t>
      </w:r>
      <w:r>
        <w:rPr>
          <w:spacing w:val="-83"/>
        </w:rPr>
      </w:r>
      <w:r>
        <w:rPr/>
        <w:t>计意见提供了基础。</w:t>
      </w:r>
    </w:p>
    <w:p>
      <w:pPr>
        <w:spacing w:line="240" w:lineRule="auto" w:before="6"/>
        <w:rPr>
          <w:rFonts w:ascii="宋体" w:hAnsi="宋体" w:cs="宋体" w:eastAsia="宋体" w:hint="default"/>
          <w:sz w:val="23"/>
          <w:szCs w:val="23"/>
        </w:rPr>
      </w:pPr>
    </w:p>
    <w:p>
      <w:pPr>
        <w:pStyle w:val="Heading2"/>
        <w:spacing w:line="240" w:lineRule="auto"/>
        <w:ind w:left="636" w:right="0"/>
        <w:jc w:val="left"/>
        <w:rPr>
          <w:b w:val="0"/>
          <w:bCs w:val="0"/>
        </w:rPr>
      </w:pPr>
      <w:r>
        <w:rPr/>
        <w:t>三、关键审计事项</w:t>
      </w:r>
      <w:r>
        <w:rPr>
          <w:b w:val="0"/>
          <w:bCs w:val="0"/>
        </w:rPr>
      </w:r>
    </w:p>
    <w:p>
      <w:pPr>
        <w:spacing w:line="240" w:lineRule="auto" w:before="6"/>
        <w:rPr>
          <w:rFonts w:ascii="宋体" w:hAnsi="宋体" w:cs="宋体" w:eastAsia="宋体" w:hint="default"/>
          <w:b/>
          <w:bCs/>
          <w:sz w:val="25"/>
          <w:szCs w:val="25"/>
        </w:rPr>
      </w:pPr>
    </w:p>
    <w:p>
      <w:pPr>
        <w:pStyle w:val="BodyText"/>
        <w:spacing w:line="273" w:lineRule="auto"/>
        <w:ind w:right="1131" w:firstLine="420"/>
        <w:jc w:val="both"/>
      </w:pPr>
      <w:r>
        <w:rPr>
          <w:spacing w:val="-1"/>
        </w:rPr>
        <w:t>关键审计事项是我们根据职业判断，认为对本期财务报表审计最为重要的事项。这些事项的应对以对</w:t>
      </w:r>
      <w:r>
        <w:rPr/>
        <w:t> 财务报表整体进行审计并形成意见为背景，我们不对这些事项单独发表意见。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审计报告</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pStyle w:val="BodyText"/>
        <w:spacing w:line="240" w:lineRule="auto" w:before="177"/>
        <w:ind w:left="0" w:right="1129"/>
        <w:jc w:val="right"/>
      </w:pPr>
      <w:r>
        <w:rPr/>
        <w:t>天职业字</w:t>
      </w:r>
      <w:r>
        <w:rPr>
          <w:rFonts w:ascii="Times New Roman" w:hAnsi="Times New Roman" w:cs="Times New Roman" w:eastAsia="Times New Roman" w:hint="default"/>
        </w:rPr>
        <w:t>[2019]7375</w:t>
      </w:r>
      <w:r>
        <w:rPr/>
        <w:t>号</w:t>
      </w:r>
    </w:p>
    <w:p>
      <w:pPr>
        <w:spacing w:after="0" w:line="240" w:lineRule="auto"/>
        <w:jc w:val="right"/>
        <w:sectPr>
          <w:pgSz w:w="11910" w:h="16840"/>
          <w:pgMar w:header="877" w:footer="979" w:top="1100" w:bottom="1160" w:left="980" w:right="0"/>
        </w:sectPr>
      </w:pPr>
    </w:p>
    <w:p>
      <w:pPr>
        <w:spacing w:line="240" w:lineRule="auto" w:before="12"/>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4705"/>
        <w:gridCol w:w="4995"/>
      </w:tblGrid>
      <w:tr>
        <w:trPr>
          <w:trHeight w:val="653" w:hRule="exact"/>
        </w:trPr>
        <w:tc>
          <w:tcPr>
            <w:tcW w:w="4705"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995"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68"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38"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77" w:lineRule="exact"/>
              <w:ind w:left="39" w:right="0"/>
              <w:jc w:val="left"/>
              <w:rPr>
                <w:rFonts w:ascii="宋体" w:hAnsi="宋体" w:cs="宋体" w:eastAsia="宋体" w:hint="default"/>
                <w:sz w:val="22"/>
                <w:szCs w:val="22"/>
              </w:rPr>
            </w:pPr>
            <w:r>
              <w:rPr>
                <w:rFonts w:ascii="宋体" w:hAnsi="宋体" w:cs="宋体" w:eastAsia="宋体" w:hint="default"/>
                <w:b/>
                <w:bCs/>
                <w:i/>
                <w:sz w:val="22"/>
                <w:szCs w:val="22"/>
              </w:rPr>
              <w:t>收入确认</w:t>
            </w:r>
            <w:r>
              <w:rPr>
                <w:rFonts w:ascii="宋体" w:hAnsi="宋体" w:cs="宋体" w:eastAsia="宋体" w:hint="default"/>
                <w:sz w:val="22"/>
                <w:szCs w:val="22"/>
              </w:rPr>
            </w:r>
          </w:p>
        </w:tc>
        <w:tc>
          <w:tcPr>
            <w:tcW w:w="4995" w:type="dxa"/>
            <w:tcBorders>
              <w:top w:val="nil" w:sz="6" w:space="0" w:color="auto"/>
              <w:left w:val="nil" w:sz="6" w:space="0" w:color="auto"/>
              <w:bottom w:val="nil" w:sz="6" w:space="0" w:color="auto"/>
              <w:right w:val="nil" w:sz="6" w:space="0" w:color="auto"/>
            </w:tcBorders>
          </w:tcPr>
          <w:p>
            <w:pPr/>
          </w:p>
        </w:tc>
      </w:tr>
      <w:tr>
        <w:trPr>
          <w:trHeight w:val="5419"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73" w:lineRule="auto"/>
              <w:ind w:left="39" w:right="15" w:firstLine="420"/>
              <w:jc w:val="both"/>
              <w:rPr>
                <w:rFonts w:ascii="宋体" w:hAnsi="宋体" w:cs="宋体" w:eastAsia="宋体" w:hint="default"/>
                <w:sz w:val="21"/>
                <w:szCs w:val="21"/>
              </w:rPr>
            </w:pPr>
            <w:r>
              <w:rPr>
                <w:rFonts w:ascii="宋体" w:hAnsi="宋体" w:cs="宋体" w:eastAsia="宋体" w:hint="default"/>
                <w:sz w:val="21"/>
                <w:szCs w:val="21"/>
              </w:rPr>
              <w:t>中科信息营业收入主要包括信息化解决方案、 软件开发收入、服务收入等。</w:t>
            </w:r>
          </w:p>
          <w:p>
            <w:pPr>
              <w:pStyle w:val="TableParagraph"/>
              <w:spacing w:line="240" w:lineRule="auto" w:before="164"/>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年度收入总额</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344,467,451.37</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较</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p>
            <w:pPr>
              <w:pStyle w:val="TableParagraph"/>
              <w:spacing w:line="240" w:lineRule="auto" w:before="21"/>
              <w:ind w:left="39" w:right="0"/>
              <w:jc w:val="left"/>
              <w:rPr>
                <w:rFonts w:ascii="宋体" w:hAnsi="宋体" w:cs="宋体" w:eastAsia="宋体" w:hint="default"/>
                <w:sz w:val="21"/>
                <w:szCs w:val="21"/>
              </w:rPr>
            </w:pPr>
            <w:r>
              <w:rPr>
                <w:rFonts w:ascii="宋体" w:hAnsi="宋体" w:cs="宋体" w:eastAsia="宋体" w:hint="default"/>
                <w:sz w:val="21"/>
                <w:szCs w:val="21"/>
              </w:rPr>
              <w:t>度增长</w:t>
            </w:r>
            <w:r>
              <w:rPr>
                <w:rFonts w:ascii="Times New Roman" w:hAnsi="Times New Roman" w:cs="Times New Roman" w:eastAsia="Times New Roman" w:hint="default"/>
                <w:sz w:val="21"/>
                <w:szCs w:val="21"/>
              </w:rPr>
              <w:t>53,773,125.34</w:t>
            </w:r>
            <w:r>
              <w:rPr>
                <w:rFonts w:ascii="宋体" w:hAnsi="宋体" w:cs="宋体" w:eastAsia="宋体" w:hint="default"/>
                <w:sz w:val="21"/>
                <w:szCs w:val="21"/>
              </w:rPr>
              <w:t>元，增长率</w:t>
            </w:r>
            <w:r>
              <w:rPr>
                <w:rFonts w:ascii="Times New Roman" w:hAnsi="Times New Roman" w:cs="Times New Roman" w:eastAsia="Times New Roman" w:hint="default"/>
                <w:sz w:val="21"/>
                <w:szCs w:val="21"/>
              </w:rPr>
              <w:t>18.50%</w:t>
            </w:r>
            <w:r>
              <w:rPr>
                <w:rFonts w:ascii="宋体" w:hAnsi="宋体" w:cs="宋体" w:eastAsia="宋体" w:hint="default"/>
                <w:sz w:val="21"/>
                <w:szCs w:val="21"/>
              </w:rPr>
              <w:t>。</w:t>
            </w:r>
          </w:p>
          <w:p>
            <w:pPr>
              <w:pStyle w:val="TableParagraph"/>
              <w:spacing w:line="273" w:lineRule="auto" w:before="177"/>
              <w:ind w:left="39" w:right="12" w:firstLine="420"/>
              <w:jc w:val="right"/>
              <w:rPr>
                <w:rFonts w:ascii="宋体" w:hAnsi="宋体" w:cs="宋体" w:eastAsia="宋体" w:hint="default"/>
                <w:sz w:val="21"/>
                <w:szCs w:val="21"/>
              </w:rPr>
            </w:pPr>
            <w:r>
              <w:rPr>
                <w:rFonts w:ascii="宋体" w:hAnsi="宋体" w:cs="宋体" w:eastAsia="宋体" w:hint="default"/>
                <w:sz w:val="21"/>
                <w:szCs w:val="21"/>
              </w:rPr>
              <w:t>其收入增长对中科信息业绩影响重大，收入确 认是否在恰当的财务报表期间可能存在潜在错报，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因此我们将中科信息收入确认作为关键审计事项。</w:t>
            </w:r>
          </w:p>
          <w:p>
            <w:pPr>
              <w:pStyle w:val="TableParagraph"/>
              <w:spacing w:line="273" w:lineRule="auto" w:before="163"/>
              <w:ind w:left="39" w:right="12" w:firstLine="420"/>
              <w:jc w:val="both"/>
              <w:rPr>
                <w:rFonts w:ascii="宋体" w:hAnsi="宋体" w:cs="宋体" w:eastAsia="宋体" w:hint="default"/>
                <w:sz w:val="21"/>
                <w:szCs w:val="21"/>
              </w:rPr>
            </w:pPr>
            <w:r>
              <w:rPr>
                <w:rFonts w:ascii="宋体" w:hAnsi="宋体" w:cs="宋体" w:eastAsia="宋体" w:hint="default"/>
                <w:sz w:val="21"/>
                <w:szCs w:val="21"/>
              </w:rPr>
              <w:t>中科信息收入确认的会计政策和具体方法详见 财务报告附注三、（二十五）所述，关于收入类别</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的披露见附注六、（二十三）。</w:t>
            </w:r>
          </w:p>
        </w:tc>
        <w:tc>
          <w:tcPr>
            <w:tcW w:w="4995" w:type="dxa"/>
            <w:tcBorders>
              <w:top w:val="nil" w:sz="6" w:space="0" w:color="auto"/>
              <w:left w:val="nil" w:sz="6" w:space="0" w:color="auto"/>
              <w:bottom w:val="nil" w:sz="6" w:space="0" w:color="auto"/>
              <w:right w:val="nil" w:sz="6" w:space="0" w:color="auto"/>
            </w:tcBorders>
          </w:tcPr>
          <w:p>
            <w:pPr>
              <w:pStyle w:val="TableParagraph"/>
              <w:spacing w:line="273" w:lineRule="auto"/>
              <w:ind w:left="9" w:right="326" w:firstLine="420"/>
              <w:jc w:val="left"/>
              <w:rPr>
                <w:rFonts w:ascii="宋体" w:hAnsi="宋体" w:cs="宋体" w:eastAsia="宋体" w:hint="default"/>
                <w:sz w:val="21"/>
                <w:szCs w:val="21"/>
              </w:rPr>
            </w:pPr>
            <w:r>
              <w:rPr>
                <w:rFonts w:ascii="宋体" w:hAnsi="宋体" w:cs="宋体" w:eastAsia="宋体" w:hint="default"/>
                <w:sz w:val="21"/>
                <w:szCs w:val="21"/>
              </w:rPr>
              <w:t>针对收入确认的审计，我们主要执行了以下程 序：</w:t>
            </w:r>
          </w:p>
          <w:p>
            <w:pPr>
              <w:pStyle w:val="TableParagraph"/>
              <w:spacing w:line="256" w:lineRule="auto" w:before="164"/>
              <w:ind w:left="9" w:right="326"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）了解有关收入确认的内部控制，并对其是</w:t>
            </w:r>
            <w:r>
              <w:rPr>
                <w:rFonts w:ascii="宋体" w:hAnsi="宋体" w:cs="宋体" w:eastAsia="宋体" w:hint="default"/>
                <w:sz w:val="21"/>
                <w:szCs w:val="21"/>
              </w:rPr>
              <w:t> 否有效运行进行了测试；</w:t>
            </w:r>
          </w:p>
          <w:p>
            <w:pPr>
              <w:pStyle w:val="TableParagraph"/>
              <w:spacing w:line="256" w:lineRule="auto" w:before="178"/>
              <w:ind w:left="9" w:right="326"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）审阅项目合同及与管理层沟通，分析、评</w:t>
            </w:r>
            <w:r>
              <w:rPr>
                <w:rFonts w:ascii="宋体" w:hAnsi="宋体" w:cs="宋体" w:eastAsia="宋体" w:hint="default"/>
                <w:sz w:val="21"/>
                <w:szCs w:val="21"/>
              </w:rPr>
              <w:t> 估收入确认会计政策；</w:t>
            </w:r>
          </w:p>
          <w:p>
            <w:pPr>
              <w:pStyle w:val="TableParagraph"/>
              <w:spacing w:line="266" w:lineRule="auto" w:before="178"/>
              <w:ind w:left="9" w:right="326"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）结合中科信息收入确认会计政策，对主要</w:t>
            </w:r>
            <w:r>
              <w:rPr>
                <w:rFonts w:ascii="宋体" w:hAnsi="宋体" w:cs="宋体" w:eastAsia="宋体" w:hint="default"/>
                <w:sz w:val="21"/>
                <w:szCs w:val="21"/>
              </w:rPr>
              <w:t> 业务的收入确认进行了抽样测试，抽查收入确认是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否有项目完工验收支持或完工移交手续，收入确认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的金额是否与合同金额或项目结算金额一致；</w:t>
            </w:r>
          </w:p>
          <w:p>
            <w:pPr>
              <w:pStyle w:val="TableParagraph"/>
              <w:spacing w:line="256" w:lineRule="auto" w:before="170"/>
              <w:ind w:left="9" w:right="326"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）选取样本执行函证或现场走访程序以检查</w:t>
            </w:r>
            <w:r>
              <w:rPr>
                <w:rFonts w:ascii="宋体" w:hAnsi="宋体" w:cs="宋体" w:eastAsia="宋体" w:hint="default"/>
                <w:sz w:val="21"/>
                <w:szCs w:val="21"/>
              </w:rPr>
              <w:t> 收入的真实性及是否确认在恰当的财务报表期间。</w:t>
            </w:r>
          </w:p>
          <w:p>
            <w:pPr>
              <w:pStyle w:val="TableParagraph"/>
              <w:spacing w:line="264" w:lineRule="auto" w:before="178"/>
              <w:ind w:left="9" w:right="25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）针对资产负债表日前后确认的销售收入， 抽样检查完工验收或完工移交等支持性文件，以检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查是否存在提前确认收入的情况。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35"/>
        <w:ind w:left="294" w:right="0"/>
        <w:jc w:val="left"/>
      </w:pPr>
      <w:r>
        <w:rPr/>
        <w:t>审计报告（续）</w:t>
      </w:r>
    </w:p>
    <w:p>
      <w:pPr>
        <w:spacing w:line="240" w:lineRule="auto" w:before="1"/>
        <w:rPr>
          <w:rFonts w:ascii="宋体" w:hAnsi="宋体" w:cs="宋体" w:eastAsia="宋体" w:hint="default"/>
          <w:sz w:val="12"/>
          <w:szCs w:val="12"/>
        </w:rPr>
      </w:pPr>
    </w:p>
    <w:p>
      <w:pPr>
        <w:pStyle w:val="BodyText"/>
        <w:spacing w:line="240" w:lineRule="auto" w:before="35"/>
        <w:ind w:left="0" w:right="1129"/>
        <w:jc w:val="right"/>
      </w:pPr>
      <w:r>
        <w:rPr/>
        <w:t>天职业字</w:t>
      </w:r>
      <w:r>
        <w:rPr>
          <w:rFonts w:ascii="Times New Roman" w:hAnsi="Times New Roman" w:cs="Times New Roman" w:eastAsia="Times New Roman" w:hint="default"/>
        </w:rPr>
        <w:t>[2019]7375</w:t>
      </w:r>
      <w:r>
        <w:rPr/>
        <w:t>号</w:t>
      </w:r>
    </w:p>
    <w:p>
      <w:pPr>
        <w:spacing w:line="240" w:lineRule="auto" w:before="3"/>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4864"/>
        <w:gridCol w:w="4868"/>
      </w:tblGrid>
      <w:tr>
        <w:trPr>
          <w:trHeight w:val="266"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10" w:lineRule="exact"/>
              <w:ind w:left="188"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868" w:type="dxa"/>
            <w:tcBorders>
              <w:top w:val="nil" w:sz="6" w:space="0" w:color="auto"/>
              <w:left w:val="nil" w:sz="6" w:space="0" w:color="auto"/>
              <w:bottom w:val="nil" w:sz="6" w:space="0" w:color="auto"/>
              <w:right w:val="nil" w:sz="6" w:space="0" w:color="auto"/>
            </w:tcBorders>
          </w:tcPr>
          <w:p>
            <w:pPr>
              <w:pStyle w:val="TableParagraph"/>
              <w:spacing w:line="210" w:lineRule="exact"/>
              <w:ind w:left="969"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38"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77" w:lineRule="exact"/>
              <w:ind w:left="200" w:right="0"/>
              <w:jc w:val="left"/>
              <w:rPr>
                <w:rFonts w:ascii="宋体" w:hAnsi="宋体" w:cs="宋体" w:eastAsia="宋体" w:hint="default"/>
                <w:sz w:val="22"/>
                <w:szCs w:val="22"/>
              </w:rPr>
            </w:pPr>
            <w:r>
              <w:rPr>
                <w:rFonts w:ascii="宋体" w:hAnsi="宋体" w:cs="宋体" w:eastAsia="宋体" w:hint="default"/>
                <w:b/>
                <w:bCs/>
                <w:i/>
                <w:sz w:val="22"/>
                <w:szCs w:val="22"/>
              </w:rPr>
              <w:t>应收账款坏账准备</w:t>
            </w:r>
            <w:r>
              <w:rPr>
                <w:rFonts w:ascii="宋体" w:hAnsi="宋体" w:cs="宋体" w:eastAsia="宋体" w:hint="default"/>
                <w:sz w:val="22"/>
                <w:szCs w:val="22"/>
              </w:rPr>
            </w:r>
          </w:p>
        </w:tc>
        <w:tc>
          <w:tcPr>
            <w:tcW w:w="4868" w:type="dxa"/>
            <w:tcBorders>
              <w:top w:val="nil" w:sz="6" w:space="0" w:color="auto"/>
              <w:left w:val="nil" w:sz="6" w:space="0" w:color="auto"/>
              <w:bottom w:val="nil" w:sz="6" w:space="0" w:color="auto"/>
              <w:right w:val="nil" w:sz="6" w:space="0" w:color="auto"/>
            </w:tcBorders>
          </w:tcPr>
          <w:p>
            <w:pPr/>
          </w:p>
        </w:tc>
      </w:tr>
      <w:tr>
        <w:trPr>
          <w:trHeight w:val="370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56" w:lineRule="auto"/>
              <w:ind w:left="200" w:right="8" w:firstLine="420"/>
              <w:jc w:val="both"/>
              <w:rPr>
                <w:rFonts w:ascii="宋体" w:hAnsi="宋体" w:cs="宋体" w:eastAsia="宋体" w:hint="default"/>
                <w:sz w:val="21"/>
                <w:szCs w:val="21"/>
              </w:rPr>
            </w:pPr>
            <w:r>
              <w:rPr>
                <w:rFonts w:ascii="宋体" w:hAnsi="宋体" w:cs="宋体" w:eastAsia="宋体" w:hint="default"/>
                <w:sz w:val="21"/>
                <w:szCs w:val="21"/>
              </w:rPr>
              <w:t>中科信息截至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日应收账款账面价 值</w:t>
            </w:r>
            <w:r>
              <w:rPr>
                <w:rFonts w:ascii="Times New Roman" w:hAnsi="Times New Roman" w:cs="Times New Roman" w:eastAsia="Times New Roman" w:hint="default"/>
                <w:sz w:val="21"/>
                <w:szCs w:val="21"/>
              </w:rPr>
              <w:t>198,011,739.45</w:t>
            </w:r>
            <w:r>
              <w:rPr>
                <w:rFonts w:ascii="宋体" w:hAnsi="宋体" w:cs="宋体" w:eastAsia="宋体" w:hint="default"/>
                <w:sz w:val="21"/>
                <w:szCs w:val="21"/>
              </w:rPr>
              <w:t>元，占资产总额的</w:t>
            </w:r>
            <w:r>
              <w:rPr>
                <w:rFonts w:ascii="Times New Roman" w:hAnsi="Times New Roman" w:cs="Times New Roman" w:eastAsia="Times New Roman" w:hint="default"/>
                <w:sz w:val="21"/>
                <w:szCs w:val="21"/>
              </w:rPr>
              <w:t>27.09%</w:t>
            </w:r>
            <w:r>
              <w:rPr>
                <w:rFonts w:ascii="宋体" w:hAnsi="宋体" w:cs="宋体" w:eastAsia="宋体" w:hint="default"/>
                <w:sz w:val="21"/>
                <w:szCs w:val="21"/>
              </w:rPr>
              <w:t>。</w:t>
            </w:r>
          </w:p>
          <w:p>
            <w:pPr>
              <w:pStyle w:val="TableParagraph"/>
              <w:spacing w:line="273" w:lineRule="auto" w:before="161"/>
              <w:ind w:left="200" w:right="11" w:firstLine="420"/>
              <w:jc w:val="both"/>
              <w:rPr>
                <w:rFonts w:ascii="宋体" w:hAnsi="宋体" w:cs="宋体" w:eastAsia="宋体" w:hint="default"/>
                <w:sz w:val="21"/>
                <w:szCs w:val="21"/>
              </w:rPr>
            </w:pPr>
            <w:r>
              <w:rPr>
                <w:rFonts w:ascii="宋体" w:hAnsi="宋体" w:cs="宋体" w:eastAsia="宋体" w:hint="default"/>
                <w:sz w:val="21"/>
                <w:szCs w:val="21"/>
              </w:rPr>
              <w:t>中科信息应收款项坏账准备的会计政策和具体 方法详见财务报告附注三、（十一）所述，关于应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收账款坏账准备的披露见附注六、（二）。</w:t>
            </w:r>
          </w:p>
          <w:p>
            <w:pPr>
              <w:pStyle w:val="TableParagraph"/>
              <w:spacing w:line="273" w:lineRule="auto" w:before="163"/>
              <w:ind w:left="200" w:right="11" w:firstLine="420"/>
              <w:jc w:val="both"/>
              <w:rPr>
                <w:rFonts w:ascii="宋体" w:hAnsi="宋体" w:cs="宋体" w:eastAsia="宋体" w:hint="default"/>
                <w:sz w:val="21"/>
                <w:szCs w:val="21"/>
              </w:rPr>
            </w:pPr>
            <w:r>
              <w:rPr>
                <w:rFonts w:ascii="宋体" w:hAnsi="宋体" w:cs="宋体" w:eastAsia="宋体" w:hint="default"/>
                <w:sz w:val="21"/>
                <w:szCs w:val="21"/>
              </w:rPr>
              <w:t>由于应收账款占资产总额的比重较大，应收账 款坏账准备计提是否充分对财务报表的影响较大，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因此我们将中科信息应收账款坏账准备计提作为关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键审计事项。</w:t>
            </w:r>
          </w:p>
        </w:tc>
        <w:tc>
          <w:tcPr>
            <w:tcW w:w="4868" w:type="dxa"/>
            <w:tcBorders>
              <w:top w:val="nil" w:sz="6" w:space="0" w:color="auto"/>
              <w:left w:val="nil" w:sz="6" w:space="0" w:color="auto"/>
              <w:bottom w:val="nil" w:sz="6" w:space="0" w:color="auto"/>
              <w:right w:val="nil" w:sz="6" w:space="0" w:color="auto"/>
            </w:tcBorders>
          </w:tcPr>
          <w:p>
            <w:pPr>
              <w:pStyle w:val="TableParagraph"/>
              <w:spacing w:line="273" w:lineRule="auto"/>
              <w:ind w:left="10" w:right="202" w:firstLine="420"/>
              <w:jc w:val="both"/>
              <w:rPr>
                <w:rFonts w:ascii="宋体" w:hAnsi="宋体" w:cs="宋体" w:eastAsia="宋体" w:hint="default"/>
                <w:sz w:val="21"/>
                <w:szCs w:val="21"/>
              </w:rPr>
            </w:pPr>
            <w:r>
              <w:rPr>
                <w:rFonts w:ascii="宋体" w:hAnsi="宋体" w:cs="宋体" w:eastAsia="宋体" w:hint="default"/>
                <w:sz w:val="21"/>
                <w:szCs w:val="21"/>
              </w:rPr>
              <w:t>针对应收账款坏账准备的审计，我们主要执行 了以下程序：</w:t>
            </w:r>
          </w:p>
          <w:p>
            <w:pPr>
              <w:pStyle w:val="TableParagraph"/>
              <w:spacing w:line="264" w:lineRule="auto" w:before="163"/>
              <w:ind w:left="10" w:right="198"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）根据过往中科信息发生坏账情况、同行业</w:t>
            </w:r>
            <w:r>
              <w:rPr>
                <w:rFonts w:ascii="宋体" w:hAnsi="宋体" w:cs="宋体" w:eastAsia="宋体" w:hint="default"/>
                <w:sz w:val="21"/>
                <w:szCs w:val="21"/>
              </w:rPr>
              <w:t> 企业坏账准备的会计政策，分析、评估中科信息坏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账准备政策的合理性；</w:t>
            </w:r>
          </w:p>
          <w:p>
            <w:pPr>
              <w:pStyle w:val="TableParagraph"/>
              <w:spacing w:line="240" w:lineRule="auto" w:before="172"/>
              <w:ind w:left="4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）分析中科信息客户信誉情况；</w:t>
            </w:r>
          </w:p>
          <w:p>
            <w:pPr>
              <w:pStyle w:val="TableParagraph"/>
              <w:spacing w:line="256" w:lineRule="auto" w:before="177"/>
              <w:ind w:left="10" w:right="203" w:firstLine="420"/>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）检查中科信息应收账款账龄划分是否正</w:t>
            </w:r>
            <w:r>
              <w:rPr>
                <w:rFonts w:ascii="宋体" w:hAnsi="宋体" w:cs="宋体" w:eastAsia="宋体" w:hint="default"/>
                <w:sz w:val="21"/>
                <w:szCs w:val="21"/>
              </w:rPr>
              <w:t> 确；</w:t>
            </w:r>
          </w:p>
          <w:p>
            <w:pPr>
              <w:pStyle w:val="TableParagraph"/>
              <w:spacing w:line="256" w:lineRule="auto" w:before="178"/>
              <w:ind w:left="10" w:right="198"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）复核中科信息坏账准备的计提计算是否正</w:t>
            </w:r>
            <w:r>
              <w:rPr>
                <w:rFonts w:ascii="宋体" w:hAnsi="宋体" w:cs="宋体" w:eastAsia="宋体" w:hint="default"/>
                <w:sz w:val="21"/>
                <w:szCs w:val="21"/>
              </w:rPr>
              <w:t> 确。</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2"/>
        <w:spacing w:line="240" w:lineRule="auto" w:before="26"/>
        <w:ind w:left="776" w:right="0"/>
        <w:jc w:val="left"/>
        <w:rPr>
          <w:b w:val="0"/>
          <w:bCs w:val="0"/>
        </w:rPr>
      </w:pPr>
      <w:r>
        <w:rPr/>
        <w:t>四、其他信息</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714" w:right="0"/>
        <w:jc w:val="left"/>
      </w:pPr>
      <w:r>
        <w:rPr/>
        <w:t>中科信息管理层（以下简称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）对其他信息负责。其他信息包括</w:t>
      </w:r>
      <w:r>
        <w:rPr>
          <w:rFonts w:ascii="Times New Roman" w:hAnsi="Times New Roman" w:cs="Times New Roman" w:eastAsia="Times New Roman" w:hint="default"/>
        </w:rPr>
        <w:t>2018</w:t>
      </w:r>
      <w:r>
        <w:rPr/>
        <w:t>年度报告中涵盖的信息，</w:t>
      </w:r>
    </w:p>
    <w:p>
      <w:pPr>
        <w:spacing w:after="0" w:line="240" w:lineRule="auto"/>
        <w:jc w:val="left"/>
        <w:sectPr>
          <w:pgSz w:w="11910" w:h="16840"/>
          <w:pgMar w:header="877" w:footer="979" w:top="1060" w:bottom="1160" w:left="84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BodyText"/>
        <w:spacing w:line="408" w:lineRule="auto" w:before="35"/>
        <w:ind w:left="574" w:right="0" w:hanging="420"/>
        <w:jc w:val="left"/>
      </w:pPr>
      <w:r>
        <w:rPr/>
        <w:t>但不包括财务报表和我们的审计报告。 我们对财务报表发表的审计意见不涵盖其他信息，我们也不对其他信息发表任何形式的鉴证结论。</w:t>
      </w:r>
    </w:p>
    <w:p>
      <w:pPr>
        <w:pStyle w:val="BodyText"/>
        <w:spacing w:line="273" w:lineRule="auto" w:before="46"/>
        <w:ind w:right="0" w:firstLine="420"/>
        <w:jc w:val="left"/>
      </w:pPr>
      <w:r>
        <w:rPr>
          <w:spacing w:val="-1"/>
        </w:rPr>
        <w:t>结合我们对财务报表的审计，我们的责任是阅读其他信息，在此过程中，考虑其他信息是否与财务报</w:t>
      </w:r>
      <w:r>
        <w:rPr/>
        <w:t> 表或我们在审计过程中了解到的情况存在重大不一致或者似乎存在重大错报。</w:t>
      </w:r>
    </w:p>
    <w:p>
      <w:pPr>
        <w:pStyle w:val="BodyText"/>
        <w:spacing w:line="273" w:lineRule="auto" w:before="163"/>
        <w:ind w:right="0" w:firstLine="420"/>
        <w:jc w:val="left"/>
      </w:pPr>
      <w:r>
        <w:rPr>
          <w:spacing w:val="-1"/>
        </w:rPr>
        <w:t>基于我们已执行的工作，如果我们确定其他信息存在重大错报，我们应当报告该事实。在这方面，我</w:t>
      </w:r>
      <w:r>
        <w:rPr/>
        <w:t> 们无任何事项需要报告。</w:t>
      </w:r>
    </w:p>
    <w:p>
      <w:pPr>
        <w:spacing w:line="240" w:lineRule="auto" w:before="9"/>
        <w:rPr>
          <w:rFonts w:ascii="宋体" w:hAnsi="宋体" w:cs="宋体" w:eastAsia="宋体" w:hint="default"/>
          <w:sz w:val="22"/>
          <w:szCs w:val="22"/>
        </w:rPr>
      </w:pPr>
    </w:p>
    <w:p>
      <w:pPr>
        <w:pStyle w:val="Heading2"/>
        <w:spacing w:line="240" w:lineRule="auto"/>
        <w:ind w:left="636" w:right="0"/>
        <w:jc w:val="left"/>
        <w:rPr>
          <w:b w:val="0"/>
          <w:bCs w:val="0"/>
        </w:rPr>
      </w:pPr>
      <w:r>
        <w:rPr/>
        <w:t>五、管理层和治理层对财务报表的责任</w:t>
      </w:r>
      <w:r>
        <w:rPr>
          <w:b w:val="0"/>
          <w:bCs w:val="0"/>
        </w:rPr>
      </w:r>
    </w:p>
    <w:p>
      <w:pPr>
        <w:spacing w:line="240" w:lineRule="auto" w:before="6"/>
        <w:rPr>
          <w:rFonts w:ascii="宋体" w:hAnsi="宋体" w:cs="宋体" w:eastAsia="宋体" w:hint="default"/>
          <w:b/>
          <w:bCs/>
          <w:sz w:val="25"/>
          <w:szCs w:val="25"/>
        </w:rPr>
      </w:pPr>
    </w:p>
    <w:p>
      <w:pPr>
        <w:pStyle w:val="BodyText"/>
        <w:spacing w:line="273" w:lineRule="auto"/>
        <w:ind w:right="0"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240" w:lineRule="auto" w:before="163"/>
        <w:ind w:right="0"/>
        <w:jc w:val="left"/>
      </w:pPr>
      <w:r>
        <w:rPr/>
        <w:t>审计报告（续）</w:t>
      </w:r>
    </w:p>
    <w:p>
      <w:pPr>
        <w:pStyle w:val="BodyText"/>
        <w:spacing w:line="450" w:lineRule="atLeast" w:before="34"/>
        <w:ind w:left="574" w:right="0" w:firstLine="7189"/>
        <w:jc w:val="left"/>
      </w:pPr>
      <w:r>
        <w:rPr/>
        <w:t>天职业字</w:t>
      </w:r>
      <w:r>
        <w:rPr>
          <w:rFonts w:ascii="Times New Roman" w:hAnsi="Times New Roman" w:cs="Times New Roman" w:eastAsia="Times New Roman" w:hint="default"/>
        </w:rPr>
        <w:t>[2019]7375</w:t>
      </w:r>
      <w:r>
        <w:rPr/>
        <w:t>号 </w:t>
      </w:r>
      <w:r>
        <w:rPr>
          <w:spacing w:val="-8"/>
        </w:rPr>
        <w:t>在编制财务报表时，管理层负责评估中科信息的持续经营能力，披露与持续经营相关的事项（如适用），</w:t>
      </w:r>
    </w:p>
    <w:p>
      <w:pPr>
        <w:pStyle w:val="BodyText"/>
        <w:spacing w:line="408" w:lineRule="auto" w:before="37"/>
        <w:ind w:left="574" w:right="4032" w:hanging="420"/>
        <w:jc w:val="left"/>
      </w:pPr>
      <w:r>
        <w:rPr/>
        <w:t>并运用持续经营假设，除非计划清算、终止运营或别无其他现实的选择。 治理层负责监督中科信息的财务报告过程。</w:t>
      </w:r>
    </w:p>
    <w:p>
      <w:pPr>
        <w:pStyle w:val="Heading2"/>
        <w:spacing w:line="240" w:lineRule="auto" w:before="179"/>
        <w:ind w:left="636" w:right="0"/>
        <w:jc w:val="left"/>
        <w:rPr>
          <w:b w:val="0"/>
          <w:bCs w:val="0"/>
        </w:rPr>
      </w:pPr>
      <w:r>
        <w:rPr/>
        <w:t>六、注册会计师对财务报表审计的责任</w:t>
      </w:r>
      <w:r>
        <w:rPr>
          <w:b w:val="0"/>
          <w:bCs w:val="0"/>
        </w:rPr>
      </w:r>
    </w:p>
    <w:p>
      <w:pPr>
        <w:spacing w:line="240" w:lineRule="auto" w:before="6"/>
        <w:rPr>
          <w:rFonts w:ascii="宋体" w:hAnsi="宋体" w:cs="宋体" w:eastAsia="宋体" w:hint="default"/>
          <w:b/>
          <w:bCs/>
          <w:sz w:val="25"/>
          <w:szCs w:val="25"/>
        </w:rPr>
      </w:pPr>
    </w:p>
    <w:p>
      <w:pPr>
        <w:pStyle w:val="BodyText"/>
        <w:spacing w:line="273" w:lineRule="auto"/>
        <w:ind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before="163"/>
        <w:ind w:right="1118" w:firstLine="420"/>
        <w:jc w:val="left"/>
      </w:pPr>
      <w:r>
        <w:rPr>
          <w:spacing w:val="-1"/>
        </w:rPr>
        <w:t>在按照审计准则执行审计工作的过程中，我们运用了职业判断，并保持职业怀疑。同时，我们也执行</w:t>
      </w:r>
      <w:r>
        <w:rPr/>
        <w:t> 以下工作：</w:t>
      </w:r>
    </w:p>
    <w:p>
      <w:pPr>
        <w:pStyle w:val="BodyText"/>
        <w:spacing w:line="266" w:lineRule="auto" w:before="163"/>
        <w:ind w:right="1023"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56" w:lineRule="auto" w:before="170"/>
        <w:ind w:right="1118" w:firstLine="42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 见。</w:t>
      </w:r>
    </w:p>
    <w:p>
      <w:pPr>
        <w:pStyle w:val="BodyText"/>
        <w:spacing w:line="240" w:lineRule="auto" w:before="178"/>
        <w:ind w:left="57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177"/>
        <w:ind w:right="1131"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）对管理层使用持续经营假设的恰当性得出结论。同时，根据获取的审计证据，就可能导致对中 </w:t>
      </w:r>
      <w:r>
        <w:rPr>
          <w:spacing w:val="-1"/>
        </w:rPr>
        <w:t>科信息持续经营能力产生重大疑虑的事项或情况是否存在重大不确定性得出结论。如果我们得出结论认为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项或情况可能导致中科信息不能持续经营。</w:t>
      </w:r>
    </w:p>
    <w:p>
      <w:pPr>
        <w:pStyle w:val="BodyText"/>
        <w:spacing w:line="240" w:lineRule="auto" w:before="168"/>
        <w:ind w:left="57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和事项。</w:t>
      </w:r>
    </w:p>
    <w:p>
      <w:pPr>
        <w:spacing w:line="240" w:lineRule="auto" w:before="10"/>
        <w:rPr>
          <w:rFonts w:ascii="宋体" w:hAnsi="宋体" w:cs="宋体" w:eastAsia="宋体" w:hint="default"/>
          <w:sz w:val="14"/>
          <w:szCs w:val="14"/>
        </w:rPr>
      </w:pPr>
    </w:p>
    <w:p>
      <w:pPr>
        <w:pStyle w:val="BodyText"/>
        <w:spacing w:line="256" w:lineRule="auto"/>
        <w:ind w:right="1141" w:firstLine="420"/>
        <w:jc w:val="both"/>
      </w:pPr>
      <w:r>
        <w:rPr/>
        <w:t>（</w:t>
      </w:r>
      <w:r>
        <w:rPr>
          <w:rFonts w:ascii="Times New Roman" w:hAnsi="Times New Roman" w:cs="Times New Roman" w:eastAsia="Times New Roman" w:hint="default"/>
        </w:rPr>
        <w:t>6</w:t>
      </w:r>
      <w:r>
        <w:rPr/>
        <w:t>）就中科信息中实体或业务活动的财务信息获取充分、适当的审计证据，以对财务报表发表审计 意见。我们负责指导、监督和执行集团审计，并对审计意见承担全部责任。</w:t>
      </w:r>
    </w:p>
    <w:p>
      <w:pPr>
        <w:pStyle w:val="BodyText"/>
        <w:spacing w:line="240" w:lineRule="auto" w:before="179"/>
        <w:ind w:right="0"/>
        <w:jc w:val="left"/>
      </w:pPr>
      <w:r>
        <w:rPr/>
        <w:t>审计报告（续）</w:t>
      </w:r>
    </w:p>
    <w:p>
      <w:pPr>
        <w:pStyle w:val="BodyText"/>
        <w:spacing w:line="450" w:lineRule="atLeast" w:before="34"/>
        <w:ind w:left="574" w:right="1113" w:firstLine="7189"/>
        <w:jc w:val="left"/>
      </w:pPr>
      <w:r>
        <w:rPr/>
        <w:t>天职业字</w:t>
      </w:r>
      <w:r>
        <w:rPr>
          <w:rFonts w:ascii="Times New Roman" w:hAnsi="Times New Roman" w:cs="Times New Roman" w:eastAsia="Times New Roman" w:hint="default"/>
        </w:rPr>
        <w:t>[2019]7375</w:t>
      </w:r>
      <w:r>
        <w:rPr/>
        <w:t>号 </w:t>
      </w:r>
      <w:r>
        <w:rPr>
          <w:spacing w:val="-1"/>
        </w:rPr>
        <w:t>我们与治理层就计划的审计范围、时间安排和重大审计发现等事项进行沟通，包括沟通我们在审计中</w:t>
      </w:r>
    </w:p>
    <w:p>
      <w:pPr>
        <w:pStyle w:val="BodyText"/>
        <w:spacing w:line="240" w:lineRule="auto" w:before="37"/>
        <w:ind w:right="0"/>
        <w:jc w:val="left"/>
      </w:pPr>
      <w:r>
        <w:rPr/>
        <w:t>识别出的值得关注的内部控制缺陷。</w:t>
      </w:r>
    </w:p>
    <w:p>
      <w:pPr>
        <w:spacing w:line="240" w:lineRule="auto" w:before="10"/>
        <w:rPr>
          <w:rFonts w:ascii="宋体" w:hAnsi="宋体" w:cs="宋体" w:eastAsia="宋体" w:hint="default"/>
          <w:sz w:val="14"/>
          <w:szCs w:val="14"/>
        </w:rPr>
      </w:pPr>
    </w:p>
    <w:p>
      <w:pPr>
        <w:pStyle w:val="BodyText"/>
        <w:spacing w:line="273" w:lineRule="auto"/>
        <w:ind w:right="1132"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273" w:lineRule="auto" w:before="163"/>
        <w:ind w:right="1131" w:firstLine="420"/>
        <w:jc w:val="both"/>
      </w:pPr>
      <w:r>
        <w:rPr/>
        <w:pict>
          <v:group style="position:absolute;margin-left:56.340015pt;margin-top:102.493698pt;width:429.2pt;height:.75pt;mso-position-horizontal-relative:page;mso-position-vertical-relative:paragraph;z-index:-903400" coordorigin="1127,2050" coordsize="8584,15">
            <v:group style="position:absolute;left:1134;top:2057;width:4285;height:2" coordorigin="1134,2057" coordsize="4285,2">
              <v:shape style="position:absolute;left:1134;top:2057;width:4285;height:2" coordorigin="1134,2057" coordsize="4285,0" path="m1134,2057l5419,2057e" filled="false" stroked="true" strokeweight=".71997pt" strokecolor="#000000">
                <v:path arrowok="t"/>
              </v:shape>
            </v:group>
            <v:group style="position:absolute;left:5419;top:2057;width:15;height:2" coordorigin="5419,2057" coordsize="15,2">
              <v:shape style="position:absolute;left:5419;top:2057;width:15;height:2" coordorigin="5419,2057" coordsize="15,0" path="m5419,2057l5433,2057e" filled="false" stroked="true" strokeweight=".71997pt" strokecolor="#000000">
                <v:path arrowok="t"/>
              </v:shape>
            </v:group>
            <v:group style="position:absolute;left:5433;top:2057;width:2306;height:2" coordorigin="5433,2057" coordsize="2306,2">
              <v:shape style="position:absolute;left:5433;top:2057;width:2306;height:2" coordorigin="5433,2057" coordsize="2306,0" path="m5433,2057l7738,2057e" filled="false" stroked="true" strokeweight=".71997pt" strokecolor="#000000">
                <v:path arrowok="t"/>
              </v:shape>
            </v:group>
            <v:group style="position:absolute;left:7738;top:2057;width:15;height:2" coordorigin="7738,2057" coordsize="15,2">
              <v:shape style="position:absolute;left:7738;top:2057;width:15;height:2" coordorigin="7738,2057" coordsize="15,0" path="m7738,2057l7753,2057e" filled="false" stroked="true" strokeweight=".71997pt" strokecolor="#000000">
                <v:path arrowok="t"/>
              </v:shape>
            </v:group>
            <v:group style="position:absolute;left:7753;top:2057;width:1951;height:2" coordorigin="7753,2057" coordsize="1951,2">
              <v:shape style="position:absolute;left:7753;top:2057;width:1951;height:2" coordorigin="7753,2057" coordsize="1951,0" path="m7753,2057l9703,2057e" filled="false" stroked="true" strokeweight=".71997pt" strokecolor="#000000">
                <v:path arrowok="t"/>
              </v:shape>
            </v:group>
            <w10:wrap type="none"/>
          </v:group>
        </w:pict>
      </w:r>
      <w:r>
        <w:rPr>
          <w:spacing w:val="-1"/>
        </w:rPr>
        <w:t>从与治理层沟通过的事项中，我们确定哪些事项对本期合并财务报表审计最为重要，因而构成关键审</w:t>
      </w:r>
      <w:r>
        <w:rPr/>
        <w:t> </w:t>
      </w:r>
      <w:r>
        <w:rPr>
          <w:spacing w:val="-1"/>
        </w:rPr>
        <w:t>计事项。我们在审计报告中描述这些事项，除非法律法规禁止公开披露这些事项，或在极少数情形下，如</w:t>
      </w:r>
      <w:r>
        <w:rPr>
          <w:spacing w:val="-85"/>
        </w:rPr>
        <w:t> </w:t>
      </w:r>
      <w:r>
        <w:rPr>
          <w:spacing w:val="-85"/>
        </w:rPr>
      </w:r>
      <w:r>
        <w:rPr>
          <w:spacing w:val="-1"/>
        </w:rPr>
        <w:t>果合理预期在审计报告中沟通某事项造成的负面后果超过在公众利益方面产生的益处，我们确定不应在审</w:t>
      </w:r>
      <w:r>
        <w:rPr>
          <w:spacing w:val="-81"/>
        </w:rPr>
        <w:t> </w:t>
      </w:r>
      <w:r>
        <w:rPr>
          <w:spacing w:val="-81"/>
        </w:rPr>
      </w:r>
      <w:r>
        <w:rPr/>
        <w:t>计报告中沟通该事项。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tbl>
      <w:tblPr>
        <w:tblW w:w="0" w:type="auto"/>
        <w:jc w:val="left"/>
        <w:tblInd w:w="981" w:type="dxa"/>
        <w:tblLayout w:type="fixed"/>
        <w:tblCellMar>
          <w:top w:w="0" w:type="dxa"/>
          <w:left w:w="0" w:type="dxa"/>
          <w:bottom w:w="0" w:type="dxa"/>
          <w:right w:w="0" w:type="dxa"/>
        </w:tblCellMar>
        <w:tblLook w:val="01E0"/>
      </w:tblPr>
      <w:tblGrid>
        <w:gridCol w:w="3457"/>
        <w:gridCol w:w="2417"/>
        <w:gridCol w:w="1867"/>
      </w:tblGrid>
      <w:tr>
        <w:trPr>
          <w:trHeight w:val="971"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56" w:lineRule="auto" w:before="3"/>
              <w:ind w:left="200" w:right="1029" w:firstLine="658"/>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 二</w:t>
            </w:r>
            <w:r>
              <w:rPr>
                <w:rFonts w:ascii="Times New Roman" w:hAnsi="Times New Roman" w:cs="Times New Roman" w:eastAsia="Times New Roman" w:hint="default"/>
                <w:sz w:val="21"/>
                <w:szCs w:val="21"/>
              </w:rPr>
              <w:t>○</w:t>
            </w:r>
            <w:r>
              <w:rPr>
                <w:rFonts w:ascii="宋体" w:hAnsi="宋体" w:cs="宋体" w:eastAsia="宋体" w:hint="default"/>
                <w:sz w:val="21"/>
                <w:szCs w:val="21"/>
              </w:rPr>
              <w:t>一九年三月二十七日</w:t>
            </w:r>
          </w:p>
        </w:tc>
        <w:tc>
          <w:tcPr>
            <w:tcW w:w="2417"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95"/>
              <w:jc w:val="center"/>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center"/>
              <w:rPr>
                <w:rFonts w:ascii="宋体" w:hAnsi="宋体" w:cs="宋体" w:eastAsia="宋体" w:hint="default"/>
                <w:sz w:val="21"/>
                <w:szCs w:val="21"/>
              </w:rPr>
            </w:pPr>
            <w:r>
              <w:rPr>
                <w:rFonts w:ascii="宋体" w:hAnsi="宋体" w:cs="宋体" w:eastAsia="宋体" w:hint="default"/>
                <w:sz w:val="21"/>
                <w:szCs w:val="21"/>
              </w:rPr>
              <w:t>（项目合伙人）：</w:t>
            </w:r>
          </w:p>
        </w:tc>
        <w:tc>
          <w:tcPr>
            <w:tcW w:w="1867" w:type="dxa"/>
            <w:tcBorders>
              <w:top w:val="nil" w:sz="6" w:space="0" w:color="auto"/>
              <w:left w:val="nil" w:sz="6" w:space="0" w:color="auto"/>
              <w:bottom w:val="single" w:sz="6" w:space="0" w:color="000000"/>
              <w:right w:val="nil" w:sz="6" w:space="0" w:color="auto"/>
            </w:tcBorders>
          </w:tcPr>
          <w:p>
            <w:pPr>
              <w:pStyle w:val="TableParagraph"/>
              <w:spacing w:line="240" w:lineRule="auto" w:before="159"/>
              <w:ind w:right="93"/>
              <w:jc w:val="center"/>
              <w:rPr>
                <w:rFonts w:ascii="宋体" w:hAnsi="宋体" w:cs="宋体" w:eastAsia="宋体" w:hint="default"/>
                <w:sz w:val="21"/>
                <w:szCs w:val="21"/>
              </w:rPr>
            </w:pPr>
            <w:r>
              <w:rPr>
                <w:rFonts w:ascii="宋体" w:hAnsi="宋体" w:cs="宋体" w:eastAsia="宋体" w:hint="default"/>
                <w:sz w:val="21"/>
                <w:szCs w:val="21"/>
              </w:rPr>
              <w:t>申军</w:t>
            </w:r>
          </w:p>
        </w:tc>
      </w:tr>
      <w:tr>
        <w:trPr>
          <w:trHeight w:val="504" w:hRule="exact"/>
        </w:trPr>
        <w:tc>
          <w:tcPr>
            <w:tcW w:w="3457" w:type="dxa"/>
            <w:tcBorders>
              <w:top w:val="nil" w:sz="6" w:space="0" w:color="auto"/>
              <w:left w:val="nil" w:sz="6" w:space="0" w:color="auto"/>
              <w:bottom w:val="nil" w:sz="6" w:space="0" w:color="auto"/>
              <w:right w:val="nil" w:sz="6" w:space="0" w:color="auto"/>
            </w:tcBorders>
          </w:tcPr>
          <w:p>
            <w:pPr/>
          </w:p>
        </w:tc>
        <w:tc>
          <w:tcPr>
            <w:tcW w:w="2417" w:type="dxa"/>
            <w:tcBorders>
              <w:top w:val="single" w:sz="6" w:space="0" w:color="000000"/>
              <w:left w:val="nil" w:sz="6" w:space="0" w:color="auto"/>
              <w:bottom w:val="nil" w:sz="6" w:space="0" w:color="auto"/>
              <w:right w:val="nil" w:sz="6" w:space="0" w:color="auto"/>
            </w:tcBorders>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1867" w:type="dxa"/>
            <w:tcBorders>
              <w:top w:val="single" w:sz="6" w:space="0" w:color="000000"/>
              <w:left w:val="nil" w:sz="6" w:space="0" w:color="auto"/>
              <w:bottom w:val="nil" w:sz="6" w:space="0" w:color="auto"/>
              <w:right w:val="nil" w:sz="6" w:space="0" w:color="auto"/>
            </w:tcBorders>
          </w:tcPr>
          <w:p>
            <w:pPr>
              <w:pStyle w:val="TableParagraph"/>
              <w:spacing w:line="240" w:lineRule="auto" w:before="152"/>
              <w:ind w:left="417" w:right="0"/>
              <w:jc w:val="left"/>
              <w:rPr>
                <w:rFonts w:ascii="宋体" w:hAnsi="宋体" w:cs="宋体" w:eastAsia="宋体" w:hint="default"/>
                <w:sz w:val="21"/>
                <w:szCs w:val="21"/>
              </w:rPr>
            </w:pPr>
            <w:r>
              <w:rPr>
                <w:rFonts w:ascii="宋体" w:hAnsi="宋体" w:cs="宋体" w:eastAsia="宋体" w:hint="default"/>
                <w:sz w:val="21"/>
                <w:szCs w:val="21"/>
              </w:rPr>
              <w:t>刘浪</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before="26"/>
        <w:ind w:right="0"/>
        <w:jc w:val="left"/>
        <w:rPr>
          <w:b w:val="0"/>
          <w:bCs w:val="0"/>
        </w:rPr>
      </w:pPr>
      <w:r>
        <w:rPr/>
        <w:pict>
          <v:group style="position:absolute;margin-left:56.34pt;margin-top:-28.18438pt;width:429.2pt;height:.75pt;mso-position-horizontal-relative:page;mso-position-vertical-relative:paragraph;z-index:-903376" coordorigin="1127,-564" coordsize="8584,15">
            <v:group style="position:absolute;left:1134;top:-556;width:4285;height:2" coordorigin="1134,-556" coordsize="4285,2">
              <v:shape style="position:absolute;left:1134;top:-556;width:4285;height:2" coordorigin="1134,-556" coordsize="4285,0" path="m1134,-556l5419,-556e" filled="false" stroked="true" strokeweight=".72pt" strokecolor="#000000">
                <v:path arrowok="t"/>
              </v:shape>
            </v:group>
            <v:group style="position:absolute;left:5419;top:-556;width:15;height:2" coordorigin="5419,-556" coordsize="15,2">
              <v:shape style="position:absolute;left:5419;top:-556;width:15;height:2" coordorigin="5419,-556" coordsize="15,0" path="m5419,-556l5433,-556e" filled="false" stroked="true" strokeweight=".72pt" strokecolor="#000000">
                <v:path arrowok="t"/>
              </v:shape>
            </v:group>
            <v:group style="position:absolute;left:5433;top:-556;width:2306;height:2" coordorigin="5433,-556" coordsize="2306,2">
              <v:shape style="position:absolute;left:5433;top:-556;width:2306;height:2" coordorigin="5433,-556" coordsize="2306,0" path="m5433,-556l7738,-556e" filled="false" stroked="true" strokeweight=".72pt" strokecolor="#000000">
                <v:path arrowok="t"/>
              </v:shape>
            </v:group>
            <v:group style="position:absolute;left:7738;top:-556;width:15;height:2" coordorigin="7738,-556" coordsize="15,2">
              <v:shape style="position:absolute;left:7738;top:-556;width:15;height:2" coordorigin="7738,-556" coordsize="15,0" path="m7738,-556l7753,-556e" filled="false" stroked="true" strokeweight=".72pt" strokecolor="#000000">
                <v:path arrowok="t"/>
              </v:shape>
            </v:group>
            <v:group style="position:absolute;left:7753;top:-556;width:1951;height:2" coordorigin="7753,-556" coordsize="1951,2">
              <v:shape style="position:absolute;left:7753;top:-556;width:1951;height:2" coordorigin="7753,-556" coordsize="1951,0" path="m7753,-556l9703,-556e" filled="false" stroked="true" strokeweight=".72pt" strokecolor="#000000">
                <v:path arrowok="t"/>
              </v:shape>
            </v:group>
            <w10:wrap type="none"/>
          </v:group>
        </w:pict>
      </w: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编制单位：中科院成都信息技术股份有限公司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49" w:right="0"/>
              <w:jc w:val="left"/>
              <w:rPr>
                <w:rFonts w:ascii="Times New Roman" w:hAnsi="Times New Roman" w:cs="Times New Roman" w:eastAsia="Times New Roman" w:hint="default"/>
                <w:sz w:val="18"/>
                <w:szCs w:val="18"/>
              </w:rPr>
            </w:pPr>
            <w:r>
              <w:rPr>
                <w:rFonts w:ascii="Times New Roman"/>
                <w:sz w:val="18"/>
              </w:rPr>
              <w:t>229,472,552.41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1" w:right="0"/>
              <w:jc w:val="left"/>
              <w:rPr>
                <w:rFonts w:ascii="Times New Roman" w:hAnsi="Times New Roman" w:cs="Times New Roman" w:eastAsia="Times New Roman" w:hint="default"/>
                <w:sz w:val="18"/>
                <w:szCs w:val="18"/>
              </w:rPr>
            </w:pPr>
            <w:r>
              <w:rPr>
                <w:rFonts w:ascii="Times New Roman"/>
                <w:sz w:val="18"/>
              </w:rPr>
              <w:t>275,527,533.50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204,044,257.85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179,255,449.32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6,032,518.40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10,133,470.69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198,011,739.45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169,121,978.63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12,448,423.28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6,156,732.00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34,283,665.59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28,890,720.08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939,791.67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1,186,208.33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72,177,940.37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64,222,820.55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40,112,536.84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150,709.33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592,539,376.34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554,203,964.78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100,606,192.81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99,033,833.81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20,418,580.19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20,948,707.88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7,644,082.99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7,637,625.10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9,821,660.39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7,263,511.74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138,490,516.38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134,883,678.53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731,029,892.72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689,087,643.31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65,061,143.79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56,430,647.10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29,615,949.11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41,537,998.23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7,922,844.87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6,663,986.45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28,245,468.50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28,686,121.81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25,373,622.87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25,814,686.12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378.83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156,219,029.14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159,133,439.71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8,434,320.11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4,866,406.09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8,754,320.11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5,186,406.09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164,973,349.25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164,319,845.80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178,367,745.82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258,367,745.82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31,629,106.37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27,733,726.20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176,649,316.20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138,737,496.62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566,646,168.39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524,838,968.64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-589,624.92</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-71,171.13</w:t>
            </w:r>
            <w:r>
              <w:rPr>
                <w:rFonts w:ascii="Times New Roman"/>
                <w:sz w:val="18"/>
              </w:rPr>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566,056,543.47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524,767,797.51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731,029,892.72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689,087,643.31</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法定代表人：王晓宇</w:t>
        <w:tab/>
        <w:t>主管会计工作负责人：刘小兵</w:t>
        <w:tab/>
        <w:t>会计机构负责人：彭庶星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210,578,740.64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257,783,242.06</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179,821,862.96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177,274,101.03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3,817,518.40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10,133,470.69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176,004,344.56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167,140,630.34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23,991,041.38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5,913,107.00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39,710,428.17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36,757,716.38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939,791.67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1,186,208.33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60,281,697.48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61,986,612.14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554,383,770.63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539,714,778.61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112,314,192.81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109,241,833.81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18,273,969.05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18,925,793.12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7,574,610.96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7,544,481.27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9,253,808.84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6,876,034.27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147,416,581.66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142,588,142.47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701,800,352.29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682,302,921.08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61,344,506.41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68,586,520.92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28,263,841.97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39,856,514.70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5,020,436.24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3,615,395.73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22,174,776.88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23,044,527.12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24,942,610.94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24,619,943.40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378.83</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141,746,172.44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159,722,901.87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7,130,324.72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3,609,965.76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7,450,324.72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3,929,965.76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149,196,497.16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163,652,867.63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178,845,571.61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258,845,571.61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31,629,106.37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27,733,726.20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162,129,177.15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132,070,755.64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552,603,855.13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518,650,053.45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701,800,352.29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8" w:right="0"/>
              <w:jc w:val="left"/>
              <w:rPr>
                <w:rFonts w:ascii="Times New Roman" w:hAnsi="Times New Roman" w:cs="Times New Roman" w:eastAsia="Times New Roman" w:hint="default"/>
                <w:sz w:val="18"/>
                <w:szCs w:val="18"/>
              </w:rPr>
            </w:pPr>
            <w:r>
              <w:rPr>
                <w:rFonts w:ascii="Times New Roman"/>
                <w:sz w:val="18"/>
              </w:rPr>
              <w:t>682,302,921.08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344,467,451.37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290,694,326.03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344,467,451.37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290,694,326.03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317,160,266.07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261,427,679.63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240,285,638.36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189,142,666.83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1,872,711.27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1,460,192.65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26,935,419.00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26,767,370.71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21,417,556.65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20,775,198.00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17,515,831.67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12,946,436.26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-4,542,056.87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-1,680,146.88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4,590,841.70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1,710,355.84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13,675,165.99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12,015,962.06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18,579,485.98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6,310,667.22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5,939,489.83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5,572,359.00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5,939,489.83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52,197,338.50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40,204,096.23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9,696,950.28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965,184.72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52,248,994.47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48,935,861.79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5,960,248.51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6,523,498.49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46,288,745.96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42,412,363.30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46,288,745.96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42,412,363.30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46,807,199.75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42,536,330.87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-518,453.79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-123,967.57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46,288,745.96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42,412,363.30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46,807,199.75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42,536,330.87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-518,453.79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-123,967.57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0.2767</w:t>
            </w:r>
          </w:p>
        </w:tc>
      </w:tr>
    </w:tbl>
    <w:p>
      <w:pPr>
        <w:tabs>
          <w:tab w:pos="3574" w:val="left" w:leader="none"/>
          <w:tab w:pos="7715" w:val="left" w:leader="none"/>
        </w:tabs>
        <w:spacing w:line="592" w:lineRule="auto" w:before="51"/>
        <w:ind w:left="154"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法定代表人：王晓宇</w:t>
        <w:tab/>
        <w:t>主管会计工作负责人：刘小兵</w:t>
        <w:tab/>
        <w:t>会计机构负责人：彭庶星 </w:t>
      </w:r>
      <w:bookmarkStart w:name="4、母公司利润表" w:id="161"/>
      <w:bookmarkEnd w:id="16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287,243,412.73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268,409,526.69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205,776,730.18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184,095,354.51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1,623,050.80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1,355,725.01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20,647,972.93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24,539,888.16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15,869,943.35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15,949,656.41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12,034,601.62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10,265,157.06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-4,528,838.20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-1,654,093.18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4,569,768.76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1,680,916.14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12,331,471.54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11,906,186.09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14,177,041.04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6,310,667.22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5,939,489.83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5,572,359.00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5,939,489.83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-2,040.00</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43,976,188.77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32,889,102.46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4,633,390.61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2,613.70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43,976,188.77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37,519,879.37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5,022,387.09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3,654,332.31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38,953,801.68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33,865,547.06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38,953,801.68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33,865,547.06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38,953,801.68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33,865,547.06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323,831,895.97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262,202,280.78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25,470,333.83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19,533,777.61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349,302,229.80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281,736,058.39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230,045,964.94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158,815,817.09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54,118,728.80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51,557,450.51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18,522,153.55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17,106,867.68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59,348,307.90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42,203,596.37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362,035,155.19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269,683,731.65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-12,732,925.39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12,052,326.74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130,051,474.88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134,051,674.88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1,815,690.24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2,257,301.63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131,815,690.24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147,257,301.63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2,235,984.64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-143,157,201.63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4,999,621.17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4,999,621.17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-4,999,621.17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148,175,000.00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-15,496,561.92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17,070,125.11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123,862,450.27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106,792,325.16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108,365,888.35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123,862,450.27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282,043,389.45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237,848,920.26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20,209,238.67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13,312,263.13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302,252,628.12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251,161,183.39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224,039,914.61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164,113,821.48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30,824,929.99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29,379,845.94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14,218,456.81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14,526,182.79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46,220,833.20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40,837,608.68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315,304,134.61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248,857,458.89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-13,051,506.49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2,303,724.50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130,051,474.88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134,051,474.88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4,100,100.00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1,146,429.47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750,363.43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132,646,429.47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149,250,363.43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1,405,045.41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-145,150,263.43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157,550,000.00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4,999,621.17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4,999,621.17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-4,999,621.17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148,175,000.00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-16,646,082.25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5,328,461.07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106,118,158.83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100,789,697.76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89,472,076.58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106,118,158.83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258,367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,745.82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27,733,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726.20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138,737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,496.62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-71,171.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524,767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,797.51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258,367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,745.82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27,733,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726.20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138,737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,496.62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-71,171.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524,767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,797.51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80.17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37,911,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819.58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-518,45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41,288,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745.96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46,807,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199.75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-518,45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46,288,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745.96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80.17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-8,895,3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80.17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80.17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80.17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178,367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,745.82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31,629,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106.37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176,649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,316.20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-589,62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566,056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,543.47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125,817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,745.82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356.98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110,816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,534.97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334,180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,434.21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125,817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,745.82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356.98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110,816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,534.97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334,180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,434.21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132,550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5,240,3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27,920,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961.65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190,587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,363.30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42,536,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330.87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42,412,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363.30</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132,550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157,550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132,550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157,550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5,240,3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-14,615,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369.22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5,240,3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-5,240,3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69.22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258,367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,745.82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27,733,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726.20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138,737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,496.62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-71,171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524,767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,797.51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258,845,5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71.61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27,733,72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132,070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,755.64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518,650,0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53.45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258,845,5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71.61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27,733,72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132,070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,755.64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518,650,0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53.45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3,895,380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30,058,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421.51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33,953,80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1.68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801.68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38,953,80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1.68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3,895,380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-8,895,3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80.17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3,895,380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80.17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178,845,5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71.61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31,629,10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162,129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,177.15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552,603,8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126,295,5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71.61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22,493,35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6.98</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64" w:right="0"/>
              <w:jc w:val="left"/>
              <w:rPr>
                <w:rFonts w:ascii="Times New Roman" w:hAnsi="Times New Roman" w:cs="Times New Roman" w:eastAsia="Times New Roman" w:hint="default"/>
                <w:sz w:val="18"/>
                <w:szCs w:val="18"/>
              </w:rPr>
            </w:pPr>
            <w:r>
              <w:rPr>
                <w:rFonts w:ascii="Times New Roman"/>
                <w:sz w:val="18"/>
              </w:rPr>
              <w:t>112,820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,577.80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336,609,5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06.39</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126,295,5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22,493,35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6.98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112,820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,577.80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336,609,5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06.39</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132,550,0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5,240,369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19,250,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177.84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182,040,5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47.06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33,865,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547.06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33,865,54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7.06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132,550,0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157,550,0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132,550,0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157,550,0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5,240,369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-14,615,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369.22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-9,375,00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5,240,369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-5,240,3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69.22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-9,375,00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258,845,5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71.61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27,733,72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132,070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,755.64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518,650,0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53.45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130" w:firstLine="420"/>
        <w:jc w:val="both"/>
      </w:pPr>
      <w:r>
        <w:rPr/>
        <w:t>中科院成都信息技术股份有限公司（以下简称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），系由中国科学院、付忠良、宋昌 元等十二名在职职工共同出资设立，于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日，取得成都市工商行政管理局核发的《企业法人营</w:t>
      </w:r>
      <w:r>
        <w:rPr>
          <w:spacing w:val="-32"/>
        </w:rPr>
        <w:t> </w:t>
      </w:r>
      <w:r>
        <w:rPr>
          <w:spacing w:val="-32"/>
        </w:rPr>
      </w:r>
      <w:r>
        <w:rPr>
          <w:spacing w:val="-1"/>
        </w:rPr>
        <w:t>业执照》。本公司统一社会信用代码：</w:t>
      </w:r>
      <w:r>
        <w:rPr>
          <w:rFonts w:ascii="Times New Roman" w:hAnsi="Times New Roman" w:cs="Times New Roman" w:eastAsia="Times New Roman" w:hint="default"/>
          <w:spacing w:val="-1"/>
        </w:rPr>
        <w:t>915101007301965784</w:t>
      </w:r>
      <w:r>
        <w:rPr>
          <w:spacing w:val="-1"/>
        </w:rPr>
        <w:t>；注册地址：成都高新区天晖路</w:t>
      </w:r>
      <w:r>
        <w:rPr>
          <w:rFonts w:ascii="Times New Roman" w:hAnsi="Times New Roman" w:cs="Times New Roman" w:eastAsia="Times New Roman" w:hint="default"/>
          <w:spacing w:val="-1"/>
        </w:rPr>
        <w:t>360</w:t>
      </w:r>
      <w:r>
        <w:rPr>
          <w:spacing w:val="-1"/>
        </w:rPr>
        <w:t>号晶科</w:t>
      </w:r>
      <w:r>
        <w:rPr>
          <w:rFonts w:ascii="Times New Roman" w:hAnsi="Times New Roman" w:cs="Times New Roman" w:eastAsia="Times New Roman" w:hint="default"/>
          <w:spacing w:val="-1"/>
        </w:rPr>
        <w:t>1</w:t>
      </w:r>
      <w:r>
        <w:rPr>
          <w:spacing w:val="-1"/>
        </w:rPr>
        <w:t>号</w:t>
      </w:r>
    </w:p>
    <w:p>
      <w:pPr>
        <w:spacing w:after="0" w:line="386"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大厦</w:t>
      </w:r>
      <w:r>
        <w:rPr>
          <w:rFonts w:ascii="Times New Roman" w:hAnsi="Times New Roman" w:cs="Times New Roman" w:eastAsia="Times New Roman" w:hint="default"/>
        </w:rPr>
        <w:t>18</w:t>
      </w:r>
      <w:r>
        <w:rPr/>
        <w:t>栋</w:t>
      </w:r>
      <w:r>
        <w:rPr>
          <w:rFonts w:ascii="Times New Roman" w:hAnsi="Times New Roman" w:cs="Times New Roman" w:eastAsia="Times New Roman" w:hint="default"/>
        </w:rPr>
        <w:t>1803</w:t>
      </w:r>
      <w:r>
        <w:rPr/>
        <w:t>室；法定代表人：王晓宇。</w:t>
      </w:r>
    </w:p>
    <w:p>
      <w:pPr>
        <w:spacing w:line="240" w:lineRule="auto" w:before="9"/>
        <w:rPr>
          <w:rFonts w:ascii="宋体" w:hAnsi="宋体" w:cs="宋体" w:eastAsia="宋体" w:hint="default"/>
          <w:sz w:val="22"/>
          <w:szCs w:val="22"/>
        </w:rPr>
      </w:pPr>
    </w:p>
    <w:p>
      <w:pPr>
        <w:pStyle w:val="BodyText"/>
        <w:spacing w:line="386" w:lineRule="auto"/>
        <w:ind w:right="1131" w:firstLine="420"/>
        <w:jc w:val="both"/>
      </w:pPr>
      <w:r>
        <w:rPr>
          <w:spacing w:val="-1"/>
        </w:rPr>
        <w:t>经历次变更，截至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日，公司注册资本为</w:t>
      </w:r>
      <w:r>
        <w:rPr>
          <w:rFonts w:ascii="Times New Roman" w:hAnsi="Times New Roman" w:cs="Times New Roman" w:eastAsia="Times New Roman" w:hint="default"/>
          <w:spacing w:val="-1"/>
        </w:rPr>
        <w:t>18,000</w:t>
      </w:r>
      <w:r>
        <w:rPr>
          <w:spacing w:val="-1"/>
        </w:rPr>
        <w:t>万元，股份总数为</w:t>
      </w:r>
      <w:r>
        <w:rPr>
          <w:rFonts w:ascii="Times New Roman" w:hAnsi="Times New Roman" w:cs="Times New Roman" w:eastAsia="Times New Roman" w:hint="default"/>
          <w:spacing w:val="-1"/>
        </w:rPr>
        <w:t>18,000</w:t>
      </w:r>
      <w:r>
        <w:rPr>
          <w:spacing w:val="-1"/>
        </w:rPr>
        <w:t>万股（每股面值</w:t>
      </w:r>
      <w:r>
        <w:rPr>
          <w:rFonts w:ascii="Times New Roman" w:hAnsi="Times New Roman" w:cs="Times New Roman" w:eastAsia="Times New Roman" w:hint="default"/>
          <w:spacing w:val="-1"/>
        </w:rPr>
        <w:t>1</w:t>
      </w:r>
      <w:r>
        <w:rPr>
          <w:rFonts w:ascii="Times New Roman" w:hAnsi="Times New Roman" w:cs="Times New Roman" w:eastAsia="Times New Roman" w:hint="default"/>
        </w:rPr>
        <w:t> </w:t>
      </w:r>
      <w:r>
        <w:rPr/>
        <w:t>元）。其中：有限售条件的流通股份：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9,668.03</w:t>
      </w:r>
      <w:r>
        <w:rPr/>
        <w:t>万股，无限售条件的流动股份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8,331.98</w:t>
      </w:r>
      <w:r>
        <w:rPr/>
        <w:t>万股。</w:t>
      </w:r>
    </w:p>
    <w:p>
      <w:pPr>
        <w:pStyle w:val="BodyText"/>
        <w:spacing w:line="494" w:lineRule="auto" w:before="155"/>
        <w:ind w:left="574" w:right="7812"/>
        <w:jc w:val="left"/>
      </w:pPr>
      <w:r>
        <w:rPr/>
        <w:t>上市时间：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 股票简称：中科信息 股票代码：</w:t>
      </w:r>
      <w:r>
        <w:rPr>
          <w:rFonts w:ascii="Times New Roman" w:hAnsi="Times New Roman" w:cs="Times New Roman" w:eastAsia="Times New Roman" w:hint="default"/>
        </w:rPr>
        <w:t>300678 </w:t>
      </w:r>
      <w:r>
        <w:rPr/>
        <w:t>上市地点：深圳证券交易所</w:t>
      </w:r>
    </w:p>
    <w:p>
      <w:pPr>
        <w:pStyle w:val="BodyText"/>
        <w:spacing w:line="408" w:lineRule="auto" w:before="90"/>
        <w:ind w:right="1110" w:firstLine="420"/>
        <w:jc w:val="both"/>
      </w:pPr>
      <w:r>
        <w:rPr>
          <w:spacing w:val="-1"/>
        </w:rPr>
        <w:t>本公司经营范围：以计算机软件为重点的电子信息领域相关技术产品开发、生产（生产行业另设分支</w:t>
      </w:r>
      <w:r>
        <w:rPr/>
        <w:t> </w:t>
      </w:r>
      <w:r>
        <w:rPr>
          <w:spacing w:val="-1"/>
        </w:rPr>
        <w:t>机构或另择经营产地经营）、销售、服务；计算机应用与计算机通讯系统工程设计与实施；信息技术咨询</w:t>
      </w:r>
      <w:r>
        <w:rPr>
          <w:spacing w:val="-81"/>
        </w:rPr>
        <w:t> </w:t>
      </w:r>
      <w:r>
        <w:rPr>
          <w:spacing w:val="-81"/>
        </w:rPr>
      </w:r>
      <w:r>
        <w:rPr>
          <w:spacing w:val="-1"/>
        </w:rPr>
        <w:t>服务；计算机及网络通讯设备、电子设备及元器件、计算机软硬件产品代理；涉密计算机系统集成（凭资</w:t>
      </w:r>
      <w:r>
        <w:rPr>
          <w:spacing w:val="-83"/>
        </w:rPr>
        <w:t> </w:t>
      </w:r>
      <w:r>
        <w:rPr>
          <w:spacing w:val="-83"/>
        </w:rPr>
      </w:r>
      <w:r>
        <w:rPr/>
        <w:t>质许可证在有效期内经营）；建筑智能化工程设计、施工（凭资质证在有效期内经营）；安防工程设计、 施工（凭资质证在有效期内经营）；防雷工程设计、施工（凭资质证在有效期内经营）；电子工程安装、 </w:t>
      </w:r>
      <w:r>
        <w:rPr>
          <w:spacing w:val="-1"/>
        </w:rPr>
        <w:t>通信线路和设备安装（凭资质证在有效期内经营））；仪器仪表、教学模具的技术服务；房屋租赁；（以</w:t>
      </w:r>
      <w:r>
        <w:rPr>
          <w:spacing w:val="-86"/>
        </w:rPr>
        <w:t> </w:t>
      </w:r>
      <w:r>
        <w:rPr>
          <w:spacing w:val="-86"/>
        </w:rPr>
      </w:r>
      <w:r>
        <w:rPr/>
        <w:t>上经营范围依法须经批准的项目，经相关部门批准后方可开展经营活动）。</w:t>
      </w:r>
    </w:p>
    <w:p>
      <w:pPr>
        <w:pStyle w:val="BodyText"/>
        <w:spacing w:line="499" w:lineRule="auto" w:before="166"/>
        <w:ind w:left="574" w:right="1092"/>
        <w:jc w:val="left"/>
      </w:pPr>
      <w:r>
        <w:rPr/>
        <w:t>本公司主要产品包括：信息化解决方案、技术开发、技术服务等。 本财务报表由本公司董事会于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日批准报出。 本公司合并财务报表的合并范围以控制为基础确定，包括本公司及全部子公司的财务报表。子公司，</w:t>
      </w:r>
    </w:p>
    <w:p>
      <w:pPr>
        <w:pStyle w:val="BodyText"/>
        <w:spacing w:line="241" w:lineRule="exact"/>
        <w:ind w:right="0"/>
        <w:jc w:val="left"/>
      </w:pPr>
      <w:r>
        <w:rPr>
          <w:spacing w:val="-4"/>
        </w:rPr>
        <w:t>是指被本公司控制的企业或主体，本期的合并财务报表范围及其变化情况见“附注八、合并范围的变更”、</w:t>
      </w:r>
      <w:r>
        <w:rPr/>
      </w:r>
    </w:p>
    <w:p>
      <w:pPr>
        <w:spacing w:line="240" w:lineRule="auto" w:before="10"/>
        <w:rPr>
          <w:rFonts w:ascii="宋体" w:hAnsi="宋体" w:cs="宋体" w:eastAsia="宋体" w:hint="default"/>
          <w:sz w:val="14"/>
          <w:szCs w:val="14"/>
        </w:rPr>
      </w:pPr>
    </w:p>
    <w:p>
      <w:pPr>
        <w:pStyle w:val="BodyText"/>
        <w:spacing w:line="240" w:lineRule="auto"/>
        <w:ind w:right="0"/>
        <w:jc w:val="left"/>
      </w:pPr>
      <w:r>
        <w:rPr/>
        <w:t>“九、在其他主体中的权益”。</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10" w:firstLine="420"/>
        <w:jc w:val="both"/>
      </w:pPr>
      <w:r>
        <w:rPr/>
        <w:t>本财务报表以公司持续经营假设为基础，根据实际发生的交易事项，按照企业会计准则的有关规定， 并基于以下所述重要会计政策、会计估计进行编制。</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公司自本报告期末起</w:t>
      </w:r>
      <w:r>
        <w:rPr>
          <w:rFonts w:ascii="宋体" w:hAnsi="宋体" w:cs="宋体" w:eastAsia="宋体" w:hint="default"/>
        </w:rPr>
        <w:t>12</w:t>
      </w:r>
      <w:r>
        <w:rPr/>
        <w:t>个月具备持续经营能力，无影响持续经营能力的重大事项。</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57" w:lineRule="auto" w:before="29"/>
        <w:ind w:left="154" w:right="809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right="1132" w:firstLine="420"/>
        <w:jc w:val="both"/>
      </w:pPr>
      <w:r>
        <w:rPr>
          <w:spacing w:val="-1"/>
        </w:rPr>
        <w:t>本集团基于上述编制基础编制的财务报表符合财政部已颁布的最新企业会计准则及其应用指南、解释</w:t>
      </w:r>
      <w:r>
        <w:rPr/>
        <w:t> 以及其他相关规定（统称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 流量等有关信息。</w:t>
      </w:r>
    </w:p>
    <w:p>
      <w:pPr>
        <w:pStyle w:val="BodyText"/>
        <w:spacing w:line="386" w:lineRule="auto" w:before="174"/>
        <w:ind w:right="1130" w:firstLine="420"/>
        <w:jc w:val="both"/>
      </w:pPr>
      <w:r>
        <w:rPr>
          <w:spacing w:val="-1"/>
        </w:rPr>
        <w:t>此外，本财务报告编制参照了证监会发布的《公开发行证券的公司信息披露编报规则第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w:t>
      </w:r>
      <w:r>
        <w:rPr/>
        <w:t> </w:t>
      </w:r>
      <w:r>
        <w:rPr>
          <w:spacing w:val="-1"/>
        </w:rPr>
        <w:t>报告的一般规定》（</w:t>
      </w:r>
      <w:r>
        <w:rPr>
          <w:rFonts w:ascii="Times New Roman" w:hAnsi="Times New Roman" w:cs="Times New Roman" w:eastAsia="Times New Roman" w:hint="default"/>
          <w:spacing w:val="-1"/>
        </w:rPr>
        <w:t>2014</w:t>
      </w:r>
      <w:r>
        <w:rPr>
          <w:spacing w:val="-1"/>
        </w:rPr>
        <w:t>年修订）以及《关于上市公司执行新企业会计准则有关事项的通知》（会计部函</w:t>
      </w:r>
    </w:p>
    <w:p>
      <w:pPr>
        <w:pStyle w:val="BodyText"/>
        <w:spacing w:line="240" w:lineRule="auto" w:before="35"/>
        <w:ind w:right="0"/>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453</w:t>
      </w:r>
      <w:r>
        <w:rPr/>
        <w:t>号）的列报和披露要求。</w:t>
      </w:r>
    </w:p>
    <w:p>
      <w:pPr>
        <w:spacing w:line="240" w:lineRule="auto" w:before="8"/>
        <w:rPr>
          <w:rFonts w:ascii="宋体" w:hAnsi="宋体" w:cs="宋体" w:eastAsia="宋体" w:hint="default"/>
          <w:sz w:val="30"/>
          <w:szCs w:val="30"/>
        </w:rPr>
      </w:pPr>
    </w:p>
    <w:p>
      <w:pPr>
        <w:spacing w:line="506" w:lineRule="auto" w:before="0"/>
        <w:ind w:left="154" w:right="6342" w:firstLine="0"/>
        <w:jc w:val="left"/>
        <w:rPr>
          <w:rFonts w:ascii="宋体" w:hAnsi="宋体" w:cs="宋体" w:eastAsia="宋体" w:hint="default"/>
          <w:sz w:val="21"/>
          <w:szCs w:val="21"/>
        </w:rPr>
      </w:pPr>
      <w:bookmarkStart w:name="2、会计期间"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本集团的会计年度从公历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bookmarkStart w:name="3、营业周期" w:id="173"/>
      <w:bookmarkEnd w:id="173"/>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本集团的会计年度从公历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bookmarkStart w:name="4、记账本位币" w:id="174"/>
      <w:bookmarkEnd w:id="174"/>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本集团采用人民币作为记账本位币。</w:t>
      </w:r>
    </w:p>
    <w:p>
      <w:pPr>
        <w:pStyle w:val="Heading4"/>
        <w:spacing w:line="240" w:lineRule="auto" w:before="105"/>
        <w:ind w:right="0"/>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84" w:lineRule="auto"/>
        <w:ind w:left="574" w:right="0"/>
        <w:jc w:val="left"/>
      </w:pPr>
      <w:r>
        <w:rPr>
          <w:rFonts w:ascii="Times New Roman" w:hAnsi="Times New Roman" w:cs="Times New Roman" w:eastAsia="Times New Roman" w:hint="default"/>
        </w:rPr>
        <w:t>1.</w:t>
      </w:r>
      <w:r>
        <w:rPr/>
        <w:t>同一控制下企业合并的会计处理方法 </w:t>
      </w:r>
      <w:r>
        <w:rPr>
          <w:spacing w:val="3"/>
        </w:rPr>
        <w:t>本集团在一次交易取得或通过多次交易分步实现同一控制下企业合并，企业合并中取得的资产和负</w:t>
      </w:r>
    </w:p>
    <w:p>
      <w:pPr>
        <w:pStyle w:val="BodyText"/>
        <w:spacing w:line="254" w:lineRule="exact"/>
        <w:ind w:right="0"/>
        <w:jc w:val="left"/>
      </w:pPr>
      <w:r>
        <w:rPr/>
        <w:t>债，按照合并日被合并方在最终控制方合并财务报表中的的账面价值计量。本公司取得的净资产账面价值</w:t>
      </w:r>
    </w:p>
    <w:p>
      <w:pPr>
        <w:spacing w:line="240" w:lineRule="auto" w:before="10"/>
        <w:rPr>
          <w:rFonts w:ascii="宋体" w:hAnsi="宋体" w:cs="宋体" w:eastAsia="宋体" w:hint="default"/>
          <w:sz w:val="14"/>
          <w:szCs w:val="14"/>
        </w:rPr>
      </w:pPr>
    </w:p>
    <w:p>
      <w:pPr>
        <w:pStyle w:val="BodyText"/>
        <w:spacing w:line="408" w:lineRule="auto"/>
        <w:ind w:right="1118"/>
        <w:jc w:val="left"/>
      </w:pPr>
      <w:r>
        <w:rPr>
          <w:spacing w:val="-1"/>
        </w:rPr>
        <w:t>与支付的合并对价账面价值（或发行股份面值总额）的差额，调整资本公积；资本公积不足冲减的，调整</w:t>
      </w:r>
      <w:r>
        <w:rPr>
          <w:spacing w:val="-83"/>
        </w:rPr>
        <w:t> </w:t>
      </w:r>
      <w:r>
        <w:rPr>
          <w:spacing w:val="-83"/>
        </w:rPr>
      </w:r>
      <w:r>
        <w:rPr/>
        <w:t>留存收益。</w:t>
      </w:r>
    </w:p>
    <w:p>
      <w:pPr>
        <w:pStyle w:val="BodyText"/>
        <w:spacing w:line="240" w:lineRule="auto" w:before="166"/>
        <w:ind w:left="574" w:right="0"/>
        <w:jc w:val="left"/>
      </w:pPr>
      <w:r>
        <w:rPr>
          <w:rFonts w:ascii="Times New Roman" w:hAnsi="Times New Roman" w:cs="Times New Roman" w:eastAsia="Times New Roman" w:hint="default"/>
        </w:rPr>
        <w:t>2.</w:t>
      </w:r>
      <w:r>
        <w:rPr/>
        <w:t>非同一控制下企业合并的会计处理方法</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本集团在购买日对合并成本大于合并中取得的被购买方可辨认净资产公允价值份额的差额，确认为商</w:t>
      </w:r>
      <w:r>
        <w:rPr/>
        <w:t> </w:t>
      </w: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240" w:lineRule="auto" w:before="166"/>
        <w:ind w:left="574" w:right="0"/>
        <w:jc w:val="left"/>
      </w:pPr>
      <w:r>
        <w:rPr/>
        <w:t>通过多次交易分步实现非同一控制下企业合并，应按以下顺序处理：</w:t>
      </w:r>
    </w:p>
    <w:p>
      <w:pPr>
        <w:spacing w:line="240" w:lineRule="auto" w:before="12"/>
        <w:rPr>
          <w:rFonts w:ascii="宋体" w:hAnsi="宋体" w:cs="宋体" w:eastAsia="宋体" w:hint="default"/>
          <w:sz w:val="23"/>
          <w:szCs w:val="23"/>
        </w:rPr>
      </w:pPr>
    </w:p>
    <w:p>
      <w:pPr>
        <w:pStyle w:val="BodyText"/>
        <w:spacing w:line="400" w:lineRule="auto"/>
        <w:ind w:right="1131" w:firstLine="420"/>
        <w:jc w:val="both"/>
      </w:pPr>
      <w:r>
        <w:rPr/>
        <w:t>（</w:t>
      </w:r>
      <w:r>
        <w:rPr>
          <w:rFonts w:ascii="Times New Roman" w:hAnsi="Times New Roman" w:cs="Times New Roman" w:eastAsia="Times New Roman" w:hint="default"/>
        </w:rPr>
        <w:t>1</w:t>
      </w:r>
      <w:r>
        <w:rPr/>
        <w:t>）调整长期股权投资初始投资成本。购买日之前持有股权采用权益法核算的，按照该股权在购买 </w:t>
      </w:r>
      <w:r>
        <w:rPr>
          <w:spacing w:val="-1"/>
        </w:rPr>
        <w:t>日的公允价值进行重新计量，公允价值与其账面价值的差额计入当期投资收益；购买日之前持有的被购买</w:t>
      </w:r>
      <w:r>
        <w:rPr>
          <w:spacing w:val="-81"/>
        </w:rPr>
        <w:t> </w:t>
      </w:r>
      <w:r>
        <w:rPr>
          <w:spacing w:val="-81"/>
        </w:rPr>
      </w:r>
      <w:r>
        <w:rPr>
          <w:spacing w:val="-1"/>
        </w:rPr>
        <w:t>方的股权涉及权益法核算下的其他综合收益、其他所有者权益变动的，转为购买日所属当期收益，由于被</w:t>
      </w:r>
      <w:r>
        <w:rPr>
          <w:spacing w:val="-83"/>
        </w:rPr>
        <w:t> </w:t>
      </w:r>
      <w:r>
        <w:rPr>
          <w:spacing w:val="-83"/>
        </w:rPr>
      </w:r>
      <w:r>
        <w:rPr/>
        <w:t>投资方重新计量设定受益计划净负债或净资产变动而产生的其他综合收益除外。</w:t>
      </w:r>
    </w:p>
    <w:p>
      <w:pPr>
        <w:pStyle w:val="BodyText"/>
        <w:spacing w:line="398" w:lineRule="auto" w:before="172"/>
        <w:ind w:right="1133" w:firstLine="420"/>
        <w:jc w:val="both"/>
      </w:pPr>
      <w:r>
        <w:rPr/>
        <w:t>（</w:t>
      </w:r>
      <w:r>
        <w:rPr>
          <w:rFonts w:ascii="Times New Roman" w:hAnsi="Times New Roman" w:cs="Times New Roman" w:eastAsia="Times New Roman" w:hint="default"/>
        </w:rPr>
        <w:t>2</w:t>
      </w:r>
      <w:r>
        <w:rPr/>
        <w:t>）确认商誉（或计入当期损益的金额）。将第一步调整后长期股权投资初始投资成本与购买日应 </w:t>
      </w:r>
      <w:r>
        <w:rPr>
          <w:spacing w:val="-1"/>
        </w:rPr>
        <w:t>享有子公司可辨认净资产公允价值份额比较，前者大于后者，差额确认为商誉；前者小于后者，差额计入</w:t>
      </w:r>
      <w:r>
        <w:rPr>
          <w:spacing w:val="-86"/>
        </w:rPr>
        <w:t> </w:t>
      </w:r>
      <w:r>
        <w:rPr>
          <w:spacing w:val="-86"/>
        </w:rPr>
      </w:r>
      <w:r>
        <w:rPr/>
        <w:t>当期损益。</w:t>
      </w:r>
    </w:p>
    <w:p>
      <w:pPr>
        <w:pStyle w:val="BodyText"/>
        <w:spacing w:line="240" w:lineRule="auto" w:before="174"/>
        <w:ind w:left="574" w:right="0"/>
        <w:jc w:val="left"/>
      </w:pPr>
      <w:r>
        <w:rPr/>
        <w:t>通过多次交易分步处置股权至丧失对子公司控制权的情形</w:t>
      </w:r>
    </w:p>
    <w:p>
      <w:pPr>
        <w:spacing w:line="240" w:lineRule="auto" w:before="13"/>
        <w:rPr>
          <w:rFonts w:ascii="宋体" w:hAnsi="宋体" w:cs="宋体" w:eastAsia="宋体" w:hint="default"/>
          <w:sz w:val="23"/>
          <w:szCs w:val="23"/>
        </w:rPr>
      </w:pPr>
    </w:p>
    <w:p>
      <w:pPr>
        <w:pStyle w:val="BodyText"/>
        <w:spacing w:line="484" w:lineRule="auto"/>
        <w:ind w:left="574" w:right="0"/>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w:t>
      </w:r>
      <w:r>
        <w:rPr>
          <w:spacing w:val="-1"/>
        </w:rPr>
        <w:t>处置对子公司股权投资的各项交易的条款、条件以及经济影响符合以下一种或多种情况，通常表明应</w:t>
      </w:r>
    </w:p>
    <w:p>
      <w:pPr>
        <w:pStyle w:val="BodyText"/>
        <w:spacing w:line="254" w:lineRule="exact"/>
        <w:ind w:right="0"/>
        <w:jc w:val="left"/>
      </w:pPr>
      <w:r>
        <w:rPr/>
        <w:t>将多次交易事项作为一揽子交易进行会计处理：</w:t>
      </w:r>
    </w:p>
    <w:p>
      <w:pPr>
        <w:spacing w:line="240" w:lineRule="auto" w:before="12"/>
        <w:rPr>
          <w:rFonts w:ascii="宋体" w:hAnsi="宋体" w:cs="宋体" w:eastAsia="宋体" w:hint="default"/>
          <w:sz w:val="23"/>
          <w:szCs w:val="23"/>
        </w:rPr>
      </w:pPr>
    </w:p>
    <w:p>
      <w:pPr>
        <w:pStyle w:val="BodyText"/>
        <w:spacing w:line="240" w:lineRule="auto"/>
        <w:ind w:left="680" w:right="0"/>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9"/>
        <w:rPr>
          <w:rFonts w:ascii="宋体" w:hAnsi="宋体" w:cs="宋体" w:eastAsia="宋体" w:hint="default"/>
          <w:sz w:val="22"/>
          <w:szCs w:val="22"/>
        </w:rPr>
      </w:pPr>
    </w:p>
    <w:p>
      <w:pPr>
        <w:pStyle w:val="BodyText"/>
        <w:spacing w:line="240" w:lineRule="auto"/>
        <w:ind w:left="680" w:right="0"/>
        <w:jc w:val="left"/>
      </w:pPr>
      <w:r>
        <w:rPr>
          <w:rFonts w:ascii="Times New Roman" w:hAnsi="Times New Roman" w:cs="Times New Roman" w:eastAsia="Times New Roman" w:hint="default"/>
        </w:rPr>
        <w:t>2</w:t>
      </w:r>
      <w:r>
        <w:rPr/>
        <w:t>、这些交易整体才能达成一项完整的商业结果；</w:t>
      </w:r>
    </w:p>
    <w:p>
      <w:pPr>
        <w:spacing w:line="240" w:lineRule="auto" w:before="9"/>
        <w:rPr>
          <w:rFonts w:ascii="宋体" w:hAnsi="宋体" w:cs="宋体" w:eastAsia="宋体" w:hint="default"/>
          <w:sz w:val="22"/>
          <w:szCs w:val="22"/>
        </w:rPr>
      </w:pPr>
    </w:p>
    <w:p>
      <w:pPr>
        <w:pStyle w:val="BodyText"/>
        <w:spacing w:line="240" w:lineRule="auto"/>
        <w:ind w:left="680" w:right="0"/>
        <w:jc w:val="left"/>
      </w:pPr>
      <w:r>
        <w:rPr>
          <w:rFonts w:ascii="Times New Roman" w:hAnsi="Times New Roman" w:cs="Times New Roman" w:eastAsia="Times New Roman" w:hint="default"/>
        </w:rPr>
        <w:t>3</w:t>
      </w:r>
      <w:r>
        <w:rPr/>
        <w:t>、一项交易的发生取决于其他至少一项交易的发生；</w:t>
      </w:r>
    </w:p>
    <w:p>
      <w:pPr>
        <w:spacing w:line="240" w:lineRule="auto" w:before="9"/>
        <w:rPr>
          <w:rFonts w:ascii="宋体" w:hAnsi="宋体" w:cs="宋体" w:eastAsia="宋体" w:hint="default"/>
          <w:sz w:val="22"/>
          <w:szCs w:val="22"/>
        </w:rPr>
      </w:pPr>
    </w:p>
    <w:p>
      <w:pPr>
        <w:pStyle w:val="BodyText"/>
        <w:spacing w:line="240" w:lineRule="auto"/>
        <w:ind w:left="680" w:right="0"/>
        <w:jc w:val="left"/>
      </w:pPr>
      <w:r>
        <w:rPr>
          <w:rFonts w:ascii="Times New Roman" w:hAnsi="Times New Roman" w:cs="Times New Roman" w:eastAsia="Times New Roman" w:hint="default"/>
        </w:rPr>
        <w:t>4</w:t>
      </w:r>
      <w:r>
        <w:rPr/>
        <w:t>、一项交易单独看是不经济的，但是和其他交易一并考虑时是经济的。</w:t>
      </w:r>
    </w:p>
    <w:p>
      <w:pPr>
        <w:spacing w:line="240" w:lineRule="auto" w:before="9"/>
        <w:rPr>
          <w:rFonts w:ascii="宋体" w:hAnsi="宋体" w:cs="宋体" w:eastAsia="宋体" w:hint="default"/>
          <w:sz w:val="22"/>
          <w:szCs w:val="22"/>
        </w:rPr>
      </w:pPr>
    </w:p>
    <w:p>
      <w:pPr>
        <w:pStyle w:val="BodyText"/>
        <w:spacing w:line="484" w:lineRule="auto"/>
        <w:ind w:left="574" w:right="0"/>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1"/>
        </w:rPr>
        <w:t>处置对子公司股权投资直至丧失控制权的各项交易属于一揽子交易的，应当将各项交易作为一项处置</w:t>
      </w:r>
    </w:p>
    <w:p>
      <w:pPr>
        <w:pStyle w:val="BodyText"/>
        <w:spacing w:line="254" w:lineRule="exact"/>
        <w:ind w:right="0"/>
        <w:jc w:val="left"/>
      </w:pPr>
      <w:r>
        <w:rPr/>
        <w:t>子公司并丧失控制权的交易进行会计处理；但是，在丧失控制权之前每一次处置价款与处置投资对应的享</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有该子公司净资产份额的差额，在合并财务报表中应当确认为其他综合收益，在丧失控制权时一并转入丧</w:t>
      </w:r>
      <w:r>
        <w:rPr>
          <w:spacing w:val="-81"/>
        </w:rPr>
        <w:t> </w:t>
      </w:r>
      <w:r>
        <w:rPr>
          <w:spacing w:val="-81"/>
        </w:rPr>
      </w:r>
      <w:r>
        <w:rPr/>
        <w:t>失控制权当期的损益。</w:t>
      </w:r>
    </w:p>
    <w:p>
      <w:pPr>
        <w:pStyle w:val="BodyText"/>
        <w:spacing w:line="240" w:lineRule="auto" w:before="166"/>
        <w:ind w:left="574" w:right="0"/>
        <w:jc w:val="left"/>
      </w:pPr>
      <w:r>
        <w:rPr/>
        <w:t>在合并财务报表中，对于剩余股权，应当按照其在丧失控制权日的公允价值进行重新计量。处置股权</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取得的对价与剩余股权公允价值之和，减去按原持股比例计算应享有原子公司自购买日开始持续计算的净</w:t>
      </w:r>
      <w:r>
        <w:rPr>
          <w:spacing w:val="-81"/>
        </w:rPr>
        <w:t> </w:t>
      </w:r>
      <w:r>
        <w:rPr>
          <w:spacing w:val="-81"/>
        </w:rPr>
      </w:r>
      <w:r>
        <w:rPr>
          <w:spacing w:val="-1"/>
        </w:rPr>
        <w:t>资产的份额之间的差额，计入丧失控制权当期的投资收益。与原子公司股权投资相关的其他综合收益，应</w:t>
      </w:r>
      <w:r>
        <w:rPr>
          <w:spacing w:val="-83"/>
        </w:rPr>
        <w:t> </w:t>
      </w:r>
      <w:r>
        <w:rPr>
          <w:spacing w:val="-83"/>
        </w:rPr>
      </w:r>
      <w:r>
        <w:rPr/>
        <w:t>当在丧失控制权时转为当期投资收益。</w:t>
      </w:r>
    </w:p>
    <w:p>
      <w:pPr>
        <w:pStyle w:val="BodyText"/>
        <w:spacing w:line="484" w:lineRule="auto" w:before="166"/>
        <w:ind w:left="574" w:right="0"/>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1"/>
        </w:rPr>
        <w:t>处置对子公司的投资未丧失控制权的，合并财务报表中处置价款与处置投资对应的享有该子公司净资</w:t>
      </w:r>
    </w:p>
    <w:p>
      <w:pPr>
        <w:pStyle w:val="BodyText"/>
        <w:spacing w:line="254" w:lineRule="exact"/>
        <w:ind w:right="0"/>
        <w:jc w:val="both"/>
      </w:pPr>
      <w:r>
        <w:rPr/>
        <w:t>产份额的差额计入资本公积（资本溢价或股本溢价），资本溢价不足冲减的，应当调整留存收益。</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处置对子公司的投资丧失控制权的，在合并财务报表中，对于剩余股权，应当按照其在丧失控制权日的公</w:t>
      </w:r>
      <w:r>
        <w:rPr>
          <w:spacing w:val="-83"/>
        </w:rPr>
        <w:t> </w:t>
      </w:r>
      <w:r>
        <w:rPr>
          <w:spacing w:val="-83"/>
        </w:rPr>
      </w:r>
      <w:r>
        <w:rPr>
          <w:spacing w:val="-1"/>
        </w:rPr>
        <w:t>允价值进行重新计量。处置股权取得的对价与剩余股权公允价值之和，减去按原持股比例计算应享有原有</w:t>
      </w:r>
      <w:r>
        <w:rPr>
          <w:spacing w:val="-81"/>
        </w:rPr>
        <w:t> </w:t>
      </w:r>
      <w:r>
        <w:rPr>
          <w:spacing w:val="-81"/>
        </w:rPr>
      </w:r>
      <w:r>
        <w:rPr>
          <w:spacing w:val="-1"/>
        </w:rPr>
        <w:t>子公司自购买日开始持续计算的净资产的份额之间的差额，计入丧失控制权当期的投资收益。与原有子公</w:t>
      </w:r>
      <w:r>
        <w:rPr>
          <w:spacing w:val="-81"/>
        </w:rPr>
        <w:t> </w:t>
      </w:r>
      <w:r>
        <w:rPr>
          <w:spacing w:val="-81"/>
        </w:rPr>
      </w:r>
      <w:r>
        <w:rPr/>
        <w:t>司股权投资相关的其他综合收益，应当在丧失控制权时转为当期投资收益。</w:t>
      </w:r>
    </w:p>
    <w:p>
      <w:pPr>
        <w:spacing w:line="240" w:lineRule="auto" w:before="6"/>
        <w:rPr>
          <w:rFonts w:ascii="宋体" w:hAnsi="宋体" w:cs="宋体" w:eastAsia="宋体" w:hint="default"/>
          <w:sz w:val="15"/>
          <w:szCs w:val="15"/>
        </w:rPr>
      </w:pPr>
    </w:p>
    <w:p>
      <w:pPr>
        <w:spacing w:line="670" w:lineRule="atLeast" w:before="0"/>
        <w:ind w:left="574" w:right="0" w:hanging="420"/>
        <w:jc w:val="left"/>
        <w:rPr>
          <w:rFonts w:ascii="宋体" w:hAnsi="宋体" w:cs="宋体" w:eastAsia="宋体" w:hint="default"/>
          <w:sz w:val="21"/>
          <w:szCs w:val="21"/>
        </w:rPr>
      </w:pPr>
      <w:bookmarkStart w:name="6、合并财务报表的编制方法" w:id="176"/>
      <w:bookmarkEnd w:id="17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合并财务报表以母公司及其子公司的财务报表为基础，根据其他有关资料，由本集团按照《企业会计</w:t>
      </w:r>
    </w:p>
    <w:p>
      <w:pPr>
        <w:spacing w:line="240" w:lineRule="auto" w:before="10"/>
        <w:rPr>
          <w:rFonts w:ascii="宋体" w:hAnsi="宋体" w:cs="宋体" w:eastAsia="宋体" w:hint="default"/>
          <w:sz w:val="14"/>
          <w:szCs w:val="14"/>
        </w:rPr>
      </w:pPr>
    </w:p>
    <w:p>
      <w:pPr>
        <w:pStyle w:val="BodyText"/>
        <w:spacing w:line="499" w:lineRule="auto"/>
        <w:ind w:left="574" w:right="1131" w:hanging="420"/>
        <w:jc w:val="left"/>
      </w:pPr>
      <w:r>
        <w:rPr/>
        <w:t>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 本集团将所有控制的子公司及结构化主体纳入合并财务报表范围。 </w:t>
      </w:r>
      <w:r>
        <w:rPr>
          <w:spacing w:val="-1"/>
        </w:rPr>
        <w:t>在编制合并财务报表时，子公司与本集团采用的会计政策或会计期间不一致的，按照本集团的会计政</w:t>
      </w:r>
    </w:p>
    <w:p>
      <w:pPr>
        <w:pStyle w:val="BodyText"/>
        <w:spacing w:line="241" w:lineRule="exact"/>
        <w:ind w:right="0"/>
        <w:jc w:val="both"/>
      </w:pPr>
      <w:r>
        <w:rPr/>
        <w:t>策或会计期间对子公司财务报表进行必要的调整。</w:t>
      </w:r>
    </w:p>
    <w:p>
      <w:pPr>
        <w:spacing w:line="240" w:lineRule="auto" w:before="12"/>
        <w:rPr>
          <w:rFonts w:ascii="宋体" w:hAnsi="宋体" w:cs="宋体" w:eastAsia="宋体" w:hint="default"/>
          <w:sz w:val="23"/>
          <w:szCs w:val="23"/>
        </w:rPr>
      </w:pPr>
    </w:p>
    <w:p>
      <w:pPr>
        <w:pStyle w:val="BodyText"/>
        <w:spacing w:line="400" w:lineRule="auto"/>
        <w:ind w:right="1131" w:firstLine="420"/>
        <w:jc w:val="both"/>
      </w:pPr>
      <w:r>
        <w:rPr>
          <w:spacing w:val="-1"/>
        </w:rPr>
        <w:t>合并范围内的所有重大内部交易、往来余额及未实现利润在合并报表编制时予以抵销。子公司的所有</w:t>
      </w:r>
      <w:r>
        <w:rPr/>
        <w:t> </w:t>
      </w:r>
      <w:r>
        <w:rPr>
          <w:spacing w:val="3"/>
        </w:rPr>
        <w:t>者权益中不属于母公司的份额以及当期净损益、其他综合收益及综合收益总额中属于少数股东权益的份</w:t>
      </w:r>
      <w:r>
        <w:rPr>
          <w:spacing w:val="-82"/>
        </w:rPr>
        <w:t> </w:t>
      </w:r>
      <w:r>
        <w:rPr>
          <w:spacing w:val="-82"/>
        </w:rPr>
      </w:r>
      <w:r>
        <w:rPr/>
        <w:t>额，分别在合并财务报表</w:t>
      </w:r>
      <w:r>
        <w:rPr>
          <w:rFonts w:ascii="Times New Roman" w:hAnsi="Times New Roman" w:cs="Times New Roman" w:eastAsia="Times New Roman" w:hint="default"/>
        </w:rPr>
        <w:t>“</w:t>
      </w:r>
      <w:r>
        <w:rPr/>
        <w:t>少数股东权益、少数股东损益、归属于少数股东的其他综合收益及归属于少数</w:t>
      </w:r>
      <w:r>
        <w:rPr>
          <w:spacing w:val="-22"/>
        </w:rPr>
        <w:t> </w:t>
      </w:r>
      <w:r>
        <w:rPr>
          <w:spacing w:val="-22"/>
        </w:rPr>
      </w:r>
      <w:r>
        <w:rPr/>
        <w:t>股东的综合收益总额</w:t>
      </w:r>
      <w:r>
        <w:rPr>
          <w:rFonts w:ascii="Times New Roman" w:hAnsi="Times New Roman" w:cs="Times New Roman" w:eastAsia="Times New Roman" w:hint="default"/>
        </w:rPr>
        <w:t>”</w:t>
      </w:r>
      <w:r>
        <w:rPr/>
        <w:t>项目列示。</w:t>
      </w:r>
    </w:p>
    <w:p>
      <w:pPr>
        <w:pStyle w:val="BodyText"/>
        <w:spacing w:line="408" w:lineRule="auto" w:before="141"/>
        <w:ind w:right="1109" w:firstLine="420"/>
        <w:jc w:val="both"/>
      </w:pPr>
      <w:r>
        <w:rPr/>
        <w:t>对于同一控制下企业合并取得的子公司，其经营成果和现金流量自合并当期期初纳入合并财务报表。 </w:t>
      </w:r>
      <w:r>
        <w:rPr>
          <w:spacing w:val="-1"/>
        </w:rPr>
        <w:t>编制比较合并财务报表时，对上年财务报表的相关项目进行调整，视同合并后形成的报告主体自最终控制</w:t>
      </w:r>
      <w:r>
        <w:rPr>
          <w:spacing w:val="-81"/>
        </w:rPr>
        <w:t> </w:t>
      </w:r>
      <w:r>
        <w:rPr>
          <w:spacing w:val="-81"/>
        </w:rPr>
      </w:r>
      <w:r>
        <w:rPr/>
        <w:t>方开始控制时点起一直存在。</w:t>
      </w:r>
    </w:p>
    <w:p>
      <w:pPr>
        <w:pStyle w:val="BodyText"/>
        <w:spacing w:line="408" w:lineRule="auto" w:before="166"/>
        <w:ind w:right="1131" w:firstLine="420"/>
        <w:jc w:val="both"/>
      </w:pPr>
      <w:r>
        <w:rPr>
          <w:spacing w:val="-1"/>
        </w:rPr>
        <w:t>通过多次交易分步取得同一控制下被投资单位的股权，最终形成企业合并，编制合并报表时，视同在</w:t>
      </w:r>
      <w:r>
        <w:rPr/>
        <w:t> </w:t>
      </w:r>
      <w:r>
        <w:rPr>
          <w:spacing w:val="-1"/>
        </w:rPr>
        <w:t>最终控制方开始控制时即以目前的状态存在进行调整，在编制比较报表时，以不早于本公司和被合并方同</w:t>
      </w:r>
      <w:r>
        <w:rPr>
          <w:spacing w:val="-81"/>
        </w:rPr>
        <w:t> </w:t>
      </w:r>
      <w:r>
        <w:rPr>
          <w:spacing w:val="-81"/>
        </w:rPr>
      </w:r>
      <w:r>
        <w:rPr>
          <w:spacing w:val="-1"/>
        </w:rPr>
        <w:t>处于最终控制方的控制之下的时点为限，将被合并方的有关资产、负债并入本公司合并财务报表的比较报</w:t>
      </w:r>
    </w:p>
    <w:p>
      <w:pPr>
        <w:spacing w:after="0" w:line="408"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表中，并将合并而增加的净资产在比较报表中调整所有者权益项下的相关项目。为避免对被合并方净资产</w:t>
      </w:r>
      <w:r>
        <w:rPr>
          <w:spacing w:val="-80"/>
        </w:rPr>
        <w:t> </w:t>
      </w:r>
      <w:r>
        <w:rPr>
          <w:spacing w:val="-80"/>
        </w:rPr>
      </w:r>
      <w:r>
        <w:rPr>
          <w:spacing w:val="-1"/>
        </w:rPr>
        <w:t>的价值进行重复计算，本公司在达到合并之前持有的长期股权投资，在取得原股权之日与本公司和被合并</w:t>
      </w:r>
      <w:r>
        <w:rPr>
          <w:spacing w:val="-81"/>
        </w:rPr>
        <w:t> </w:t>
      </w:r>
      <w:r>
        <w:rPr>
          <w:spacing w:val="-81"/>
        </w:rPr>
      </w:r>
      <w:r>
        <w:rPr>
          <w:spacing w:val="-1"/>
        </w:rPr>
        <w:t>方处于同一方最终控制之日孰晚日起至合并日之间已确认有关损益、其他综合收益和其他净资产变动，应</w:t>
      </w:r>
      <w:r>
        <w:rPr>
          <w:spacing w:val="-81"/>
        </w:rPr>
        <w:t> </w:t>
      </w:r>
      <w:r>
        <w:rPr>
          <w:spacing w:val="-81"/>
        </w:rPr>
      </w:r>
      <w:r>
        <w:rPr/>
        <w:t>分别冲减比较报表期间的期初留存收益和当期损益。</w:t>
      </w:r>
    </w:p>
    <w:p>
      <w:pPr>
        <w:pStyle w:val="BodyText"/>
        <w:spacing w:line="408" w:lineRule="auto" w:before="166"/>
        <w:ind w:right="1131" w:firstLine="420"/>
        <w:jc w:val="both"/>
      </w:pPr>
      <w:r>
        <w:rPr>
          <w:spacing w:val="-1"/>
        </w:rPr>
        <w:t>对于非同一控制下企业合并取得子公司，经营成果和现金流量自本公司取得控制权之日起纳入合并财</w:t>
      </w:r>
      <w:r>
        <w:rPr/>
        <w:t> </w:t>
      </w:r>
      <w:r>
        <w:rPr>
          <w:spacing w:val="-1"/>
        </w:rPr>
        <w:t>务报表。在编制合并财务报表时，以购买日确定的各项可辨认资产、负债及或有负债的公允价值为基础对</w:t>
      </w:r>
      <w:r>
        <w:rPr>
          <w:spacing w:val="-83"/>
        </w:rPr>
        <w:t> </w:t>
      </w:r>
      <w:r>
        <w:rPr>
          <w:spacing w:val="-83"/>
        </w:rPr>
      </w:r>
      <w:r>
        <w:rPr/>
        <w:t>子公司的财务报表进行调整。</w:t>
      </w:r>
    </w:p>
    <w:p>
      <w:pPr>
        <w:pStyle w:val="BodyText"/>
        <w:spacing w:line="408" w:lineRule="auto" w:before="166"/>
        <w:ind w:right="1023" w:firstLine="420"/>
        <w:jc w:val="left"/>
      </w:pPr>
      <w:r>
        <w:rPr/>
        <w:t>通过多次交易分步取得非同一控制下被投资单位的股权，最终形成企业合并，编制合并报表时，对于 购买日之前持有的被购买方的股权，按照该股权在购买日的公允价值进行重新计量，公允价值与其账面价 值的差额计入当期投资收益；与其相关的购买日之前持有的被购买方的股权涉及权益法核算下的其他综合 </w:t>
      </w:r>
      <w:r>
        <w:rPr>
          <w:spacing w:val="-3"/>
        </w:rPr>
        <w:t>收益以及除净损益、其他综合收益和利润分配外的其他所有者权益变动，在购买日所属当期转为投资损益，</w:t>
      </w:r>
      <w:r>
        <w:rPr>
          <w:spacing w:val="-92"/>
        </w:rPr>
        <w:t> </w:t>
      </w:r>
      <w:r>
        <w:rPr>
          <w:spacing w:val="-92"/>
        </w:rPr>
      </w:r>
      <w:r>
        <w:rPr/>
        <w:t>由于被投资方重新计量设定受益计划净负债或净资产变动而产生的其他综合收益除外。</w:t>
      </w:r>
    </w:p>
    <w:p>
      <w:pPr>
        <w:pStyle w:val="BodyText"/>
        <w:spacing w:line="408" w:lineRule="auto" w:before="166"/>
        <w:ind w:right="1131" w:firstLine="420"/>
        <w:jc w:val="both"/>
      </w:pPr>
      <w:r>
        <w:rPr>
          <w:spacing w:val="-1"/>
        </w:rPr>
        <w:t>本集团在不丧失控制权的情况下部分处置对子公司的长期股权投资，在合并财务报表中，处置价款与</w:t>
      </w:r>
      <w:r>
        <w:rPr/>
        <w:t> </w:t>
      </w:r>
      <w:r>
        <w:rPr>
          <w:spacing w:val="-1"/>
        </w:rPr>
        <w:t>处置长期股权投资相对应享有子公司自购买日或合并日开始持续计算的净资产份额之间的差额，调整资本</w:t>
      </w:r>
      <w:r>
        <w:rPr>
          <w:spacing w:val="-81"/>
        </w:rPr>
        <w:t> </w:t>
      </w:r>
      <w:r>
        <w:rPr>
          <w:spacing w:val="-81"/>
        </w:rPr>
      </w:r>
      <w:r>
        <w:rPr/>
        <w:t>溢价或股本溢价，资本公积不足冲减的，调整留存收益。</w:t>
      </w:r>
    </w:p>
    <w:p>
      <w:pPr>
        <w:pStyle w:val="BodyText"/>
        <w:spacing w:line="408" w:lineRule="auto" w:before="166"/>
        <w:ind w:right="1110" w:firstLine="420"/>
        <w:jc w:val="both"/>
      </w:pPr>
      <w:r>
        <w:rPr>
          <w:spacing w:val="-1"/>
        </w:rPr>
        <w:t>本集团因处置部分股权投资等原因丧失了对被投资方的控制权的，在编制合并财务报表时，对于剩余</w:t>
      </w:r>
      <w:r>
        <w:rPr/>
        <w:t> 股权，按照其在丧失控制权日的公允价值进行重新计量。处置股权取得的对价与剩余股权公允价值之和， </w:t>
      </w:r>
      <w:r>
        <w:rPr>
          <w:spacing w:val="-1"/>
        </w:rPr>
        <w:t>减去按原持股比例计算应享有原有子公司自购买日或合并日开始持续计算的净资产的份额之间的差额，计</w:t>
      </w:r>
      <w:r>
        <w:rPr>
          <w:spacing w:val="-81"/>
        </w:rPr>
        <w:t> </w:t>
      </w:r>
      <w:r>
        <w:rPr>
          <w:spacing w:val="-81"/>
        </w:rPr>
      </w:r>
      <w:r>
        <w:rPr>
          <w:spacing w:val="-1"/>
        </w:rPr>
        <w:t>入丧失控制权当期的投资损益，同时冲减商誉。与原有子公司股权投资相关的其他综合收益等，在丧失控</w:t>
      </w:r>
      <w:r>
        <w:rPr>
          <w:spacing w:val="-83"/>
        </w:rPr>
        <w:t> </w:t>
      </w:r>
      <w:r>
        <w:rPr>
          <w:spacing w:val="-83"/>
        </w:rPr>
      </w:r>
      <w:r>
        <w:rPr/>
        <w:t>制权时转为当期投资损益</w:t>
      </w:r>
      <w:r>
        <w:rPr>
          <w:spacing w:val="-21"/>
        </w:rPr>
        <w:t> </w:t>
      </w:r>
      <w:r>
        <w:rPr/>
        <w:t>。</w:t>
      </w:r>
    </w:p>
    <w:p>
      <w:pPr>
        <w:pStyle w:val="BodyText"/>
        <w:spacing w:line="408" w:lineRule="auto" w:before="166"/>
        <w:ind w:right="1131"/>
        <w:jc w:val="both"/>
      </w:pPr>
      <w:r>
        <w:rPr>
          <w:spacing w:val="-1"/>
        </w:rPr>
        <w:t>本集团通过多次交易分步处置对子公司股权投资直至丧失控制权的，如果处置对子公司股权投资直至丧失</w:t>
      </w:r>
      <w:r>
        <w:rPr>
          <w:spacing w:val="-81"/>
        </w:rPr>
        <w:t> </w:t>
      </w:r>
      <w:r>
        <w:rPr>
          <w:spacing w:val="-81"/>
        </w:rPr>
      </w:r>
      <w:r>
        <w:rPr>
          <w:spacing w:val="-1"/>
        </w:rPr>
        <w:t>控制权的各项交易属于一揽子交易的，应当将各项交易作为一项处置子公司并丧失控制权的交易进行会计</w:t>
      </w:r>
      <w:r>
        <w:rPr>
          <w:spacing w:val="-81"/>
        </w:rPr>
        <w:t> </w:t>
      </w:r>
      <w:r>
        <w:rPr>
          <w:spacing w:val="-81"/>
        </w:rPr>
      </w:r>
      <w:r>
        <w:rPr>
          <w:spacing w:val="-1"/>
        </w:rPr>
        <w:t>处理；但是，在丧失控制权之前每一次处置价款与处置投资对应的享有该子公司净资产份额的差额，在合</w:t>
      </w:r>
      <w:r>
        <w:rPr>
          <w:spacing w:val="-83"/>
        </w:rPr>
        <w:t> </w:t>
      </w:r>
      <w:r>
        <w:rPr>
          <w:spacing w:val="-83"/>
        </w:rPr>
      </w:r>
      <w:r>
        <w:rPr/>
        <w:t>并财务报表中确认为其他综合收益，在丧失控制权时一并转入丧失控制权当期的投资损益。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513" w:lineRule="auto"/>
        <w:ind w:left="574" w:right="0"/>
        <w:jc w:val="left"/>
      </w:pPr>
      <w:r>
        <w:rPr>
          <w:rFonts w:ascii="宋体" w:hAnsi="宋体" w:cs="宋体" w:eastAsia="宋体" w:hint="default"/>
        </w:rPr>
        <w:t>1</w:t>
      </w:r>
      <w:r>
        <w:rPr/>
        <w:t>、合营安排的认定和分类 合营安排，是指一项由两个或两个以上的参与方共同控制的安排。合营安排具有下列特征：（</w:t>
      </w:r>
      <w:r>
        <w:rPr>
          <w:rFonts w:ascii="Times New Roman" w:hAnsi="Times New Roman" w:cs="Times New Roman" w:eastAsia="Times New Roman" w:hint="default"/>
        </w:rPr>
        <w:t>1</w:t>
      </w:r>
      <w:r>
        <w:rPr/>
        <w:t>）各</w:t>
      </w:r>
    </w:p>
    <w:p>
      <w:pPr>
        <w:spacing w:after="0" w:line="513"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132"/>
        <w:jc w:val="both"/>
      </w:pPr>
      <w:r>
        <w:rPr/>
        <w:t>参与方均受到该安排的约束；（</w:t>
      </w:r>
      <w:r>
        <w:rPr>
          <w:rFonts w:ascii="Times New Roman" w:hAnsi="Times New Roman" w:cs="Times New Roman" w:eastAsia="Times New Roman" w:hint="default"/>
        </w:rPr>
        <w:t>2</w:t>
      </w:r>
      <w:r>
        <w:rPr/>
        <w:t>）两个或两个以上的参与方对该安排实施共同控制。任何一个参与方都</w:t>
      </w:r>
      <w:r>
        <w:rPr>
          <w:spacing w:val="-31"/>
        </w:rPr>
        <w:t> </w:t>
      </w:r>
      <w:r>
        <w:rPr>
          <w:spacing w:val="-31"/>
        </w:rPr>
      </w:r>
      <w:r>
        <w:rPr>
          <w:spacing w:val="-1"/>
        </w:rPr>
        <w:t>不能够单独控制该安排，对该安排具有共同控制的任何一个参与方均能够阻止其他参与方或参与方组合单</w:t>
      </w:r>
      <w:r>
        <w:rPr>
          <w:spacing w:val="-81"/>
        </w:rPr>
        <w:t> </w:t>
      </w:r>
      <w:r>
        <w:rPr>
          <w:spacing w:val="-81"/>
        </w:rPr>
      </w:r>
      <w:r>
        <w:rPr/>
        <w:t>独控制该安排。</w:t>
      </w:r>
    </w:p>
    <w:p>
      <w:pPr>
        <w:pStyle w:val="BodyText"/>
        <w:spacing w:line="408" w:lineRule="auto" w:before="175"/>
        <w:ind w:right="0" w:firstLine="420"/>
        <w:jc w:val="left"/>
      </w:pPr>
      <w:r>
        <w:rPr>
          <w:spacing w:val="-1"/>
        </w:rPr>
        <w:t>共同控制，是指按照相关约定对某项安排所共有的控制，并且该安排的相关活动必须经过分享控制权</w:t>
      </w:r>
      <w:r>
        <w:rPr/>
        <w:t> 的参与方一致同意后才能决策。</w:t>
      </w:r>
    </w:p>
    <w:p>
      <w:pPr>
        <w:pStyle w:val="BodyText"/>
        <w:spacing w:line="408" w:lineRule="auto" w:before="166"/>
        <w:ind w:right="0" w:firstLine="420"/>
        <w:jc w:val="left"/>
      </w:pPr>
      <w:r>
        <w:rPr>
          <w:spacing w:val="-1"/>
        </w:rPr>
        <w:t>合营安排分为共同经营和合营企业。共同经营，是指合营方享有该安排相关资产且承担该安排相关负</w:t>
      </w:r>
      <w:r>
        <w:rPr/>
        <w:t> 债的合营安排。合营企业，是指合营方仅对该安排的净资产享有权利的合营安排。</w:t>
      </w:r>
    </w:p>
    <w:p>
      <w:pPr>
        <w:pStyle w:val="BodyText"/>
        <w:spacing w:line="484" w:lineRule="auto" w:before="166"/>
        <w:ind w:left="574" w:right="0"/>
        <w:jc w:val="left"/>
      </w:pPr>
      <w:r>
        <w:rPr>
          <w:rFonts w:ascii="Times New Roman" w:hAnsi="Times New Roman" w:cs="Times New Roman" w:eastAsia="Times New Roman" w:hint="default"/>
        </w:rPr>
        <w:t>2.</w:t>
      </w:r>
      <w:r>
        <w:rPr/>
        <w:t>合营安排的会计处理 </w:t>
      </w:r>
      <w:r>
        <w:rPr>
          <w:spacing w:val="-1"/>
        </w:rPr>
        <w:t>共同经营参与方应当确认其与共同经营中利益份额相关的下列项目，并按照相关企业会计准则的规定</w:t>
      </w:r>
    </w:p>
    <w:p>
      <w:pPr>
        <w:pStyle w:val="BodyText"/>
        <w:spacing w:line="270" w:lineRule="exact"/>
        <w:ind w:right="0"/>
        <w:jc w:val="both"/>
      </w:pPr>
      <w:r>
        <w:rPr/>
        <w:t>进行会计处理：（</w:t>
      </w:r>
      <w:r>
        <w:rPr>
          <w:rFonts w:ascii="Times New Roman" w:hAnsi="Times New Roman" w:cs="Times New Roman" w:eastAsia="Times New Roman" w:hint="default"/>
        </w:rPr>
        <w:t>1</w:t>
      </w:r>
      <w:r>
        <w:rPr/>
        <w:t>）确认单独所持有的资产，以及按其份额确认共同持有的资产；（</w:t>
      </w:r>
      <w:r>
        <w:rPr>
          <w:rFonts w:ascii="Times New Roman" w:hAnsi="Times New Roman" w:cs="Times New Roman" w:eastAsia="Times New Roman" w:hint="default"/>
        </w:rPr>
        <w:t>2</w:t>
      </w:r>
      <w:r>
        <w:rPr/>
        <w:t>）确认单独所承担</w:t>
      </w:r>
    </w:p>
    <w:p>
      <w:pPr>
        <w:pStyle w:val="BodyText"/>
        <w:spacing w:line="240" w:lineRule="auto" w:before="177"/>
        <w:ind w:right="0"/>
        <w:jc w:val="both"/>
      </w:pPr>
      <w:r>
        <w:rPr/>
        <w:t>的负债，以及按其份额确认共同承担的负债；（</w:t>
      </w:r>
      <w:r>
        <w:rPr>
          <w:rFonts w:ascii="Times New Roman" w:hAnsi="Times New Roman" w:cs="Times New Roman" w:eastAsia="Times New Roman" w:hint="default"/>
        </w:rPr>
        <w:t>3</w:t>
      </w:r>
      <w:r>
        <w:rPr/>
        <w:t>）确认出售其享有的共同经营产出份额所产生的收入；</w:t>
      </w:r>
    </w:p>
    <w:p>
      <w:pPr>
        <w:pStyle w:val="BodyText"/>
        <w:spacing w:line="386" w:lineRule="auto" w:before="177"/>
        <w:ind w:right="1132"/>
        <w:jc w:val="both"/>
      </w:pPr>
      <w:r>
        <w:rPr>
          <w:spacing w:val="-1"/>
        </w:rPr>
        <w:t>（</w:t>
      </w:r>
      <w:r>
        <w:rPr>
          <w:rFonts w:ascii="Times New Roman" w:hAnsi="Times New Roman" w:cs="Times New Roman" w:eastAsia="Times New Roman" w:hint="default"/>
          <w:spacing w:val="-1"/>
        </w:rPr>
        <w:t>4</w:t>
      </w:r>
      <w:r>
        <w:rPr>
          <w:spacing w:val="-1"/>
        </w:rPr>
        <w:t>）按其份额确认共同经营因出售产出所产生的收入；（</w:t>
      </w:r>
      <w:r>
        <w:rPr>
          <w:rFonts w:ascii="Times New Roman" w:hAnsi="Times New Roman" w:cs="Times New Roman" w:eastAsia="Times New Roman" w:hint="default"/>
          <w:spacing w:val="-1"/>
        </w:rPr>
        <w:t>5</w:t>
      </w:r>
      <w:r>
        <w:rPr>
          <w:spacing w:val="-1"/>
        </w:rPr>
        <w:t>）确认单独所发生的费用，以及按其份额确认</w:t>
      </w:r>
      <w:r>
        <w:rPr>
          <w:spacing w:val="-83"/>
        </w:rPr>
        <w:t> </w:t>
      </w:r>
      <w:r>
        <w:rPr>
          <w:spacing w:val="-83"/>
        </w:rPr>
      </w:r>
      <w:r>
        <w:rPr/>
        <w:t>共同经营发生的费用。</w:t>
      </w:r>
    </w:p>
    <w:p>
      <w:pPr>
        <w:spacing w:line="240" w:lineRule="auto" w:before="2"/>
        <w:rPr>
          <w:rFonts w:ascii="宋体" w:hAnsi="宋体" w:cs="宋体" w:eastAsia="宋体" w:hint="default"/>
          <w:sz w:val="14"/>
          <w:szCs w:val="14"/>
        </w:rPr>
      </w:pPr>
    </w:p>
    <w:p>
      <w:pPr>
        <w:pStyle w:val="BodyText"/>
        <w:spacing w:line="386" w:lineRule="auto"/>
        <w:ind w:right="1118" w:firstLine="420"/>
        <w:jc w:val="left"/>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 计处理。</w:t>
      </w:r>
    </w:p>
    <w:p>
      <w:pPr>
        <w:spacing w:line="240" w:lineRule="auto" w:before="0"/>
        <w:rPr>
          <w:rFonts w:ascii="宋体" w:hAnsi="宋体" w:cs="宋体" w:eastAsia="宋体" w:hint="default"/>
          <w:sz w:val="22"/>
          <w:szCs w:val="22"/>
        </w:rPr>
      </w:pPr>
    </w:p>
    <w:p>
      <w:pPr>
        <w:pStyle w:val="Heading4"/>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firstLine="420"/>
        <w:jc w:val="left"/>
      </w:pPr>
      <w:r>
        <w:rPr>
          <w:spacing w:val="-1"/>
        </w:rPr>
        <w:t>现金流量表的现金指企业库存现金及可以随时用于支付的存款。现金等价物指持有的期限短（一般是</w:t>
      </w:r>
      <w:r>
        <w:rPr/>
        <w:t> 指从购买日起三个月内到期）、流动性强、易于转换为已知金额现金、价值变动风险很小的投资。</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74" w:right="0"/>
        <w:jc w:val="left"/>
      </w:pPr>
      <w:r>
        <w:rPr>
          <w:rFonts w:ascii="宋体" w:hAnsi="宋体" w:cs="宋体" w:eastAsia="宋体" w:hint="default"/>
        </w:rPr>
        <w:t>1</w:t>
      </w:r>
      <w:r>
        <w:rPr/>
        <w:t>、外币业务折算 </w:t>
      </w:r>
      <w:r>
        <w:rPr>
          <w:spacing w:val="-1"/>
        </w:rPr>
        <w:t>外币交易在初始确认时，采用交易发生日的即期汇率折算为人民币金额。资产负债表日，外币货币性</w:t>
      </w:r>
    </w:p>
    <w:p>
      <w:pPr>
        <w:pStyle w:val="BodyText"/>
        <w:spacing w:line="408" w:lineRule="auto" w:before="46"/>
        <w:ind w:right="1131"/>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BodyText"/>
        <w:spacing w:line="240" w:lineRule="auto" w:before="46"/>
        <w:ind w:left="574" w:right="0"/>
        <w:jc w:val="left"/>
      </w:pPr>
      <w:r>
        <w:rPr>
          <w:rFonts w:ascii="宋体" w:hAnsi="宋体" w:cs="宋体" w:eastAsia="宋体" w:hint="default"/>
        </w:rPr>
        <w:t>2</w:t>
      </w:r>
      <w:r>
        <w:rPr/>
        <w:t>、外币财务报表折算</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0"/>
        <w:jc w:val="both"/>
      </w:pPr>
      <w:r>
        <w:rPr>
          <w:spacing w:val="-1"/>
        </w:rPr>
        <w:t>资产负债表中的资产和负债项目，采用资产负债表日的即期汇率折算；所有者权益项目除“未分配利</w:t>
      </w:r>
      <w:r>
        <w:rPr/>
        <w:t> </w:t>
      </w:r>
      <w:r>
        <w:rPr>
          <w:spacing w:val="-1"/>
        </w:rPr>
        <w:t>润”项目外，其他项目采用交易发生日的即期汇率折算；利润表中的收入和费用项目，采用交易发生日的</w:t>
      </w:r>
      <w:r>
        <w:rPr>
          <w:spacing w:val="-85"/>
        </w:rPr>
        <w:t> </w:t>
      </w:r>
      <w:r>
        <w:rPr>
          <w:spacing w:val="-85"/>
        </w:rPr>
      </w:r>
      <w:r>
        <w:rPr/>
        <w:t>即期汇率折算。按照上述折算产生的外币财务报表折算差额，确认为其他综合收益。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pStyle w:val="BodyText"/>
        <w:spacing w:line="590" w:lineRule="atLeast" w:before="84"/>
        <w:ind w:left="574" w:right="0"/>
        <w:jc w:val="left"/>
      </w:pPr>
      <w:r>
        <w:rPr>
          <w:rFonts w:ascii="宋体" w:hAnsi="宋体" w:cs="宋体" w:eastAsia="宋体" w:hint="default"/>
        </w:rPr>
        <w:t>1</w:t>
      </w:r>
      <w:r>
        <w:rPr/>
        <w:t>、金融资产和金融负债的分类 </w:t>
      </w:r>
      <w:r>
        <w:rPr>
          <w:spacing w:val="-1"/>
        </w:rPr>
        <w:t>金融资产在初始确认时划分为以下四类：以公允价值计量且其变动计入当期损益的金融资产（包括交</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易性金融资产和指定为以公允价值计量且其变动计入当期损益的金融资产）、持有至到期投资、贷款和应</w:t>
      </w:r>
      <w:r>
        <w:rPr>
          <w:spacing w:val="-83"/>
        </w:rPr>
        <w:t> </w:t>
      </w:r>
      <w:r>
        <w:rPr>
          <w:spacing w:val="-83"/>
        </w:rPr>
      </w:r>
      <w:r>
        <w:rPr/>
        <w:t>收款项、可供出售金融资产。</w:t>
      </w:r>
    </w:p>
    <w:p>
      <w:pPr>
        <w:pStyle w:val="BodyText"/>
        <w:spacing w:line="408" w:lineRule="auto" w:before="166"/>
        <w:ind w:right="0" w:firstLine="420"/>
        <w:jc w:val="left"/>
      </w:pPr>
      <w:r>
        <w:rPr>
          <w:spacing w:val="-1"/>
        </w:rPr>
        <w:t>金融负债在初始确认时划分为以下两类：以公允价值计量且其变动计入当期损益的金融负债（包括交</w:t>
      </w:r>
      <w:r>
        <w:rPr/>
        <w:t> 易性金融负债和指定为以公允价值计量且其变动计入当期损益的金融负债）、其他金融负债。</w:t>
      </w:r>
    </w:p>
    <w:p>
      <w:pPr>
        <w:pStyle w:val="BodyText"/>
        <w:spacing w:line="240" w:lineRule="auto" w:before="166"/>
        <w:ind w:left="574" w:right="0"/>
        <w:jc w:val="left"/>
      </w:pPr>
      <w:r>
        <w:rPr>
          <w:rFonts w:ascii="宋体" w:hAnsi="宋体" w:cs="宋体" w:eastAsia="宋体" w:hint="default"/>
        </w:rPr>
        <w:t>2</w:t>
      </w:r>
      <w:r>
        <w:rPr/>
        <w:t>、金融资产和金融负债的确认依据、计量方法和终止确认条件</w:t>
      </w:r>
    </w:p>
    <w:p>
      <w:pPr>
        <w:spacing w:line="240" w:lineRule="auto" w:before="12"/>
        <w:rPr>
          <w:rFonts w:ascii="宋体" w:hAnsi="宋体" w:cs="宋体" w:eastAsia="宋体" w:hint="default"/>
          <w:sz w:val="23"/>
          <w:szCs w:val="23"/>
        </w:rPr>
      </w:pPr>
    </w:p>
    <w:p>
      <w:pPr>
        <w:pStyle w:val="BodyText"/>
        <w:spacing w:line="408" w:lineRule="auto"/>
        <w:ind w:right="1017" w:firstLine="420"/>
        <w:jc w:val="left"/>
      </w:pPr>
      <w:r>
        <w:rPr>
          <w:spacing w:val="-3"/>
        </w:rPr>
        <w:t>本集团成为金融工具合同的一方时，确认一项金融资产或金融负债。初始确认金融资产或金融负债时，</w:t>
      </w:r>
      <w:r>
        <w:rPr/>
        <w:t> 按照公允价值计量；对于以公允价值计量且其变动计入当期损益的金融资产和金融负债，相关交易费用直 接计入当期损益；对于其他类别的金融资产或金融负债，相关交易费用计入初始确认金额。</w:t>
      </w:r>
    </w:p>
    <w:p>
      <w:pPr>
        <w:pStyle w:val="BodyText"/>
        <w:spacing w:line="408" w:lineRule="auto" w:before="166"/>
        <w:ind w:right="0" w:firstLine="420"/>
        <w:jc w:val="left"/>
      </w:pPr>
      <w:r>
        <w:rPr>
          <w:spacing w:val="3"/>
        </w:rPr>
        <w:t>本集团按照公允价值对金融资产进行后续计量，且不扣除将来处置该金融资产时可能发生的交易费</w:t>
      </w:r>
      <w:r>
        <w:rPr/>
        <w:t> </w:t>
      </w:r>
      <w:r>
        <w:rPr>
          <w:spacing w:val="-3"/>
        </w:rPr>
        <w:t>用，但下列情况除外：（</w:t>
      </w:r>
      <w:r>
        <w:rPr>
          <w:rFonts w:ascii="宋体" w:hAnsi="宋体" w:cs="宋体" w:eastAsia="宋体" w:hint="default"/>
          <w:spacing w:val="-3"/>
        </w:rPr>
        <w:t>1</w:t>
      </w:r>
      <w:r>
        <w:rPr>
          <w:spacing w:val="-3"/>
        </w:rPr>
        <w:t>）持有至到期投资以及贷款和应收款项采用实际利率法，按摊余成本计量；（</w:t>
      </w:r>
      <w:r>
        <w:rPr>
          <w:rFonts w:ascii="宋体" w:hAnsi="宋体" w:cs="宋体" w:eastAsia="宋体" w:hint="default"/>
          <w:spacing w:val="-3"/>
        </w:rPr>
        <w:t>2</w:t>
      </w:r>
      <w:r>
        <w:rPr>
          <w:spacing w:val="-3"/>
        </w:rPr>
        <w:t>）</w:t>
      </w:r>
      <w:r>
        <w:rPr>
          <w:spacing w:val="-92"/>
        </w:rPr>
        <w:t> </w:t>
      </w:r>
      <w:r>
        <w:rPr/>
        <w:t>在活跃市场中没有报价且其公允价值不能可靠计量的权益工具投资，以及与该权益工具挂钩并须通过交付</w:t>
      </w:r>
      <w:r>
        <w:rPr/>
        <w:t> 该权益工具结算的衍生金融资产，按照成本计量。</w:t>
      </w:r>
    </w:p>
    <w:p>
      <w:pPr>
        <w:pStyle w:val="BodyText"/>
        <w:spacing w:line="408" w:lineRule="auto" w:before="166"/>
        <w:ind w:right="1129" w:firstLine="420"/>
        <w:jc w:val="both"/>
      </w:pPr>
      <w:r>
        <w:rPr/>
        <w:t>本集团采用实际利率法，按摊余成本对金融负债进行后续计量，但下列情况除外：（</w:t>
      </w:r>
      <w:r>
        <w:rPr>
          <w:rFonts w:ascii="宋体" w:hAnsi="宋体" w:cs="宋体" w:eastAsia="宋体" w:hint="default"/>
        </w:rPr>
        <w:t>1</w:t>
      </w:r>
      <w:r>
        <w:rPr/>
        <w:t>）以公允价值 </w:t>
      </w:r>
      <w:r>
        <w:rPr>
          <w:spacing w:val="-1"/>
        </w:rPr>
        <w:t>计量且其变动计入当期损益的金融负债，按照公允价值计量，且不扣除将来结清金融负债时可能发生的交</w:t>
      </w:r>
      <w:r>
        <w:rPr>
          <w:spacing w:val="-81"/>
        </w:rPr>
        <w:t> </w:t>
      </w:r>
      <w:r>
        <w:rPr>
          <w:spacing w:val="-81"/>
        </w:rPr>
      </w:r>
      <w:r>
        <w:rPr/>
        <w:t>易费用；（</w:t>
      </w:r>
      <w:r>
        <w:rPr>
          <w:rFonts w:ascii="宋体" w:hAnsi="宋体" w:cs="宋体" w:eastAsia="宋体" w:hint="default"/>
        </w:rPr>
        <w:t>2</w:t>
      </w:r>
      <w:r>
        <w:rPr/>
        <w:t>）与在活跃市场中没有报价、公允价值不能可靠计量的权益工具挂钩并须通过交付该权益工</w:t>
      </w:r>
      <w:r>
        <w:rPr>
          <w:spacing w:val="-34"/>
        </w:rPr>
        <w:t> </w:t>
      </w:r>
      <w:r>
        <w:rPr>
          <w:spacing w:val="-34"/>
        </w:rPr>
      </w:r>
      <w:r>
        <w:rPr/>
        <w:t>具结算的衍生金融负债，按照成本计量；（</w:t>
      </w:r>
      <w:r>
        <w:rPr>
          <w:rFonts w:ascii="宋体" w:hAnsi="宋体" w:cs="宋体" w:eastAsia="宋体" w:hint="default"/>
        </w:rPr>
        <w:t>3</w:t>
      </w:r>
      <w:r>
        <w:rPr/>
        <w:t>）不属于指定为以公允价值计量且其变动计入当期损益的金</w:t>
      </w:r>
      <w:r>
        <w:rPr>
          <w:spacing w:val="-29"/>
        </w:rPr>
        <w:t> </w:t>
      </w:r>
      <w:r>
        <w:rPr>
          <w:spacing w:val="-29"/>
        </w:rPr>
      </w:r>
      <w:r>
        <w:rPr>
          <w:spacing w:val="-1"/>
        </w:rPr>
        <w:t>融负债的财务担保合同，或没有指定为以公允价值计量且其变动计入当期损益并将以低于市场利率贷款的</w:t>
      </w:r>
      <w:r>
        <w:rPr>
          <w:spacing w:val="-81"/>
        </w:rPr>
        <w:t> </w:t>
      </w:r>
      <w:r>
        <w:rPr>
          <w:spacing w:val="-81"/>
        </w:rPr>
      </w:r>
      <w:r>
        <w:rPr/>
        <w:t>贷款承诺，在初始确认后按照下列两项金额之中的较高者进行后续计量：（</w:t>
      </w:r>
      <w:r>
        <w:rPr>
          <w:rFonts w:ascii="宋体" w:hAnsi="宋体" w:cs="宋体" w:eastAsia="宋体" w:hint="default"/>
        </w:rPr>
        <w:t>1</w:t>
      </w:r>
      <w:r>
        <w:rPr/>
        <w:t>）按照《企业会计准则第</w:t>
      </w:r>
      <w:r>
        <w:rPr>
          <w:rFonts w:ascii="宋体" w:hAnsi="宋体" w:cs="宋体" w:eastAsia="宋体" w:hint="default"/>
        </w:rPr>
        <w:t>13</w:t>
      </w:r>
      <w:r>
        <w:rPr>
          <w:rFonts w:ascii="宋体" w:hAnsi="宋体" w:cs="宋体" w:eastAsia="宋体" w:hint="default"/>
          <w:spacing w:val="-26"/>
        </w:rPr>
        <w:t> </w:t>
      </w:r>
      <w:r>
        <w:rPr/>
        <w:t>号——或有事项》确定的金额；（</w:t>
      </w:r>
      <w:r>
        <w:rPr>
          <w:rFonts w:ascii="宋体" w:hAnsi="宋体" w:cs="宋体" w:eastAsia="宋体" w:hint="default"/>
        </w:rPr>
        <w:t>2</w:t>
      </w:r>
      <w:r>
        <w:rPr/>
        <w:t>）初始确认金额扣除按照《企业会计准则第</w:t>
      </w:r>
      <w:r>
        <w:rPr>
          <w:rFonts w:ascii="宋体" w:hAnsi="宋体" w:cs="宋体" w:eastAsia="宋体" w:hint="default"/>
        </w:rPr>
        <w:t>14</w:t>
      </w:r>
      <w:r>
        <w:rPr/>
        <w:t>号——收入》的原则确</w:t>
      </w:r>
      <w:r>
        <w:rPr>
          <w:spacing w:val="-31"/>
        </w:rPr>
        <w:t> </w:t>
      </w:r>
      <w:r>
        <w:rPr>
          <w:spacing w:val="-31"/>
        </w:rPr>
      </w:r>
      <w:r>
        <w:rPr/>
        <w:t>定的累积摊销额后的余额。</w:t>
      </w:r>
    </w:p>
    <w:p>
      <w:pPr>
        <w:pStyle w:val="BodyText"/>
        <w:spacing w:line="240" w:lineRule="auto" w:before="166"/>
        <w:ind w:left="574" w:right="0"/>
        <w:jc w:val="left"/>
      </w:pPr>
      <w:r>
        <w:rPr/>
        <w:t>金融资产或金融负债公允价值变动形成的利得或损失</w:t>
      </w:r>
      <w:r>
        <w:rPr>
          <w:spacing w:val="-58"/>
        </w:rPr>
        <w:t>，</w:t>
      </w:r>
      <w:r>
        <w:rPr/>
        <w:t>除与套期保值有关外</w:t>
      </w:r>
      <w:r>
        <w:rPr>
          <w:spacing w:val="-58"/>
        </w:rPr>
        <w:t>，</w:t>
      </w:r>
      <w:r>
        <w:rPr/>
        <w:t>按照如下方法处理</w:t>
      </w:r>
      <w:r>
        <w:rPr>
          <w:spacing w:val="-116"/>
        </w:rPr>
        <w:t>：</w:t>
      </w:r>
      <w:r>
        <w:rPr>
          <w:spacing w:val="1"/>
        </w:rPr>
        <w:t>（</w:t>
      </w:r>
      <w:r>
        <w:rPr>
          <w:rFonts w:ascii="宋体" w:hAnsi="宋体" w:cs="宋体" w:eastAsia="宋体" w:hint="default"/>
        </w:rPr>
        <w:t>1</w:t>
      </w:r>
      <w:r>
        <w:rPr/>
        <w:t>）</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价值变动损益；在资产持有期间所取得的利息或现金股利，确认为投资收益；处置时，将实际收到的金额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与初始入账金额之间的差额确认为投资收益，同时调整公允价值变动损益。（</w:t>
      </w:r>
      <w:r>
        <w:rPr>
          <w:rFonts w:ascii="宋体" w:hAnsi="宋体" w:cs="宋体" w:eastAsia="宋体" w:hint="default"/>
        </w:rPr>
        <w:t>2</w:t>
      </w:r>
      <w:r>
        <w:rPr/>
        <w:t>）可供出售金融资产的公</w:t>
      </w:r>
      <w:r>
        <w:rPr>
          <w:spacing w:val="-25"/>
        </w:rPr>
        <w:t> </w:t>
      </w:r>
      <w:r>
        <w:rPr>
          <w:spacing w:val="-25"/>
        </w:rPr>
      </w:r>
      <w:r>
        <w:rPr>
          <w:spacing w:val="-1"/>
        </w:rPr>
        <w:t>允价值变动计入其他综合收益；持有期间按实际利率法计算的利息，计入投资收益；可供出售权益工具投</w:t>
      </w:r>
      <w:r>
        <w:rPr>
          <w:spacing w:val="-83"/>
        </w:rPr>
        <w:t> </w:t>
      </w:r>
      <w:r>
        <w:rPr>
          <w:spacing w:val="-83"/>
        </w:rPr>
      </w:r>
      <w:r>
        <w:rPr>
          <w:spacing w:val="-1"/>
        </w:rPr>
        <w:t>资的现金股利，于被投资单位宣告发放股利时计入投资收益；处置时，将实际收到的金额与账面价值扣除</w:t>
      </w:r>
      <w:r>
        <w:rPr>
          <w:spacing w:val="-83"/>
        </w:rPr>
        <w:t> </w:t>
      </w:r>
      <w:r>
        <w:rPr>
          <w:spacing w:val="-83"/>
        </w:rPr>
      </w:r>
      <w:r>
        <w:rPr/>
        <w:t>原直接计入其他综合收益的公允价值变动累计额之后的差额确认为投资收益。</w:t>
      </w:r>
    </w:p>
    <w:p>
      <w:pPr>
        <w:pStyle w:val="BodyText"/>
        <w:spacing w:line="408" w:lineRule="auto" w:before="166"/>
        <w:ind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240" w:lineRule="auto" w:before="166"/>
        <w:ind w:left="574" w:right="0"/>
        <w:jc w:val="left"/>
      </w:pPr>
      <w:r>
        <w:rPr>
          <w:rFonts w:ascii="宋体" w:hAnsi="宋体" w:cs="宋体" w:eastAsia="宋体" w:hint="default"/>
        </w:rPr>
        <w:t>3</w:t>
      </w:r>
      <w:r>
        <w:rPr/>
        <w:t>、金融资产转移的确认依据和计量方法</w:t>
      </w:r>
    </w:p>
    <w:p>
      <w:pPr>
        <w:spacing w:line="240" w:lineRule="auto" w:before="12"/>
        <w:rPr>
          <w:rFonts w:ascii="宋体" w:hAnsi="宋体" w:cs="宋体" w:eastAsia="宋体" w:hint="default"/>
          <w:sz w:val="23"/>
          <w:szCs w:val="23"/>
        </w:rPr>
      </w:pPr>
    </w:p>
    <w:p>
      <w:pPr>
        <w:pStyle w:val="BodyText"/>
        <w:spacing w:line="408" w:lineRule="auto"/>
        <w:ind w:right="1027" w:firstLine="420"/>
        <w:jc w:val="both"/>
      </w:pPr>
      <w:r>
        <w:rPr/>
        <w:t>本集团已将金融资产所有权上几乎所有的风险和报酬转移给了转入方的，终止确认该金融资产；保留 了金融资产所有权上几乎所有的风险和报酬的，继续确认所转移的金融资产，并将收到的对价确认为一项 </w:t>
      </w:r>
      <w:r>
        <w:rPr>
          <w:spacing w:val="-3"/>
        </w:rPr>
        <w:t>金融负债。本公司既没有转移也没有保留金融资产所有权上几乎所有的风险和报酬的，分别下列情况处理：</w:t>
      </w:r>
    </w:p>
    <w:p>
      <w:pPr>
        <w:pStyle w:val="BodyText"/>
        <w:spacing w:line="408" w:lineRule="auto" w:before="46"/>
        <w:ind w:right="1132"/>
        <w:jc w:val="both"/>
      </w:pPr>
      <w:r>
        <w:rPr>
          <w:spacing w:val="-1"/>
        </w:rPr>
        <w:t>（</w:t>
      </w:r>
      <w:r>
        <w:rPr>
          <w:rFonts w:ascii="宋体" w:hAnsi="宋体" w:cs="宋体" w:eastAsia="宋体" w:hint="default"/>
          <w:spacing w:val="-1"/>
        </w:rPr>
        <w:t>1</w:t>
      </w:r>
      <w:r>
        <w:rPr>
          <w:spacing w:val="-1"/>
        </w:rPr>
        <w:t>）放弃了对该金融资产控制的，终止确认该金融资产；（</w:t>
      </w:r>
      <w:r>
        <w:rPr>
          <w:rFonts w:ascii="宋体" w:hAnsi="宋体" w:cs="宋体" w:eastAsia="宋体" w:hint="default"/>
          <w:spacing w:val="-1"/>
        </w:rPr>
        <w:t>2</w:t>
      </w:r>
      <w:r>
        <w:rPr>
          <w:spacing w:val="-1"/>
        </w:rPr>
        <w:t>）未放弃对该金融资产控制的，按照继续涉</w:t>
      </w:r>
      <w:r>
        <w:rPr>
          <w:spacing w:val="-86"/>
        </w:rPr>
        <w:t> </w:t>
      </w:r>
      <w:r>
        <w:rPr>
          <w:spacing w:val="-86"/>
        </w:rPr>
      </w:r>
      <w:r>
        <w:rPr/>
        <w:t>入所转移金融资产的程度确认有关金融资产，并相应确认有关负债。</w:t>
      </w:r>
    </w:p>
    <w:p>
      <w:pPr>
        <w:pStyle w:val="BodyText"/>
        <w:spacing w:line="408" w:lineRule="auto" w:before="166"/>
        <w:ind w:right="1129" w:firstLine="420"/>
        <w:jc w:val="both"/>
      </w:pPr>
      <w:r>
        <w:rPr/>
        <w:t>金融资产整体转移满足终止确认条件的，将下列两项金额的差额计入当期损益：（</w:t>
      </w:r>
      <w:r>
        <w:rPr>
          <w:rFonts w:ascii="宋体" w:hAnsi="宋体" w:cs="宋体" w:eastAsia="宋体" w:hint="default"/>
        </w:rPr>
        <w:t>1</w:t>
      </w:r>
      <w:r>
        <w:rPr/>
        <w:t>）所转移金融资 产的账面价值；（</w:t>
      </w:r>
      <w:r>
        <w:rPr>
          <w:rFonts w:ascii="宋体" w:hAnsi="宋体" w:cs="宋体" w:eastAsia="宋体" w:hint="default"/>
        </w:rPr>
        <w:t>2</w:t>
      </w:r>
      <w:r>
        <w:rPr/>
        <w:t>）因转移而收到的对价，与原直接计入其他综合收益的公允价值变动累计额之和。金</w:t>
      </w:r>
      <w:r>
        <w:rPr>
          <w:spacing w:val="-33"/>
        </w:rPr>
        <w:t> </w:t>
      </w:r>
      <w:r>
        <w:rPr>
          <w:spacing w:val="-33"/>
        </w:rPr>
      </w:r>
      <w:r>
        <w:rPr>
          <w:spacing w:val="-1"/>
        </w:rPr>
        <w:t>融资产部分转移满足终止确认条件的，将所转移金融资产整体的账面价值，在终止确认部分和未终止确认</w:t>
      </w:r>
      <w:r>
        <w:rPr>
          <w:spacing w:val="-81"/>
        </w:rPr>
        <w:t> </w:t>
      </w:r>
      <w:r>
        <w:rPr>
          <w:spacing w:val="-81"/>
        </w:rPr>
      </w:r>
      <w:r>
        <w:rPr/>
        <w:t>部分之间，按照各自的相对公允价值进行分摊，并将下列两项金额的差额计入当期损益：（</w:t>
      </w:r>
      <w:r>
        <w:rPr>
          <w:rFonts w:ascii="宋体" w:hAnsi="宋体" w:cs="宋体" w:eastAsia="宋体" w:hint="default"/>
        </w:rPr>
        <w:t>1</w:t>
      </w:r>
      <w:r>
        <w:rPr/>
        <w:t>）终止确认</w:t>
      </w:r>
      <w:r>
        <w:rPr>
          <w:spacing w:val="-25"/>
        </w:rPr>
        <w:t> </w:t>
      </w:r>
      <w:r>
        <w:rPr>
          <w:spacing w:val="-25"/>
        </w:rPr>
      </w:r>
      <w:r>
        <w:rPr/>
        <w:t>部分的账面价值；（</w:t>
      </w:r>
      <w:r>
        <w:rPr>
          <w:rFonts w:ascii="宋体" w:hAnsi="宋体" w:cs="宋体" w:eastAsia="宋体" w:hint="default"/>
        </w:rPr>
        <w:t>2</w:t>
      </w:r>
      <w:r>
        <w:rPr/>
        <w:t>）终止确认部分的对价，与原直接计入其他综合收益的公允价值变动累计额中对应</w:t>
      </w:r>
      <w:r>
        <w:rPr>
          <w:spacing w:val="-32"/>
        </w:rPr>
        <w:t> </w:t>
      </w:r>
      <w:r>
        <w:rPr>
          <w:spacing w:val="-32"/>
        </w:rPr>
      </w:r>
      <w:r>
        <w:rPr/>
        <w:t>终止确认部分的金额之和。</w:t>
      </w:r>
    </w:p>
    <w:p>
      <w:pPr>
        <w:pStyle w:val="BodyText"/>
        <w:spacing w:line="240" w:lineRule="auto" w:before="166"/>
        <w:ind w:left="574" w:right="0"/>
        <w:jc w:val="left"/>
      </w:pPr>
      <w:r>
        <w:rPr>
          <w:rFonts w:ascii="宋体" w:hAnsi="宋体" w:cs="宋体" w:eastAsia="宋体" w:hint="default"/>
        </w:rPr>
        <w:t>4</w:t>
      </w:r>
      <w:r>
        <w:rPr/>
        <w:t>、主要金融资产和金融负债的公允价值确定方法</w:t>
      </w:r>
    </w:p>
    <w:p>
      <w:pPr>
        <w:spacing w:line="240" w:lineRule="auto" w:before="12"/>
        <w:rPr>
          <w:rFonts w:ascii="宋体" w:hAnsi="宋体" w:cs="宋体" w:eastAsia="宋体" w:hint="default"/>
          <w:sz w:val="23"/>
          <w:szCs w:val="23"/>
        </w:rPr>
      </w:pPr>
    </w:p>
    <w:p>
      <w:pPr>
        <w:pStyle w:val="BodyText"/>
        <w:spacing w:line="408" w:lineRule="auto"/>
        <w:ind w:right="1109" w:firstLine="420"/>
        <w:jc w:val="both"/>
      </w:pPr>
      <w:r>
        <w:rPr>
          <w:spacing w:val="-1"/>
        </w:rPr>
        <w:t>存在活跃市场的金融资产或金融负债，以活跃市场的报价确定其公允价值；不存在活跃市场的金融资</w:t>
      </w:r>
      <w:r>
        <w:rPr/>
        <w:t> 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pStyle w:val="BodyText"/>
        <w:spacing w:line="240" w:lineRule="auto" w:before="166"/>
        <w:ind w:left="574" w:right="0"/>
        <w:jc w:val="left"/>
      </w:pPr>
      <w:r>
        <w:rPr>
          <w:rFonts w:ascii="宋体" w:hAnsi="宋体" w:cs="宋体" w:eastAsia="宋体" w:hint="default"/>
        </w:rPr>
        <w:t>5</w:t>
      </w:r>
      <w:r>
        <w:rPr/>
        <w:t>、金融资产的减值测试和减值准备计提方法</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7" w:firstLine="420"/>
        <w:jc w:val="both"/>
      </w:pPr>
      <w:r>
        <w:rPr>
          <w:spacing w:val="3"/>
        </w:rPr>
        <w:t>资产负债表日对以公允价值计量且其变动计入当期损益的金融资产以外的金融资产的账面价值进行</w:t>
      </w:r>
      <w:r>
        <w:rPr/>
        <w:t> 检查，如有客观证据表明该金融资产发生减值的，计提减值准备。</w:t>
      </w:r>
    </w:p>
    <w:p>
      <w:pPr>
        <w:pStyle w:val="BodyText"/>
        <w:spacing w:line="408" w:lineRule="auto" w:before="166"/>
        <w:ind w:right="1027" w:firstLine="420"/>
        <w:jc w:val="both"/>
      </w:pPr>
      <w:r>
        <w:rPr/>
        <w:t>对单项金额重大的金融资产单独进行减值测试；对单项金额不重大的金融资产，可以单独进行减值测 </w:t>
      </w:r>
      <w:r>
        <w:rPr>
          <w:spacing w:val="-5"/>
        </w:rPr>
        <w:t>试，或包括在具有类似信用风险特征的金融资产组合中进行减值测试；单独测试未发生减值的金融资产（包</w:t>
      </w:r>
      <w:r>
        <w:rPr>
          <w:spacing w:val="-101"/>
        </w:rPr>
        <w:t> </w:t>
      </w:r>
      <w:r>
        <w:rPr>
          <w:spacing w:val="-101"/>
        </w:rPr>
      </w:r>
      <w:r>
        <w:rPr>
          <w:spacing w:val="-3"/>
        </w:rPr>
        <w:t>括单项金额重大和不重大的金融资产），包括在具有类似信用风险特征的金融资产组合中再进行减值测试。</w:t>
      </w:r>
    </w:p>
    <w:p>
      <w:pPr>
        <w:pStyle w:val="BodyText"/>
        <w:spacing w:line="408" w:lineRule="auto" w:before="166"/>
        <w:ind w:right="1110" w:firstLine="420"/>
        <w:jc w:val="both"/>
      </w:pPr>
      <w:r>
        <w:rPr>
          <w:spacing w:val="-1"/>
        </w:rPr>
        <w:t>按摊余成本计量的金融资产，期末有客观证据表明其发生了减值的，根据其账面价值与预计未来现金</w:t>
      </w:r>
      <w:r>
        <w:rPr/>
        <w:t> 流量现值之间的差额确认减值损失。在活跃市场中没有报价且其公允价值不能可靠计量的权益工具投资， </w:t>
      </w:r>
      <w:r>
        <w:rPr>
          <w:spacing w:val="-1"/>
        </w:rPr>
        <w:t>或与该权益工具挂钩并须通过交付该权益工具结算的衍生金融资产发生减值时，将该权益工具投资或衍生</w:t>
      </w:r>
      <w:r>
        <w:rPr>
          <w:spacing w:val="-81"/>
        </w:rPr>
        <w:t> </w:t>
      </w:r>
      <w:r>
        <w:rPr>
          <w:spacing w:val="-81"/>
        </w:rPr>
      </w:r>
      <w:r>
        <w:rPr/>
        <w:t>金融资产的账面价值，与按照类似金融资产当时市场收益率对未来现金流量折现确定的现值之间的差额， 确认为减值损失。</w:t>
      </w:r>
    </w:p>
    <w:p>
      <w:pPr>
        <w:pStyle w:val="BodyText"/>
        <w:spacing w:line="408" w:lineRule="auto" w:before="166"/>
        <w:ind w:right="1131" w:firstLine="420"/>
        <w:jc w:val="both"/>
      </w:pPr>
      <w:r>
        <w:rPr>
          <w:spacing w:val="-1"/>
        </w:rPr>
        <w:t>可供出售金融资产的公允价值发生较大幅度下降，或在综合考虑各种相关因素后，预期这种下降趋势</w:t>
      </w:r>
      <w:r>
        <w:rPr/>
        <w:t> </w:t>
      </w:r>
      <w:r>
        <w:rPr>
          <w:spacing w:val="-1"/>
        </w:rPr>
        <w:t>属于非暂时性的，确认其减值损失，并将原直接计入其他综合收益的公允价值累计损失一并转出计入减值</w:t>
      </w:r>
      <w:r>
        <w:rPr>
          <w:spacing w:val="-81"/>
        </w:rPr>
        <w:t> </w:t>
      </w:r>
      <w:r>
        <w:rPr>
          <w:spacing w:val="-81"/>
        </w:rPr>
      </w:r>
      <w:r>
        <w:rPr/>
        <w:t>损失。</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1、应收票据及应收账款" w:id="181"/>
      <w:bookmarkEnd w:id="181"/>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交易对象关系组合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款项性质组合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0"/>
        <w:rPr>
          <w:rFonts w:ascii="宋体" w:hAnsi="宋体" w:cs="宋体" w:eastAsia="宋体" w:hint="default"/>
          <w:sz w:val="12"/>
          <w:szCs w:val="12"/>
        </w:rPr>
      </w:pPr>
    </w:p>
    <w:p>
      <w:pPr>
        <w:pStyle w:val="BodyText"/>
        <w:spacing w:line="240" w:lineRule="auto"/>
        <w:ind w:left="574" w:right="0"/>
        <w:jc w:val="left"/>
      </w:pPr>
      <w:r>
        <w:rPr/>
        <w:t>本集团存货主要包括原材料、低值易耗品、未完工合同成本等。</w:t>
      </w:r>
    </w:p>
    <w:p>
      <w:pPr>
        <w:spacing w:line="240" w:lineRule="auto" w:before="12"/>
        <w:rPr>
          <w:rFonts w:ascii="宋体" w:hAnsi="宋体" w:cs="宋体" w:eastAsia="宋体" w:hint="default"/>
          <w:sz w:val="23"/>
          <w:szCs w:val="23"/>
        </w:rPr>
      </w:pPr>
    </w:p>
    <w:p>
      <w:pPr>
        <w:pStyle w:val="BodyText"/>
        <w:spacing w:line="408" w:lineRule="auto"/>
        <w:ind w:right="0" w:firstLine="420"/>
        <w:jc w:val="left"/>
      </w:pPr>
      <w:r>
        <w:rPr>
          <w:spacing w:val="-1"/>
        </w:rPr>
        <w:t>存货实行永续盘存制，存货在取得时按实际成本计价；领用或发出存货，采用加权平均法确定其实际</w:t>
      </w:r>
      <w:r>
        <w:rPr/>
        <w:t> 成本。低值易耗品采用一次转销法进行摊销。</w:t>
      </w:r>
    </w:p>
    <w:p>
      <w:pPr>
        <w:pStyle w:val="BodyText"/>
        <w:spacing w:line="408" w:lineRule="auto" w:before="166"/>
        <w:ind w:right="1118" w:firstLine="420"/>
        <w:jc w:val="left"/>
      </w:pPr>
      <w:r>
        <w:rPr>
          <w:spacing w:val="-1"/>
        </w:rPr>
        <w:t>在资产负债表日，存货按成本与可变现净值孰低原则计价，当其可变现净值低于成本时，计提存货跌</w:t>
      </w:r>
      <w:r>
        <w:rPr/>
        <w:t> 价准备。</w:t>
      </w:r>
    </w:p>
    <w:p>
      <w:pPr>
        <w:pStyle w:val="BodyText"/>
        <w:spacing w:line="408" w:lineRule="auto" w:before="166"/>
        <w:ind w:right="1017" w:firstLine="420"/>
        <w:jc w:val="left"/>
      </w:pPr>
      <w:r>
        <w:rPr>
          <w:spacing w:val="-3"/>
        </w:rPr>
        <w:t>为信息化项目建设、提供技术服务、技术开发等而持有的以备项目建设或者提供服务过程中需要使用、</w:t>
      </w:r>
      <w:r>
        <w:rPr/>
        <w:t> 消耗的存货，若已签订项目合同或者服务合同等，其可变现净值以合同价格为基础计算。</w:t>
      </w:r>
    </w:p>
    <w:p>
      <w:pPr>
        <w:pStyle w:val="BodyText"/>
        <w:spacing w:line="408" w:lineRule="auto" w:before="166"/>
        <w:ind w:right="0" w:firstLine="420"/>
        <w:jc w:val="left"/>
      </w:pPr>
      <w:r>
        <w:rPr>
          <w:spacing w:val="-1"/>
        </w:rPr>
        <w:t>本集团于期末对未完工合同成本进行检查，如果合同项目预计总成本将超过合同总收入时，提取跌价</w:t>
      </w:r>
      <w:r>
        <w:rPr/>
        <w:t> 准备，将预计损失确认为当期损益。</w:t>
      </w:r>
    </w:p>
    <w:p>
      <w:pPr>
        <w:spacing w:after="0" w:line="408"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right="1110" w:firstLine="420"/>
        <w:jc w:val="right"/>
      </w:pPr>
      <w:r>
        <w:rPr/>
        <w:t>本集团将同时满足下列条件的企业组成部分（或非流动资产）划分为持有待售：（</w:t>
      </w:r>
      <w:r>
        <w:rPr>
          <w:rFonts w:ascii="Times New Roman" w:hAnsi="Times New Roman" w:cs="Times New Roman" w:eastAsia="Times New Roman" w:hint="default"/>
        </w:rPr>
        <w:t>1</w:t>
      </w:r>
      <w:r>
        <w:rPr/>
        <w:t>）根据类似交易 中出售此类资产或处置组的惯例，在当前状况下即可立即出售；（</w:t>
      </w:r>
      <w:r>
        <w:rPr>
          <w:rFonts w:ascii="Times New Roman" w:hAnsi="Times New Roman" w:cs="Times New Roman" w:eastAsia="Times New Roman" w:hint="default"/>
        </w:rPr>
        <w:t>2</w:t>
      </w:r>
      <w:r>
        <w:rPr/>
        <w:t>）出售极可能发生，已经就一项出售</w:t>
      </w:r>
      <w:r>
        <w:rPr>
          <w:spacing w:val="-59"/>
        </w:rPr>
        <w:t> </w:t>
      </w:r>
      <w:r>
        <w:rPr>
          <w:spacing w:val="-59"/>
        </w:rPr>
      </w:r>
      <w:r>
        <w:rPr>
          <w:spacing w:val="-1"/>
        </w:rPr>
        <w:t>计划作出决议且获得确定的购买承诺（确定的购买承诺，是指企业与其他方签订的具有法律约束力的购买</w:t>
      </w:r>
      <w:r>
        <w:rPr/>
        <w:t> </w:t>
      </w:r>
      <w:r>
        <w:rPr>
          <w:spacing w:val="-1"/>
        </w:rPr>
        <w:t>协议，该协议包含交易价格、时间和足够严厉的违约惩罚等重要条款，使协议出现重大调整或者撤销的可</w:t>
      </w:r>
      <w:r>
        <w:rPr/>
        <w:t> 能性极小。预计出售将在一年内完成。已经获得按照有关规定需得到相关权力机构或者监管部门的批准。</w:t>
      </w:r>
    </w:p>
    <w:p>
      <w:pPr>
        <w:pStyle w:val="BodyText"/>
        <w:spacing w:line="408" w:lineRule="auto" w:before="174"/>
        <w:ind w:right="1131" w:firstLine="420"/>
        <w:jc w:val="both"/>
      </w:pPr>
      <w:r>
        <w:rPr>
          <w:spacing w:val="-1"/>
        </w:rPr>
        <w:t>本集团将持有待售的预计净残值调整为反映其公允价值减去出售费用后的净额（但不得超过该项持有</w:t>
      </w:r>
      <w:r>
        <w:rPr/>
        <w:t> </w:t>
      </w:r>
      <w:r>
        <w:rPr>
          <w:spacing w:val="-1"/>
        </w:rPr>
        <w:t>待售的原账面价值），原账面价值高于调整后预计净残值的差额，作为资产减值损失计入当期损益，同时</w:t>
      </w:r>
      <w:r>
        <w:rPr>
          <w:spacing w:val="-85"/>
        </w:rPr>
        <w:t> </w:t>
      </w:r>
      <w:r>
        <w:rPr>
          <w:spacing w:val="-85"/>
        </w:rPr>
      </w:r>
      <w:r>
        <w:rPr>
          <w:spacing w:val="-1"/>
        </w:rPr>
        <w:t>计提持有待售资产减值准备。对于持有待售的处置组确认的资产减值损失金额，应当先抵减处置组中商誉</w:t>
      </w:r>
      <w:r>
        <w:rPr>
          <w:spacing w:val="-81"/>
        </w:rPr>
        <w:t> </w:t>
      </w:r>
      <w:r>
        <w:rPr>
          <w:spacing w:val="-81"/>
        </w:rPr>
      </w:r>
      <w:r>
        <w:rPr>
          <w:spacing w:val="-1"/>
        </w:rPr>
        <w:t>的账面价值，再根据处置组中适用本准则计量规定的各项非流动资产账面价值所占比重，按比例抵减其账</w:t>
      </w:r>
      <w:r>
        <w:rPr>
          <w:spacing w:val="-81"/>
        </w:rPr>
        <w:t> </w:t>
      </w:r>
      <w:r>
        <w:rPr>
          <w:spacing w:val="-81"/>
        </w:rPr>
      </w:r>
      <w:r>
        <w:rPr/>
        <w:t>面价值。</w:t>
      </w:r>
    </w:p>
    <w:p>
      <w:pPr>
        <w:pStyle w:val="BodyText"/>
        <w:spacing w:line="408" w:lineRule="auto" w:before="166"/>
        <w:ind w:right="1130" w:firstLine="420"/>
        <w:jc w:val="both"/>
      </w:pPr>
      <w:r>
        <w:rPr>
          <w:spacing w:val="-1"/>
        </w:rPr>
        <w:t>后续资产负债表日持有待售的非流动资产公允价值减去出售费用后的净额增加的，以前减记的金额应</w:t>
      </w:r>
      <w:r>
        <w:rPr/>
        <w:t> </w:t>
      </w:r>
      <w:r>
        <w:rPr>
          <w:spacing w:val="-1"/>
        </w:rPr>
        <w:t>当予以恢复，并在划分为持有待售类别后确认的资产减值损失金额内转回，转回金额计入当期损益。划分</w:t>
      </w:r>
      <w:r>
        <w:rPr>
          <w:spacing w:val="-82"/>
        </w:rPr>
        <w:t> </w:t>
      </w:r>
      <w:r>
        <w:rPr>
          <w:spacing w:val="-82"/>
        </w:rPr>
      </w:r>
      <w:r>
        <w:rPr>
          <w:spacing w:val="-1"/>
        </w:rPr>
        <w:t>为持有待售类别前确认的资产减值损失不得转回。后续资产负债表日持有待售的处置组公允价值减去出售</w:t>
      </w:r>
      <w:r>
        <w:rPr>
          <w:spacing w:val="-81"/>
        </w:rPr>
        <w:t> </w:t>
      </w:r>
      <w:r>
        <w:rPr>
          <w:spacing w:val="-81"/>
        </w:rPr>
      </w:r>
      <w:r>
        <w:rPr>
          <w:spacing w:val="-1"/>
        </w:rPr>
        <w:t>费用后的净额增加的，以前减记的金额应当予以恢复，并在划分为持有待售类别后适用本准则计量规定的</w:t>
      </w:r>
      <w:r>
        <w:rPr>
          <w:spacing w:val="-81"/>
        </w:rPr>
        <w:t> </w:t>
      </w:r>
      <w:r>
        <w:rPr>
          <w:spacing w:val="-81"/>
        </w:rPr>
      </w:r>
      <w:r>
        <w:rPr>
          <w:spacing w:val="-1"/>
        </w:rPr>
        <w:t>非流动资产确认的资产减值损失金额内转回，转回金额计入当期损益。已抵减的商誉账面价值，以及适用</w:t>
      </w:r>
      <w:r>
        <w:rPr>
          <w:spacing w:val="-83"/>
        </w:rPr>
        <w:t> </w:t>
      </w:r>
      <w:r>
        <w:rPr>
          <w:spacing w:val="-83"/>
        </w:rPr>
      </w:r>
      <w:r>
        <w:rPr>
          <w:spacing w:val="-1"/>
        </w:rPr>
        <w:t>本准则计量规定的非流动资产在划分为持有待售类别前确认的资产减值损失不得转回。持有待售的处置组</w:t>
      </w:r>
      <w:r>
        <w:rPr>
          <w:spacing w:val="-81"/>
        </w:rPr>
        <w:t> </w:t>
      </w:r>
      <w:r>
        <w:rPr>
          <w:spacing w:val="-81"/>
        </w:rPr>
      </w:r>
      <w:r>
        <w:rPr/>
        <w:t>确认的资产减值损失后续转回金额，</w:t>
      </w:r>
      <w:r>
        <w:rPr>
          <w:spacing w:val="50"/>
        </w:rPr>
        <w:t> </w:t>
      </w:r>
      <w:r>
        <w:rPr/>
        <w:t>应当根据处置组中除商誉外适用本准则计量规定的各项非流动资产</w:t>
      </w:r>
      <w:r>
        <w:rPr>
          <w:spacing w:val="-88"/>
        </w:rPr>
        <w:t> </w:t>
      </w:r>
      <w:r>
        <w:rPr>
          <w:spacing w:val="-88"/>
        </w:rPr>
      </w:r>
      <w:r>
        <w:rPr/>
        <w:t>账面价值所占比重，按比例增加其账面价值。</w:t>
      </w:r>
    </w:p>
    <w:p>
      <w:pPr>
        <w:pStyle w:val="BodyText"/>
        <w:spacing w:line="408" w:lineRule="auto" w:before="166"/>
        <w:ind w:right="1131" w:firstLine="420"/>
        <w:jc w:val="both"/>
      </w:pPr>
      <w:r>
        <w:rPr>
          <w:spacing w:val="-1"/>
        </w:rPr>
        <w:t>企业因出售对子公司的投资等原因导致其丧失对子公司控制权的，无论出售后企业是否保留部分权益</w:t>
      </w:r>
      <w:r>
        <w:rPr/>
        <w:t> </w:t>
      </w:r>
      <w:r>
        <w:rPr>
          <w:spacing w:val="-1"/>
        </w:rPr>
        <w:t>性投资，应当在拟出售的对子公司投资满足持有待售类别划分条件时，在母公司个别财务报表中将对子公</w:t>
      </w:r>
      <w:r>
        <w:rPr>
          <w:spacing w:val="-81"/>
        </w:rPr>
        <w:t> </w:t>
      </w:r>
      <w:r>
        <w:rPr>
          <w:spacing w:val="-81"/>
        </w:rPr>
      </w:r>
      <w:r>
        <w:rPr/>
        <w:t>司投资整体划分为持有待售类别，在合并财务报表中将子公司所有资产和负债划分为持有待售类别。</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74" w:right="0"/>
        <w:jc w:val="left"/>
      </w:pPr>
      <w:r>
        <w:rPr>
          <w:rFonts w:ascii="Times New Roman" w:hAnsi="Times New Roman" w:cs="Times New Roman" w:eastAsia="Times New Roman" w:hint="default"/>
        </w:rPr>
        <w:t>1</w:t>
      </w:r>
      <w:r>
        <w:rPr/>
        <w:t>、投资成本的确定</w:t>
      </w:r>
    </w:p>
    <w:p>
      <w:pPr>
        <w:spacing w:line="240" w:lineRule="auto" w:before="10"/>
        <w:rPr>
          <w:rFonts w:ascii="宋体" w:hAnsi="宋体" w:cs="宋体" w:eastAsia="宋体" w:hint="default"/>
          <w:sz w:val="22"/>
          <w:szCs w:val="22"/>
        </w:rPr>
      </w:pPr>
    </w:p>
    <w:p>
      <w:pPr>
        <w:pStyle w:val="BodyText"/>
        <w:spacing w:line="398" w:lineRule="auto"/>
        <w:ind w:right="1131" w:firstLine="210"/>
        <w:jc w:val="both"/>
      </w:pPr>
      <w:r>
        <w:rPr/>
        <w:t>（</w:t>
      </w:r>
      <w:r>
        <w:rPr>
          <w:rFonts w:ascii="Times New Roman" w:hAnsi="Times New Roman" w:cs="Times New Roman" w:eastAsia="Times New Roman" w:hint="default"/>
        </w:rPr>
        <w:t>1</w:t>
      </w:r>
      <w:r>
        <w:rPr/>
        <w:t>）同一控制下的企业合并形成的，合并方以支付现金、转让非现金资产、承担债务或发行权益性证 </w:t>
      </w:r>
      <w:r>
        <w:rPr>
          <w:spacing w:val="-1"/>
        </w:rPr>
        <w:t>券作为合并对价的，在合并日按照被合并方所有者权益在最终控制方合并财务报表中的账面价值的份额作</w:t>
      </w:r>
      <w:r>
        <w:rPr>
          <w:spacing w:val="-81"/>
        </w:rPr>
        <w:t> </w:t>
      </w:r>
      <w:r>
        <w:rPr>
          <w:spacing w:val="-81"/>
        </w:rPr>
      </w:r>
      <w:r>
        <w:rPr>
          <w:spacing w:val="-1"/>
        </w:rPr>
        <w:t>为其初始投资成本。长期股权投资初始投资成本与支付的合并对价的账面价值或发行股份的面值总额之间</w:t>
      </w:r>
    </w:p>
    <w:p>
      <w:pPr>
        <w:spacing w:after="0" w:line="398"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84" w:lineRule="auto" w:before="174"/>
        <w:ind w:left="574" w:right="0" w:hanging="420"/>
        <w:jc w:val="left"/>
      </w:pPr>
      <w:r>
        <w:rPr/>
        <w:t>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 </w:t>
      </w:r>
      <w:r>
        <w:rPr>
          <w:spacing w:val="-1"/>
        </w:rPr>
        <w:t>分步实现同一控制下企业合并的，应当以持股比例计算的合并日应享有被合并方账面所有者权益份额</w:t>
      </w:r>
    </w:p>
    <w:p>
      <w:pPr>
        <w:pStyle w:val="BodyText"/>
        <w:spacing w:line="254" w:lineRule="exact"/>
        <w:ind w:right="0"/>
        <w:jc w:val="left"/>
      </w:pPr>
      <w:r>
        <w:rPr/>
        <w:t>作为该项投资的初始投资成本。初始投资成本与其原长期股权投资账面价值加上合并日取得进一步股份新</w:t>
      </w:r>
    </w:p>
    <w:p>
      <w:pPr>
        <w:spacing w:line="240" w:lineRule="auto" w:before="10"/>
        <w:rPr>
          <w:rFonts w:ascii="宋体" w:hAnsi="宋体" w:cs="宋体" w:eastAsia="宋体" w:hint="default"/>
          <w:sz w:val="14"/>
          <w:szCs w:val="14"/>
        </w:rPr>
      </w:pPr>
    </w:p>
    <w:p>
      <w:pPr>
        <w:pStyle w:val="BodyText"/>
        <w:spacing w:line="408" w:lineRule="auto"/>
        <w:ind w:right="1118"/>
        <w:jc w:val="left"/>
      </w:pPr>
      <w:r>
        <w:rPr>
          <w:spacing w:val="-1"/>
        </w:rPr>
        <w:t>支付对价的账面价值之和的差额，调整资本公积（资本溢价或股本溢价），资本公积不足冲减的，冲减留</w:t>
      </w:r>
      <w:r>
        <w:rPr>
          <w:spacing w:val="-83"/>
        </w:rPr>
        <w:t> </w:t>
      </w:r>
      <w:r>
        <w:rPr>
          <w:spacing w:val="-83"/>
        </w:rPr>
      </w:r>
      <w:r>
        <w:rPr/>
        <w:t>存收益。</w:t>
      </w:r>
    </w:p>
    <w:p>
      <w:pPr>
        <w:pStyle w:val="BodyText"/>
        <w:spacing w:line="386" w:lineRule="auto" w:before="166"/>
        <w:ind w:right="1132" w:firstLine="420"/>
        <w:jc w:val="both"/>
      </w:pPr>
      <w:r>
        <w:rPr/>
        <w:t>（</w:t>
      </w:r>
      <w:r>
        <w:rPr>
          <w:rFonts w:ascii="Times New Roman" w:hAnsi="Times New Roman" w:cs="Times New Roman" w:eastAsia="Times New Roman" w:hint="default"/>
        </w:rPr>
        <w:t>2</w:t>
      </w:r>
      <w:r>
        <w:rPr/>
        <w:t>）非同一控制下的企业合并形成的，在购买日按照支付的合并对价的公允价值作为其初始投资成 本。</w:t>
      </w:r>
    </w:p>
    <w:p>
      <w:pPr>
        <w:spacing w:line="240" w:lineRule="auto" w:before="2"/>
        <w:rPr>
          <w:rFonts w:ascii="宋体" w:hAnsi="宋体" w:cs="宋体" w:eastAsia="宋体" w:hint="default"/>
          <w:sz w:val="14"/>
          <w:szCs w:val="14"/>
        </w:rPr>
      </w:pPr>
    </w:p>
    <w:p>
      <w:pPr>
        <w:pStyle w:val="BodyText"/>
        <w:spacing w:line="398" w:lineRule="auto"/>
        <w:ind w:right="1131" w:firstLine="420"/>
        <w:jc w:val="both"/>
      </w:pPr>
      <w:r>
        <w:rPr/>
        <w:t>（</w:t>
      </w:r>
      <w:r>
        <w:rPr>
          <w:rFonts w:ascii="Times New Roman" w:hAnsi="Times New Roman" w:cs="Times New Roman" w:eastAsia="Times New Roman" w:hint="default"/>
        </w:rPr>
        <w:t>3</w:t>
      </w:r>
      <w:r>
        <w:rPr/>
        <w:t>）除企业合并形成以外的：以支付现金取得的，按照实际支付的购买价款作为其初始投资成本； </w:t>
      </w:r>
      <w:r>
        <w:rPr>
          <w:spacing w:val="-1"/>
        </w:rPr>
        <w:t>以发行权益性证券取得的，按照发行权益性证券的公允价值作为其初始投资成本；投资者投入的，按照投</w:t>
      </w:r>
      <w:r>
        <w:rPr>
          <w:spacing w:val="-83"/>
        </w:rPr>
        <w:t> </w:t>
      </w:r>
      <w:r>
        <w:rPr>
          <w:spacing w:val="-83"/>
        </w:rPr>
      </w:r>
      <w:r>
        <w:rPr/>
        <w:t>资合同或协议约定的价值作为其初始投资成本（合同或协议约定价值不公允的除外）。</w:t>
      </w:r>
    </w:p>
    <w:p>
      <w:pPr>
        <w:pStyle w:val="BodyText"/>
        <w:spacing w:line="240" w:lineRule="auto" w:before="174"/>
        <w:ind w:left="574" w:right="0"/>
        <w:jc w:val="left"/>
      </w:pPr>
      <w:r>
        <w:rPr>
          <w:rFonts w:ascii="Times New Roman" w:hAnsi="Times New Roman" w:cs="Times New Roman" w:eastAsia="Times New Roman" w:hint="default"/>
        </w:rPr>
        <w:t>2</w:t>
      </w:r>
      <w:r>
        <w:rPr/>
        <w:t>、后续计量及损益确认方法</w:t>
      </w:r>
    </w:p>
    <w:p>
      <w:pPr>
        <w:spacing w:line="240" w:lineRule="auto" w:before="9"/>
        <w:rPr>
          <w:rFonts w:ascii="宋体" w:hAnsi="宋体" w:cs="宋体" w:eastAsia="宋体" w:hint="default"/>
          <w:sz w:val="22"/>
          <w:szCs w:val="22"/>
        </w:rPr>
      </w:pPr>
    </w:p>
    <w:p>
      <w:pPr>
        <w:pStyle w:val="BodyText"/>
        <w:spacing w:line="386" w:lineRule="auto"/>
        <w:ind w:right="1131" w:firstLine="420"/>
        <w:jc w:val="both"/>
      </w:pPr>
      <w:r>
        <w:rPr>
          <w:spacing w:val="-2"/>
        </w:rPr>
        <w:t>本集团能够对被投资单位实施控制的长期股权投资</w:t>
      </w:r>
      <w:r>
        <w:rPr>
          <w:rFonts w:ascii="Times New Roman" w:hAnsi="Times New Roman" w:cs="Times New Roman" w:eastAsia="Times New Roman" w:hint="default"/>
          <w:spacing w:val="-2"/>
        </w:rPr>
        <w:t>,</w:t>
      </w:r>
      <w:r>
        <w:rPr>
          <w:spacing w:val="-2"/>
        </w:rPr>
        <w:t>在本公司个别财务报表中采用成本法核算；对具有</w:t>
      </w:r>
      <w:r>
        <w:rPr/>
        <w:t> 共同控制或重大影响的长期股权投资，采用权益法核算。</w:t>
      </w:r>
    </w:p>
    <w:p>
      <w:pPr>
        <w:spacing w:line="240" w:lineRule="auto" w:before="2"/>
        <w:rPr>
          <w:rFonts w:ascii="宋体" w:hAnsi="宋体" w:cs="宋体" w:eastAsia="宋体" w:hint="default"/>
          <w:sz w:val="14"/>
          <w:szCs w:val="14"/>
        </w:rPr>
      </w:pPr>
    </w:p>
    <w:p>
      <w:pPr>
        <w:pStyle w:val="BodyText"/>
        <w:spacing w:line="386" w:lineRule="auto"/>
        <w:ind w:right="1128" w:firstLine="42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 告但尚未发放的现金股利或利润外</w:t>
      </w:r>
      <w:r>
        <w:rPr>
          <w:rFonts w:ascii="Times New Roman" w:hAnsi="Times New Roman" w:cs="Times New Roman" w:eastAsia="Times New Roman" w:hint="default"/>
        </w:rPr>
        <w:t>,</w:t>
      </w:r>
      <w:r>
        <w:rPr/>
        <w:t>按享有被投资单位宣告分派的现金股利或利润</w:t>
      </w:r>
      <w:r>
        <w:rPr>
          <w:rFonts w:ascii="Times New Roman" w:hAnsi="Times New Roman" w:cs="Times New Roman" w:eastAsia="Times New Roman" w:hint="default"/>
        </w:rPr>
        <w:t>,</w:t>
      </w:r>
      <w:r>
        <w:rPr/>
        <w:t>确认为当期投资收益</w:t>
      </w:r>
      <w:r>
        <w:rPr>
          <w:rFonts w:ascii="Times New Roman" w:hAnsi="Times New Roman" w:cs="Times New Roman" w:eastAsia="Times New Roman" w:hint="default"/>
        </w:rPr>
        <w:t>,</w:t>
      </w:r>
      <w:r>
        <w:rPr/>
        <w:t>并</w:t>
      </w:r>
      <w:r>
        <w:rPr>
          <w:spacing w:val="-76"/>
        </w:rPr>
        <w:t> </w:t>
      </w:r>
      <w:r>
        <w:rPr/>
        <w:t>同时根据有关资产减值政策考虑长期投资是否减值。</w:t>
      </w:r>
    </w:p>
    <w:p>
      <w:pPr>
        <w:spacing w:line="240" w:lineRule="auto" w:before="2"/>
        <w:rPr>
          <w:rFonts w:ascii="宋体" w:hAnsi="宋体" w:cs="宋体" w:eastAsia="宋体" w:hint="default"/>
          <w:sz w:val="14"/>
          <w:szCs w:val="14"/>
        </w:rPr>
      </w:pPr>
    </w:p>
    <w:p>
      <w:pPr>
        <w:pStyle w:val="BodyText"/>
        <w:spacing w:line="386" w:lineRule="auto"/>
        <w:ind w:right="1131" w:firstLine="420"/>
        <w:jc w:val="both"/>
      </w:pPr>
      <w:r>
        <w:rPr>
          <w:spacing w:val="2"/>
        </w:rPr>
        <w:t>采用权益法时</w:t>
      </w:r>
      <w:r>
        <w:rPr>
          <w:rFonts w:ascii="Times New Roman" w:hAnsi="Times New Roman" w:cs="Times New Roman" w:eastAsia="Times New Roman" w:hint="default"/>
          <w:spacing w:val="2"/>
        </w:rPr>
        <w:t>,</w:t>
      </w:r>
      <w:r>
        <w:rPr>
          <w:spacing w:val="2"/>
        </w:rPr>
        <w:t>长期股权投资的初始投资成本大于投资时应享有被投资单位可辨认净资产公允价值份</w:t>
      </w:r>
      <w:r>
        <w:rPr/>
        <w:t> </w:t>
      </w:r>
      <w:r>
        <w:rPr>
          <w:spacing w:val="-2"/>
        </w:rPr>
        <w:t>额的</w:t>
      </w:r>
      <w:r>
        <w:rPr>
          <w:rFonts w:ascii="Times New Roman" w:hAnsi="Times New Roman" w:cs="Times New Roman" w:eastAsia="Times New Roman" w:hint="default"/>
          <w:spacing w:val="-2"/>
        </w:rPr>
        <w:t>,</w:t>
      </w:r>
      <w:r>
        <w:rPr>
          <w:spacing w:val="-2"/>
        </w:rPr>
        <w:t>归入长期股权投资的初始投资成本；长期股权投资的初始投资成本小于投资时应享有被投资单位可辨</w:t>
      </w:r>
      <w:r>
        <w:rPr>
          <w:spacing w:val="-86"/>
        </w:rPr>
        <w:t> </w:t>
      </w:r>
      <w:r>
        <w:rPr>
          <w:spacing w:val="-86"/>
        </w:rPr>
      </w:r>
      <w:r>
        <w:rPr/>
        <w:t>认净资产公允价值份额的</w:t>
      </w:r>
      <w:r>
        <w:rPr>
          <w:rFonts w:ascii="Times New Roman" w:hAnsi="Times New Roman" w:cs="Times New Roman" w:eastAsia="Times New Roman" w:hint="default"/>
        </w:rPr>
        <w:t>,</w:t>
      </w:r>
      <w:r>
        <w:rPr/>
        <w:t>其差额计入当期损益</w:t>
      </w:r>
      <w:r>
        <w:rPr>
          <w:rFonts w:ascii="Times New Roman" w:hAnsi="Times New Roman" w:cs="Times New Roman" w:eastAsia="Times New Roman" w:hint="default"/>
        </w:rPr>
        <w:t>,</w:t>
      </w:r>
      <w:r>
        <w:rPr/>
        <w:t>同时调整长期股权投资的成本。</w:t>
      </w:r>
    </w:p>
    <w:p>
      <w:pPr>
        <w:pStyle w:val="BodyText"/>
        <w:spacing w:line="386" w:lineRule="auto" w:before="155"/>
        <w:ind w:right="1129" w:firstLine="420"/>
        <w:jc w:val="both"/>
      </w:pPr>
      <w:r>
        <w:rPr/>
        <w:t>采用权益法时</w:t>
      </w:r>
      <w:r>
        <w:rPr>
          <w:rFonts w:ascii="Times New Roman" w:hAnsi="Times New Roman" w:cs="Times New Roman" w:eastAsia="Times New Roman" w:hint="default"/>
        </w:rPr>
        <w:t>,</w:t>
      </w:r>
      <w:r>
        <w:rPr/>
        <w:t>取得长期股权投资后</w:t>
      </w:r>
      <w:r>
        <w:rPr>
          <w:rFonts w:ascii="Times New Roman" w:hAnsi="Times New Roman" w:cs="Times New Roman" w:eastAsia="Times New Roman" w:hint="default"/>
        </w:rPr>
        <w:t>,</w:t>
      </w:r>
      <w:r>
        <w:rPr/>
        <w:t>按照应享有或应分担的被投资单位实现的净损益的份额</w:t>
      </w:r>
      <w:r>
        <w:rPr>
          <w:rFonts w:ascii="Times New Roman" w:hAnsi="Times New Roman" w:cs="Times New Roman" w:eastAsia="Times New Roman" w:hint="default"/>
        </w:rPr>
        <w:t>,</w:t>
      </w:r>
      <w:r>
        <w:rPr/>
        <w:t>确认投资 </w:t>
      </w:r>
      <w:r>
        <w:rPr>
          <w:spacing w:val="-2"/>
        </w:rPr>
        <w:t>损益并调整长期股权投资的账面价值。在确认应享有被投资单位净损益的份额时</w:t>
      </w:r>
      <w:r>
        <w:rPr>
          <w:rFonts w:ascii="Times New Roman" w:hAnsi="Times New Roman" w:cs="Times New Roman" w:eastAsia="Times New Roman" w:hint="default"/>
          <w:spacing w:val="-2"/>
        </w:rPr>
        <w:t>,</w:t>
      </w:r>
      <w:r>
        <w:rPr>
          <w:spacing w:val="-2"/>
        </w:rPr>
        <w:t>以取得投资时被投资单位</w:t>
      </w:r>
      <w:r>
        <w:rPr>
          <w:spacing w:val="-85"/>
        </w:rPr>
        <w:t> </w:t>
      </w:r>
      <w:r>
        <w:rPr/>
        <w:t>各项可辨认资产等的公允价值为基础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w:t>
      </w:r>
      <w:r>
        <w:rPr>
          <w:spacing w:val="-31"/>
        </w:rPr>
        <w:t> </w:t>
      </w:r>
      <w:r>
        <w:rPr>
          <w:spacing w:val="-31"/>
        </w:rPr>
      </w:r>
      <w:r>
        <w:rPr/>
        <w:t>间发生的内部交易损益按照持股比例计算归属于投资企业的部分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w:t>
      </w:r>
      <w:r>
        <w:rPr>
          <w:spacing w:val="-45"/>
        </w:rPr>
        <w:t> </w:t>
      </w:r>
      <w:r>
        <w:rPr>
          <w:spacing w:val="-2"/>
        </w:rPr>
        <w:t>全额确认</w:t>
      </w:r>
      <w:r>
        <w:rPr>
          <w:rFonts w:ascii="Times New Roman" w:hAnsi="Times New Roman" w:cs="Times New Roman" w:eastAsia="Times New Roman" w:hint="default"/>
          <w:spacing w:val="-2"/>
        </w:rPr>
        <w:t>)</w:t>
      </w:r>
      <w:r>
        <w:rPr>
          <w:spacing w:val="-2"/>
        </w:rPr>
        <w:t>，对被投资单位的净利润进行调整后确认。按照被投资单位宣告分派的利润或现金股利计算应分</w:t>
      </w:r>
      <w:r>
        <w:rPr/>
        <w:t> 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以长期股权投资的账</w:t>
      </w:r>
      <w:r>
        <w:rPr>
          <w:spacing w:val="-29"/>
        </w:rPr>
        <w:t> </w:t>
      </w:r>
      <w:r>
        <w:rPr>
          <w:spacing w:val="-29"/>
        </w:rPr>
      </w:r>
      <w:r>
        <w:rPr>
          <w:spacing w:val="2"/>
        </w:rPr>
        <w:t>面价值以及其他实质上构成对被投资单位净投资的长期权益减记至零为限</w:t>
      </w:r>
      <w:r>
        <w:rPr>
          <w:rFonts w:ascii="Times New Roman" w:hAnsi="Times New Roman" w:cs="Times New Roman" w:eastAsia="Times New Roman" w:hint="default"/>
          <w:spacing w:val="2"/>
        </w:rPr>
        <w:t>,</w:t>
      </w:r>
      <w:r>
        <w:rPr>
          <w:spacing w:val="2"/>
        </w:rPr>
        <w:t>本公司负有承担额外损失义务</w:t>
      </w:r>
      <w:r>
        <w:rPr>
          <w:spacing w:val="-75"/>
        </w:rPr>
        <w:t> </w:t>
      </w:r>
      <w:r>
        <w:rPr>
          <w:spacing w:val="-75"/>
        </w:rPr>
      </w:r>
      <w:r>
        <w:rPr>
          <w:spacing w:val="-2"/>
        </w:rPr>
        <w:t>的除外。对于被投资单位除净损益以外所有者权益的其他变动</w:t>
      </w:r>
      <w:r>
        <w:rPr>
          <w:rFonts w:ascii="Times New Roman" w:hAnsi="Times New Roman" w:cs="Times New Roman" w:eastAsia="Times New Roman" w:hint="default"/>
          <w:spacing w:val="-2"/>
        </w:rPr>
        <w:t>,</w:t>
      </w:r>
      <w:r>
        <w:rPr>
          <w:spacing w:val="-2"/>
        </w:rPr>
        <w:t>调整长期股权投资的账面价值并计入所有者</w:t>
      </w:r>
    </w:p>
    <w:p>
      <w:pPr>
        <w:spacing w:after="0" w:line="386"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权益。</w:t>
      </w:r>
    </w:p>
    <w:p>
      <w:pPr>
        <w:spacing w:line="240" w:lineRule="auto" w:before="12"/>
        <w:rPr>
          <w:rFonts w:ascii="宋体" w:hAnsi="宋体" w:cs="宋体" w:eastAsia="宋体" w:hint="default"/>
          <w:sz w:val="23"/>
          <w:szCs w:val="23"/>
        </w:rPr>
      </w:pPr>
    </w:p>
    <w:p>
      <w:pPr>
        <w:pStyle w:val="BodyText"/>
        <w:spacing w:line="484" w:lineRule="auto"/>
        <w:ind w:left="574" w:right="0"/>
        <w:jc w:val="left"/>
      </w:pPr>
      <w:r>
        <w:rPr>
          <w:rFonts w:ascii="Times New Roman" w:hAnsi="Times New Roman" w:cs="Times New Roman" w:eastAsia="Times New Roman" w:hint="default"/>
        </w:rPr>
        <w:t>3</w:t>
      </w:r>
      <w:r>
        <w:rPr/>
        <w:t>、确定对被投资单位具有控制、重大影响的依据 </w:t>
      </w:r>
      <w:r>
        <w:rPr>
          <w:spacing w:val="-1"/>
        </w:rPr>
        <w:t>控制，是指拥有对被投资方的权力，通过参与被投资方的相关活动而享有可变回报，并且有能力运用</w:t>
      </w:r>
    </w:p>
    <w:p>
      <w:pPr>
        <w:pStyle w:val="BodyText"/>
        <w:spacing w:line="254" w:lineRule="exact"/>
        <w:ind w:right="0"/>
        <w:jc w:val="left"/>
      </w:pPr>
      <w:r>
        <w:rPr/>
        <w:t>对被投资方的权力影响回报金额；重大影响，是指投资方对被投资单位的财务和经营政策有参与决策的权</w:t>
      </w:r>
    </w:p>
    <w:p>
      <w:pPr>
        <w:spacing w:line="240" w:lineRule="auto" w:before="10"/>
        <w:rPr>
          <w:rFonts w:ascii="宋体" w:hAnsi="宋体" w:cs="宋体" w:eastAsia="宋体" w:hint="default"/>
          <w:sz w:val="14"/>
          <w:szCs w:val="14"/>
        </w:rPr>
      </w:pPr>
    </w:p>
    <w:p>
      <w:pPr>
        <w:pStyle w:val="BodyText"/>
        <w:spacing w:line="240" w:lineRule="auto"/>
        <w:ind w:right="0"/>
        <w:jc w:val="left"/>
      </w:pPr>
      <w:r>
        <w:rPr/>
        <w:t>力，但并不能够控制或者与其他方一起共同控制这些政策的制定。</w:t>
      </w:r>
    </w:p>
    <w:p>
      <w:pPr>
        <w:spacing w:line="240" w:lineRule="auto" w:before="12"/>
        <w:rPr>
          <w:rFonts w:ascii="宋体" w:hAnsi="宋体" w:cs="宋体" w:eastAsia="宋体" w:hint="default"/>
          <w:sz w:val="23"/>
          <w:szCs w:val="23"/>
        </w:rPr>
      </w:pPr>
    </w:p>
    <w:p>
      <w:pPr>
        <w:pStyle w:val="BodyText"/>
        <w:spacing w:line="240" w:lineRule="auto"/>
        <w:ind w:left="574" w:right="0"/>
        <w:jc w:val="left"/>
      </w:pPr>
      <w:r>
        <w:rPr>
          <w:rFonts w:ascii="Times New Roman" w:hAnsi="Times New Roman" w:cs="Times New Roman" w:eastAsia="Times New Roman" w:hint="default"/>
        </w:rPr>
        <w:t>4</w:t>
      </w:r>
      <w:r>
        <w:rPr/>
        <w:t>、长期股权投资的处置</w:t>
      </w:r>
    </w:p>
    <w:p>
      <w:pPr>
        <w:spacing w:line="240" w:lineRule="auto" w:before="9"/>
        <w:rPr>
          <w:rFonts w:ascii="宋体" w:hAnsi="宋体" w:cs="宋体" w:eastAsia="宋体" w:hint="default"/>
          <w:sz w:val="22"/>
          <w:szCs w:val="22"/>
        </w:rPr>
      </w:pPr>
    </w:p>
    <w:p>
      <w:pPr>
        <w:pStyle w:val="BodyText"/>
        <w:spacing w:line="484" w:lineRule="auto"/>
        <w:ind w:left="574" w:right="0"/>
        <w:jc w:val="left"/>
      </w:pPr>
      <w:r>
        <w:rPr/>
        <w:t>（</w:t>
      </w:r>
      <w:r>
        <w:rPr>
          <w:rFonts w:ascii="Times New Roman" w:hAnsi="Times New Roman" w:cs="Times New Roman" w:eastAsia="Times New Roman" w:hint="default"/>
        </w:rPr>
        <w:t>1</w:t>
      </w:r>
      <w:r>
        <w:rPr/>
        <w:t>）部分处置对子公司的长期股权投资，但不丧失控制权的情形 </w:t>
      </w:r>
      <w:r>
        <w:rPr>
          <w:spacing w:val="-1"/>
        </w:rPr>
        <w:t>部分处置对子公司的长期股权投资，但不丧失控制权时，应当将处置价款与处置投资对应的账面价值</w:t>
      </w:r>
    </w:p>
    <w:p>
      <w:pPr>
        <w:pStyle w:val="BodyText"/>
        <w:spacing w:line="254" w:lineRule="exact"/>
        <w:ind w:right="0"/>
        <w:jc w:val="left"/>
      </w:pPr>
      <w:r>
        <w:rPr/>
        <w:t>的差额确认为当期投资收益。</w:t>
      </w:r>
    </w:p>
    <w:p>
      <w:pPr>
        <w:spacing w:line="240" w:lineRule="auto" w:before="12"/>
        <w:rPr>
          <w:rFonts w:ascii="宋体" w:hAnsi="宋体" w:cs="宋体" w:eastAsia="宋体" w:hint="default"/>
          <w:sz w:val="23"/>
          <w:szCs w:val="23"/>
        </w:rPr>
      </w:pPr>
    </w:p>
    <w:p>
      <w:pPr>
        <w:pStyle w:val="BodyText"/>
        <w:spacing w:line="484" w:lineRule="auto"/>
        <w:ind w:left="574" w:right="0"/>
        <w:jc w:val="left"/>
      </w:pPr>
      <w:r>
        <w:rPr/>
        <w:t>（</w:t>
      </w:r>
      <w:r>
        <w:rPr>
          <w:rFonts w:ascii="Times New Roman" w:hAnsi="Times New Roman" w:cs="Times New Roman" w:eastAsia="Times New Roman" w:hint="default"/>
        </w:rPr>
        <w:t>2</w:t>
      </w:r>
      <w:r>
        <w:rPr/>
        <w:t>）部分处置股权投资或其他原因丧失了对子公司控制权的情形 </w:t>
      </w:r>
      <w:r>
        <w:rPr>
          <w:spacing w:val="-1"/>
        </w:rPr>
        <w:t>部分处置股权投资或其他原因丧失了对子公司控制权的，对于处置的股权，应结转与所售股权相对应</w:t>
      </w:r>
    </w:p>
    <w:p>
      <w:pPr>
        <w:pStyle w:val="BodyText"/>
        <w:spacing w:line="254" w:lineRule="exact"/>
        <w:ind w:right="0"/>
        <w:jc w:val="left"/>
      </w:pPr>
      <w:r>
        <w:rPr/>
        <w:t>的长期股权投资的账面价值，出售所得价款与处置长期股权投资账面价值之间差额，确认为投资收益（损</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失）；同时，对于剩余股权，应当按其账面价值确认为长期股权投资或其它相关金融资产。处置后的剩余</w:t>
      </w:r>
      <w:r>
        <w:rPr>
          <w:spacing w:val="-83"/>
        </w:rPr>
        <w:t> </w:t>
      </w:r>
      <w:r>
        <w:rPr>
          <w:spacing w:val="-83"/>
        </w:rPr>
      </w:r>
      <w:r>
        <w:rPr/>
        <w:t>股权能够对子公司实施共同控制或重大影响的，应按有关成本法转为权益法的相关规定进行会计处理。</w:t>
      </w:r>
    </w:p>
    <w:p>
      <w:pPr>
        <w:pStyle w:val="BodyText"/>
        <w:spacing w:line="240" w:lineRule="auto" w:before="166"/>
        <w:ind w:left="574" w:right="0"/>
        <w:jc w:val="left"/>
      </w:pPr>
      <w:r>
        <w:rPr>
          <w:rFonts w:ascii="Times New Roman" w:hAnsi="Times New Roman" w:cs="Times New Roman" w:eastAsia="Times New Roman" w:hint="default"/>
        </w:rPr>
        <w:t>5</w:t>
      </w:r>
      <w:r>
        <w:rPr/>
        <w:t>、减值测试方法及减值准备计提方法</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1"/>
        </w:rPr>
        <w:t>对子公司、联营企业及合营企业的投资，在资产负债表日有客观证据表明其发生减值的，按照账面价值与</w:t>
      </w:r>
      <w:r>
        <w:rPr>
          <w:spacing w:val="-83"/>
        </w:rPr>
        <w:t> </w:t>
      </w:r>
      <w:r>
        <w:rPr>
          <w:spacing w:val="-83"/>
        </w:rPr>
      </w:r>
      <w:r>
        <w:rPr/>
        <w:t>可收回金额的差额计提相应的减值准备。</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5、固定资产" w:id="188"/>
      <w:bookmarkEnd w:id="188"/>
      <w:r>
        <w:rPr>
          <w:b w:val="0"/>
          <w:bCs w:val="0"/>
        </w:rPr>
      </w:r>
      <w:r>
        <w:rPr>
          <w:rFonts w:ascii="Times New Roman" w:hAnsi="Times New Roman" w:cs="Times New Roman" w:eastAsia="Times New Roman" w:hint="default"/>
        </w:rPr>
        <w:t>15</w:t>
      </w:r>
      <w:r>
        <w:rPr/>
        <w:t>、固定资产</w:t>
      </w:r>
      <w:r>
        <w:rPr>
          <w:b w:val="0"/>
          <w:bCs w:val="0"/>
        </w:rPr>
      </w:r>
    </w:p>
    <w:p>
      <w:pPr>
        <w:pStyle w:val="BodyText"/>
        <w:spacing w:line="768" w:lineRule="exact" w:before="30"/>
        <w:ind w:left="574" w:right="1118" w:hanging="210"/>
        <w:jc w:val="left"/>
      </w:pPr>
      <w:bookmarkStart w:name="（1）确认条件" w:id="189"/>
      <w:bookmarkEnd w:id="189"/>
      <w:r>
        <w:rPr/>
      </w:r>
      <w:r>
        <w:rPr/>
        <w:t>（</w:t>
      </w:r>
      <w:r>
        <w:rPr>
          <w:rFonts w:ascii="宋体" w:hAnsi="宋体" w:cs="宋体" w:eastAsia="宋体" w:hint="default"/>
        </w:rPr>
        <w:t>1</w:t>
      </w:r>
      <w:r>
        <w:rPr/>
        <w:t>）确认条件 </w:t>
      </w:r>
      <w:r>
        <w:rPr>
          <w:spacing w:val="-1"/>
        </w:rPr>
        <w:t>本集团固定资产是指同时具有以下特征，即为生产商品、提供劳务、出租或经营管理而持有的，使用</w:t>
      </w:r>
    </w:p>
    <w:p>
      <w:pPr>
        <w:pStyle w:val="BodyText"/>
        <w:spacing w:line="408" w:lineRule="auto" w:before="69"/>
        <w:ind w:right="0"/>
        <w:jc w:val="left"/>
      </w:pPr>
      <w:r>
        <w:rPr/>
        <w:t>年限超过一年，单位价值超过</w:t>
      </w:r>
      <w:r>
        <w:rPr>
          <w:spacing w:val="-52"/>
        </w:rPr>
        <w:t> </w:t>
      </w:r>
      <w:r>
        <w:rPr>
          <w:rFonts w:ascii="宋体" w:hAnsi="宋体" w:cs="宋体" w:eastAsia="宋体" w:hint="default"/>
        </w:rPr>
        <w:t>2000</w:t>
      </w:r>
      <w:r>
        <w:rPr>
          <w:rFonts w:ascii="宋体" w:hAnsi="宋体" w:cs="宋体" w:eastAsia="宋体" w:hint="default"/>
          <w:spacing w:val="-54"/>
        </w:rPr>
        <w:t> </w:t>
      </w:r>
      <w:r>
        <w:rPr/>
        <w:t>元的有形资产。固定资产在与其有关的经济利益很可能流入本公司、 </w:t>
      </w:r>
      <w:r>
        <w:rPr>
          <w:spacing w:val="-1"/>
        </w:rPr>
        <w:t>且其成本能够可靠计量时予以确认。本集团固定资产包括房屋及建筑物、设备、运输工具和其他，按其取</w:t>
      </w:r>
      <w:r>
        <w:rPr>
          <w:spacing w:val="-84"/>
        </w:rPr>
        <w:t> </w:t>
      </w:r>
      <w:r>
        <w:rPr>
          <w:spacing w:val="-84"/>
        </w:rPr>
      </w:r>
      <w:r>
        <w:rPr>
          <w:spacing w:val="-1"/>
        </w:rPr>
        <w:t>得时的成本作为入账的价值，其中，外购的固定资产成本包括买价和进口关税等相关税费，以及为使固定</w:t>
      </w:r>
      <w:r>
        <w:rPr>
          <w:spacing w:val="-83"/>
        </w:rPr>
        <w:t> </w:t>
      </w:r>
      <w:r>
        <w:rPr>
          <w:spacing w:val="-83"/>
        </w:rPr>
      </w:r>
      <w:r>
        <w:rPr>
          <w:spacing w:val="-1"/>
        </w:rPr>
        <w:t>资产达到预定可使用状态前所发生的可直接归属于该资产的其他支出；自行建造固定资产的成本，由建造</w:t>
      </w:r>
      <w:r>
        <w:rPr>
          <w:spacing w:val="-81"/>
        </w:rPr>
        <w:t> </w:t>
      </w:r>
      <w:r>
        <w:rPr>
          <w:spacing w:val="-81"/>
        </w:rPr>
      </w:r>
      <w:r>
        <w:rPr>
          <w:spacing w:val="-1"/>
        </w:rPr>
        <w:t>该项资产达到预定可使用状态前所发生的必要支出构成；投资者投入的固定资产，按投资合同或协议约定</w:t>
      </w:r>
      <w:r>
        <w:rPr>
          <w:spacing w:val="-81"/>
        </w:rPr>
        <w:t> </w:t>
      </w:r>
      <w:r>
        <w:rPr>
          <w:spacing w:val="-81"/>
        </w:rPr>
      </w:r>
      <w:r>
        <w:rPr>
          <w:spacing w:val="-1"/>
        </w:rPr>
        <w:t>的价值作为入账价值，但合同或协议约定价值不公允的按公允价值入账；融资租赁租入的固定资产，按租</w:t>
      </w:r>
    </w:p>
    <w:p>
      <w:pPr>
        <w:spacing w:after="0" w:line="408"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1131"/>
        <w:jc w:val="both"/>
      </w:pPr>
      <w:r>
        <w:rPr>
          <w:spacing w:val="-1"/>
        </w:rPr>
        <w:t>赁开始日租赁资产公允价值与最低租赁付款额现值两者中较低者作为入账价值。除已提足折旧仍继续使用</w:t>
      </w:r>
      <w:r>
        <w:rPr>
          <w:spacing w:val="-81"/>
        </w:rPr>
        <w:t> </w:t>
      </w:r>
      <w:r>
        <w:rPr>
          <w:spacing w:val="-81"/>
        </w:rPr>
      </w:r>
      <w:r>
        <w:rPr>
          <w:spacing w:val="-1"/>
        </w:rPr>
        <w:t>的固定资产和单独计价入账的土地外，本公司对所有固定资产计提折旧。计提折旧时采用年限平均法，并</w:t>
      </w:r>
      <w:r>
        <w:rPr>
          <w:spacing w:val="-83"/>
        </w:rPr>
        <w:t> </w:t>
      </w:r>
      <w:r>
        <w:rPr>
          <w:spacing w:val="-83"/>
        </w:rPr>
      </w:r>
      <w:r>
        <w:rPr/>
        <w:t>根据用途分别计入相关资产的成本或当期费用。</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2.38%-4.75%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6、在建工程" w:id="191"/>
      <w:bookmarkEnd w:id="191"/>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0"/>
        <w:rPr>
          <w:rFonts w:ascii="宋体" w:hAnsi="宋体" w:cs="宋体" w:eastAsia="宋体" w:hint="default"/>
          <w:sz w:val="12"/>
          <w:szCs w:val="12"/>
        </w:rPr>
      </w:pPr>
    </w:p>
    <w:p>
      <w:pPr>
        <w:pStyle w:val="BodyText"/>
        <w:spacing w:line="408" w:lineRule="auto"/>
        <w:ind w:right="1131" w:firstLine="420"/>
        <w:jc w:val="both"/>
      </w:pPr>
      <w:r>
        <w:rPr>
          <w:spacing w:val="-1"/>
        </w:rPr>
        <w:t>在建工程按实际发生的成本计量。自营建筑工程按直接材料、直接工资、直接施工费等计量；出包建</w:t>
      </w:r>
      <w:r>
        <w:rPr/>
        <w:t> </w:t>
      </w:r>
      <w:r>
        <w:rPr>
          <w:spacing w:val="-1"/>
        </w:rPr>
        <w:t>筑工程按应支付的工程价款等计量；设备安装工程按所安装设备的价值、安装费用、工程试运转等所发生</w:t>
      </w:r>
      <w:r>
        <w:rPr>
          <w:spacing w:val="-83"/>
        </w:rPr>
        <w:t> </w:t>
      </w:r>
      <w:r>
        <w:rPr>
          <w:spacing w:val="-83"/>
        </w:rPr>
      </w:r>
      <w:r>
        <w:rPr/>
        <w:t>的支出等确定工程成本。在建工程成本还包括应当资本化的借款费用和汇兑损益。</w:t>
      </w:r>
    </w:p>
    <w:p>
      <w:pPr>
        <w:pStyle w:val="BodyText"/>
        <w:spacing w:line="408" w:lineRule="auto" w:before="166"/>
        <w:ind w:right="1131" w:firstLine="420"/>
        <w:jc w:val="both"/>
      </w:pPr>
      <w:r>
        <w:rPr>
          <w:spacing w:val="-1"/>
        </w:rPr>
        <w:t>在建工程在达到预定可使用状态之日起，根据工程预算、造价或工程实际成本等，按估计的价值结转</w:t>
      </w:r>
      <w:r>
        <w:rPr/>
        <w:t> </w:t>
      </w:r>
      <w:r>
        <w:rPr>
          <w:spacing w:val="-1"/>
        </w:rPr>
        <w:t>固定资产，次月起开始计提折旧，待办理了竣工决算手续后再对固定资产原值差异进行调整，但不再调整</w:t>
      </w:r>
      <w:r>
        <w:rPr>
          <w:spacing w:val="-83"/>
        </w:rPr>
        <w:t> </w:t>
      </w:r>
      <w:r>
        <w:rPr>
          <w:spacing w:val="-83"/>
        </w:rPr>
      </w:r>
      <w:r>
        <w:rPr/>
        <w:t>原已计提的折旧。</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7、借款费用" w:id="192"/>
      <w:bookmarkEnd w:id="192"/>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484" w:lineRule="auto"/>
        <w:ind w:left="574" w:right="0"/>
        <w:jc w:val="left"/>
      </w:pPr>
      <w:r>
        <w:rPr>
          <w:rFonts w:ascii="Times New Roman" w:hAnsi="Times New Roman" w:cs="Times New Roman" w:eastAsia="Times New Roman" w:hint="default"/>
        </w:rPr>
        <w:t>1</w:t>
      </w:r>
      <w:r>
        <w:rPr/>
        <w:t>、借款费用资本化的确认原则 </w:t>
      </w:r>
      <w:r>
        <w:rPr>
          <w:spacing w:val="-1"/>
        </w:rPr>
        <w:t>本集团发生的借款费用，可直接归属于符合资本化条件的资产的购建或者生产的，予以资本化，计入</w:t>
      </w:r>
    </w:p>
    <w:p>
      <w:pPr>
        <w:pStyle w:val="BodyText"/>
        <w:spacing w:line="254" w:lineRule="exact"/>
        <w:ind w:right="0"/>
        <w:jc w:val="left"/>
      </w:pPr>
      <w:r>
        <w:rPr/>
        <w:t>相关资产成本；其他借款费用，在发生时确认为费用，计入当期损益。</w:t>
      </w:r>
    </w:p>
    <w:p>
      <w:pPr>
        <w:spacing w:line="240" w:lineRule="auto" w:before="12"/>
        <w:rPr>
          <w:rFonts w:ascii="宋体" w:hAnsi="宋体" w:cs="宋体" w:eastAsia="宋体" w:hint="default"/>
          <w:sz w:val="23"/>
          <w:szCs w:val="23"/>
        </w:rPr>
      </w:pPr>
    </w:p>
    <w:p>
      <w:pPr>
        <w:pStyle w:val="BodyText"/>
        <w:spacing w:line="240" w:lineRule="auto"/>
        <w:ind w:left="574" w:right="0"/>
        <w:jc w:val="left"/>
      </w:pPr>
      <w:r>
        <w:rPr>
          <w:rFonts w:ascii="Times New Roman" w:hAnsi="Times New Roman" w:cs="Times New Roman" w:eastAsia="Times New Roman" w:hint="default"/>
        </w:rPr>
        <w:t>2</w:t>
      </w:r>
      <w:r>
        <w:rPr/>
        <w:t>、借款费用资本化期间</w:t>
      </w:r>
    </w:p>
    <w:p>
      <w:pPr>
        <w:spacing w:line="240" w:lineRule="auto" w:before="10"/>
        <w:rPr>
          <w:rFonts w:ascii="宋体" w:hAnsi="宋体" w:cs="宋体" w:eastAsia="宋体" w:hint="default"/>
          <w:sz w:val="22"/>
          <w:szCs w:val="22"/>
        </w:rPr>
      </w:pPr>
    </w:p>
    <w:p>
      <w:pPr>
        <w:pStyle w:val="BodyText"/>
        <w:spacing w:line="240" w:lineRule="auto"/>
        <w:ind w:left="574" w:right="0"/>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p>
    <w:p>
      <w:pPr>
        <w:pStyle w:val="BodyText"/>
        <w:spacing w:line="240" w:lineRule="auto" w:before="177"/>
        <w:ind w:right="0"/>
        <w:jc w:val="left"/>
      </w:pPr>
      <w:r>
        <w:rPr>
          <w:rFonts w:ascii="Times New Roman" w:hAnsi="Times New Roman" w:cs="Times New Roman" w:eastAsia="Times New Roman" w:hint="default"/>
        </w:rPr>
        <w:t>3</w:t>
      </w:r>
      <w:r>
        <w:rPr/>
        <w:t>）为使资产达到预定可使用或可销售状态所必要的购建或者生产活动已经开始。</w:t>
      </w:r>
    </w:p>
    <w:p>
      <w:pPr>
        <w:spacing w:line="240" w:lineRule="auto" w:before="9"/>
        <w:rPr>
          <w:rFonts w:ascii="宋体" w:hAnsi="宋体" w:cs="宋体" w:eastAsia="宋体" w:hint="default"/>
          <w:sz w:val="22"/>
          <w:szCs w:val="22"/>
        </w:rPr>
      </w:pPr>
    </w:p>
    <w:p>
      <w:pPr>
        <w:pStyle w:val="BodyText"/>
        <w:spacing w:line="240" w:lineRule="auto"/>
        <w:ind w:left="574" w:right="0"/>
        <w:jc w:val="left"/>
      </w:pPr>
      <w:r>
        <w:rPr>
          <w:spacing w:val="-3"/>
        </w:rPr>
        <w:t>（</w:t>
      </w:r>
      <w:r>
        <w:rPr>
          <w:rFonts w:ascii="Times New Roman" w:hAnsi="Times New Roman" w:cs="Times New Roman" w:eastAsia="Times New Roman" w:hint="default"/>
          <w:spacing w:val="-3"/>
        </w:rPr>
        <w:t>2</w:t>
      </w:r>
      <w:r>
        <w:rPr>
          <w:spacing w:val="-3"/>
        </w:rPr>
        <w:t>）若符合资本化条件的资产在购建或者生产过程中发生非正常中断，并且中断时间连续超过</w:t>
      </w:r>
      <w:r>
        <w:rPr>
          <w:rFonts w:ascii="Times New Roman" w:hAnsi="Times New Roman" w:cs="Times New Roman" w:eastAsia="Times New Roman" w:hint="default"/>
          <w:spacing w:val="-3"/>
        </w:rPr>
        <w:t>3</w:t>
      </w:r>
      <w:r>
        <w:rPr>
          <w:spacing w:val="-3"/>
        </w:rPr>
        <w:t>个月，</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jc w:val="left"/>
      </w:pPr>
      <w:r>
        <w:rPr>
          <w:spacing w:val="-1"/>
        </w:rPr>
        <w:t>暂停借款费用的资本化；中断期间发生的借款费用确认为当期费用，直至资产的购建或者生产活动重新开</w:t>
      </w:r>
      <w:r>
        <w:rPr>
          <w:spacing w:val="-81"/>
        </w:rPr>
        <w:t> </w:t>
      </w:r>
      <w:r>
        <w:rPr>
          <w:spacing w:val="-81"/>
        </w:rPr>
      </w:r>
      <w:r>
        <w:rPr/>
        <w:t>始。</w:t>
      </w:r>
    </w:p>
    <w:p>
      <w:pPr>
        <w:pStyle w:val="BodyText"/>
        <w:spacing w:line="386" w:lineRule="auto" w:before="166"/>
        <w:ind w:right="1214" w:firstLine="420"/>
        <w:jc w:val="both"/>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 化。</w:t>
      </w:r>
    </w:p>
    <w:p>
      <w:pPr>
        <w:spacing w:line="240" w:lineRule="auto" w:before="2"/>
        <w:rPr>
          <w:rFonts w:ascii="宋体" w:hAnsi="宋体" w:cs="宋体" w:eastAsia="宋体" w:hint="default"/>
          <w:sz w:val="14"/>
          <w:szCs w:val="14"/>
        </w:rPr>
      </w:pPr>
    </w:p>
    <w:p>
      <w:pPr>
        <w:pStyle w:val="BodyText"/>
        <w:spacing w:line="484" w:lineRule="auto"/>
        <w:ind w:left="574" w:right="0"/>
        <w:jc w:val="left"/>
      </w:pPr>
      <w:r>
        <w:rPr>
          <w:rFonts w:ascii="Times New Roman" w:hAnsi="Times New Roman" w:cs="Times New Roman" w:eastAsia="Times New Roman" w:hint="default"/>
        </w:rPr>
        <w:t>3</w:t>
      </w:r>
      <w:r>
        <w:rPr/>
        <w:t>、借款费用资本化金额 </w:t>
      </w:r>
      <w:r>
        <w:rPr>
          <w:spacing w:val="-1"/>
        </w:rPr>
        <w:t>为购建或者生产符合资本化条件的资产而借入专门借款的，以专门借款当期实际发生的利息费用（包</w:t>
      </w:r>
    </w:p>
    <w:p>
      <w:pPr>
        <w:pStyle w:val="BodyText"/>
        <w:spacing w:line="254" w:lineRule="exact"/>
        <w:ind w:right="0"/>
        <w:jc w:val="both"/>
      </w:pPr>
      <w:r>
        <w:rPr/>
        <w:t>括按照实际利率法确定的折价或溢价的摊销），减去将尚未动用的借款资金存入银行取得的利息收入或进</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8、无形资产" w:id="193"/>
      <w:bookmarkEnd w:id="193"/>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0"/>
        <w:rPr>
          <w:rFonts w:ascii="宋体" w:hAnsi="宋体" w:cs="宋体" w:eastAsia="宋体" w:hint="default"/>
          <w:sz w:val="12"/>
          <w:szCs w:val="12"/>
        </w:rPr>
      </w:pPr>
    </w:p>
    <w:p>
      <w:pPr>
        <w:pStyle w:val="BodyText"/>
        <w:spacing w:line="408" w:lineRule="auto"/>
        <w:ind w:right="1131" w:firstLine="420"/>
        <w:jc w:val="both"/>
      </w:pPr>
      <w:r>
        <w:rPr>
          <w:spacing w:val="-1"/>
        </w:rPr>
        <w:t>本集团无形资产包括土地使用权、专利技术、非专利技术等，按取得时的实际成本计量，其中，购入</w:t>
      </w:r>
      <w:r>
        <w:rPr/>
        <w:t> </w:t>
      </w:r>
      <w:r>
        <w:rPr>
          <w:spacing w:val="-1"/>
        </w:rPr>
        <w:t>的无形资产，按实际支付的价款和相关的其他支出作为实际成本；投资者投入的无形资产，按投资合同或</w:t>
      </w:r>
      <w:r>
        <w:rPr>
          <w:spacing w:val="-83"/>
        </w:rPr>
        <w:t> </w:t>
      </w:r>
      <w:r>
        <w:rPr>
          <w:spacing w:val="-83"/>
        </w:rPr>
      </w:r>
      <w:r>
        <w:rPr/>
        <w:t>协议约定的价值确定实际成本，但合同或协议约定价值不公允的，按公允价值确定实际成本。</w:t>
      </w:r>
    </w:p>
    <w:p>
      <w:pPr>
        <w:pStyle w:val="BodyText"/>
        <w:spacing w:line="408" w:lineRule="auto" w:before="166"/>
        <w:ind w:right="1131" w:firstLine="420"/>
        <w:jc w:val="both"/>
      </w:pPr>
      <w:r>
        <w:rPr>
          <w:spacing w:val="-1"/>
        </w:rPr>
        <w:t>土地使用权从出让起始日起，按其出让年限平均摊销；专利技术、非专利技术和其他无形资产按预计</w:t>
      </w:r>
      <w:r>
        <w:rPr/>
        <w:t> </w:t>
      </w:r>
      <w:r>
        <w:rPr>
          <w:spacing w:val="-1"/>
        </w:rPr>
        <w:t>使用年限、合同规定的受益年限和法律规定的有效年限三者中最短者分期平均摊销，摊销金额按其受益对</w:t>
      </w:r>
      <w:r>
        <w:rPr>
          <w:spacing w:val="-81"/>
        </w:rPr>
        <w:t> </w:t>
      </w:r>
      <w:r>
        <w:rPr>
          <w:spacing w:val="-81"/>
        </w:rPr>
      </w:r>
      <w:r>
        <w:rPr/>
        <w:t>象计入相关资产成本和当期损益。</w:t>
      </w:r>
    </w:p>
    <w:p>
      <w:pPr>
        <w:pStyle w:val="BodyText"/>
        <w:spacing w:line="408" w:lineRule="auto" w:before="46"/>
        <w:ind w:right="1131" w:firstLine="420"/>
        <w:jc w:val="both"/>
      </w:pPr>
      <w:r>
        <w:rPr>
          <w:spacing w:val="-1"/>
        </w:rPr>
        <w:t>对使用寿命有限的无形资产的预计使用寿命及摊销方法于每年年度终了进行复核，如发生改变，则作</w:t>
      </w:r>
      <w:r>
        <w:rPr/>
        <w:t> </w:t>
      </w:r>
      <w:r>
        <w:rPr>
          <w:spacing w:val="-1"/>
        </w:rPr>
        <w:t>为会计估计变更处理。在每个会计期间对使用寿命不确定的无形资产的预计使用寿命进行复核，如有证据</w:t>
      </w:r>
      <w:r>
        <w:rPr>
          <w:spacing w:val="-81"/>
        </w:rPr>
        <w:t> </w:t>
      </w:r>
      <w:r>
        <w:rPr>
          <w:spacing w:val="-81"/>
        </w:rPr>
      </w:r>
      <w:r>
        <w:rPr/>
        <w:t>表明无形资产的使用寿命是有限的，则估计其使用寿命并在预计使用寿命内摊销。</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2" w:firstLine="420"/>
        <w:jc w:val="both"/>
      </w:pPr>
      <w:r>
        <w:rPr>
          <w:spacing w:val="-1"/>
        </w:rPr>
        <w:t>本集团的研究开发支出根据其性质以及研发活动最终形成无形资产是否具有较大不确定性，分为研究</w:t>
      </w:r>
      <w:r>
        <w:rPr/>
        <w:t> </w:t>
      </w:r>
      <w:r>
        <w:rPr>
          <w:spacing w:val="-1"/>
        </w:rPr>
        <w:t>阶段支出和开发阶段支出。研究阶段的支出，于发生时计入当期损益；开发阶段的支出，同时满足下列条</w:t>
      </w:r>
    </w:p>
    <w:p>
      <w:pPr>
        <w:spacing w:after="0" w:line="408"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件的，确认为无形资产：</w:t>
      </w:r>
    </w:p>
    <w:p>
      <w:pPr>
        <w:spacing w:line="240" w:lineRule="auto" w:before="12"/>
        <w:rPr>
          <w:rFonts w:ascii="宋体" w:hAnsi="宋体" w:cs="宋体" w:eastAsia="宋体" w:hint="default"/>
          <w:sz w:val="23"/>
          <w:szCs w:val="23"/>
        </w:rPr>
      </w:pPr>
    </w:p>
    <w:p>
      <w:pPr>
        <w:pStyle w:val="BodyText"/>
        <w:spacing w:line="240" w:lineRule="auto"/>
        <w:ind w:left="574" w:right="0"/>
        <w:jc w:val="left"/>
      </w:pPr>
      <w:r>
        <w:rPr>
          <w:rFonts w:ascii="Times New Roman" w:hAnsi="Times New Roman" w:cs="Times New Roman" w:eastAsia="Times New Roman" w:hint="default"/>
        </w:rPr>
        <w:t>1</w:t>
      </w:r>
      <w:r>
        <w:rPr/>
        <w:t>、完成该无形资产以使其能够使用或出售在技术上具有可行性；</w:t>
      </w:r>
    </w:p>
    <w:p>
      <w:pPr>
        <w:spacing w:line="240" w:lineRule="auto" w:before="10"/>
        <w:rPr>
          <w:rFonts w:ascii="宋体" w:hAnsi="宋体" w:cs="宋体" w:eastAsia="宋体" w:hint="default"/>
          <w:sz w:val="22"/>
          <w:szCs w:val="22"/>
        </w:rPr>
      </w:pPr>
    </w:p>
    <w:p>
      <w:pPr>
        <w:pStyle w:val="BodyText"/>
        <w:spacing w:line="240" w:lineRule="auto"/>
        <w:ind w:left="574" w:right="0"/>
        <w:jc w:val="left"/>
      </w:pP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22"/>
          <w:szCs w:val="22"/>
        </w:rPr>
      </w:pPr>
    </w:p>
    <w:p>
      <w:pPr>
        <w:pStyle w:val="BodyText"/>
        <w:spacing w:line="240" w:lineRule="auto"/>
        <w:ind w:left="574" w:right="0"/>
        <w:jc w:val="left"/>
      </w:pP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9"/>
        <w:rPr>
          <w:rFonts w:ascii="宋体" w:hAnsi="宋体" w:cs="宋体" w:eastAsia="宋体" w:hint="default"/>
          <w:sz w:val="22"/>
          <w:szCs w:val="22"/>
        </w:rPr>
      </w:pPr>
    </w:p>
    <w:p>
      <w:pPr>
        <w:pStyle w:val="BodyText"/>
        <w:spacing w:line="386" w:lineRule="auto"/>
        <w:ind w:right="1118" w:firstLine="420"/>
        <w:jc w:val="left"/>
      </w:pPr>
      <w:r>
        <w:rPr>
          <w:rFonts w:ascii="Times New Roman" w:hAnsi="Times New Roman" w:cs="Times New Roman" w:eastAsia="Times New Roman" w:hint="default"/>
        </w:rPr>
        <w:t>4</w:t>
      </w:r>
      <w:r>
        <w:rPr/>
        <w:t>、有足够的技术、财务资源和其他资源支持，以完成该无形资产的开发，并有能力使用或出售该无 形资产；</w:t>
      </w:r>
    </w:p>
    <w:p>
      <w:pPr>
        <w:spacing w:line="240" w:lineRule="auto" w:before="2"/>
        <w:rPr>
          <w:rFonts w:ascii="宋体" w:hAnsi="宋体" w:cs="宋体" w:eastAsia="宋体" w:hint="default"/>
          <w:sz w:val="14"/>
          <w:szCs w:val="14"/>
        </w:rPr>
      </w:pPr>
    </w:p>
    <w:p>
      <w:pPr>
        <w:pStyle w:val="BodyText"/>
        <w:spacing w:line="484" w:lineRule="auto"/>
        <w:ind w:left="574" w:right="0"/>
        <w:jc w:val="left"/>
      </w:pP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不满足上述条件的开发阶段的支出，于发生时计入当期损益。前期已计入损益的开发支出在以后期间</w:t>
      </w:r>
    </w:p>
    <w:p>
      <w:pPr>
        <w:pStyle w:val="BodyText"/>
        <w:spacing w:line="254" w:lineRule="exact"/>
        <w:ind w:right="0"/>
        <w:jc w:val="left"/>
      </w:pPr>
      <w:r>
        <w:rPr/>
        <w:t>不再确认为资产。已资本化的开发阶段的支出在资产负债表上列示为开发支出，自该项目达到预定可使用</w:t>
      </w:r>
    </w:p>
    <w:p>
      <w:pPr>
        <w:spacing w:line="240" w:lineRule="auto" w:before="10"/>
        <w:rPr>
          <w:rFonts w:ascii="宋体" w:hAnsi="宋体" w:cs="宋体" w:eastAsia="宋体" w:hint="default"/>
          <w:sz w:val="14"/>
          <w:szCs w:val="14"/>
        </w:rPr>
      </w:pPr>
    </w:p>
    <w:p>
      <w:pPr>
        <w:pStyle w:val="BodyText"/>
        <w:spacing w:line="513" w:lineRule="auto"/>
        <w:ind w:left="574" w:right="5502" w:hanging="420"/>
        <w:jc w:val="left"/>
      </w:pPr>
      <w:r>
        <w:rPr/>
        <w:t>状态之日起转为无形资产列报。 本集团报告期内不存在研究开发支出资本化的情形。</w:t>
      </w:r>
    </w:p>
    <w:p>
      <w:pPr>
        <w:pStyle w:val="Heading4"/>
        <w:spacing w:line="240" w:lineRule="auto" w:before="177"/>
        <w:ind w:right="0"/>
        <w:jc w:val="left"/>
        <w:rPr>
          <w:b w:val="0"/>
          <w:bCs w:val="0"/>
        </w:rPr>
      </w:pPr>
      <w:bookmarkStart w:name="19、长期资产减值" w:id="196"/>
      <w:bookmarkEnd w:id="196"/>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firstLine="420"/>
        <w:jc w:val="both"/>
      </w:pPr>
      <w:r>
        <w:rPr>
          <w:spacing w:val="-1"/>
        </w:rPr>
        <w:t>本集团于每一资产负债表日对长期股权投资、固定资产、在建工程、使用寿命有限的无形资产等项目</w:t>
      </w:r>
      <w:r>
        <w:rPr/>
        <w:t> </w:t>
      </w:r>
      <w:r>
        <w:rPr>
          <w:spacing w:val="-1"/>
        </w:rPr>
        <w:t>进行检查，当存在下列迹象时，表明资产可能发生了减值，本集团将进行减值测试。因企业合并所形成的</w:t>
      </w:r>
      <w:r>
        <w:rPr>
          <w:spacing w:val="-86"/>
        </w:rPr>
        <w:t> </w:t>
      </w:r>
      <w:r>
        <w:rPr>
          <w:spacing w:val="-86"/>
        </w:rPr>
      </w:r>
      <w:r>
        <w:rPr/>
        <w:t>商誉和使用寿命不确定的无形资产，无论是否存在减值迹象，每年都应当进行减值测试。</w:t>
      </w:r>
    </w:p>
    <w:p>
      <w:pPr>
        <w:pStyle w:val="BodyText"/>
        <w:spacing w:line="240" w:lineRule="auto" w:before="166"/>
        <w:ind w:left="574" w:right="0"/>
        <w:jc w:val="left"/>
      </w:pPr>
      <w:r>
        <w:rPr/>
        <w:t>存在下列迹象的，表明资产可能发生了减值：</w:t>
      </w:r>
    </w:p>
    <w:p>
      <w:pPr>
        <w:spacing w:line="240" w:lineRule="auto" w:before="12"/>
        <w:rPr>
          <w:rFonts w:ascii="宋体" w:hAnsi="宋体" w:cs="宋体" w:eastAsia="宋体" w:hint="default"/>
          <w:sz w:val="23"/>
          <w:szCs w:val="23"/>
        </w:rPr>
      </w:pPr>
    </w:p>
    <w:p>
      <w:pPr>
        <w:pStyle w:val="BodyText"/>
        <w:spacing w:line="393" w:lineRule="auto"/>
        <w:ind w:right="1092" w:firstLine="42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r>
        <w:rPr>
          <w:rFonts w:ascii="Times New Roman" w:hAnsi="Times New Roman" w:cs="Times New Roman" w:eastAsia="Times New Roman" w:hint="default"/>
        </w:rPr>
        <w:t>2</w:t>
      </w:r>
      <w:r>
        <w:rPr/>
        <w:t>） </w:t>
      </w:r>
      <w:r>
        <w:rPr>
          <w:spacing w:val="-1"/>
        </w:rPr>
        <w:t>企业经营所处的经济、技术或者法律等环境以及资产所处的市场在当期或者将在近期发生重大变化，从而</w:t>
      </w:r>
      <w:r>
        <w:rPr>
          <w:spacing w:val="-81"/>
        </w:rPr>
        <w:t> </w:t>
      </w:r>
      <w:r>
        <w:rPr>
          <w:spacing w:val="-81"/>
        </w:rPr>
      </w:r>
      <w:r>
        <w:rPr/>
        <w:t>对企业产生不利影响；（</w:t>
      </w:r>
      <w:r>
        <w:rPr>
          <w:rFonts w:ascii="Times New Roman" w:hAnsi="Times New Roman" w:cs="Times New Roman" w:eastAsia="Times New Roman" w:hint="default"/>
        </w:rPr>
        <w:t>3</w:t>
      </w:r>
      <w:r>
        <w:rPr/>
        <w:t>）市场利率或者其他市场投资报酬率在当期已经提高，从而影响企业计算资产 预计未来现金流量现值的折现率，</w:t>
      </w:r>
      <w:r>
        <w:rPr>
          <w:spacing w:val="-23"/>
        </w:rPr>
        <w:t> </w:t>
      </w:r>
      <w:r>
        <w:rPr/>
        <w:t>导致资产可收回金额大幅度降低；（</w:t>
      </w:r>
      <w:r>
        <w:rPr>
          <w:rFonts w:ascii="Times New Roman" w:hAnsi="Times New Roman" w:cs="Times New Roman" w:eastAsia="Times New Roman" w:hint="default"/>
        </w:rPr>
        <w:t>4</w:t>
      </w:r>
      <w:r>
        <w:rPr/>
        <w:t>）有证据表明资产已经陈旧过时 </w:t>
      </w:r>
      <w:r>
        <w:rPr>
          <w:spacing w:val="-1"/>
        </w:rPr>
        <w:t>或者其实体已经损坏；（</w:t>
      </w:r>
      <w:r>
        <w:rPr>
          <w:rFonts w:ascii="Times New Roman" w:hAnsi="Times New Roman" w:cs="Times New Roman" w:eastAsia="Times New Roman" w:hint="default"/>
          <w:spacing w:val="-1"/>
        </w:rPr>
        <w:t>5</w:t>
      </w:r>
      <w:r>
        <w:rPr>
          <w:spacing w:val="-1"/>
        </w:rPr>
        <w:t>）资产已经或者将被闲置、终止使用或者计划提前处置；（</w:t>
      </w:r>
      <w:r>
        <w:rPr>
          <w:rFonts w:ascii="Times New Roman" w:hAnsi="Times New Roman" w:cs="Times New Roman" w:eastAsia="Times New Roman" w:hint="default"/>
          <w:spacing w:val="-1"/>
        </w:rPr>
        <w:t>6</w:t>
      </w:r>
      <w:r>
        <w:rPr>
          <w:spacing w:val="-1"/>
        </w:rPr>
        <w:t>）企业内部报告的</w:t>
      </w:r>
      <w:r>
        <w:rPr>
          <w:spacing w:val="-85"/>
        </w:rPr>
        <w:t> </w:t>
      </w:r>
      <w:r>
        <w:rPr>
          <w:spacing w:val="-85"/>
        </w:rPr>
      </w:r>
      <w:r>
        <w:rPr>
          <w:spacing w:val="-1"/>
        </w:rPr>
        <w:t>证据表明资产的经济绩效已经低于或者将低于预期，如资产所创造的净现金流量或者实现的营业利润（或</w:t>
      </w:r>
      <w:r>
        <w:rPr>
          <w:spacing w:val="-81"/>
        </w:rPr>
        <w:t> </w:t>
      </w:r>
      <w:r>
        <w:rPr>
          <w:spacing w:val="-81"/>
        </w:rPr>
      </w:r>
      <w:r>
        <w:rPr/>
        <w:t>者亏损）远远低于（或者高于）预计金额等；（</w:t>
      </w:r>
      <w:r>
        <w:rPr>
          <w:rFonts w:ascii="Times New Roman" w:hAnsi="Times New Roman" w:cs="Times New Roman" w:eastAsia="Times New Roman" w:hint="default"/>
        </w:rPr>
        <w:t>7</w:t>
      </w:r>
      <w:r>
        <w:rPr/>
        <w:t>）其他表明资产可能已经发生减值的迹象。</w:t>
      </w:r>
    </w:p>
    <w:p>
      <w:pPr>
        <w:pStyle w:val="BodyText"/>
        <w:spacing w:line="240" w:lineRule="auto" w:before="149"/>
        <w:ind w:left="574" w:right="0"/>
        <w:jc w:val="left"/>
      </w:pPr>
      <w:r>
        <w:rPr/>
        <w:t>资产存在减值迹象的，应当估计其可收回金额。</w:t>
      </w:r>
    </w:p>
    <w:p>
      <w:pPr>
        <w:spacing w:line="240" w:lineRule="auto" w:before="12"/>
        <w:rPr>
          <w:rFonts w:ascii="宋体" w:hAnsi="宋体" w:cs="宋体" w:eastAsia="宋体" w:hint="default"/>
          <w:sz w:val="23"/>
          <w:szCs w:val="23"/>
        </w:rPr>
      </w:pPr>
    </w:p>
    <w:p>
      <w:pPr>
        <w:pStyle w:val="BodyText"/>
        <w:spacing w:line="408" w:lineRule="auto"/>
        <w:ind w:right="1302" w:firstLine="420"/>
        <w:jc w:val="left"/>
      </w:pPr>
      <w:r>
        <w:rPr/>
        <w:t>可收回金额应当根据资产的公允价值减去处置费用后的净额与资产预计未来现金流量的现值两者之 间较高者确定。</w:t>
      </w:r>
    </w:p>
    <w:p>
      <w:pPr>
        <w:spacing w:after="0" w:line="408"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处置费用包括与资产处置有关的法律费用、相关税费、搬运费以及为使资产达到可销售状态所发生的</w:t>
      </w:r>
      <w:r>
        <w:rPr/>
        <w:t> 直接费用等。</w:t>
      </w:r>
    </w:p>
    <w:p>
      <w:pPr>
        <w:pStyle w:val="BodyText"/>
        <w:spacing w:line="408" w:lineRule="auto" w:before="166"/>
        <w:ind w:right="1131" w:firstLine="420"/>
        <w:jc w:val="both"/>
      </w:pPr>
      <w:r>
        <w:rPr>
          <w:spacing w:val="-1"/>
        </w:rPr>
        <w:t>资产预计未来现金流量的现值，应当按照资产在持续使用过程中和最终处置时所产生的预计未来现金</w:t>
      </w:r>
      <w:r>
        <w:rPr/>
        <w:t> </w:t>
      </w:r>
      <w:r>
        <w:rPr>
          <w:spacing w:val="-1"/>
        </w:rPr>
        <w:t>流量，选择恰当的折现率对其进行折现后的金额加以确定。预计资产未来现金流量的现值，应当综合考虑</w:t>
      </w:r>
      <w:r>
        <w:rPr>
          <w:spacing w:val="-83"/>
        </w:rPr>
        <w:t> </w:t>
      </w:r>
      <w:r>
        <w:rPr>
          <w:spacing w:val="-83"/>
        </w:rPr>
      </w:r>
      <w:r>
        <w:rPr/>
        <w:t>资产的预计未来现金流量、使用寿命和折现率等因素。</w:t>
      </w:r>
    </w:p>
    <w:p>
      <w:pPr>
        <w:pStyle w:val="BodyText"/>
        <w:spacing w:line="408" w:lineRule="auto" w:before="166"/>
        <w:ind w:right="1131" w:firstLine="420"/>
        <w:jc w:val="both"/>
      </w:pPr>
      <w:r>
        <w:rPr>
          <w:spacing w:val="-1"/>
        </w:rPr>
        <w:t>可收回金额的计量结果表明，资产的可收回金额低于其账面价值的，应当将资产的账面价值减记至可</w:t>
      </w:r>
      <w:r>
        <w:rPr/>
        <w:t> 收回金额，减记的金额确认为资产减值损失，计入当期损益，同时计提相应的资产减值准备。</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0、长期待摊费用" w:id="197"/>
      <w:bookmarkEnd w:id="197"/>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09" w:firstLine="420"/>
        <w:jc w:val="both"/>
      </w:pPr>
      <w:r>
        <w:rPr/>
        <w:t>本集团的长期待摊费用是指已经支出，但应由当期及以后各期承担的摊销期限在</w:t>
      </w:r>
      <w:r>
        <w:rPr>
          <w:rFonts w:ascii="宋体" w:hAnsi="宋体" w:cs="宋体" w:eastAsia="宋体" w:hint="default"/>
        </w:rPr>
        <w:t>1</w:t>
      </w:r>
      <w:r>
        <w:rPr/>
        <w:t>年以上（不含</w:t>
      </w:r>
      <w:r>
        <w:rPr>
          <w:rFonts w:ascii="宋体" w:hAnsi="宋体" w:cs="宋体" w:eastAsia="宋体" w:hint="default"/>
        </w:rPr>
        <w:t>1</w:t>
      </w:r>
      <w:r>
        <w:rPr/>
        <w:t>年） </w:t>
      </w:r>
      <w:r>
        <w:rPr>
          <w:spacing w:val="-1"/>
        </w:rPr>
        <w:t>的费用，该等费用在受益期内平均摊销。如果长期待摊费用项目不能使以后会计期间受益，则将尚未摊销</w:t>
      </w:r>
      <w:r>
        <w:rPr>
          <w:spacing w:val="-83"/>
        </w:rPr>
        <w:t> </w:t>
      </w:r>
      <w:r>
        <w:rPr>
          <w:spacing w:val="-83"/>
        </w:rPr>
      </w:r>
      <w:r>
        <w:rPr/>
        <w:t>的该项目的摊余价值全部转入当期损益。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1、职工薪酬" w:id="198"/>
      <w:bookmarkEnd w:id="198"/>
      <w:r>
        <w:rPr>
          <w:b w:val="0"/>
          <w:bCs w:val="0"/>
        </w:rPr>
      </w:r>
      <w:r>
        <w:rPr>
          <w:rFonts w:ascii="Times New Roman" w:hAnsi="Times New Roman" w:cs="Times New Roman" w:eastAsia="Times New Roman" w:hint="default"/>
        </w:rPr>
        <w:t>21</w:t>
      </w:r>
      <w:r>
        <w:rPr/>
        <w:t>、职工薪酬</w:t>
      </w:r>
      <w:r>
        <w:rPr>
          <w:b w:val="0"/>
          <w:bCs w:val="0"/>
        </w:rPr>
      </w:r>
    </w:p>
    <w:p>
      <w:pPr>
        <w:pStyle w:val="BodyText"/>
        <w:spacing w:line="590" w:lineRule="atLeast" w:before="84"/>
        <w:ind w:left="574" w:right="0"/>
        <w:jc w:val="left"/>
      </w:pPr>
      <w:r>
        <w:rPr/>
        <w:t>（</w:t>
      </w:r>
      <w:r>
        <w:rPr>
          <w:rFonts w:ascii="宋体" w:hAnsi="宋体" w:cs="宋体" w:eastAsia="宋体" w:hint="default"/>
        </w:rPr>
        <w:t>1</w:t>
      </w:r>
      <w:r>
        <w:rPr/>
        <w:t>）短期薪酬的会计处理方法 </w:t>
      </w:r>
      <w:r>
        <w:rPr>
          <w:spacing w:val="-1"/>
        </w:rPr>
        <w:t>短期薪酬主要包括职工工资、奖金、职工福利费、医疗保险费、住房公积金等，在职工提供服务的会</w:t>
      </w:r>
    </w:p>
    <w:p>
      <w:pPr>
        <w:spacing w:line="240" w:lineRule="auto" w:before="10"/>
        <w:rPr>
          <w:rFonts w:ascii="宋体" w:hAnsi="宋体" w:cs="宋体" w:eastAsia="宋体" w:hint="default"/>
          <w:sz w:val="14"/>
          <w:szCs w:val="14"/>
        </w:rPr>
      </w:pPr>
    </w:p>
    <w:p>
      <w:pPr>
        <w:pStyle w:val="BodyText"/>
        <w:spacing w:line="240" w:lineRule="auto"/>
        <w:ind w:right="0"/>
        <w:jc w:val="both"/>
      </w:pPr>
      <w:r>
        <w:rPr/>
        <w:t>计期间，将实际发生的短期薪酬确认为负债，并按照受益对象计入当期损益或相关资产成本。</w:t>
      </w:r>
    </w:p>
    <w:p>
      <w:pPr>
        <w:pStyle w:val="BodyText"/>
        <w:spacing w:line="580" w:lineRule="atLeast" w:before="8"/>
        <w:ind w:left="574" w:right="0"/>
        <w:jc w:val="left"/>
      </w:pPr>
      <w:r>
        <w:rPr/>
        <w:t>（</w:t>
      </w:r>
      <w:r>
        <w:rPr>
          <w:rFonts w:ascii="宋体" w:hAnsi="宋体" w:cs="宋体" w:eastAsia="宋体" w:hint="default"/>
        </w:rPr>
        <w:t>2</w:t>
      </w:r>
      <w:r>
        <w:rPr/>
        <w:t>）离职后福利的会计处理方法 </w:t>
      </w:r>
      <w:r>
        <w:rPr>
          <w:spacing w:val="-1"/>
        </w:rPr>
        <w:t>离职后福利主要包括基本养老保险费、失业保险费等，按照公司承担的风险和义务，分类为设定提存</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计划、设定受益计划。对于设定提存计划在根据在资产负债表日为换取职工在会计期间提供的服务而向单</w:t>
      </w:r>
      <w:r>
        <w:rPr>
          <w:spacing w:val="-81"/>
        </w:rPr>
        <w:t> </w:t>
      </w:r>
      <w:r>
        <w:rPr>
          <w:spacing w:val="-81"/>
        </w:rPr>
      </w:r>
      <w:r>
        <w:rPr>
          <w:spacing w:val="-1"/>
        </w:rPr>
        <w:t>独主体缴存的提存金确认为负债，并按照受益对象计入当期损益或相关资产成本。本公司不存在设定受益</w:t>
      </w:r>
      <w:r>
        <w:rPr>
          <w:spacing w:val="-81"/>
        </w:rPr>
        <w:t> </w:t>
      </w:r>
      <w:r>
        <w:rPr>
          <w:spacing w:val="-81"/>
        </w:rPr>
      </w:r>
      <w:r>
        <w:rPr/>
        <w:t>计划。</w:t>
      </w:r>
    </w:p>
    <w:p>
      <w:pPr>
        <w:pStyle w:val="BodyText"/>
        <w:spacing w:line="240" w:lineRule="auto" w:before="166"/>
        <w:ind w:left="574" w:right="0"/>
        <w:jc w:val="left"/>
      </w:pPr>
      <w:r>
        <w:rPr/>
        <w:t>（</w:t>
      </w:r>
      <w:r>
        <w:rPr>
          <w:rFonts w:ascii="宋体" w:hAnsi="宋体" w:cs="宋体" w:eastAsia="宋体" w:hint="default"/>
        </w:rPr>
        <w:t>3</w:t>
      </w:r>
      <w:r>
        <w:rPr/>
        <w:t>）辞退福利的会计处理方法</w:t>
      </w:r>
    </w:p>
    <w:p>
      <w:pPr>
        <w:spacing w:line="240" w:lineRule="auto" w:before="12"/>
        <w:rPr>
          <w:rFonts w:ascii="宋体" w:hAnsi="宋体" w:cs="宋体" w:eastAsia="宋体" w:hint="default"/>
          <w:sz w:val="23"/>
          <w:szCs w:val="23"/>
        </w:rPr>
      </w:pPr>
    </w:p>
    <w:p>
      <w:pPr>
        <w:pStyle w:val="BodyText"/>
        <w:spacing w:line="408" w:lineRule="auto"/>
        <w:ind w:right="1131" w:firstLine="420"/>
        <w:jc w:val="both"/>
      </w:pPr>
      <w:r>
        <w:rPr>
          <w:spacing w:val="-1"/>
        </w:rPr>
        <w:t>如在职工劳动合同到期之前决定解除与职工的劳动关系，或为鼓励职工自愿接受裁减而提出给予补偿</w:t>
      </w:r>
      <w:r>
        <w:rPr/>
        <w:t> </w:t>
      </w:r>
      <w:r>
        <w:rPr>
          <w:spacing w:val="-1"/>
        </w:rPr>
        <w:t>的建议，如果本集团已经制定正式的解除劳动关系计划或提出自愿裁减建议，并即将实施，同时本公司不</w:t>
      </w:r>
      <w:r>
        <w:rPr>
          <w:spacing w:val="-83"/>
        </w:rPr>
        <w:t> </w:t>
      </w:r>
      <w:r>
        <w:rPr>
          <w:spacing w:val="-83"/>
        </w:rPr>
      </w:r>
      <w:r>
        <w:rPr>
          <w:spacing w:val="-1"/>
        </w:rPr>
        <w:t>能单方面撤回解除劳动关系计划或裁减建议的，确认因解除与职工劳动关系给予补偿产生的负债，计入当</w:t>
      </w:r>
      <w:r>
        <w:rPr>
          <w:spacing w:val="-81"/>
        </w:rPr>
        <w:t> </w:t>
      </w:r>
      <w:r>
        <w:rPr>
          <w:spacing w:val="-81"/>
        </w:rPr>
      </w:r>
      <w:r>
        <w:rPr/>
        <w:t>期损益。本公司辞退福利是由于职工内部离退休产生。</w:t>
      </w:r>
    </w:p>
    <w:p>
      <w:pPr>
        <w:spacing w:after="0" w:line="408"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2、预计负债" w:id="199"/>
      <w:bookmarkEnd w:id="199"/>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firstLine="420"/>
        <w:jc w:val="both"/>
      </w:pPr>
      <w:r>
        <w:rPr>
          <w:spacing w:val="-1"/>
        </w:rPr>
        <w:t>当与对外担保、商业承兑汇票贴现、未决诉讼或仲裁、产品质量保证等或有事项相关的业务同时符合</w:t>
      </w:r>
      <w:r>
        <w:rPr/>
        <w:t> </w:t>
      </w:r>
      <w:r>
        <w:rPr>
          <w:spacing w:val="-1"/>
        </w:rPr>
        <w:t>以下条件时，本公司将其确认为负债：该义务是本公司承担的现时义务；该义务的履行很可能导致经济利</w:t>
      </w:r>
      <w:r>
        <w:rPr>
          <w:spacing w:val="-83"/>
        </w:rPr>
        <w:t> </w:t>
      </w:r>
      <w:r>
        <w:rPr>
          <w:spacing w:val="-83"/>
        </w:rPr>
      </w:r>
      <w:r>
        <w:rPr/>
        <w:t>益流出企业；该义务的金额能够可靠地计量。</w:t>
      </w:r>
    </w:p>
    <w:p>
      <w:pPr>
        <w:pStyle w:val="BodyText"/>
        <w:spacing w:line="408" w:lineRule="auto" w:before="166"/>
        <w:ind w:right="1131" w:firstLine="420"/>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确定最佳估计数。每个资产负债表日对预计负债的账面价值进行复核，如有改变则对账面价值进行调整以</w:t>
      </w:r>
      <w:r>
        <w:rPr>
          <w:spacing w:val="-81"/>
        </w:rPr>
        <w:t> </w:t>
      </w:r>
      <w:r>
        <w:rPr>
          <w:spacing w:val="-81"/>
        </w:rPr>
      </w:r>
      <w:r>
        <w:rPr/>
        <w:t>反映当前最佳估计数。</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3、股份支付" w:id="200"/>
      <w:bookmarkEnd w:id="200"/>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7" w:firstLine="420"/>
        <w:jc w:val="both"/>
      </w:pPr>
      <w:r>
        <w:rPr>
          <w:spacing w:val="3"/>
        </w:rPr>
        <w:t>股份支付是指为了获取职工或其他方提供服务而授予权益工具或者承担以权益工具为基础确定的负</w:t>
      </w:r>
      <w:r>
        <w:rPr/>
        <w:t> 债的交易。股份支付分为以权益结算的股份支付和以现金结算的股份支付。</w:t>
      </w:r>
    </w:p>
    <w:p>
      <w:pPr>
        <w:pStyle w:val="BodyText"/>
        <w:spacing w:line="408" w:lineRule="auto" w:before="166"/>
        <w:ind w:right="1131" w:firstLine="420"/>
        <w:jc w:val="both"/>
      </w:pPr>
      <w:r>
        <w:rPr>
          <w:spacing w:val="-1"/>
        </w:rPr>
        <w:t>用以换取职工提供服务的以权益结算的股份支付，以授予职工权益工具在授予日的公允价值计量。该</w:t>
      </w:r>
      <w:r>
        <w:rPr/>
        <w:t> </w:t>
      </w:r>
      <w:r>
        <w:rPr>
          <w:spacing w:val="-1"/>
        </w:rPr>
        <w:t>公允价值的金额在完成等待期内的服务或达到规定业绩条件才可行权的情况下，在等待期内以对可行权权</w:t>
      </w:r>
      <w:r>
        <w:rPr>
          <w:spacing w:val="-81"/>
        </w:rPr>
        <w:t> </w:t>
      </w:r>
      <w:r>
        <w:rPr>
          <w:spacing w:val="-81"/>
        </w:rPr>
      </w:r>
      <w:r>
        <w:rPr/>
        <w:t>益工具数量的最佳估计为基础，按直线法计算计入相关成本或费用，相应增加资本公积。</w:t>
      </w:r>
    </w:p>
    <w:p>
      <w:pPr>
        <w:pStyle w:val="BodyText"/>
        <w:spacing w:line="408" w:lineRule="auto" w:before="166"/>
        <w:ind w:right="1110" w:firstLine="420"/>
        <w:jc w:val="both"/>
      </w:pPr>
      <w:r>
        <w:rPr>
          <w:spacing w:val="3"/>
        </w:rPr>
        <w:t>以现金结算的股份支付，按照本公司承担的以股份或其他权益工具为基础确定的负债的公允价值计</w:t>
      </w:r>
      <w:r>
        <w:rPr/>
        <w:t> </w:t>
      </w:r>
      <w:r>
        <w:rPr>
          <w:spacing w:val="-1"/>
        </w:rPr>
        <w:t>量。如授予后立即可行权，在授予日以承担负债的公允价值计入相关成本或费用，相应增加负债；如需完</w:t>
      </w:r>
      <w:r>
        <w:rPr>
          <w:spacing w:val="-86"/>
        </w:rPr>
        <w:t> </w:t>
      </w:r>
      <w:r>
        <w:rPr>
          <w:spacing w:val="-86"/>
        </w:rPr>
      </w:r>
      <w:r>
        <w:rPr>
          <w:spacing w:val="-1"/>
        </w:rPr>
        <w:t>成等待期内的服务或达到规定业绩条件以后才可行权，在等待期的每个资产负债表日，以对可行权情况的</w:t>
      </w:r>
      <w:r>
        <w:rPr>
          <w:spacing w:val="-81"/>
        </w:rPr>
        <w:t> </w:t>
      </w:r>
      <w:r>
        <w:rPr>
          <w:spacing w:val="-81"/>
        </w:rPr>
      </w:r>
      <w:r>
        <w:rPr>
          <w:spacing w:val="-1"/>
        </w:rPr>
        <w:t>最佳估计为基础，按照本公司承担负债的公允价值金额，将当期取得的服务计入成本或费用，相应调整负</w:t>
      </w:r>
      <w:r>
        <w:rPr>
          <w:spacing w:val="-82"/>
        </w:rPr>
        <w:t> </w:t>
      </w:r>
      <w:r>
        <w:rPr>
          <w:spacing w:val="-82"/>
        </w:rPr>
      </w:r>
      <w:r>
        <w:rPr/>
        <w:t>债。</w:t>
      </w:r>
    </w:p>
    <w:p>
      <w:pPr>
        <w:pStyle w:val="BodyText"/>
        <w:spacing w:line="240" w:lineRule="auto" w:before="166"/>
        <w:ind w:right="0"/>
        <w:jc w:val="left"/>
      </w:pPr>
      <w:r>
        <w:rPr/>
        <w:t>在相关负债结算前的每个资产负债表日以及结算日，对负债的公允价值重新计量，其变动计入当期损益。</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24、收入" w:id="201"/>
      <w:bookmarkEnd w:id="201"/>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408" w:lineRule="auto" w:before="153"/>
        <w:ind w:right="1133" w:firstLine="420"/>
        <w:jc w:val="both"/>
      </w:pPr>
      <w:r>
        <w:rPr>
          <w:spacing w:val="-1"/>
        </w:rPr>
        <w:t>本集团的营业收入主要包括信息化解决方案、软件开发收入、服务收入、销售商品收入、让渡资产使</w:t>
      </w:r>
      <w:r>
        <w:rPr/>
        <w:t> 用权收入，收入确认原则和方法如下：</w:t>
      </w:r>
    </w:p>
    <w:p>
      <w:pPr>
        <w:spacing w:after="0" w:line="408"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收入确认的原则：本集团在已将商品所有权上的主要风险和报酬转移给购货方、本集团既没有保留通</w:t>
      </w:r>
      <w:r>
        <w:rPr/>
        <w:t> </w:t>
      </w:r>
      <w:r>
        <w:rPr>
          <w:spacing w:val="-1"/>
        </w:rPr>
        <w:t>常与所有权相联系的继续管理权、也没有对已售出的商品实施有效控制、收入的金额能够可靠地计量、相</w:t>
      </w:r>
      <w:r>
        <w:rPr>
          <w:spacing w:val="-83"/>
        </w:rPr>
        <w:t> </w:t>
      </w:r>
      <w:r>
        <w:rPr>
          <w:spacing w:val="-83"/>
        </w:rPr>
      </w:r>
      <w:r>
        <w:rPr>
          <w:spacing w:val="-1"/>
        </w:rPr>
        <w:t>关的经济利益很可能流入企业、相关的已发生或将发生的成本能够可靠地计量时，确认销售商品收入的实</w:t>
      </w:r>
      <w:r>
        <w:rPr>
          <w:spacing w:val="-81"/>
        </w:rPr>
        <w:t> </w:t>
      </w:r>
      <w:r>
        <w:rPr>
          <w:spacing w:val="-81"/>
        </w:rPr>
      </w:r>
      <w:r>
        <w:rPr/>
        <w:t>现。</w:t>
      </w:r>
    </w:p>
    <w:p>
      <w:pPr>
        <w:pStyle w:val="BodyText"/>
        <w:spacing w:line="240" w:lineRule="auto" w:before="166"/>
        <w:ind w:left="574" w:right="0"/>
        <w:jc w:val="left"/>
      </w:pPr>
      <w:r>
        <w:rPr/>
        <w:t>具体确认方法如下：</w:t>
      </w:r>
    </w:p>
    <w:p>
      <w:pPr>
        <w:spacing w:line="240" w:lineRule="auto" w:before="12"/>
        <w:rPr>
          <w:rFonts w:ascii="宋体" w:hAnsi="宋体" w:cs="宋体" w:eastAsia="宋体" w:hint="default"/>
          <w:sz w:val="23"/>
          <w:szCs w:val="23"/>
        </w:rPr>
      </w:pPr>
    </w:p>
    <w:p>
      <w:pPr>
        <w:pStyle w:val="BodyText"/>
        <w:spacing w:line="400" w:lineRule="auto"/>
        <w:ind w:right="1131" w:firstLine="420"/>
        <w:jc w:val="both"/>
      </w:pPr>
      <w:r>
        <w:rPr>
          <w:rFonts w:ascii="Times New Roman" w:hAnsi="Times New Roman" w:cs="Times New Roman" w:eastAsia="Times New Roman" w:hint="default"/>
        </w:rPr>
        <w:t>1</w:t>
      </w:r>
      <w:r>
        <w:rPr/>
        <w:t>、信息化解决方案：本集团信息化解决方案合同一般包括工艺设计、设备采购、系统集成及安装调 </w:t>
      </w:r>
      <w:r>
        <w:rPr>
          <w:spacing w:val="-1"/>
        </w:rPr>
        <w:t>试等一系列业务。对信息化解决方案，若合同规定需经客户或其他第三方验收的，本集团在系统交付客户</w:t>
      </w:r>
      <w:r>
        <w:rPr>
          <w:spacing w:val="-83"/>
        </w:rPr>
        <w:t> </w:t>
      </w:r>
      <w:r>
        <w:rPr>
          <w:spacing w:val="-83"/>
        </w:rPr>
      </w:r>
      <w:r>
        <w:rPr>
          <w:spacing w:val="-1"/>
        </w:rPr>
        <w:t>运行并取得客户或其他第三方签署的验收文件后一次性确认收入的实现；若合同未规定需经客户或其他第</w:t>
      </w:r>
      <w:r>
        <w:rPr>
          <w:spacing w:val="-81"/>
        </w:rPr>
        <w:t> </w:t>
      </w:r>
      <w:r>
        <w:rPr>
          <w:spacing w:val="-81"/>
        </w:rPr>
      </w:r>
      <w:r>
        <w:rPr/>
        <w:t>三方验收的，本集团在项目完工并移交客户使用时确认收入的实现。</w:t>
      </w:r>
    </w:p>
    <w:p>
      <w:pPr>
        <w:pStyle w:val="BodyText"/>
        <w:spacing w:line="400" w:lineRule="auto" w:before="172"/>
        <w:ind w:right="1131" w:firstLine="420"/>
        <w:jc w:val="both"/>
      </w:pPr>
      <w:r>
        <w:rPr>
          <w:rFonts w:ascii="Times New Roman" w:hAnsi="Times New Roman" w:cs="Times New Roman" w:eastAsia="Times New Roman" w:hint="default"/>
        </w:rPr>
        <w:t>2</w:t>
      </w:r>
      <w:r>
        <w:rPr/>
        <w:t>、软件开发收入：本集团软件开发合同主要为客户定制开发的软件产品。对软件开发收入，若合同 </w:t>
      </w:r>
      <w:r>
        <w:rPr>
          <w:spacing w:val="-1"/>
        </w:rPr>
        <w:t>规定需经客户验收的，本集团在软件交付客户运行并取得客户或第三方签署的验收文件后一次性确认收入</w:t>
      </w:r>
      <w:r>
        <w:rPr>
          <w:spacing w:val="-81"/>
        </w:rPr>
        <w:t> </w:t>
      </w:r>
      <w:r>
        <w:rPr>
          <w:spacing w:val="-81"/>
        </w:rPr>
      </w:r>
      <w:r>
        <w:rPr>
          <w:spacing w:val="-1"/>
        </w:rPr>
        <w:t>的实现；若合同未规定需经客户或其他第三方验收的，本集团在项目完成并将开发的软件移交客户后确认</w:t>
      </w:r>
      <w:r>
        <w:rPr>
          <w:spacing w:val="-81"/>
        </w:rPr>
        <w:t> </w:t>
      </w:r>
      <w:r>
        <w:rPr>
          <w:spacing w:val="-81"/>
        </w:rPr>
      </w:r>
      <w:r>
        <w:rPr/>
        <w:t>收入的实现。</w:t>
      </w:r>
    </w:p>
    <w:p>
      <w:pPr>
        <w:pStyle w:val="BodyText"/>
        <w:spacing w:line="400" w:lineRule="auto" w:before="172"/>
        <w:ind w:right="1131" w:firstLine="420"/>
        <w:jc w:val="both"/>
      </w:pPr>
      <w:r>
        <w:rPr>
          <w:rFonts w:ascii="Times New Roman" w:hAnsi="Times New Roman" w:cs="Times New Roman" w:eastAsia="Times New Roman" w:hint="default"/>
        </w:rPr>
        <w:t>3</w:t>
      </w:r>
      <w:r>
        <w:rPr/>
        <w:t>、服务收入：服务收入主要分为烟草信息化服务业务和会议服务业务两类，包括系统的日常维护保 </w:t>
      </w:r>
      <w:r>
        <w:rPr>
          <w:spacing w:val="-1"/>
        </w:rPr>
        <w:t>养、技术支持、系统升级等，还包括公司会议设备的租赁服务等。对服务收入，针对烟草客户信息化服务</w:t>
      </w:r>
      <w:r>
        <w:rPr>
          <w:spacing w:val="-83"/>
        </w:rPr>
        <w:t> </w:t>
      </w:r>
      <w:r>
        <w:rPr>
          <w:spacing w:val="-83"/>
        </w:rPr>
      </w:r>
      <w:r>
        <w:rPr>
          <w:spacing w:val="-1"/>
        </w:rPr>
        <w:t>业务，本集团在服务完成且取得客户签署的验收文件时一次性确认收入；针对会议服务项目，本集团在会</w:t>
      </w:r>
      <w:r>
        <w:rPr>
          <w:spacing w:val="-83"/>
        </w:rPr>
        <w:t> </w:t>
      </w:r>
      <w:r>
        <w:rPr>
          <w:spacing w:val="-83"/>
        </w:rPr>
      </w:r>
      <w:r>
        <w:rPr/>
        <w:t>议服务完成且成果获得客户确认时一次性确认收入。</w:t>
      </w:r>
    </w:p>
    <w:p>
      <w:pPr>
        <w:pStyle w:val="BodyText"/>
        <w:spacing w:line="400" w:lineRule="auto" w:before="172"/>
        <w:ind w:right="1131" w:firstLine="420"/>
        <w:jc w:val="both"/>
      </w:pPr>
      <w:r>
        <w:rPr>
          <w:rFonts w:ascii="Times New Roman" w:hAnsi="Times New Roman" w:cs="Times New Roman" w:eastAsia="Times New Roman" w:hint="default"/>
        </w:rPr>
        <w:t>4</w:t>
      </w:r>
      <w:r>
        <w:rPr/>
        <w:t>、销售商品收入：本集团对客户销售商品可分为两类，一类为纯粹的商品销售（主要是信息化硬件 </w:t>
      </w:r>
      <w:r>
        <w:rPr>
          <w:spacing w:val="-1"/>
        </w:rPr>
        <w:t>产品），本集团在商品交付客户验收后确认销售商品收入的实现；一类对信息化解决方案项目中包括的商</w:t>
      </w:r>
      <w:r>
        <w:rPr>
          <w:spacing w:val="-83"/>
        </w:rPr>
        <w:t> </w:t>
      </w:r>
      <w:r>
        <w:rPr>
          <w:spacing w:val="-83"/>
        </w:rPr>
      </w:r>
      <w:r>
        <w:rPr>
          <w:spacing w:val="-1"/>
        </w:rPr>
        <w:t>品销售，本集团将其作为信息化解决方案项目一体，在信息化解决方案项目达到收入确认条件时，确认收</w:t>
      </w:r>
      <w:r>
        <w:rPr>
          <w:spacing w:val="-83"/>
        </w:rPr>
        <w:t> </w:t>
      </w:r>
      <w:r>
        <w:rPr>
          <w:spacing w:val="-83"/>
        </w:rPr>
      </w:r>
      <w:r>
        <w:rPr/>
        <w:t>入的实现。</w:t>
      </w:r>
    </w:p>
    <w:p>
      <w:pPr>
        <w:pStyle w:val="BodyText"/>
        <w:spacing w:line="398" w:lineRule="auto" w:before="172"/>
        <w:ind w:right="0" w:firstLine="420"/>
        <w:jc w:val="left"/>
      </w:pPr>
      <w:r>
        <w:rPr>
          <w:rFonts w:ascii="Times New Roman" w:hAnsi="Times New Roman" w:cs="Times New Roman" w:eastAsia="Times New Roman" w:hint="default"/>
          <w:spacing w:val="-1"/>
        </w:rPr>
        <w:t>5</w:t>
      </w:r>
      <w:r>
        <w:rPr>
          <w:spacing w:val="-1"/>
        </w:rPr>
        <w:t>、让渡资产使用权收入：与交易相关的经济利益很可能流入本集团、收入的金额能够可靠地计量时，</w:t>
      </w:r>
      <w:r>
        <w:rPr/>
        <w:t> 确认让渡资产使用权收入的实现。本集团让渡资产使用权收入以房租收入为主，本集团对经营租赁中的租 金在租赁期内各个期间按照直线法（按月）确认收入。</w:t>
      </w:r>
    </w:p>
    <w:p>
      <w:pPr>
        <w:pStyle w:val="BodyText"/>
        <w:spacing w:line="240" w:lineRule="auto" w:before="174"/>
        <w:ind w:right="0"/>
        <w:jc w:val="left"/>
      </w:pPr>
      <w:r>
        <w:rPr/>
        <w:t>本集团没有采用完工百分比法进行收入确认。</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bookmarkStart w:name="25、政府补助" w:id="202"/>
      <w:bookmarkEnd w:id="202"/>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74" w:right="0"/>
        <w:jc w:val="left"/>
      </w:pPr>
      <w:r>
        <w:rPr>
          <w:rFonts w:ascii="Times New Roman" w:hAnsi="Times New Roman" w:cs="Times New Roman" w:eastAsia="Times New Roman" w:hint="default"/>
        </w:rPr>
        <w:t>1</w:t>
      </w:r>
      <w:r>
        <w:rPr/>
        <w:t>、政府补助包括与资产相关的政府补助和与收益相关的政府补助。</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41" w:firstLine="420"/>
        <w:jc w:val="both"/>
      </w:pPr>
      <w:r>
        <w:rPr>
          <w:rFonts w:ascii="Times New Roman" w:hAnsi="Times New Roman" w:cs="Times New Roman" w:eastAsia="Times New Roman" w:hint="default"/>
        </w:rPr>
        <w:t>2</w:t>
      </w:r>
      <w:r>
        <w:rPr/>
        <w:t>、政府补助为货币性资产的，按照收到或应收的金额计量；政府补助为非货币性资产的，按照公允 价值计量，公允价值不能可靠取得的，按照名义金额计量。</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rFonts w:ascii="Times New Roman" w:hAnsi="Times New Roman" w:cs="Times New Roman" w:eastAsia="Times New Roman" w:hint="default"/>
        </w:rPr>
        <w:t>3</w:t>
      </w:r>
      <w:r>
        <w:rPr/>
        <w:t>、政府补助采用总额法：</w:t>
      </w:r>
    </w:p>
    <w:p>
      <w:pPr>
        <w:spacing w:line="240" w:lineRule="auto" w:before="9"/>
        <w:rPr>
          <w:rFonts w:ascii="宋体" w:hAnsi="宋体" w:cs="宋体" w:eastAsia="宋体" w:hint="default"/>
          <w:sz w:val="22"/>
          <w:szCs w:val="22"/>
        </w:rPr>
      </w:pPr>
    </w:p>
    <w:p>
      <w:pPr>
        <w:pStyle w:val="BodyText"/>
        <w:spacing w:line="398" w:lineRule="auto"/>
        <w:ind w:right="1133" w:firstLine="210"/>
        <w:jc w:val="both"/>
      </w:pPr>
      <w:r>
        <w:rPr/>
        <w:t>（</w:t>
      </w:r>
      <w:r>
        <w:rPr>
          <w:rFonts w:ascii="Times New Roman" w:hAnsi="Times New Roman" w:cs="Times New Roman" w:eastAsia="Times New Roman" w:hint="default"/>
        </w:rPr>
        <w:t>1</w:t>
      </w:r>
      <w:r>
        <w:rPr/>
        <w:t>）与资产相关的政府补助，确认为递延收益，在相关资产使用寿命内按照合理、系统的方法分期计 </w:t>
      </w:r>
      <w:r>
        <w:rPr>
          <w:spacing w:val="-1"/>
        </w:rPr>
        <w:t>入损益。相关资产在使用寿命结束前被出售、转让、报废或发生毁损的，将尚未分配的相关递延收益余额</w:t>
      </w:r>
      <w:r>
        <w:rPr>
          <w:spacing w:val="-86"/>
        </w:rPr>
        <w:t> </w:t>
      </w:r>
      <w:r>
        <w:rPr>
          <w:spacing w:val="-86"/>
        </w:rPr>
      </w:r>
      <w:r>
        <w:rPr/>
        <w:t>转入资产处置当期的损益。</w:t>
      </w:r>
    </w:p>
    <w:p>
      <w:pPr>
        <w:pStyle w:val="BodyText"/>
        <w:spacing w:line="386" w:lineRule="auto" w:before="174"/>
        <w:ind w:right="1139" w:firstLine="210"/>
        <w:jc w:val="both"/>
      </w:pPr>
      <w:r>
        <w:rPr/>
        <w:t>（</w:t>
      </w:r>
      <w:r>
        <w:rPr>
          <w:rFonts w:ascii="Times New Roman" w:hAnsi="Times New Roman" w:cs="Times New Roman" w:eastAsia="Times New Roman" w:hint="default"/>
        </w:rPr>
        <w:t>2</w:t>
      </w:r>
      <w:r>
        <w:rPr/>
        <w:t>）与收益相关的政府补助，用于补偿以后期间的相关费用或损失的，确认为递延收益，在确认相关 费用的期间，计入当期损益；用于补偿已发生的相关费用或损失的，直接计入当期损益。</w:t>
      </w:r>
    </w:p>
    <w:p>
      <w:pPr>
        <w:pStyle w:val="BodyText"/>
        <w:spacing w:line="386" w:lineRule="auto" w:before="65"/>
        <w:ind w:right="1141" w:firstLine="420"/>
        <w:jc w:val="both"/>
      </w:pPr>
      <w:r>
        <w:rPr>
          <w:rFonts w:ascii="Times New Roman" w:hAnsi="Times New Roman" w:cs="Times New Roman" w:eastAsia="Times New Roman" w:hint="default"/>
        </w:rPr>
        <w:t>4</w:t>
      </w:r>
      <w:r>
        <w:rPr/>
        <w:t>、对于同时包含与资产相关部分和与收益相关部分的政府补助，区分不同部分分别进行会计处理； 难以区分的，整体归类为与收益相关的政府补助。</w:t>
      </w:r>
    </w:p>
    <w:p>
      <w:pPr>
        <w:spacing w:line="240" w:lineRule="auto" w:before="2"/>
        <w:rPr>
          <w:rFonts w:ascii="宋体" w:hAnsi="宋体" w:cs="宋体" w:eastAsia="宋体" w:hint="default"/>
          <w:sz w:val="14"/>
          <w:szCs w:val="14"/>
        </w:rPr>
      </w:pPr>
    </w:p>
    <w:p>
      <w:pPr>
        <w:pStyle w:val="BodyText"/>
        <w:spacing w:line="386" w:lineRule="auto"/>
        <w:ind w:right="0" w:firstLine="420"/>
        <w:jc w:val="left"/>
      </w:pPr>
      <w:r>
        <w:rPr>
          <w:rFonts w:ascii="Times New Roman" w:hAnsi="Times New Roman" w:cs="Times New Roman" w:eastAsia="Times New Roman" w:hint="default"/>
          <w:spacing w:val="-1"/>
        </w:rPr>
        <w:t>5</w:t>
      </w:r>
      <w:r>
        <w:rPr>
          <w:spacing w:val="-1"/>
        </w:rPr>
        <w:t>、本集团将与本公司日常活动相关的政府补助按照经济业务实质计入其他收益或冲减相关成本费用；</w:t>
      </w:r>
      <w:r>
        <w:rPr/>
        <w:t> 将与本公司日常活动无关的政府补助，应当计入营业外收支。</w:t>
      </w:r>
    </w:p>
    <w:p>
      <w:pPr>
        <w:spacing w:line="240" w:lineRule="auto" w:before="2"/>
        <w:rPr>
          <w:rFonts w:ascii="宋体" w:hAnsi="宋体" w:cs="宋体" w:eastAsia="宋体" w:hint="default"/>
          <w:sz w:val="14"/>
          <w:szCs w:val="14"/>
        </w:rPr>
      </w:pPr>
    </w:p>
    <w:p>
      <w:pPr>
        <w:pStyle w:val="BodyText"/>
        <w:spacing w:line="386" w:lineRule="auto"/>
        <w:ind w:right="1141" w:firstLine="420"/>
        <w:jc w:val="both"/>
      </w:pPr>
      <w:r>
        <w:rPr>
          <w:rFonts w:ascii="Times New Roman" w:hAnsi="Times New Roman" w:cs="Times New Roman" w:eastAsia="Times New Roman" w:hint="default"/>
        </w:rPr>
        <w:t>6</w:t>
      </w:r>
      <w:r>
        <w:rPr/>
        <w:t>、本集团将取得的政策性优惠贷款贴息按照财政将贴息资金拨付给贷款银行和财政将贴息资金直接 拨付给本公司两种情况处理：</w:t>
      </w:r>
    </w:p>
    <w:p>
      <w:pPr>
        <w:spacing w:line="240" w:lineRule="auto" w:before="2"/>
        <w:rPr>
          <w:rFonts w:ascii="宋体" w:hAnsi="宋体" w:cs="宋体" w:eastAsia="宋体" w:hint="default"/>
          <w:sz w:val="14"/>
          <w:szCs w:val="14"/>
        </w:rPr>
      </w:pPr>
    </w:p>
    <w:p>
      <w:pPr>
        <w:pStyle w:val="BodyText"/>
        <w:spacing w:line="386" w:lineRule="auto"/>
        <w:ind w:right="1139" w:firstLine="21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）财政将贴息资金拨付给贷款银行，由贷款银行以政策性优惠利率向本公司提供贷款的，本公司选 择按照下列方法进行会计处理：</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以实际收到的借款金额作为借款的入账价值，按照借款本金和该政策性优惠利率计算相关借款费用。</w:t>
      </w:r>
    </w:p>
    <w:p>
      <w:pPr>
        <w:spacing w:line="240" w:lineRule="auto" w:before="12"/>
        <w:rPr>
          <w:rFonts w:ascii="宋体" w:hAnsi="宋体" w:cs="宋体" w:eastAsia="宋体" w:hint="default"/>
          <w:sz w:val="23"/>
          <w:szCs w:val="23"/>
        </w:rPr>
      </w:pPr>
    </w:p>
    <w:p>
      <w:pPr>
        <w:pStyle w:val="BodyText"/>
        <w:spacing w:line="240" w:lineRule="auto"/>
        <w:ind w:left="364"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8"/>
        <w:rPr>
          <w:rFonts w:ascii="宋体" w:hAnsi="宋体" w:cs="宋体" w:eastAsia="宋体" w:hint="default"/>
          <w:sz w:val="30"/>
          <w:szCs w:val="30"/>
        </w:rPr>
      </w:pPr>
    </w:p>
    <w:p>
      <w:pPr>
        <w:pStyle w:val="Heading4"/>
        <w:spacing w:line="240" w:lineRule="auto"/>
        <w:ind w:left="0" w:right="7186"/>
        <w:jc w:val="center"/>
        <w:rPr>
          <w:b w:val="0"/>
          <w:bCs w:val="0"/>
        </w:rPr>
      </w:pPr>
      <w:bookmarkStart w:name="26、递延所得税资产/递延所得税负债" w:id="203"/>
      <w:bookmarkEnd w:id="203"/>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firstLine="420"/>
        <w:jc w:val="both"/>
      </w:pPr>
      <w:r>
        <w:rPr/>
        <w:t>（</w:t>
      </w:r>
      <w:r>
        <w:rPr>
          <w:rFonts w:ascii="宋体" w:hAnsi="宋体" w:cs="宋体" w:eastAsia="宋体" w:hint="default"/>
        </w:rPr>
        <w:t>1</w:t>
      </w:r>
      <w:r>
        <w:rPr/>
        <w:t>）根据资产、负债的账面价值与其计税基础之间的差额（未作为资产和负债确认的项目按照税法 </w:t>
      </w:r>
      <w:r>
        <w:rPr>
          <w:spacing w:val="-1"/>
        </w:rPr>
        <w:t>规定可以确定其计税基础的，该计税基础与其账面数之间的差额），按照预期收回该资产或清偿该负债期</w:t>
      </w:r>
      <w:r>
        <w:rPr>
          <w:spacing w:val="-83"/>
        </w:rPr>
        <w:t> </w:t>
      </w:r>
      <w:r>
        <w:rPr>
          <w:spacing w:val="-83"/>
        </w:rPr>
      </w:r>
      <w:r>
        <w:rPr/>
        <w:t>间的适用税率计算确认递延所得税资产或递延所得税负债。</w:t>
      </w:r>
    </w:p>
    <w:p>
      <w:pPr>
        <w:pStyle w:val="BodyText"/>
        <w:spacing w:line="408" w:lineRule="auto" w:before="166"/>
        <w:ind w:right="1131" w:firstLine="420"/>
        <w:jc w:val="both"/>
      </w:pPr>
      <w:r>
        <w:rPr/>
        <w:t>（</w:t>
      </w:r>
      <w:r>
        <w:rPr>
          <w:rFonts w:ascii="宋体" w:hAnsi="宋体" w:cs="宋体" w:eastAsia="宋体" w:hint="default"/>
        </w:rPr>
        <w:t>2</w:t>
      </w:r>
      <w:r>
        <w:rPr/>
        <w:t>）确认递延所得税资产以很可能取得用来抵扣可抵扣暂时性差异的应纳税所得额为限。资产负债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t>会计期间未确认的递延所得税资产。</w:t>
      </w:r>
    </w:p>
    <w:p>
      <w:pPr>
        <w:pStyle w:val="BodyText"/>
        <w:spacing w:line="240" w:lineRule="auto" w:before="166"/>
        <w:ind w:left="574" w:right="0"/>
        <w:jc w:val="left"/>
      </w:pPr>
      <w:r>
        <w:rPr/>
        <w:t>（</w:t>
      </w:r>
      <w:r>
        <w:rPr>
          <w:rFonts w:ascii="宋体" w:hAnsi="宋体" w:cs="宋体" w:eastAsia="宋体" w:hint="default"/>
        </w:rPr>
        <w:t>3</w:t>
      </w:r>
      <w:r>
        <w:rPr/>
        <w:t>）资产负债表日，对递延所得税资产的账面价值进行复核，如果未来期间很可能无法获得足够的</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应纳税所得额用以抵扣递延所得税资产的利益，则减记递延所得税资产的账面价值。在很可能获得足够的</w:t>
      </w:r>
      <w:r>
        <w:rPr>
          <w:spacing w:val="-81"/>
        </w:rPr>
        <w:t> </w:t>
      </w:r>
      <w:r>
        <w:rPr>
          <w:spacing w:val="-81"/>
        </w:rPr>
      </w:r>
      <w:r>
        <w:rPr/>
        <w:t>应纳税所得额时，转回减记的金额。</w:t>
      </w:r>
    </w:p>
    <w:p>
      <w:pPr>
        <w:pStyle w:val="BodyText"/>
        <w:spacing w:line="408" w:lineRule="auto" w:before="166"/>
        <w:ind w:right="1141" w:firstLine="420"/>
        <w:jc w:val="both"/>
      </w:pPr>
      <w:r>
        <w:rPr/>
        <w:t>（</w:t>
      </w:r>
      <w:r>
        <w:rPr>
          <w:rFonts w:ascii="宋体" w:hAnsi="宋体" w:cs="宋体" w:eastAsia="宋体" w:hint="default"/>
        </w:rPr>
        <w:t>4</w:t>
      </w:r>
      <w:r>
        <w:rPr/>
        <w:t>）本集团当期所得税和递延所得税作为所得税费用或收益计入当期损益，但不包括下列情况产生 的所得税：①企业合并；②直接在所有者权益中确认的交易或者事项。</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7、租赁" w:id="204"/>
      <w:bookmarkEnd w:id="204"/>
      <w:r>
        <w:rPr>
          <w:b w:val="0"/>
          <w:bCs w:val="0"/>
        </w:rPr>
      </w:r>
      <w:r>
        <w:rPr>
          <w:rFonts w:ascii="Times New Roman" w:hAnsi="Times New Roman" w:cs="Times New Roman" w:eastAsia="Times New Roman" w:hint="default"/>
        </w:rPr>
        <w:t>27</w:t>
      </w:r>
      <w:r>
        <w:rPr/>
        <w:t>、租赁</w:t>
      </w:r>
      <w:r>
        <w:rPr>
          <w:b w:val="0"/>
          <w:bCs w:val="0"/>
        </w:rPr>
      </w:r>
    </w:p>
    <w:p>
      <w:pPr>
        <w:spacing w:line="690" w:lineRule="exact" w:before="15"/>
        <w:ind w:left="574" w:right="0" w:hanging="420"/>
        <w:jc w:val="left"/>
        <w:rPr>
          <w:rFonts w:ascii="宋体" w:hAnsi="宋体" w:cs="宋体" w:eastAsia="宋体" w:hint="default"/>
          <w:sz w:val="21"/>
          <w:szCs w:val="21"/>
        </w:rPr>
      </w:pPr>
      <w:bookmarkStart w:name="（1）经营租赁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本集团为承租人时，在租赁期内各个期间按照直线法将租金计入相关资产成本或确认为当期损益，发</w:t>
      </w:r>
    </w:p>
    <w:p>
      <w:pPr>
        <w:pStyle w:val="BodyText"/>
        <w:spacing w:line="240" w:lineRule="auto" w:before="84"/>
        <w:ind w:right="0"/>
        <w:jc w:val="left"/>
      </w:pPr>
      <w:r>
        <w:rPr/>
        <w:t>生的初始直接费用，直接计入当期损益。或有租金在实际发生时计入当期损益。</w:t>
      </w:r>
    </w:p>
    <w:p>
      <w:pPr>
        <w:spacing w:line="240" w:lineRule="auto" w:before="12"/>
        <w:rPr>
          <w:rFonts w:ascii="宋体" w:hAnsi="宋体" w:cs="宋体" w:eastAsia="宋体" w:hint="default"/>
          <w:sz w:val="23"/>
          <w:szCs w:val="23"/>
        </w:rPr>
      </w:pPr>
    </w:p>
    <w:p>
      <w:pPr>
        <w:pStyle w:val="BodyText"/>
        <w:spacing w:line="408" w:lineRule="auto"/>
        <w:ind w:right="1023" w:firstLine="420"/>
        <w:jc w:val="left"/>
      </w:pPr>
      <w:r>
        <w:rPr/>
        <w:t>本集团为出租人时，在租赁期内各个期间按照直线法将租金确认为当期损益，发生的初始直接费用， </w:t>
      </w:r>
      <w:r>
        <w:rPr>
          <w:spacing w:val="-3"/>
        </w:rPr>
        <w:t>除金额较大的予以资本化并分期计入损益外，均直接计入当期损益。或有租金在实际发生时计入当期损益。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firstLine="420"/>
        <w:jc w:val="both"/>
      </w:pPr>
      <w:r>
        <w:rPr>
          <w:spacing w:val="-1"/>
        </w:rPr>
        <w:t>本集团为承租人时，在租赁期开始日，本集团以租赁开始日租赁资产公允价值与最低租赁付款额现值</w:t>
      </w:r>
      <w:r>
        <w:rPr/>
        <w:t> </w:t>
      </w:r>
      <w:r>
        <w:rPr>
          <w:spacing w:val="-1"/>
        </w:rPr>
        <w:t>中两者较低者作为租入资产的入账价值，将最低租赁付款额作为长期应付款的入账价值，其差额为未确认</w:t>
      </w:r>
      <w:r>
        <w:rPr>
          <w:spacing w:val="-81"/>
        </w:rPr>
        <w:t> </w:t>
      </w:r>
      <w:r>
        <w:rPr>
          <w:spacing w:val="-81"/>
        </w:rPr>
      </w:r>
      <w:r>
        <w:rPr>
          <w:spacing w:val="-1"/>
        </w:rPr>
        <w:t>融资费用，发生的初始直接费用，计入租赁资产价值。在租赁期各个期间，采用实际利率法计算确认当期</w:t>
      </w:r>
      <w:r>
        <w:rPr>
          <w:spacing w:val="-86"/>
        </w:rPr>
        <w:t> </w:t>
      </w:r>
      <w:r>
        <w:rPr>
          <w:spacing w:val="-86"/>
        </w:rPr>
      </w:r>
      <w:r>
        <w:rPr/>
        <w:t>的融资费用。</w:t>
      </w:r>
    </w:p>
    <w:p>
      <w:pPr>
        <w:pStyle w:val="BodyText"/>
        <w:spacing w:line="408" w:lineRule="auto" w:before="166"/>
        <w:ind w:right="1131" w:firstLine="420"/>
        <w:jc w:val="both"/>
      </w:pPr>
      <w:r>
        <w:rPr>
          <w:spacing w:val="-1"/>
        </w:rPr>
        <w:t>本集团为出租人时，在租赁期开始日，本集团以租赁开始日最低租赁收款额与初始直接费用之和作为</w:t>
      </w:r>
      <w:r>
        <w:rPr/>
        <w:t> </w:t>
      </w:r>
      <w:r>
        <w:rPr>
          <w:spacing w:val="-1"/>
        </w:rPr>
        <w:t>应收融资租赁款的入账价值，同时记录未担保余值；将最低租赁收款额、初始直接费用及未担保余值之和</w:t>
      </w:r>
      <w:r>
        <w:rPr>
          <w:spacing w:val="-83"/>
        </w:rPr>
        <w:t> </w:t>
      </w:r>
      <w:r>
        <w:rPr>
          <w:spacing w:val="-83"/>
        </w:rPr>
      </w:r>
      <w:r>
        <w:rPr>
          <w:spacing w:val="-1"/>
        </w:rPr>
        <w:t>与其现值之和的差额确认为未实现融资收益。在租赁期各个期间，采用实际利率法计算确认当期的融资收</w:t>
      </w:r>
      <w:r>
        <w:rPr>
          <w:spacing w:val="-81"/>
        </w:rPr>
        <w:t> </w:t>
      </w:r>
      <w:r>
        <w:rPr>
          <w:spacing w:val="-81"/>
        </w:rPr>
      </w:r>
      <w:r>
        <w:rPr/>
        <w:t>入。</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8、重要会计政策和会计估计变更" w:id="207"/>
      <w:bookmarkEnd w:id="207"/>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将应收账款与应收票据合并为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 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179,255,449.32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5"/>
              <w:jc w:val="center"/>
              <w:rPr>
                <w:rFonts w:ascii="宋体" w:hAnsi="宋体" w:cs="宋体" w:eastAsia="宋体" w:hint="default"/>
                <w:sz w:val="18"/>
                <w:szCs w:val="18"/>
              </w:rPr>
            </w:pPr>
            <w:r>
              <w:rPr>
                <w:rFonts w:ascii="宋体" w:hAnsi="宋体" w:cs="宋体" w:eastAsia="宋体" w:hint="default"/>
                <w:sz w:val="18"/>
                <w:szCs w:val="18"/>
              </w:rPr>
              <w:t>将应收利息、应收股利与其他应收款合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列示金额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28,890,720.08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将固定资产与固定资产清理合并为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固定 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20,948,707.88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将应付账款与应付票据合并为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 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56,430,647.10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将应付利息、应付股利与其他应付款合 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25,814,686.12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新增研发费用报表科目，研发费用不再 在管理费用科目核算。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"12,946,436.26</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"12,946,436.26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BodyText"/>
        <w:spacing w:line="386" w:lineRule="auto" w:before="63"/>
        <w:ind w:right="1197" w:firstLine="420"/>
        <w:jc w:val="left"/>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日第二届董事会第十七次会议审议通过，自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日采用财政部《关于修 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号）相关规定。</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10"/>
      <w:bookmarkEnd w:id="21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pStyle w:val="BodyText"/>
        <w:spacing w:line="600" w:lineRule="atLeast" w:before="74"/>
        <w:ind w:left="574" w:right="1125"/>
        <w:jc w:val="left"/>
      </w:pPr>
      <w:r>
        <w:rPr/>
        <w:t>（</w:t>
      </w:r>
      <w:r>
        <w:rPr>
          <w:rFonts w:ascii="宋体" w:hAnsi="宋体" w:cs="宋体" w:eastAsia="宋体" w:hint="default"/>
        </w:rPr>
        <w:t>1</w:t>
      </w:r>
      <w:r>
        <w:rPr/>
        <w:t>）高新技术企业税收优惠 </w:t>
      </w:r>
      <w:r>
        <w:rPr>
          <w:spacing w:val="-4"/>
        </w:rPr>
        <w:t>本公司于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4</w:t>
      </w:r>
      <w:r>
        <w:rPr>
          <w:spacing w:val="-4"/>
        </w:rPr>
        <w:t>日取得高新技术企业认证，证书编号：</w:t>
      </w:r>
      <w:r>
        <w:rPr>
          <w:rFonts w:ascii="Times New Roman" w:hAnsi="Times New Roman" w:cs="Times New Roman" w:eastAsia="Times New Roman" w:hint="default"/>
          <w:spacing w:val="-4"/>
        </w:rPr>
        <w:t>GR201751001344</w:t>
      </w:r>
      <w:r>
        <w:rPr>
          <w:spacing w:val="-4"/>
        </w:rPr>
        <w:t>，有效期三年。根据《中</w:t>
      </w:r>
    </w:p>
    <w:p>
      <w:pPr>
        <w:pStyle w:val="BodyText"/>
        <w:spacing w:line="386" w:lineRule="auto" w:before="177"/>
        <w:ind w:right="1127"/>
        <w:jc w:val="left"/>
      </w:pPr>
      <w:r>
        <w:rPr/>
        <w:t>华人民共和国企业所得税法》第二十八条规定，国家需要重点扶持的高新技术企业，减按</w:t>
      </w:r>
      <w:r>
        <w:rPr>
          <w:rFonts w:ascii="Times New Roman" w:hAnsi="Times New Roman" w:cs="Times New Roman" w:eastAsia="Times New Roman" w:hint="default"/>
        </w:rPr>
        <w:t>15%</w:t>
      </w:r>
      <w:r>
        <w:rPr/>
        <w:t>的税率征收</w:t>
      </w:r>
      <w:r>
        <w:rPr>
          <w:spacing w:val="-96"/>
        </w:rPr>
        <w:t> </w:t>
      </w:r>
      <w:r>
        <w:rPr>
          <w:spacing w:val="-96"/>
        </w:rPr>
      </w:r>
      <w:r>
        <w:rPr/>
        <w:t>企业所得税。</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成都中科于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日取得高新技术企业证书，证书编号：</w:t>
      </w:r>
      <w:r>
        <w:rPr>
          <w:rFonts w:ascii="Times New Roman" w:hAnsi="Times New Roman" w:cs="Times New Roman" w:eastAsia="Times New Roman" w:hint="default"/>
        </w:rPr>
        <w:t>GR201851000071</w:t>
      </w:r>
      <w:r>
        <w:rPr/>
        <w:t>，有效期三年。根据</w:t>
      </w:r>
    </w:p>
    <w:p>
      <w:pPr>
        <w:pStyle w:val="BodyText"/>
        <w:spacing w:line="386" w:lineRule="auto" w:before="177"/>
        <w:ind w:right="1127"/>
        <w:jc w:val="left"/>
      </w:pPr>
      <w:r>
        <w:rPr/>
        <w:t>《中华人民共和国企业所得税法》第二十八条规定，国家需要重点扶持的高新技术企业，减按</w:t>
      </w:r>
      <w:r>
        <w:rPr>
          <w:rFonts w:ascii="Times New Roman" w:hAnsi="Times New Roman" w:cs="Times New Roman" w:eastAsia="Times New Roman" w:hint="default"/>
        </w:rPr>
        <w:t>15%</w:t>
      </w:r>
      <w:r>
        <w:rPr/>
        <w:t>的税率</w:t>
      </w:r>
      <w:r>
        <w:rPr>
          <w:spacing w:val="-95"/>
        </w:rPr>
        <w:t> </w:t>
      </w:r>
      <w:r>
        <w:rPr>
          <w:spacing w:val="-95"/>
        </w:rPr>
      </w:r>
      <w:r>
        <w:rPr/>
        <w:t>缴纳企业所得税。</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w:t>
      </w:r>
      <w:r>
        <w:rPr>
          <w:rFonts w:ascii="宋体" w:hAnsi="宋体" w:cs="宋体" w:eastAsia="宋体" w:hint="default"/>
        </w:rPr>
        <w:t>2</w:t>
      </w:r>
      <w:r>
        <w:rPr/>
        <w:t>）研究开发费用企业所得税优惠</w:t>
      </w:r>
    </w:p>
    <w:p>
      <w:pPr>
        <w:spacing w:line="240" w:lineRule="auto" w:before="12"/>
        <w:rPr>
          <w:rFonts w:ascii="宋体" w:hAnsi="宋体" w:cs="宋体" w:eastAsia="宋体" w:hint="default"/>
          <w:sz w:val="23"/>
          <w:szCs w:val="23"/>
        </w:rPr>
      </w:pPr>
    </w:p>
    <w:p>
      <w:pPr>
        <w:pStyle w:val="BodyText"/>
        <w:spacing w:line="393" w:lineRule="auto"/>
        <w:ind w:right="0" w:firstLine="420"/>
        <w:jc w:val="left"/>
      </w:pPr>
      <w:r>
        <w:rPr>
          <w:spacing w:val="8"/>
        </w:rPr>
        <w:t>根据财政部和国家税务总局联合发布《关于提高研究开发费用税前加计扣除比例的通知》（财税</w:t>
      </w:r>
      <w:r>
        <w:rPr/>
        <w:t> </w:t>
      </w:r>
      <w:r>
        <w:rPr>
          <w:rFonts w:ascii="Times New Roman" w:hAnsi="Times New Roman" w:cs="Times New Roman" w:eastAsia="Times New Roman" w:hint="default"/>
          <w:spacing w:val="-2"/>
        </w:rPr>
        <w:t>[2018]99</w:t>
      </w:r>
      <w:r>
        <w:rPr>
          <w:spacing w:val="-2"/>
        </w:rPr>
        <w:t>号），本公司与成都中科开展研发活动中实际发生的研发费用，未形成无形资产计入当期损益的，</w:t>
      </w:r>
      <w:r>
        <w:rPr>
          <w:spacing w:val="-63"/>
        </w:rPr>
        <w:t> </w:t>
      </w:r>
      <w:r>
        <w:rPr>
          <w:spacing w:val="-63"/>
        </w:rPr>
      </w:r>
      <w:r>
        <w:rPr/>
        <w:t>在按规定据实扣除的基础上，按照当年度实际发生额的</w:t>
      </w:r>
      <w:r>
        <w:rPr>
          <w:rFonts w:ascii="Times New Roman" w:hAnsi="Times New Roman" w:cs="Times New Roman" w:eastAsia="Times New Roman" w:hint="default"/>
        </w:rPr>
        <w:t>75%</w:t>
      </w:r>
      <w:r>
        <w:rPr/>
        <w:t>，从当年度应纳税所得额中扣除；形成无形资</w:t>
      </w:r>
      <w:r>
        <w:rPr>
          <w:spacing w:val="-97"/>
        </w:rPr>
        <w:t> </w:t>
      </w:r>
      <w:r>
        <w:rPr>
          <w:spacing w:val="-97"/>
        </w:rPr>
      </w:r>
      <w:r>
        <w:rPr/>
        <w:t>产的，按照无形资产成本的</w:t>
      </w:r>
      <w:r>
        <w:rPr>
          <w:rFonts w:ascii="Times New Roman" w:hAnsi="Times New Roman" w:cs="Times New Roman" w:eastAsia="Times New Roman" w:hint="default"/>
        </w:rPr>
        <w:t>175%</w:t>
      </w:r>
      <w:r>
        <w:rPr/>
        <w:t>在税前摊销。</w:t>
      </w:r>
    </w:p>
    <w:p>
      <w:pPr>
        <w:pStyle w:val="BodyText"/>
        <w:spacing w:line="240" w:lineRule="auto" w:before="149"/>
        <w:ind w:left="574" w:right="0"/>
        <w:jc w:val="left"/>
      </w:pPr>
      <w:r>
        <w:rPr/>
        <w:t>（</w:t>
      </w:r>
      <w:r>
        <w:rPr>
          <w:rFonts w:ascii="宋体" w:hAnsi="宋体" w:cs="宋体" w:eastAsia="宋体" w:hint="default"/>
        </w:rPr>
        <w:t>3</w:t>
      </w:r>
      <w:r>
        <w:rPr/>
        <w:t>）安置残疾人员就业税务优惠</w:t>
      </w:r>
    </w:p>
    <w:p>
      <w:pPr>
        <w:spacing w:line="240" w:lineRule="auto" w:before="12"/>
        <w:rPr>
          <w:rFonts w:ascii="宋体" w:hAnsi="宋体" w:cs="宋体" w:eastAsia="宋体" w:hint="default"/>
          <w:sz w:val="23"/>
          <w:szCs w:val="23"/>
        </w:rPr>
      </w:pPr>
    </w:p>
    <w:p>
      <w:pPr>
        <w:pStyle w:val="BodyText"/>
        <w:spacing w:line="398" w:lineRule="auto"/>
        <w:ind w:right="1133" w:firstLine="420"/>
        <w:jc w:val="both"/>
      </w:pPr>
      <w:r>
        <w:rPr>
          <w:spacing w:val="8"/>
        </w:rPr>
        <w:t>根据财政部国家税务总局《关于安置残疾人员就业有关企业所得税优惠政策问题的通知》（财税</w:t>
      </w:r>
      <w:r>
        <w:rPr/>
        <w:t> </w:t>
      </w:r>
      <w:r>
        <w:rPr>
          <w:rFonts w:ascii="Times New Roman" w:hAnsi="Times New Roman" w:cs="Times New Roman" w:eastAsia="Times New Roman" w:hint="default"/>
        </w:rPr>
        <w:t>[2009]70</w:t>
      </w:r>
      <w:r>
        <w:rPr/>
        <w:t>号），本公司安置残疾人员就业支付给残疾职工工资，在据实扣除的基础上，可以在计算应纳税</w:t>
      </w:r>
      <w:r>
        <w:rPr>
          <w:spacing w:val="-65"/>
        </w:rPr>
        <w:t> </w:t>
      </w:r>
      <w:r>
        <w:rPr>
          <w:spacing w:val="-65"/>
        </w:rPr>
      </w:r>
      <w:r>
        <w:rPr/>
        <w:t>所得额时按照支付给残疾职工工资的</w:t>
      </w:r>
      <w:r>
        <w:rPr>
          <w:rFonts w:ascii="Times New Roman" w:hAnsi="Times New Roman" w:cs="Times New Roman" w:eastAsia="Times New Roman" w:hint="default"/>
        </w:rPr>
        <w:t>100%</w:t>
      </w:r>
      <w:r>
        <w:rPr/>
        <w:t>加计扣除。</w:t>
      </w:r>
    </w:p>
    <w:p>
      <w:pPr>
        <w:pStyle w:val="BodyText"/>
        <w:spacing w:line="240" w:lineRule="auto" w:before="144"/>
        <w:ind w:left="574" w:right="0"/>
        <w:jc w:val="left"/>
      </w:pPr>
      <w:r>
        <w:rPr/>
        <w:t>（</w:t>
      </w:r>
      <w:r>
        <w:rPr>
          <w:rFonts w:ascii="宋体" w:hAnsi="宋体" w:cs="宋体" w:eastAsia="宋体" w:hint="default"/>
        </w:rPr>
        <w:t>4</w:t>
      </w:r>
      <w:r>
        <w:rPr/>
        <w:t>）技术开发、技术服务税收优惠</w:t>
      </w:r>
    </w:p>
    <w:p>
      <w:pPr>
        <w:spacing w:line="240" w:lineRule="auto" w:before="12"/>
        <w:rPr>
          <w:rFonts w:ascii="宋体" w:hAnsi="宋体" w:cs="宋体" w:eastAsia="宋体" w:hint="default"/>
          <w:sz w:val="23"/>
          <w:szCs w:val="23"/>
        </w:rPr>
      </w:pPr>
    </w:p>
    <w:p>
      <w:pPr>
        <w:pStyle w:val="BodyText"/>
        <w:spacing w:line="386" w:lineRule="auto"/>
        <w:ind w:right="0" w:firstLine="420"/>
        <w:jc w:val="left"/>
      </w:pPr>
      <w:r>
        <w:rPr>
          <w:spacing w:val="-2"/>
        </w:rPr>
        <w:t>根据《铁路运输和邮政业纳入营业税改征增值税试点过渡政策的规定》（财税</w:t>
      </w:r>
      <w:r>
        <w:rPr>
          <w:rFonts w:ascii="Times New Roman" w:hAnsi="Times New Roman" w:cs="Times New Roman" w:eastAsia="Times New Roman" w:hint="default"/>
          <w:spacing w:val="-2"/>
        </w:rPr>
        <w:t>[2013]106</w:t>
      </w:r>
      <w:r>
        <w:rPr>
          <w:spacing w:val="-2"/>
        </w:rPr>
        <w:t>号），从</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日起，本公司提供技术开发业务免征增值税。</w:t>
      </w:r>
    </w:p>
    <w:p>
      <w:pPr>
        <w:spacing w:before="104"/>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合并财务报表项目注释" w:id="213"/>
      <w:bookmarkEnd w:id="213"/>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14"/>
      <w:bookmarkEnd w:id="21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218,362,835.44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268,861,055.06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11,109,716.97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6,666,478.44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229,472,552.41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275,527,533.50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ind w:right="0" w:firstLine="420"/>
        <w:jc w:val="left"/>
      </w:pPr>
      <w:r>
        <w:rPr/>
        <w:t>期末余额中其他货币资金系履约保证金存款</w:t>
      </w:r>
      <w:r>
        <w:rPr>
          <w:rFonts w:ascii="Times New Roman" w:hAnsi="Times New Roman" w:cs="Times New Roman" w:eastAsia="Times New Roman" w:hint="default"/>
        </w:rPr>
        <w:t>11,106,664.06</w:t>
      </w:r>
      <w:r>
        <w:rPr/>
        <w:t>元，其使用受到限制。年末银行存款中包括 定期银行存款</w:t>
      </w:r>
      <w:r>
        <w:rPr>
          <w:rFonts w:ascii="Times New Roman" w:hAnsi="Times New Roman" w:cs="Times New Roman" w:eastAsia="Times New Roman" w:hint="default"/>
        </w:rPr>
        <w:t>110,000,000.00</w:t>
      </w:r>
      <w:r>
        <w:rPr/>
        <w:t>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0"/>
          <w:szCs w:val="30"/>
        </w:rPr>
      </w:pPr>
    </w:p>
    <w:p>
      <w:pPr>
        <w:pStyle w:val="Heading4"/>
        <w:spacing w:line="240" w:lineRule="auto"/>
        <w:ind w:right="0"/>
        <w:jc w:val="left"/>
        <w:rPr>
          <w:b w:val="0"/>
          <w:bCs w:val="0"/>
        </w:rPr>
      </w:pPr>
      <w:bookmarkStart w:name="2、应收票据及应收账款" w:id="215"/>
      <w:bookmarkEnd w:id="215"/>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6,032,518.40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10,133,470.69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198,011,739.45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169,121,978.63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204,044,257.85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179,255,449.32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16"/>
      <w:bookmarkEnd w:id="21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5,782,518.40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9,633,470.69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6,032,518.40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10,133,470.69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期末公司已背书或贴现且在资产负债表日尚未到期的应收票据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217"/>
      <w:bookmarkEnd w:id="21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1,004,56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504,560.0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245,246,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241.66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47,739,0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62.21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197,507,1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205,348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36,226,43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169,121,97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8.63</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246,250,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801.66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48,239,0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62.21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198,011,7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205,348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,409.65</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36,226,43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1.02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169,121,97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8.63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延长壳牌（四川）石油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工程项目纠纷</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1,004,560.00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2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152,102,320.33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7,605,116.01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152,102,320.33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7,605,116.01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55,988,991.31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11,197,798.26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16,437,564.17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8,218,782.09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20,717,365.85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20,717,365.85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245,246,241.66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47,739,062.21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87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按照账龄分析列示。</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338" w:lineRule="auto" w:before="36"/>
        <w:ind w:left="154" w:right="184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无</w:t>
      </w:r>
    </w:p>
    <w:p>
      <w:pPr>
        <w:spacing w:after="0" w:line="338" w:lineRule="auto"/>
        <w:jc w:val="left"/>
        <w:rPr>
          <w:rFonts w:ascii="宋体" w:hAnsi="宋体" w:cs="宋体" w:eastAsia="宋体" w:hint="default"/>
          <w:sz w:val="18"/>
          <w:szCs w:val="18"/>
        </w:rPr>
        <w:sectPr>
          <w:type w:val="continuous"/>
          <w:pgSz w:w="11910" w:h="16840"/>
          <w:pgMar w:top="1580" w:bottom="28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155"/>
        <w:ind w:left="574" w:right="0"/>
        <w:jc w:val="left"/>
      </w:pPr>
      <w:r>
        <w:rPr/>
        <w:t>本期计提坏账准备金额</w:t>
      </w:r>
      <w:r>
        <w:rPr>
          <w:spacing w:val="-53"/>
        </w:rPr>
        <w:t> </w:t>
      </w:r>
      <w:r>
        <w:rPr>
          <w:rFonts w:ascii="Times New Roman" w:hAnsi="Times New Roman" w:cs="Times New Roman" w:eastAsia="Times New Roman" w:hint="default"/>
        </w:rPr>
        <w:t>12,012,631.19</w:t>
      </w:r>
      <w:r>
        <w:rPr>
          <w:rFonts w:ascii="Times New Roman" w:hAnsi="Times New Roman" w:cs="Times New Roman" w:eastAsia="Times New Roman" w:hint="default"/>
          <w:spacing w:val="-1"/>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357" w:lineRule="auto" w:before="165"/>
        <w:ind w:left="154" w:right="7332"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 无</w:t>
      </w:r>
    </w:p>
    <w:p>
      <w:pPr>
        <w:spacing w:line="240" w:lineRule="auto" w:before="12"/>
        <w:rPr>
          <w:rFonts w:ascii="宋体" w:hAnsi="宋体" w:cs="宋体" w:eastAsia="宋体" w:hint="default"/>
          <w:sz w:val="22"/>
          <w:szCs w:val="22"/>
        </w:rPr>
      </w:pPr>
    </w:p>
    <w:p>
      <w:pPr>
        <w:spacing w:line="340" w:lineRule="auto" w:before="0"/>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按欠款方归集的期末余额前五名的应收账款情况</w:t>
      </w:r>
      <w:r>
        <w:rPr>
          <w:rFonts w:ascii="宋体" w:hAnsi="宋体" w:cs="宋体" w:eastAsia="宋体" w:hint="default"/>
          <w:w w:val="99"/>
          <w:sz w:val="18"/>
          <w:szCs w:val="18"/>
        </w:rPr>
        <w:t> </w:t>
      </w:r>
      <w:r>
        <w:rPr>
          <w:rFonts w:ascii="宋体" w:hAnsi="宋体" w:cs="宋体" w:eastAsia="宋体" w:hint="default"/>
          <w:sz w:val="18"/>
          <w:szCs w:val="18"/>
        </w:rPr>
        <w:t>公司是否需要遵守特殊行业的披露要求</w:t>
      </w:r>
    </w:p>
    <w:p>
      <w:pPr>
        <w:spacing w:line="357" w:lineRule="auto" w:before="41"/>
        <w:ind w:left="154" w:right="8952"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p>
      <w:pPr>
        <w:pStyle w:val="BodyText"/>
        <w:spacing w:line="386" w:lineRule="auto" w:before="79"/>
        <w:ind w:right="1144" w:firstLine="420"/>
        <w:jc w:val="left"/>
      </w:pPr>
      <w:r>
        <w:rPr/>
        <w:t>本公司按欠款方归集的年末余额前五名应收账款汇总金额</w:t>
      </w:r>
      <w:r>
        <w:rPr>
          <w:rFonts w:ascii="Times New Roman" w:hAnsi="Times New Roman" w:cs="Times New Roman" w:eastAsia="Times New Roman" w:hint="default"/>
        </w:rPr>
        <w:t>95,909,863.62</w:t>
      </w:r>
      <w:r>
        <w:rPr/>
        <w:t>元，占应收账款余额合计数的 比例为</w:t>
      </w:r>
      <w:r>
        <w:rPr>
          <w:rFonts w:ascii="Times New Roman" w:hAnsi="Times New Roman" w:cs="Times New Roman" w:eastAsia="Times New Roman" w:hint="default"/>
        </w:rPr>
        <w:t>38.95%</w:t>
      </w:r>
      <w:r>
        <w:rPr/>
        <w:t>，相应计提的坏账准备汇总金额</w:t>
      </w:r>
      <w:r>
        <w:rPr>
          <w:rFonts w:ascii="Times New Roman" w:hAnsi="Times New Roman" w:cs="Times New Roman" w:eastAsia="Times New Roman" w:hint="default"/>
        </w:rPr>
        <w:t>11,757,816.15</w:t>
      </w:r>
      <w:r>
        <w:rPr/>
        <w:t>元。</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3、预付款项" w:id="218"/>
      <w:bookmarkEnd w:id="218"/>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19"/>
      <w:bookmarkEnd w:id="21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9,620,779.80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5,345,784.00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2,125,463.48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181,788.00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554,160.00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12,448,423.28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6,156,732.00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77"/>
        <w:ind w:left="0" w:right="5786"/>
        <w:jc w:val="center"/>
      </w:pPr>
      <w:r>
        <w:rPr/>
        <w:t>公司项目周期较长，未与供应商进行结算。</w:t>
      </w:r>
    </w:p>
    <w:p>
      <w:pPr>
        <w:spacing w:line="690" w:lineRule="exact" w:before="31"/>
        <w:ind w:left="574" w:right="0" w:hanging="420"/>
        <w:jc w:val="left"/>
        <w:rPr>
          <w:rFonts w:ascii="宋体" w:hAnsi="宋体" w:cs="宋体" w:eastAsia="宋体" w:hint="default"/>
          <w:sz w:val="21"/>
          <w:szCs w:val="21"/>
        </w:rPr>
      </w:pPr>
      <w:bookmarkStart w:name="（2）按预付对象归集的期末余额前五名的预付款情况"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本公司按预付对象归集的年末余额前五名预付款项汇总金额</w:t>
      </w:r>
      <w:r>
        <w:rPr>
          <w:rFonts w:ascii="Times New Roman" w:hAnsi="Times New Roman" w:cs="Times New Roman" w:eastAsia="Times New Roman" w:hint="default"/>
          <w:spacing w:val="-2"/>
          <w:sz w:val="21"/>
          <w:szCs w:val="21"/>
        </w:rPr>
        <w:t>6,458,172.83</w:t>
      </w:r>
      <w:r>
        <w:rPr>
          <w:rFonts w:ascii="宋体" w:hAnsi="宋体" w:cs="宋体" w:eastAsia="宋体" w:hint="default"/>
          <w:spacing w:val="-2"/>
          <w:sz w:val="21"/>
          <w:szCs w:val="21"/>
        </w:rPr>
        <w:t>元，占预付账款余额合计数的</w:t>
      </w:r>
    </w:p>
    <w:p>
      <w:pPr>
        <w:pStyle w:val="BodyText"/>
        <w:spacing w:line="240" w:lineRule="auto" w:before="84"/>
        <w:ind w:right="0"/>
        <w:jc w:val="left"/>
      </w:pPr>
      <w:r>
        <w:rPr/>
        <w:t>比例</w:t>
      </w:r>
      <w:r>
        <w:rPr>
          <w:rFonts w:ascii="Times New Roman" w:hAnsi="Times New Roman" w:cs="Times New Roman" w:eastAsia="Times New Roman" w:hint="default"/>
        </w:rPr>
        <w:t>51.88%</w:t>
      </w:r>
      <w:r>
        <w:rPr/>
        <w:t>。</w:t>
      </w:r>
    </w:p>
    <w:p>
      <w:pPr>
        <w:spacing w:line="357" w:lineRule="auto" w:before="165"/>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4、其他应收款" w:id="221"/>
      <w:bookmarkEnd w:id="221"/>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939,791.67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1,186,208.33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33,343,873.92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27,704,511.75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34,283,665.59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28,890,720.08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22"/>
      <w:bookmarkEnd w:id="22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1,186,208.33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1,186,208.33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其他应收款" w:id="223"/>
      <w:bookmarkEnd w:id="223"/>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40,882,8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40.21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7,538,96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33,343,87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33,863,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333.36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6,158,821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27,704,511.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40,882,8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40.21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7,538,96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6.29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33,343,87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33,863,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333.36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6,158,821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27,704,511.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19,194,866.81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959,743.33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5,926,534.19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1,185,306.83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4,983,419.90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2,491,709.95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2,487,689.70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2,487,689.70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4"/>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6" w:right="0"/>
              <w:jc w:val="left"/>
              <w:rPr>
                <w:rFonts w:ascii="Times New Roman" w:hAnsi="Times New Roman" w:cs="Times New Roman" w:eastAsia="Times New Roman" w:hint="default"/>
                <w:sz w:val="18"/>
                <w:szCs w:val="18"/>
              </w:rPr>
            </w:pPr>
            <w:r>
              <w:rPr>
                <w:rFonts w:ascii="Times New Roman"/>
                <w:sz w:val="18"/>
              </w:rPr>
              <w:t>32,592,510.60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7,124,449.81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87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按账龄分析列示。</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未逾期大额保证金</w:t>
      </w:r>
      <w:r>
        <w:rPr>
          <w:rFonts w:ascii="Times New Roman" w:hAnsi="Times New Roman" w:cs="Times New Roman" w:eastAsia="Times New Roman" w:hint="default"/>
        </w:rPr>
        <w:t>8,290,329.61</w:t>
      </w:r>
      <w:r>
        <w:rPr/>
        <w:t>元，按照</w:t>
      </w:r>
      <w:r>
        <w:rPr>
          <w:rFonts w:ascii="Times New Roman" w:hAnsi="Times New Roman" w:cs="Times New Roman" w:eastAsia="Times New Roman" w:hint="default"/>
        </w:rPr>
        <w:t>5%</w:t>
      </w:r>
      <w:r>
        <w:rPr/>
        <w:t>计提坏账准备，金额</w:t>
      </w:r>
      <w:r>
        <w:rPr>
          <w:rFonts w:ascii="Times New Roman" w:hAnsi="Times New Roman" w:cs="Times New Roman" w:eastAsia="Times New Roman" w:hint="default"/>
        </w:rPr>
        <w:t>414,516.48</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060" w:bottom="1160" w:left="980" w:right="0"/>
        </w:sectPr>
      </w:pPr>
    </w:p>
    <w:p>
      <w:pPr>
        <w:spacing w:line="240" w:lineRule="auto" w:before="7"/>
        <w:rPr>
          <w:rFonts w:ascii="宋体" w:hAnsi="宋体" w:cs="宋体" w:eastAsia="宋体" w:hint="default"/>
          <w:sz w:val="13"/>
          <w:szCs w:val="13"/>
        </w:rPr>
      </w:pPr>
    </w:p>
    <w:p>
      <w:pPr>
        <w:spacing w:line="321"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r>
        <w:rPr>
          <w:rFonts w:ascii="宋体" w:hAnsi="宋体" w:cs="宋体" w:eastAsia="宋体" w:hint="default"/>
          <w:w w:val="99"/>
          <w:sz w:val="18"/>
          <w:szCs w:val="18"/>
        </w:rPr>
        <w:t> </w:t>
      </w:r>
      <w:r>
        <w:rPr>
          <w:rFonts w:ascii="宋体" w:hAnsi="宋体" w:cs="宋体" w:eastAsia="宋体" w:hint="default"/>
          <w:spacing w:val="-1"/>
          <w:sz w:val="21"/>
          <w:szCs w:val="21"/>
        </w:rPr>
        <w:t>本期计提坏账准备金额</w:t>
      </w:r>
      <w:r>
        <w:rPr>
          <w:rFonts w:ascii="宋体" w:hAnsi="宋体" w:cs="宋体" w:eastAsia="宋体" w:hint="default"/>
          <w:spacing w:val="-1"/>
          <w:sz w:val="21"/>
          <w:szCs w:val="21"/>
        </w:rPr>
        <w:t>1,380,144.68</w:t>
      </w:r>
      <w:r>
        <w:rPr>
          <w:rFonts w:ascii="宋体" w:hAnsi="宋体" w:cs="宋体" w:eastAsia="宋体" w:hint="default"/>
          <w:spacing w:val="-1"/>
          <w:sz w:val="21"/>
          <w:szCs w:val="21"/>
        </w:rPr>
        <w:t>元；本期收回或转回坏账准备金额</w:t>
      </w:r>
      <w:r>
        <w:rPr>
          <w:rFonts w:ascii="宋体" w:hAnsi="宋体" w:cs="宋体" w:eastAsia="宋体" w:hint="default"/>
          <w:spacing w:val="-1"/>
          <w:sz w:val="21"/>
          <w:szCs w:val="21"/>
        </w:rPr>
        <w:t>0.00</w:t>
      </w:r>
      <w:r>
        <w:rPr>
          <w:rFonts w:ascii="宋体" w:hAnsi="宋体" w:cs="宋体" w:eastAsia="宋体" w:hint="default"/>
          <w:spacing w:val="-1"/>
          <w:sz w:val="21"/>
          <w:szCs w:val="21"/>
        </w:rPr>
        <w:t>元。</w:t>
      </w:r>
      <w:r>
        <w:rPr>
          <w:rFonts w:ascii="宋体" w:hAnsi="宋体" w:cs="宋体" w:eastAsia="宋体" w:hint="default"/>
          <w:spacing w:val="-65"/>
          <w:sz w:val="21"/>
          <w:szCs w:val="21"/>
        </w:rPr>
        <w:t> </w:t>
      </w:r>
      <w:r>
        <w:rPr>
          <w:rFonts w:ascii="宋体" w:hAnsi="宋体" w:cs="宋体" w:eastAsia="宋体" w:hint="default"/>
          <w:sz w:val="18"/>
          <w:szCs w:val="18"/>
        </w:rPr>
        <w:t>其中本期坏账准备转回或收回金额重要的：</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7504" w:space="132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30,180,867.58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27,099,168.74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备用金及项目周转金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10,026,333.51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6,117,065.53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873.76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404,327.73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674,765.36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242,771.36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40,882,840.21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33,863,333.36</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宜宾市科教产业投 资集团有限公司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3,737,900.00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186,894.99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四川省内江监狱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2,132,629.05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106,631.45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成都市教育技术装 备管理中心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1,227,642.56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61,382.13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广安市前锋区财政 国库支付中心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1,192,158.00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59,607.90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四川三联新材料有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889,910.90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44,495.55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9,180,240.51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459,012.02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存货" w:id="224"/>
      <w:bookmarkEnd w:id="224"/>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w:t>
      </w:r>
    </w:p>
    <w:p>
      <w:pPr>
        <w:pStyle w:val="BodyText"/>
        <w:spacing w:line="240" w:lineRule="auto" w:before="90"/>
        <w:ind w:right="0"/>
        <w:jc w:val="left"/>
      </w:pP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存货分类" w:id="225"/>
      <w:bookmarkEnd w:id="22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未完工合同成本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72,423,810.12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245,869.75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72,177,940.37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64,261,200.18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38,379.63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64,222,820.55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72,423,810.12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245,869.75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72,177,940.37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64,261,200.18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38,379.63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64,222,820.55</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存货跌价准备" w:id="226"/>
      <w:bookmarkEnd w:id="22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未完工合同成本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38,379.63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207,490.12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245,869.75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38,379.63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207,490.12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245,869.75</w:t>
            </w:r>
          </w:p>
        </w:tc>
      </w:tr>
    </w:tbl>
    <w:p>
      <w:pPr>
        <w:pStyle w:val="BodyText"/>
        <w:spacing w:line="260" w:lineRule="exact"/>
        <w:ind w:right="0"/>
        <w:jc w:val="left"/>
      </w:pPr>
      <w:r>
        <w:rPr/>
        <w:t>无</w:t>
      </w:r>
    </w:p>
    <w:p>
      <w:pPr>
        <w:spacing w:line="240" w:lineRule="auto" w:before="11"/>
        <w:rPr>
          <w:rFonts w:ascii="宋体" w:hAnsi="宋体" w:cs="宋体" w:eastAsia="宋体" w:hint="default"/>
          <w:sz w:val="25"/>
          <w:szCs w:val="25"/>
        </w:rPr>
      </w:pPr>
    </w:p>
    <w:p>
      <w:pPr>
        <w:spacing w:line="506" w:lineRule="auto" w:before="0"/>
        <w:ind w:left="154" w:right="4662" w:firstLine="0"/>
        <w:jc w:val="left"/>
        <w:rPr>
          <w:rFonts w:ascii="宋体" w:hAnsi="宋体" w:cs="宋体" w:eastAsia="宋体" w:hint="default"/>
          <w:sz w:val="21"/>
          <w:szCs w:val="21"/>
        </w:rPr>
      </w:pPr>
      <w:bookmarkStart w:name="（3）存货期末余额含有借款费用资本化金额的说明"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t>存货年末余额中无借款费用资本化金额；无用于抵押、担保存货。</w:t>
      </w:r>
    </w:p>
    <w:p>
      <w:pPr>
        <w:pStyle w:val="Heading4"/>
        <w:spacing w:line="506" w:lineRule="auto" w:before="105"/>
        <w:ind w:right="6340"/>
        <w:jc w:val="left"/>
        <w:rPr>
          <w:rFonts w:ascii="宋体" w:hAnsi="宋体" w:cs="宋体" w:eastAsia="宋体" w:hint="default"/>
          <w:b w:val="0"/>
          <w:bCs w:val="0"/>
        </w:rPr>
      </w:pPr>
      <w:bookmarkStart w:name="（4）期末建造合同形成的已完工未结算资产情况" w:id="228"/>
      <w:bookmarkEnd w:id="228"/>
      <w:r>
        <w:rPr>
          <w:b w:val="0"/>
          <w:bCs w:val="0"/>
        </w:rPr>
      </w:r>
      <w:r>
        <w:rPr>
          <w:w w:val="95"/>
        </w:rPr>
        <w:t>（</w:t>
      </w:r>
      <w:r>
        <w:rPr>
          <w:rFonts w:ascii="Times New Roman" w:hAnsi="Times New Roman" w:cs="Times New Roman" w:eastAsia="Times New Roman" w:hint="default"/>
          <w:w w:val="95"/>
        </w:rPr>
        <w:t>4</w:t>
      </w:r>
      <w:r>
        <w:rPr>
          <w:w w:val="95"/>
        </w:rPr>
        <w:t>）期末建造合同形成的已完工未结算资产情况 </w:t>
      </w:r>
      <w:r>
        <w:rPr>
          <w:spacing w:val="20"/>
          <w:w w:val="95"/>
        </w:rPr>
        <w:t> </w:t>
      </w:r>
      <w:r>
        <w:rPr>
          <w:spacing w:val="20"/>
          <w:w w:val="95"/>
        </w:rPr>
      </w:r>
      <w:r>
        <w:rPr>
          <w:rFonts w:ascii="宋体" w:hAnsi="宋体" w:cs="宋体" w:eastAsia="宋体" w:hint="default"/>
          <w:b w:val="0"/>
          <w:bCs w:val="0"/>
        </w:rPr>
        <w:t>无</w:t>
      </w:r>
    </w:p>
    <w:p>
      <w:pPr>
        <w:pStyle w:val="Heading4"/>
        <w:spacing w:line="240" w:lineRule="auto" w:before="105"/>
        <w:ind w:right="0"/>
        <w:jc w:val="left"/>
        <w:rPr>
          <w:b w:val="0"/>
          <w:bCs w:val="0"/>
        </w:rPr>
      </w:pPr>
      <w:bookmarkStart w:name="6、其他流动资产" w:id="229"/>
      <w:bookmarkEnd w:id="229"/>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未抵扣及未认证增值税进项税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107,511.98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150,709.33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5,024.86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40,112,536.84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150,709.33</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7、可供出售金融资产" w:id="230"/>
      <w:bookmarkEnd w:id="230"/>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31"/>
      <w:bookmarkEnd w:id="23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期末按成本计量的可供出售金融资产" w:id="232"/>
      <w:bookmarkEnd w:id="232"/>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贵州六合 烟草自动 化工程有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可供出售金融资产减值的变动情况" w:id="233"/>
      <w:bookmarkEnd w:id="233"/>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长期股权投资" w:id="234"/>
      <w:bookmarkEnd w:id="234"/>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深圳市中 钞科信金 融科技有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5,572,359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5,572,359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5,572,359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92.81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1003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9、固定资产" w:id="235"/>
      <w:bookmarkEnd w:id="235"/>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20,418,580.19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20,948,707.88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20,418,580.19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20,948,707.88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36"/>
      <w:bookmarkEnd w:id="23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25,426,092.13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6,376,143.56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3,031,306.75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284,566.59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35,118,109.03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90,633.77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819,518.81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251,871.80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1,165,183.59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90,633.77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819,518.81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251,871.80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1,165,183.59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124,820.57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124,820.57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124,820.57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124,820.57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25,516,725.90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5,311,904.63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3,283,178.55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2,046,662.97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36,158,472.05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8,460,365.88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3,626,765.93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1,870,261.23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14,169,401.15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611,495.10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790,871.10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281,575.74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1,689,070.25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611,495.10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790,871.10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281,575.74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1,689,070.25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118,579.54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118,579.54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118,579.54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118,579.54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9,071,860.98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4,299,057.49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2,151,836.97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217,136.42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15,739,891.86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16,444,864.92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2,771,784.31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1,131,341.58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70,589.38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20,418,580.19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16,965,726.25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2,749,377.63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1,161,045.52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20,948,707.88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通过经营租赁租出的固定资产" w:id="237"/>
      <w:bookmarkEnd w:id="237"/>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6,561,532.61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0、无形资产" w:id="238"/>
      <w:bookmarkEnd w:id="238"/>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39"/>
      <w:bookmarkEnd w:id="23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9,506,369.00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2,113,812.02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11,620,181.02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646,551.76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646,551.76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646,551.76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646,551.76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9,506,369.00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2,760,363.78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12,266,732.78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3,152,946.05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829,609.87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3,982,555.92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205,970.97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434,122.90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640,093.87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205,970.97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640,093.87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3,358,917.02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1,263,732.77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4,622,649.79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6,147,451.98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1,496,631.01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7,644,082.99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6,353,422.95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1,284,202.15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7,637,625.10</w:t>
            </w:r>
          </w:p>
        </w:tc>
      </w:tr>
    </w:tbl>
    <w:p>
      <w:pPr>
        <w:pStyle w:val="BodyText"/>
        <w:spacing w:line="240" w:lineRule="auto" w:before="26"/>
        <w:ind w:right="0"/>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0.00%</w:t>
      </w:r>
      <w:r>
        <w:rPr/>
        <w:t>。</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11、递延所得税资产/递延所得税负债" w:id="240"/>
      <w:bookmarkEnd w:id="240"/>
      <w:r>
        <w:rPr>
          <w:b w:val="0"/>
          <w:bCs w:val="0"/>
        </w:rPr>
      </w:r>
      <w:r>
        <w:rPr>
          <w:rFonts w:ascii="Times New Roman" w:hAnsi="Times New Roman" w:cs="Times New Roman" w:eastAsia="Times New Roman" w:hint="default"/>
        </w:rPr>
        <w:t>11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41"/>
      <w:bookmarkEnd w:id="24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55,959,254.46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8,394,067.67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42,523,732.26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6,407,906.80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248,180.68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62,045.17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8,434,320.11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1,365,547.55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4,866,406.09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855,604.94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64,641,755.25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9,821,660.39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47,390,138.35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7,263,511.74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抵销后净额列示的递延所得税资产或负债" w:id="242"/>
      <w:bookmarkEnd w:id="242"/>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9,821,660.39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7,263,511.74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未确认递延所得税资产明细" w:id="243"/>
      <w:bookmarkEnd w:id="243"/>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3,038,899.40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1,294,135.74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合并未实现利润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703,429.26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3,742,328.66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1,294,135.74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的可抵扣亏损将于以下年度到期" w:id="244"/>
      <w:bookmarkEnd w:id="244"/>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1,267,073.74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709,336.32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1,771,825.66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3,038,899.40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709,336.32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2、应付票据及应付账款" w:id="245"/>
      <w:bookmarkEnd w:id="245"/>
      <w:r>
        <w:rPr>
          <w:b w:val="0"/>
          <w:bCs w:val="0"/>
        </w:rPr>
      </w:r>
      <w:r>
        <w:rPr>
          <w:rFonts w:ascii="Times New Roman" w:hAnsi="Times New Roman" w:cs="Times New Roman" w:eastAsia="Times New Roman" w:hint="default"/>
        </w:rPr>
        <w:t>12</w:t>
      </w:r>
      <w:r>
        <w:rPr/>
        <w:t>、应付票据及应付账款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65,061,143.79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56,430,647.10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65,061,143.79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56,430,647.10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付账款列示" w:id="246"/>
      <w:bookmarkEnd w:id="24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65,061,143.79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56,430,647.10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65,061,143.79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56,430,647.10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3、预收款项" w:id="247"/>
      <w:bookmarkEnd w:id="247"/>
      <w:r>
        <w:rPr>
          <w:b w:val="0"/>
          <w:bCs w:val="0"/>
        </w:rPr>
      </w:r>
      <w:r>
        <w:rPr>
          <w:rFonts w:ascii="Times New Roman" w:hAnsi="Times New Roman" w:cs="Times New Roman" w:eastAsia="Times New Roman" w:hint="default"/>
        </w:rPr>
        <w:t>13</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48"/>
      <w:bookmarkEnd w:id="24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未完工项目预收款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29,615,949.11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41,537,998.23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29,615,949.11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41,537,998.23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4、应付职工薪酬" w:id="249"/>
      <w:bookmarkEnd w:id="249"/>
      <w:r>
        <w:rPr>
          <w:b w:val="0"/>
          <w:bCs w:val="0"/>
        </w:rPr>
      </w:r>
      <w:r>
        <w:rPr>
          <w:rFonts w:ascii="Times New Roman" w:hAnsi="Times New Roman" w:cs="Times New Roman" w:eastAsia="Times New Roman" w:hint="default"/>
        </w:rPr>
        <w:t>14</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50"/>
      <w:bookmarkEnd w:id="25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6,470,887.97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52,990,245.20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51,538,288.30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7,922,844.87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2,925,421.92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2,925,421.92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193,098.48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193,098.48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6,663,986.45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55,915,667.12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54,656,808.70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7,922,844.87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51"/>
      <w:bookmarkEnd w:id="25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6,375,424.95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42,979,612.45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41,550,135.22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7,804,902.18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55,272.90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55,272.90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1,358,721.33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1,358,721.33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1,203,479.53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1,203,479.53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23,623.78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23,623.78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131,618.02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2,559,008.00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2,559,008.00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879,724.73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857,245.06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117,942.69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5,157,905.79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5,157,905.79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6,470,887.97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52,990,245.20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51,538,288.30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7,922,844.87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52"/>
      <w:bookmarkEnd w:id="25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2,825,208.66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2,825,208.66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100,213.26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100,213.26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2,925,421.92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2,925,421.92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5、应交税费" w:id="253"/>
      <w:bookmarkEnd w:id="253"/>
      <w:r>
        <w:rPr>
          <w:b w:val="0"/>
          <w:bCs w:val="0"/>
        </w:rPr>
      </w:r>
      <w:r>
        <w:rPr>
          <w:rFonts w:ascii="Times New Roman" w:hAnsi="Times New Roman" w:cs="Times New Roman" w:eastAsia="Times New Roman" w:hint="default"/>
        </w:rPr>
        <w:t>15</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19,193,947.91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19,765,324.02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6,878,377.04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6,670,736.81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369,118.29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399,279.63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321,876.10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349,194.39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1,279,818.42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1,279,818.42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202,330.74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221,768.54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28,245,468.50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28,686,121.81</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6、其他应付款" w:id="254"/>
      <w:bookmarkEnd w:id="254"/>
      <w:r>
        <w:rPr>
          <w:b w:val="0"/>
          <w:bCs w:val="0"/>
        </w:rPr>
      </w:r>
      <w:r>
        <w:rPr>
          <w:rFonts w:ascii="Times New Roman" w:hAnsi="Times New Roman" w:cs="Times New Roman" w:eastAsia="Times New Roman" w:hint="default"/>
        </w:rPr>
        <w:t>16</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25,373,244.04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25,814,686.12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25,373,622.87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25,814,686.12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股利" w:id="255"/>
      <w:bookmarkEnd w:id="255"/>
      <w:r>
        <w:rPr>
          <w:b w:val="0"/>
          <w:bCs w:val="0"/>
        </w:rPr>
      </w:r>
      <w:r>
        <w:rPr/>
        <w:t>（</w:t>
      </w:r>
      <w:r>
        <w:rPr>
          <w:rFonts w:ascii="Times New Roman" w:hAnsi="Times New Roman" w:cs="Times New Roman" w:eastAsia="Times New Roman" w:hint="default"/>
        </w:rPr>
        <w:t>1</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1"/>
        <w:ind w:left="154" w:right="4994"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其他应付款" w:id="256"/>
      <w:bookmarkEnd w:id="256"/>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13,137,858.45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13,776,266.78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应付专项款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6,694,631.88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7,443,253.65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2,554,374.73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712,036.05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1,665,989.32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2,530,687.42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1,320,389.66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1,352,442.22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25,373,244.04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25,814,686.12</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38" w:firstLine="0"/>
        <w:jc w:val="right"/>
        <w:rPr>
          <w:rFonts w:ascii="宋体" w:hAnsi="宋体" w:cs="宋体" w:eastAsia="宋体" w:hint="default"/>
          <w:sz w:val="18"/>
          <w:szCs w:val="18"/>
        </w:rPr>
      </w:pPr>
      <w:r>
        <w:rPr/>
        <w:pict>
          <v:shape style="position:absolute;margin-left:56.459999pt;margin-top:-20.978315pt;width:479.25pt;height:397.4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留存国有股红利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4,933,635.32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94"/>
                          <w:jc w:val="both"/>
                          <w:rPr>
                            <w:rFonts w:ascii="宋体" w:hAnsi="宋体" w:cs="宋体" w:eastAsia="宋体" w:hint="default"/>
                            <w:sz w:val="18"/>
                            <w:szCs w:val="18"/>
                          </w:rPr>
                        </w:pPr>
                        <w:r>
                          <w:rPr>
                            <w:rFonts w:ascii="宋体" w:hAnsi="宋体" w:cs="宋体" w:eastAsia="宋体" w:hint="default"/>
                            <w:sz w:val="18"/>
                            <w:szCs w:val="18"/>
                          </w:rPr>
                          <w:t>留存国有股红利系</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年期间 本公司扣除现金分红外的可供分配利润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转入。</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养老金及补贴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中国科学院拨付的国有留利转入的养老 金及补贴款</w:t>
                        </w:r>
                      </w:p>
                    </w:tc>
                  </w:tr>
                  <w:tr>
                    <w:trPr>
                      <w:trHeight w:val="539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年企业所得税减免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1,760,996.56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根据财政部、国家税务总局《关于延长 转制科研机构有关税收政策执行期限的 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2005</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，对经国务 院批准的科研机构中转为企业的科研机 构和进入企业的科研机构，从转制注册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年内免征科研开发自用土地、 房产的城镇土地使用税、房产税和企业 所得税。转制科研机构要将上述免税收 入主要用于研发条件建设和解决历史问 题。按照文件要求，公司未来将该资金 用于公司研发中心的建设和离岗退养人 </w:t>
                        </w:r>
                        <w:r>
                          <w:rPr>
                            <w:rFonts w:ascii="宋体" w:hAnsi="宋体" w:cs="宋体" w:eastAsia="宋体" w:hint="default"/>
                            <w:spacing w:val="-4"/>
                            <w:sz w:val="18"/>
                            <w:szCs w:val="18"/>
                          </w:rPr>
                          <w:t>员的安置等。公司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所得税减免合计金额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5,019,236.66</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元，截</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日，公司用于研发条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件建设的资金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3,258,240.10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元已使用完</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pacing w:val="-7"/>
                            <w:sz w:val="18"/>
                            <w:szCs w:val="18"/>
                          </w:rPr>
                          <w:t>毕，解决历史问题的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1,760,996.56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 使用。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8,515,831.88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57" w:lineRule="auto" w:before="44"/>
        <w:ind w:left="154" w:right="1003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7、长期应付款" w:id="257"/>
      <w:bookmarkEnd w:id="257"/>
      <w:r>
        <w:rPr>
          <w:b w:val="0"/>
          <w:bCs w:val="0"/>
        </w:rPr>
      </w:r>
      <w:r>
        <w:rPr>
          <w:rFonts w:ascii="Times New Roman" w:hAnsi="Times New Roman" w:cs="Times New Roman" w:eastAsia="Times New Roman" w:hint="default"/>
        </w:rPr>
        <w:t>17</w:t>
      </w:r>
      <w:r>
        <w:rPr/>
        <w:t>、长期应付款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按款项性质列示长期应付款" w:id="258"/>
      <w:bookmarkEnd w:id="25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财政厅专项借款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320,000.00</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8、递延收益" w:id="259"/>
      <w:bookmarkEnd w:id="259"/>
      <w:r>
        <w:rPr>
          <w:b w:val="0"/>
          <w:bCs w:val="0"/>
        </w:rPr>
      </w:r>
      <w:r>
        <w:rPr>
          <w:rFonts w:ascii="Times New Roman" w:hAnsi="Times New Roman" w:cs="Times New Roman" w:eastAsia="Times New Roman" w:hint="default"/>
        </w:rPr>
        <w:t>18</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4,866,406.09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9,586,885.98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8,434,320.11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4,866,406.09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9,586,885.98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8,434,320.11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经济型电子 计票系统产 业化推广</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1,563.87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基于病例大 数据的智能 诊疗决策关 键技术研究 与应用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6,961.76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多模态小型 化超声监测 设备研发与 产业化推广</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1,084,389.49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659,215.24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425,174.25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新型电子选 举系统和电 子表决系统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成都高新科 技局电子选 举计票机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101,340.18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601,340.18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数据存储信 息安全关键 技术及新型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421,994.45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421,994.45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RAID</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系统研 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面向移动互 联网应用的 智能软件云 端开发平台 示范应用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55,716.01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55,716.01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高寒高海拔 地区太阳能 代供暖系统 监控（科学 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成都理工大 高分辨率航 空伽马能谱 测量系统研 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大数据智能 处理关键技 术研究</w:t>
            </w:r>
            <w:r>
              <w:rPr>
                <w:rFonts w:ascii="Times New Roman" w:hAnsi="Times New Roman" w:cs="Times New Roman" w:eastAsia="Times New Roman" w:hint="default"/>
                <w:sz w:val="18"/>
                <w:szCs w:val="18"/>
              </w:rPr>
              <w:t>(</w:t>
            </w:r>
            <w:r>
              <w:rPr>
                <w:rFonts w:ascii="宋体" w:hAnsi="宋体" w:cs="宋体" w:eastAsia="宋体" w:hint="default"/>
                <w:sz w:val="18"/>
                <w:szCs w:val="18"/>
              </w:rPr>
              <w:t>钟 勇</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医学可视化 辅助诊疗决 策关键技术 研发与推广</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341,558.99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658,441.01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四川生态多 样性实践活 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围术期智能 辅助诊疗产 品及云平台 研发与应用 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383,962.26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2,116,037.74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新一代超声 影像智能比 例库关键技 术研发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省科技厅普 及型经食管 超声心动监 护仪研发与</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537,604.63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1,462,395.37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推广</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四川省基层 </w:t>
            </w:r>
            <w:r>
              <w:rPr>
                <w:rFonts w:ascii="Times New Roman" w:hAnsi="Times New Roman" w:cs="Times New Roman" w:eastAsia="Times New Roman" w:hint="default"/>
                <w:sz w:val="18"/>
                <w:szCs w:val="18"/>
              </w:rPr>
              <w:t>“</w:t>
            </w:r>
            <w:r>
              <w:rPr>
                <w:rFonts w:ascii="宋体" w:hAnsi="宋体" w:cs="宋体" w:eastAsia="宋体" w:hint="default"/>
                <w:sz w:val="18"/>
                <w:szCs w:val="18"/>
              </w:rPr>
              <w:t>两委</w:t>
            </w:r>
            <w:r>
              <w:rPr>
                <w:rFonts w:ascii="Times New Roman" w:hAnsi="Times New Roman" w:cs="Times New Roman" w:eastAsia="Times New Roman" w:hint="default"/>
                <w:sz w:val="18"/>
                <w:szCs w:val="18"/>
              </w:rPr>
              <w:t>”</w:t>
            </w:r>
            <w:r>
              <w:rPr>
                <w:rFonts w:ascii="宋体" w:hAnsi="宋体" w:cs="宋体" w:eastAsia="宋体" w:hint="default"/>
                <w:sz w:val="18"/>
                <w:szCs w:val="18"/>
              </w:rPr>
              <w:t>换届 选举智能服 务挂办理平 台关键技术 研究与产业 化示范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1,698,999.99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301,000.01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新一代互联 网智能教育 平台与示范 应用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2,325,765.30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674,234.70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智能安全路 径规划与控 制算法研究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基于遥感大 数据的地质 灾害监测预 警和分析关 键技术研究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面向党和国 家重大战略 需求的会议 电子表决关 键技术研究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四川省科技 厅自主可控 安全技术研 发及应用示 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中国科学院 西部之光残 损人民币复 点与销毁的 </w:t>
            </w:r>
            <w:r>
              <w:rPr>
                <w:rFonts w:ascii="宋体" w:hAnsi="宋体" w:cs="宋体" w:eastAsia="宋体" w:hint="default"/>
                <w:spacing w:val="-13"/>
                <w:sz w:val="18"/>
                <w:szCs w:val="18"/>
              </w:rPr>
              <w:t>自动化、智能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化管控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临床云超声 数字诊疗关 键技术研发 与应用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金义都市新 区中科院成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1,256,440.33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252,444.94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1,003,995.39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都信息技术 股份有限公 司金义联合 研究中心项 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9、股本" w:id="260"/>
      <w:bookmarkEnd w:id="260"/>
      <w:r>
        <w:rPr>
          <w:b w:val="0"/>
          <w:bCs w:val="0"/>
        </w:rPr>
      </w:r>
      <w:r>
        <w:rPr>
          <w:rFonts w:ascii="Times New Roman" w:hAnsi="Times New Roman" w:cs="Times New Roman" w:eastAsia="Times New Roman" w:hint="default"/>
        </w:rPr>
        <w:t>19</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80,000,000.00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80,000,000.00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ind w:right="1197"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日，经公司股东大会审议通过，以总股本</w:t>
      </w:r>
      <w:r>
        <w:rPr>
          <w:rFonts w:ascii="Times New Roman" w:hAnsi="Times New Roman" w:cs="Times New Roman" w:eastAsia="Times New Roman" w:hint="default"/>
        </w:rPr>
        <w:t>10,000.00</w:t>
      </w:r>
      <w:r>
        <w:rPr/>
        <w:t>万股为基数，以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 本公积金向全体股东每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rFonts w:ascii="Times New Roman" w:hAnsi="Times New Roman" w:cs="Times New Roman" w:eastAsia="Times New Roman" w:hint="default"/>
        </w:rPr>
        <w:t>8</w:t>
      </w:r>
      <w:r>
        <w:rPr/>
        <w:t>股，共计增加股本</w:t>
      </w:r>
      <w:r>
        <w:rPr>
          <w:rFonts w:ascii="Times New Roman" w:hAnsi="Times New Roman" w:cs="Times New Roman" w:eastAsia="Times New Roman" w:hint="default"/>
        </w:rPr>
        <w:t>8,000.00</w:t>
      </w:r>
      <w:r>
        <w:rPr/>
        <w:t>万股，转增后的股本为</w:t>
      </w:r>
      <w:r>
        <w:rPr>
          <w:rFonts w:ascii="Times New Roman" w:hAnsi="Times New Roman" w:cs="Times New Roman" w:eastAsia="Times New Roman" w:hint="default"/>
        </w:rPr>
        <w:t>18,000.00</w:t>
      </w:r>
      <w:r>
        <w:rPr/>
        <w:t>万股。</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20、资本公积" w:id="261"/>
      <w:bookmarkEnd w:id="261"/>
      <w:r>
        <w:rPr>
          <w:b w:val="0"/>
          <w:bCs w:val="0"/>
        </w:rPr>
      </w:r>
      <w:r>
        <w:rPr>
          <w:rFonts w:ascii="Times New Roman" w:hAnsi="Times New Roman" w:cs="Times New Roman" w:eastAsia="Times New Roman" w:hint="default"/>
        </w:rPr>
        <w:t>20</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254,365,544.44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174,365,544.44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4,002,201.38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4,002,201.38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258,367,745.82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178,367,745.82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2"/>
          <w:szCs w:val="12"/>
        </w:rPr>
      </w:pPr>
    </w:p>
    <w:p>
      <w:pPr>
        <w:pStyle w:val="BodyText"/>
        <w:tabs>
          <w:tab w:pos="5719" w:val="left" w:leader="none"/>
          <w:tab w:pos="7084" w:val="left" w:leader="none"/>
        </w:tabs>
        <w:spacing w:line="408" w:lineRule="auto"/>
        <w:ind w:right="1216" w:firstLine="420"/>
        <w:jc w:val="left"/>
      </w:pPr>
      <w:r>
        <w:rPr/>
        <w:t>本报告期根据</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日召开的</w:t>
      </w:r>
      <w:r>
        <w:rPr>
          <w:rFonts w:ascii="宋体" w:hAnsi="宋体" w:cs="宋体" w:eastAsia="宋体" w:hint="default"/>
        </w:rPr>
        <w:t>2017</w:t>
      </w:r>
      <w:r>
        <w:rPr/>
        <w:t>年度股东大会审议通过的《</w:t>
      </w:r>
      <w:r>
        <w:rPr>
          <w:rFonts w:ascii="宋体" w:hAnsi="宋体" w:cs="宋体" w:eastAsia="宋体" w:hint="default"/>
        </w:rPr>
        <w:t>2017</w:t>
      </w:r>
      <w:r>
        <w:rPr/>
        <w:t>年度利润分配方案》，以资 </w:t>
      </w:r>
      <w:r>
        <w:rPr>
          <w:spacing w:val="-1"/>
        </w:rPr>
        <w:t>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8</w:t>
      </w:r>
      <w:r>
        <w:rPr>
          <w:spacing w:val="-1"/>
        </w:rPr>
        <w:t>股，分红前公司总股本为</w:t>
        <w:tab/>
      </w:r>
      <w:r>
        <w:rPr>
          <w:rFonts w:ascii="宋体" w:hAnsi="宋体" w:cs="宋体" w:eastAsia="宋体" w:hint="default"/>
        </w:rPr>
        <w:t>100,000,000</w:t>
        <w:tab/>
      </w:r>
      <w:r>
        <w:rPr>
          <w:spacing w:val="-1"/>
        </w:rPr>
        <w:t>股，分红后资本公积减少</w:t>
      </w:r>
      <w:r>
        <w:rPr>
          <w:spacing w:val="-96"/>
        </w:rPr>
        <w:t> </w:t>
      </w:r>
      <w:r>
        <w:rPr>
          <w:spacing w:val="-96"/>
        </w:rPr>
      </w:r>
      <w:r>
        <w:rPr>
          <w:rFonts w:ascii="宋体" w:hAnsi="宋体" w:cs="宋体" w:eastAsia="宋体" w:hint="default"/>
        </w:rPr>
        <w:t>80,000,000</w:t>
      </w:r>
      <w:r>
        <w:rPr/>
        <w:t>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1、盈余公积" w:id="262"/>
      <w:bookmarkEnd w:id="262"/>
      <w:r>
        <w:rPr>
          <w:b w:val="0"/>
          <w:bCs w:val="0"/>
        </w:rPr>
      </w:r>
      <w:r>
        <w:rPr>
          <w:rFonts w:ascii="Times New Roman" w:hAnsi="Times New Roman" w:cs="Times New Roman" w:eastAsia="Times New Roman" w:hint="default"/>
        </w:rPr>
        <w:t>21</w:t>
      </w:r>
      <w:r>
        <w:rPr/>
        <w:t>、盈余公积</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20,211,140.27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3,895,380.17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24,106,520.44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7,522,585.93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7,522,585.93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27,733,726.20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3,895,380.17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31,629,106.37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89"/>
        <w:ind w:left="574" w:right="0"/>
        <w:jc w:val="left"/>
      </w:pPr>
      <w:r>
        <w:rPr/>
        <w:t>本期增加的盈余公积，主要系按照母公司当年净利润的</w:t>
      </w:r>
      <w:r>
        <w:rPr>
          <w:rFonts w:ascii="Times New Roman" w:hAnsi="Times New Roman" w:cs="Times New Roman" w:eastAsia="Times New Roman" w:hint="default"/>
        </w:rPr>
        <w:t>10%</w:t>
      </w:r>
      <w:r>
        <w:rPr/>
        <w:t>提取法定盈余公积所致。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2、未分配利润" w:id="263"/>
      <w:bookmarkEnd w:id="263"/>
      <w:r>
        <w:rPr>
          <w:b w:val="0"/>
          <w:bCs w:val="0"/>
        </w:rPr>
      </w:r>
      <w:r>
        <w:rPr>
          <w:rFonts w:ascii="Times New Roman" w:hAnsi="Times New Roman" w:cs="Times New Roman" w:eastAsia="Times New Roman" w:hint="default"/>
        </w:rPr>
        <w:t>22</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138,737,496.62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110,816,534.97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138,737,496.62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110,816,534.97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46,807,199.75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42,536,330.87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3,895,380.17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3,386,554.71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1,853,814.51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176,649,316.20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138,737,496.62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3、营业收入和营业成本" w:id="264"/>
      <w:bookmarkEnd w:id="264"/>
      <w:r>
        <w:rPr>
          <w:b w:val="0"/>
          <w:bCs w:val="0"/>
        </w:rPr>
      </w:r>
      <w:r>
        <w:rPr>
          <w:rFonts w:ascii="Times New Roman" w:hAnsi="Times New Roman" w:cs="Times New Roman" w:eastAsia="Times New Roman" w:hint="default"/>
        </w:rPr>
        <w:t>23</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340,462,645.37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240,034,060.18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286,867,282.25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188,779,769.59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4,004,806.00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251,578.18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3,827,043.78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362,897.24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344,467,451.37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240,285,638.36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290,694,326.03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189,142,666.83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税金及附加" w:id="265"/>
      <w:bookmarkEnd w:id="265"/>
      <w:r>
        <w:rPr>
          <w:b w:val="0"/>
          <w:bCs w:val="0"/>
        </w:rPr>
      </w:r>
      <w:r>
        <w:rPr>
          <w:rFonts w:ascii="Times New Roman" w:hAnsi="Times New Roman" w:cs="Times New Roman" w:eastAsia="Times New Roman" w:hint="default"/>
        </w:rPr>
        <w:t>24</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557,354.66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617,025.70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408,539.77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449,268.35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744,759.46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234,972.10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148,593.80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147,389.00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10,495.90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1,872,711.27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1,460,192.65</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5、销售费用" w:id="266"/>
      <w:bookmarkEnd w:id="266"/>
      <w:r>
        <w:rPr>
          <w:b w:val="0"/>
          <w:bCs w:val="0"/>
        </w:rPr>
      </w:r>
      <w:r>
        <w:rPr>
          <w:rFonts w:ascii="Times New Roman" w:hAnsi="Times New Roman" w:cs="Times New Roman" w:eastAsia="Times New Roman" w:hint="default"/>
        </w:rPr>
        <w:t>25</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13,821,113.89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12,761,547.59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项目间接费用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5,829,188.57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6,006,190.63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运输及车辆费用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3,582,925.49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3,623,827.92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2,198,039.91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2,205,030.10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1,045,128.24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1,578,755.17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435,066.90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458,075.69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133,943.61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26,935,419.00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26,767,370.71</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6、管理费用" w:id="267"/>
      <w:bookmarkEnd w:id="267"/>
      <w:r>
        <w:rPr>
          <w:b w:val="0"/>
          <w:bCs w:val="0"/>
        </w:rPr>
      </w:r>
      <w:r>
        <w:rPr>
          <w:rFonts w:ascii="Times New Roman" w:hAnsi="Times New Roman" w:cs="Times New Roman" w:eastAsia="Times New Roman" w:hint="default"/>
        </w:rPr>
        <w:t>26</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13,146,871.41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11,324,641.66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中介及顾问咨询费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2,814,189.14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2,682,644.08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1,728,670.49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1,500,933.82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1,215,184.37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1,695,384.27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1,108,336.45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2,436,425.08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1,404,304.79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1,135,169.09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21,417,556.65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20,775,198.00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7、研发费用" w:id="268"/>
      <w:bookmarkEnd w:id="268"/>
      <w:r>
        <w:rPr>
          <w:b w:val="0"/>
          <w:bCs w:val="0"/>
        </w:rPr>
      </w:r>
      <w:r>
        <w:rPr>
          <w:rFonts w:ascii="Times New Roman" w:hAnsi="Times New Roman" w:cs="Times New Roman" w:eastAsia="Times New Roman" w:hint="default"/>
        </w:rPr>
        <w:t>27</w:t>
      </w:r>
      <w:r>
        <w:rPr/>
        <w:t>、研发费用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材料及设备费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9,244,588.02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7,203,779.14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3,743,092.72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2,825,164.04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设计及评审费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3,218,509.37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1,384,165.14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385,533.50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745,251.06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924,108.06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788,076.88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17,515,831.67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12,946,436.26</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8、财务费用" w:id="269"/>
      <w:bookmarkEnd w:id="269"/>
      <w:r>
        <w:rPr>
          <w:b w:val="0"/>
          <w:bCs w:val="0"/>
        </w:rPr>
      </w:r>
      <w:r>
        <w:rPr>
          <w:rFonts w:ascii="Times New Roman" w:hAnsi="Times New Roman" w:cs="Times New Roman" w:eastAsia="Times New Roman" w:hint="default"/>
        </w:rPr>
        <w:t>28</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4,590,841.70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1,710,355.84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48,784.83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30,208.96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-4,542,056.87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-1,680,146.88</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9、资产减值损失" w:id="270"/>
      <w:bookmarkEnd w:id="270"/>
      <w:r>
        <w:rPr>
          <w:b w:val="0"/>
          <w:bCs w:val="0"/>
        </w:rPr>
      </w:r>
      <w:r>
        <w:rPr>
          <w:rFonts w:ascii="Times New Roman" w:hAnsi="Times New Roman" w:cs="Times New Roman" w:eastAsia="Times New Roman" w:hint="default"/>
        </w:rPr>
        <w:t>29</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13,467,675.87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11,977,582.43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207,490.12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38,379.63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13,675,165.99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12,015,962.06</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0、其他收益" w:id="271"/>
      <w:bookmarkEnd w:id="271"/>
      <w:r>
        <w:rPr>
          <w:b w:val="0"/>
          <w:bCs w:val="0"/>
        </w:rPr>
      </w:r>
      <w:r>
        <w:rPr>
          <w:rFonts w:ascii="Times New Roman" w:hAnsi="Times New Roman" w:cs="Times New Roman" w:eastAsia="Times New Roman" w:hint="default"/>
        </w:rPr>
        <w:t>30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18,579,485.98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1、投资收益" w:id="272"/>
      <w:bookmarkEnd w:id="272"/>
      <w:r>
        <w:rPr>
          <w:b w:val="0"/>
          <w:bCs w:val="0"/>
        </w:rPr>
      </w:r>
      <w:r>
        <w:rPr>
          <w:rFonts w:ascii="Times New Roman" w:hAnsi="Times New Roman" w:cs="Times New Roman" w:eastAsia="Times New Roman" w:hint="default"/>
        </w:rPr>
        <w:t>31</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5,572,359.00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5,939,489.83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购买银行保本理财产品收益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738,308.22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6,310,667.22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5,939,489.83</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2、资产处置收益" w:id="273"/>
      <w:bookmarkEnd w:id="273"/>
      <w:r>
        <w:rPr>
          <w:b w:val="0"/>
          <w:bCs w:val="0"/>
        </w:rPr>
      </w:r>
      <w:r>
        <w:rPr>
          <w:rFonts w:ascii="Times New Roman" w:hAnsi="Times New Roman" w:cs="Times New Roman" w:eastAsia="Times New Roman" w:hint="default"/>
        </w:rPr>
        <w:t>32</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-2,040.00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3、营业外收入" w:id="274"/>
      <w:bookmarkEnd w:id="274"/>
      <w:r>
        <w:rPr>
          <w:b w:val="0"/>
          <w:bCs w:val="0"/>
        </w:rPr>
      </w:r>
      <w:r>
        <w:rPr>
          <w:rFonts w:ascii="Times New Roman" w:hAnsi="Times New Roman" w:cs="Times New Roman" w:eastAsia="Times New Roman" w:hint="default"/>
        </w:rPr>
        <w:t>33</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9,636,150.28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58,675.00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9,696,950.28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58,675.00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金义都市新 区中科院成 都信息技术 股份有限公 司金义联合 研究中心项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27"/>
              <w:jc w:val="left"/>
              <w:rPr>
                <w:rFonts w:ascii="宋体" w:hAnsi="宋体" w:cs="宋体" w:eastAsia="宋体" w:hint="default"/>
                <w:sz w:val="18"/>
                <w:szCs w:val="18"/>
              </w:rPr>
            </w:pPr>
            <w:r>
              <w:rPr>
                <w:rFonts w:ascii="宋体" w:hAnsi="宋体" w:cs="宋体" w:eastAsia="宋体" w:hint="default"/>
                <w:sz w:val="18"/>
                <w:szCs w:val="18"/>
              </w:rPr>
              <w:t>浙江省金义 都市新区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4,649,912.09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递延收益转</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四川省科学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56"/>
              <w:jc w:val="center"/>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3,310,795.32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技术厅</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中科院专项 拨款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上市挂牌奖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成都市高新 区财政金融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油气站场安 全生产智能 控制管理平 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成都市科技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四川省人力 资源和社会 保障厅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133,842.87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面向电子政 务的数字化 会议移动应 用平台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浙江省金义 都市新区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区科技与新 经济发展局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递延收益转入的政府补助详见本附注</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34、营业外支出" w:id="275"/>
      <w:bookmarkEnd w:id="275"/>
      <w:r>
        <w:rPr>
          <w:b w:val="0"/>
          <w:bCs w:val="0"/>
        </w:rPr>
      </w:r>
      <w:r>
        <w:rPr>
          <w:rFonts w:ascii="Times New Roman" w:hAnsi="Times New Roman" w:cs="Times New Roman" w:eastAsia="Times New Roman" w:hint="default"/>
        </w:rPr>
        <w:t>34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6,041.03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962,571.02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965,184.72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7,019.03</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5、所得税费用" w:id="276"/>
      <w:bookmarkEnd w:id="276"/>
      <w:r>
        <w:rPr>
          <w:b w:val="0"/>
          <w:bCs w:val="0"/>
        </w:rPr>
      </w:r>
      <w:r>
        <w:rPr>
          <w:rFonts w:ascii="Times New Roman" w:hAnsi="Times New Roman" w:cs="Times New Roman" w:eastAsia="Times New Roman" w:hint="default"/>
        </w:rPr>
        <w:t>35</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277"/>
      <w:bookmarkEnd w:id="27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8,518,397.16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8,994,828.15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-2,558,148.65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-2,471,329.66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5,960,248.51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6,523,498.49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278"/>
      <w:bookmarkEnd w:id="27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52,248,994.47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7,837,349.17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-110,837.39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62,159.48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-835,853.85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154,966.40</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502,867.37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-1,626,700.29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12,836.42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合并未实现利润的影响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-105,514.39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68,975.59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5,960,248.51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本期其他为本公司在异地预缴的企业所得税及安置残疾人员企业所得税加计扣除。</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6、现金流量表项目" w:id="279"/>
      <w:bookmarkEnd w:id="279"/>
      <w:r>
        <w:rPr>
          <w:b w:val="0"/>
          <w:bCs w:val="0"/>
        </w:rPr>
      </w:r>
      <w:r>
        <w:rPr>
          <w:rFonts w:ascii="Times New Roman" w:hAnsi="Times New Roman" w:cs="Times New Roman" w:eastAsia="Times New Roman" w:hint="default"/>
        </w:rPr>
        <w:t>36</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280"/>
      <w:bookmarkEnd w:id="28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22,147,400.00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18,274,242.87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1,842,338.68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93.549988pt;width:151.25pt;height:20.8pt;mso-position-horizontal-relative:page;mso-position-vertical-relative:page;z-index:-903208" coordorigin="4467,13871" coordsize="3025,416">
            <v:group style="position:absolute;left:4478;top:13882;width:2;height:393" coordorigin="4478,13882" coordsize="2,393">
              <v:shape style="position:absolute;left:4478;top:13882;width:2;height:393" coordorigin="4478,13882" coordsize="0,393" path="m4478,13882l4478,14275e" filled="false" stroked="true" strokeweight="1.140pt" strokecolor="#ffffff">
                <v:path arrowok="t"/>
              </v:shape>
            </v:group>
            <v:group style="position:absolute;left:4490;top:13882;width:3002;height:393" coordorigin="4490,13882" coordsize="3002,393">
              <v:shape style="position:absolute;left:4490;top:13882;width:3002;height:393" coordorigin="4490,13882" coordsize="3002,393" path="m4490,14275l7491,14275,7491,13882,4490,13882,4490,1427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956,503.45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72,074.78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524,091.70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1,187,459.96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25,470,333.83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19,533,777.61</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支付的其他与经营活动有关的现金" w:id="281"/>
      <w:bookmarkEnd w:id="28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43,082,658.65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37,750,588.68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8,742,369.58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3,187,948.30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7,523,279.67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1,265,059.39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59,348,307.90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42,203,596.37</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7、现金流量表补充资料" w:id="282"/>
      <w:bookmarkEnd w:id="282"/>
      <w:r>
        <w:rPr>
          <w:b w:val="0"/>
          <w:bCs w:val="0"/>
        </w:rPr>
      </w:r>
      <w:r>
        <w:rPr>
          <w:rFonts w:ascii="Times New Roman" w:hAnsi="Times New Roman" w:cs="Times New Roman" w:eastAsia="Times New Roman" w:hint="default"/>
        </w:rPr>
        <w:t>37</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283"/>
      <w:bookmarkEnd w:id="28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46,288,745.96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42,412,363.30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13,675,165.99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11,787,427.61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1,689,070.25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1,400,605.83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640,093.87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575,323.48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6,041.03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2,613.70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-4,066,750.00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-6,310,667.22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-5,939,489.83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-2,558,148.65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-2,471,329.66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-8,162,609.94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-826,285.34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-50,149,365.36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-79,364,458.09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-3,784,501.32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44,473,515.74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-12,732,925.39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12,052,326.74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108,365,888.35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123,862,450.27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123,862,450.27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106,792,325.16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-15,496,561.92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17,070,125.11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现金和现金等价物的构成" w:id="284"/>
      <w:bookmarkEnd w:id="284"/>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108,365,888.35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123,862,450.27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108,362,835.44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123,861,055.06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3,052.91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1,395.21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108,365,888.35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123,862,450.27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11,106,664.06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151,665,083.23</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8、所有权或使用权受到限制的资产" w:id="285"/>
      <w:bookmarkEnd w:id="285"/>
      <w:r>
        <w:rPr>
          <w:b w:val="0"/>
          <w:bCs w:val="0"/>
        </w:rPr>
      </w:r>
      <w:r>
        <w:rPr>
          <w:rFonts w:ascii="Times New Roman" w:hAnsi="Times New Roman" w:cs="Times New Roman" w:eastAsia="Times New Roman" w:hint="default"/>
        </w:rPr>
        <w:t>38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11,106,664.06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11,106,664.06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9、政府补助" w:id="286"/>
      <w:bookmarkEnd w:id="286"/>
      <w:r>
        <w:rPr>
          <w:b w:val="0"/>
          <w:bCs w:val="0"/>
        </w:rPr>
      </w:r>
      <w:r>
        <w:rPr>
          <w:rFonts w:ascii="Times New Roman" w:hAnsi="Times New Roman" w:cs="Times New Roman" w:eastAsia="Times New Roman" w:hint="default"/>
        </w:rPr>
        <w:t>39</w:t>
      </w:r>
      <w:r>
        <w:rPr/>
        <w:t>、政府补助</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bookmarkStart w:name="政府补助基本情况" w:id="287"/>
      <w:bookmarkEnd w:id="287"/>
      <w:r>
        <w:rPr/>
      </w:r>
      <w:r>
        <w:rPr>
          <w:rFonts w:ascii="宋体" w:hAnsi="宋体" w:cs="宋体" w:eastAsia="宋体" w:hint="default"/>
          <w:sz w:val="18"/>
          <w:szCs w:val="18"/>
        </w:rPr>
        <w:t>政府补助基本情况</w:t>
      </w:r>
    </w:p>
    <w:p>
      <w:pPr>
        <w:spacing w:line="240" w:lineRule="auto" w:before="6"/>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新型电子选举系统和电子表 决系统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新一代互联网智能教育平台 与示范应用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2,325,765.30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金义都市新区中科院成都信 息技术股份有限公司金义联 合研究中心项目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4,350,087.91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3,252,444.94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围术期智能辅助诊疗产品及 云平台研发与应用示范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383,962.26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省科技厅普及型经食管超声 心动监护仪研发与推广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537,604.63</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四川省基层</w:t>
            </w:r>
            <w:r>
              <w:rPr>
                <w:rFonts w:ascii="Times New Roman" w:hAnsi="Times New Roman" w:cs="Times New Roman" w:eastAsia="Times New Roman" w:hint="default"/>
                <w:sz w:val="18"/>
                <w:szCs w:val="18"/>
              </w:rPr>
              <w:t>"</w:t>
            </w:r>
            <w:r>
              <w:rPr>
                <w:rFonts w:ascii="宋体" w:hAnsi="宋体" w:cs="宋体" w:eastAsia="宋体" w:hint="default"/>
                <w:sz w:val="18"/>
                <w:szCs w:val="18"/>
              </w:rPr>
              <w:t>两委</w:t>
            </w:r>
            <w:r>
              <w:rPr>
                <w:rFonts w:ascii="Times New Roman" w:hAnsi="Times New Roman" w:cs="Times New Roman" w:eastAsia="Times New Roman" w:hint="default"/>
                <w:sz w:val="18"/>
                <w:szCs w:val="18"/>
              </w:rPr>
              <w:t>"</w:t>
            </w:r>
            <w:r>
              <w:rPr>
                <w:rFonts w:ascii="宋体" w:hAnsi="宋体" w:cs="宋体" w:eastAsia="宋体" w:hint="default"/>
                <w:sz w:val="18"/>
                <w:szCs w:val="18"/>
              </w:rPr>
              <w:t>换届选举智 能服务挂办理平台关键技术 研究与产业化示范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1,698,999.99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数据存储信息安全关键技术 及新型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RAID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系统研发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421,994.45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成都市金融工作局专项资金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多模态小型化超声监测设备 研发与产业化推广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659,215.24</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成都高新技术产业开发区电 子信息产业发展局</w:t>
            </w:r>
            <w:r>
              <w:rPr>
                <w:rFonts w:ascii="Times New Roman" w:hAnsi="Times New Roman" w:cs="Times New Roman" w:eastAsia="Times New Roman" w:hint="default"/>
                <w:sz w:val="18"/>
                <w:szCs w:val="18"/>
              </w:rPr>
              <w:t>"</w:t>
            </w:r>
            <w:r>
              <w:rPr>
                <w:rFonts w:ascii="宋体" w:hAnsi="宋体" w:cs="宋体" w:eastAsia="宋体" w:hint="default"/>
                <w:sz w:val="18"/>
                <w:szCs w:val="18"/>
              </w:rPr>
              <w:t>支持中小 企业加快发展</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w:t>
            </w:r>
            <w:r>
              <w:rPr>
                <w:rFonts w:ascii="宋体" w:hAnsi="宋体" w:cs="宋体" w:eastAsia="宋体" w:hint="default"/>
                <w:sz w:val="18"/>
                <w:szCs w:val="18"/>
              </w:rPr>
              <w:t>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高寒高海拔地区太阳能代供 暖系统监控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医学可视化辅助诊疗决策关 键技术研发与推广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341,558.99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面向移动互联网应用的智能 软件云端开发平台示范应用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经济型电子计票系统产业化 推广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成都高新科技局电子选举计 票机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601,340.18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中国科学院拨入专款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成都高新技术产业开发区财 政金融局直接融资财政奖补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四川省科技厅自主可控安全 技术研发及应用示范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基于病例大数据的智能诊疗 决策关键技术研究与应用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成都高新技术产业开发区经 济运行与安全生产监管局项 目补贴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临床云超声数字诊疗关键技 术研发与应用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成都理工大高分辨率航空伽 马能谱测量系统研制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基于深度学习的复杂环境动 态人脸识别关键技术与应用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成都高新技术产业开发区电 子信息产业发展局专项补贴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四川生态多样性实践活动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面向党和国家重大战略需求 的会议电子表决关键技术研 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中国科学院西部之光残损人 民币复点与销毁的自动化、智 能化管控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智能安全路径规划与控制算 法研究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新一代超声影像智能比例库 关键技术研发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体检经费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基于遥感大数据的地质灾害 监测预警和分析关键技术研 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四川省专家服务中心中科院 博士后日常经费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大数据智能处理关键技术研 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成都高新技术产业开发区科 技与新经济发展局高新企业 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成都高新技术产业开发区创 新创业服务中心扶持资金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八、在其他主体中的权益" w:id="288"/>
      <w:bookmarkEnd w:id="288"/>
      <w:r>
        <w:rPr>
          <w:b w:val="0"/>
          <w:bCs w:val="0"/>
        </w:rPr>
      </w:r>
      <w:r>
        <w:rPr/>
        <w:t>八、在其他主体中的权益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289"/>
      <w:bookmarkEnd w:id="28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290"/>
      <w:bookmarkEnd w:id="29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浙江省金华市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51"/>
        <w:ind w:left="154" w:right="697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57" w:lineRule="auto" w:before="29"/>
        <w:ind w:left="154" w:right="2832"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57" w:lineRule="auto" w:before="29"/>
        <w:ind w:left="15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9"/>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9"/>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291"/>
      <w:bookmarkEnd w:id="29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-518,453.79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-589,624.92</w:t>
            </w:r>
            <w:r>
              <w:rPr>
                <w:rFonts w:ascii="Times New Roman"/>
                <w:sz w:val="18"/>
              </w:rPr>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57" w:lineRule="auto" w:before="29"/>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重要非全资子公司的主要财务信息" w:id="292"/>
      <w:bookmarkEnd w:id="29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4415"/>
        <w:gridCol w:w="4403"/>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中科石 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16,334,7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66.05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16,823,4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18,133,7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64.50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18,133,7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64.50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5,105,41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673,921.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5,779,34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5,937,49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5,937,49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9.09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9,158,798.00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-1,152,119.53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-1,152,119.53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777,433.69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11,074,378.6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-275,483.48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-275,483.48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-1,218,322.65</w:t>
            </w: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在合营安排或联营企业中的权益" w:id="293"/>
      <w:bookmarkEnd w:id="293"/>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294"/>
      <w:bookmarkEnd w:id="29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联营企业的主要财务信息                        " w:id="295"/>
      <w:bookmarkEnd w:id="295"/>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320,388,416.97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292,628,897.12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1,365,816.03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1,512,632.98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321,754,233.00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294,141,530.10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70,238,750.95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46,556,945.55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70,238,750.95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46,556,945.55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251,515,482.05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247,584,584.55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100,606,192.81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99,033,833.81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100,606,192.81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99,033,833.81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116,034,342.74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115,231,717.92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13,930,897.50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14,848,724.58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13,930,897.50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14,848,724.58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与金融工具相关的风险" w:id="296"/>
      <w:bookmarkEnd w:id="296"/>
      <w:r>
        <w:rPr>
          <w:b w:val="0"/>
          <w:bCs w:val="0"/>
        </w:rPr>
      </w:r>
      <w:r>
        <w:rPr/>
        <w:t>九、与金融工具相关的风险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30" w:firstLine="420"/>
        <w:jc w:val="both"/>
      </w:pPr>
      <w:r>
        <w:rPr>
          <w:spacing w:val="-1"/>
        </w:rPr>
        <w:t>本集团的主要金融工具包括货币资金、应收款项、应付款项等，各项金融工具的详细情况说明见本附</w:t>
      </w:r>
      <w:r>
        <w:rPr/>
        <w:t> </w:t>
      </w:r>
      <w:r>
        <w:rPr>
          <w:spacing w:val="-1"/>
        </w:rPr>
        <w:t>注六。与这些金融工具有关的风险，以及本集团为降低这些风险所采取的风险管理政策如下所述。本集团</w:t>
      </w:r>
      <w:r>
        <w:rPr>
          <w:spacing w:val="-82"/>
        </w:rPr>
        <w:t> </w:t>
      </w:r>
      <w:r>
        <w:rPr>
          <w:spacing w:val="-82"/>
        </w:rPr>
      </w:r>
      <w:r>
        <w:rPr/>
        <w:t>管理层对这些风险敞口进行管理和监控以确保将上述风险控制在限定的范围之内。</w:t>
      </w:r>
    </w:p>
    <w:p>
      <w:pPr>
        <w:pStyle w:val="BodyText"/>
        <w:spacing w:line="240" w:lineRule="auto" w:before="166"/>
        <w:ind w:left="574" w:right="0"/>
        <w:jc w:val="left"/>
      </w:pPr>
      <w:r>
        <w:rPr/>
        <w:t>本集团的金融工具导致的主要风险是信用风险、流动风险。</w:t>
      </w:r>
    </w:p>
    <w:p>
      <w:pPr>
        <w:spacing w:line="240" w:lineRule="auto" w:before="12"/>
        <w:rPr>
          <w:rFonts w:ascii="宋体" w:hAnsi="宋体" w:cs="宋体" w:eastAsia="宋体" w:hint="default"/>
          <w:sz w:val="23"/>
          <w:szCs w:val="23"/>
        </w:rPr>
      </w:pPr>
    </w:p>
    <w:p>
      <w:pPr>
        <w:pStyle w:val="BodyText"/>
        <w:spacing w:line="408" w:lineRule="auto"/>
        <w:ind w:right="1131" w:firstLine="420"/>
        <w:jc w:val="both"/>
      </w:pPr>
      <w:r>
        <w:rPr>
          <w:spacing w:val="-1"/>
        </w:rPr>
        <w:t>本集团从事风险管理的目标是在风险和收益之间取得适当的平衡，将风险对本集团经营业绩的负面影</w:t>
      </w:r>
      <w:r>
        <w:rPr/>
        <w:t> </w:t>
      </w:r>
      <w:r>
        <w:rPr>
          <w:spacing w:val="-1"/>
        </w:rPr>
        <w:t>响降低到最低水平，使股东及其它权益投资者的利益最大化。基于该风险管理目标，本集团风险管理的基</w:t>
      </w:r>
      <w:r>
        <w:rPr>
          <w:spacing w:val="-83"/>
        </w:rPr>
        <w:t> </w:t>
      </w:r>
      <w:r>
        <w:rPr>
          <w:spacing w:val="-83"/>
        </w:rPr>
      </w:r>
      <w:r>
        <w:rPr>
          <w:spacing w:val="-1"/>
        </w:rPr>
        <w:t>本策略是确定和分析本集团所面临的各种风险，建立适当的风险承受底线并进行风险管理，并及时可靠地</w:t>
      </w:r>
      <w:r>
        <w:rPr>
          <w:spacing w:val="-81"/>
        </w:rPr>
        <w:t> </w:t>
      </w:r>
      <w:r>
        <w:rPr>
          <w:spacing w:val="-81"/>
        </w:rPr>
      </w:r>
      <w:r>
        <w:rPr/>
        <w:t>对各种风险进行监督，将风险控制在限定的范围之内。</w:t>
      </w:r>
    </w:p>
    <w:p>
      <w:pPr>
        <w:pStyle w:val="BodyText"/>
        <w:spacing w:line="240" w:lineRule="auto" w:before="166"/>
        <w:ind w:left="574" w:right="0"/>
        <w:jc w:val="left"/>
      </w:pPr>
      <w:r>
        <w:rPr>
          <w:rFonts w:ascii="Times New Roman" w:hAnsi="Times New Roman" w:cs="Times New Roman" w:eastAsia="Times New Roman" w:hint="default"/>
        </w:rPr>
        <w:t>1</w:t>
      </w:r>
      <w:r>
        <w:rPr/>
        <w:t>、信用风险</w:t>
      </w:r>
    </w:p>
    <w:p>
      <w:pPr>
        <w:spacing w:line="240" w:lineRule="auto" w:before="9"/>
        <w:rPr>
          <w:rFonts w:ascii="宋体" w:hAnsi="宋体" w:cs="宋体" w:eastAsia="宋体" w:hint="default"/>
          <w:sz w:val="22"/>
          <w:szCs w:val="22"/>
        </w:rPr>
      </w:pPr>
    </w:p>
    <w:p>
      <w:pPr>
        <w:pStyle w:val="BodyText"/>
        <w:spacing w:line="386" w:lineRule="auto"/>
        <w:ind w:right="1131" w:firstLine="420"/>
        <w:jc w:val="both"/>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日，可能引起本集团财务损失的最大信用风险敞口主要来自于合同另一方未能履行义</w:t>
      </w:r>
      <w:r>
        <w:rPr/>
        <w:t> 务而导致本集团金融资产产生的损失。</w:t>
      </w:r>
    </w:p>
    <w:p>
      <w:pPr>
        <w:spacing w:line="240" w:lineRule="auto" w:before="2"/>
        <w:rPr>
          <w:rFonts w:ascii="宋体" w:hAnsi="宋体" w:cs="宋体" w:eastAsia="宋体" w:hint="default"/>
          <w:sz w:val="14"/>
          <w:szCs w:val="14"/>
        </w:rPr>
      </w:pPr>
    </w:p>
    <w:p>
      <w:pPr>
        <w:pStyle w:val="BodyText"/>
        <w:spacing w:line="408" w:lineRule="auto"/>
        <w:ind w:right="1131" w:firstLine="420"/>
        <w:jc w:val="both"/>
      </w:pPr>
      <w:r>
        <w:rPr>
          <w:spacing w:val="-1"/>
        </w:rPr>
        <w:t>为降低信用风险，本集团成立专门部门，对客户的选择、项目承接、不同客户项目款支付进度进行评</w:t>
      </w:r>
      <w:r>
        <w:rPr/>
        <w:t> </w:t>
      </w:r>
      <w:r>
        <w:rPr>
          <w:spacing w:val="-1"/>
        </w:rPr>
        <w:t>审，已保证项目款的收回，并执行其它监控程序以确保采取必要的措施回收过期债权。此外，本集团于每</w:t>
      </w:r>
      <w:r>
        <w:rPr>
          <w:spacing w:val="-86"/>
        </w:rPr>
        <w:t> </w:t>
      </w:r>
      <w:r>
        <w:rPr>
          <w:spacing w:val="-86"/>
        </w:rPr>
      </w:r>
      <w:r>
        <w:rPr>
          <w:spacing w:val="-1"/>
        </w:rPr>
        <w:t>个资产负债表日审核应收款的回收情况，以确保就无法回收的款项计提充分的坏账准备。因此，本集团管</w:t>
      </w:r>
      <w:r>
        <w:rPr>
          <w:spacing w:val="-83"/>
        </w:rPr>
        <w:t> </w:t>
      </w:r>
      <w:r>
        <w:rPr>
          <w:spacing w:val="-83"/>
        </w:rPr>
      </w:r>
      <w:r>
        <w:rPr/>
        <w:t>理层认为本集团所承担的信用风险已经大为降低。</w:t>
      </w:r>
    </w:p>
    <w:p>
      <w:pPr>
        <w:pStyle w:val="BodyText"/>
        <w:spacing w:line="240" w:lineRule="auto" w:before="166"/>
        <w:ind w:left="574" w:right="0"/>
        <w:jc w:val="left"/>
      </w:pPr>
      <w:r>
        <w:rPr/>
        <w:t>本集团的流动资金存放在信用评级较高的银行，故流动资金的信用风险较低。</w:t>
      </w:r>
    </w:p>
    <w:p>
      <w:pPr>
        <w:spacing w:line="240" w:lineRule="auto" w:before="12"/>
        <w:rPr>
          <w:rFonts w:ascii="宋体" w:hAnsi="宋体" w:cs="宋体" w:eastAsia="宋体" w:hint="default"/>
          <w:sz w:val="23"/>
          <w:szCs w:val="23"/>
        </w:rPr>
      </w:pPr>
    </w:p>
    <w:p>
      <w:pPr>
        <w:pStyle w:val="BodyText"/>
        <w:spacing w:line="386" w:lineRule="auto"/>
        <w:ind w:right="1131" w:firstLine="420"/>
        <w:jc w:val="both"/>
      </w:pPr>
      <w:r>
        <w:rPr>
          <w:spacing w:val="-4"/>
        </w:rPr>
        <w:t>除应收账款金额前五名外，本集团无其他重大信用集中风险。应收账款前五名金额合计：</w:t>
      </w:r>
      <w:r>
        <w:rPr>
          <w:rFonts w:ascii="Times New Roman" w:hAnsi="Times New Roman" w:cs="Times New Roman" w:eastAsia="Times New Roman" w:hint="default"/>
          <w:spacing w:val="-4"/>
        </w:rPr>
        <w:t>95,909,863.62</w:t>
      </w:r>
      <w:r>
        <w:rPr>
          <w:rFonts w:ascii="Times New Roman" w:hAnsi="Times New Roman" w:cs="Times New Roman" w:eastAsia="Times New Roman" w:hint="default"/>
        </w:rPr>
        <w:t> </w:t>
      </w:r>
      <w:r>
        <w:rPr/>
        <w:t>元。</w:t>
      </w:r>
    </w:p>
    <w:p>
      <w:pPr>
        <w:spacing w:line="240" w:lineRule="auto" w:before="2"/>
        <w:rPr>
          <w:rFonts w:ascii="宋体" w:hAnsi="宋体" w:cs="宋体" w:eastAsia="宋体" w:hint="default"/>
          <w:sz w:val="14"/>
          <w:szCs w:val="14"/>
        </w:rPr>
      </w:pPr>
    </w:p>
    <w:p>
      <w:pPr>
        <w:pStyle w:val="BodyText"/>
        <w:spacing w:line="484" w:lineRule="auto"/>
        <w:ind w:left="574" w:right="0"/>
        <w:jc w:val="left"/>
      </w:pPr>
      <w:r>
        <w:rPr>
          <w:rFonts w:ascii="Times New Roman" w:hAnsi="Times New Roman" w:cs="Times New Roman" w:eastAsia="Times New Roman" w:hint="default"/>
        </w:rPr>
        <w:t>2.</w:t>
      </w:r>
      <w:r>
        <w:rPr/>
        <w:t>、流动风险 </w:t>
      </w:r>
      <w:r>
        <w:rPr>
          <w:spacing w:val="-1"/>
        </w:rPr>
        <w:t>流动风险为本集团在到期日无法履行其财务义务的风险。本集团管理流动性风险的方法是确保有足够</w:t>
      </w:r>
    </w:p>
    <w:p>
      <w:pPr>
        <w:pStyle w:val="BodyText"/>
        <w:spacing w:line="254" w:lineRule="exact"/>
        <w:ind w:right="0"/>
        <w:jc w:val="left"/>
      </w:pPr>
      <w:r>
        <w:rPr/>
        <w:t>的资金流动性来履行到期债务，而不至于造成不可接受的损失或对企业信誉造成损害。本集团定期分析负</w:t>
      </w:r>
    </w:p>
    <w:p>
      <w:pPr>
        <w:spacing w:after="0" w:line="254" w:lineRule="exact"/>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2"/>
        <w:jc w:val="left"/>
      </w:pPr>
      <w:r>
        <w:rPr/>
        <w:t>债结构和期限，以确保有充裕的资金。本集团管理层与金融机构进行融资磋商，以保持一定的授信额度， 减低流动性风险。</w:t>
      </w:r>
    </w:p>
    <w:p>
      <w:pPr>
        <w:pStyle w:val="BodyText"/>
        <w:spacing w:line="240" w:lineRule="auto" w:before="166"/>
        <w:ind w:left="574" w:right="0"/>
        <w:jc w:val="left"/>
      </w:pPr>
      <w:r>
        <w:rPr/>
        <w:t>期末，本集团持有的金融负债按未折现剩余合同义务的到期期限分析如下：（单位：人民币万元）</w:t>
      </w:r>
    </w:p>
    <w:p>
      <w:pPr>
        <w:spacing w:line="240" w:lineRule="auto" w:before="1"/>
        <w:rPr>
          <w:rFonts w:ascii="宋体" w:hAnsi="宋体" w:cs="宋体" w:eastAsia="宋体" w:hint="default"/>
          <w:sz w:val="19"/>
          <w:szCs w:val="19"/>
        </w:rPr>
      </w:pPr>
    </w:p>
    <w:tbl>
      <w:tblPr>
        <w:tblW w:w="0" w:type="auto"/>
        <w:jc w:val="left"/>
        <w:tblInd w:w="153" w:type="dxa"/>
        <w:tblLayout w:type="fixed"/>
        <w:tblCellMar>
          <w:top w:w="0" w:type="dxa"/>
          <w:left w:w="0" w:type="dxa"/>
          <w:bottom w:w="0" w:type="dxa"/>
          <w:right w:w="0" w:type="dxa"/>
        </w:tblCellMar>
        <w:tblLook w:val="01E0"/>
      </w:tblPr>
      <w:tblGrid>
        <w:gridCol w:w="1622"/>
        <w:gridCol w:w="1958"/>
        <w:gridCol w:w="1053"/>
        <w:gridCol w:w="1157"/>
        <w:gridCol w:w="1525"/>
        <w:gridCol w:w="1482"/>
      </w:tblGrid>
      <w:tr>
        <w:trPr>
          <w:trHeight w:val="347" w:hRule="exact"/>
        </w:trPr>
        <w:tc>
          <w:tcPr>
            <w:tcW w:w="16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59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5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97"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105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b/>
                <w:bCs/>
                <w:sz w:val="18"/>
                <w:szCs w:val="18"/>
              </w:rPr>
              <w:t>一到二年</w:t>
            </w:r>
            <w:r>
              <w:rPr>
                <w:rFonts w:ascii="宋体" w:hAnsi="宋体" w:cs="宋体" w:eastAsia="宋体" w:hint="default"/>
                <w:sz w:val="18"/>
                <w:szCs w:val="18"/>
              </w:rPr>
            </w:r>
          </w:p>
        </w:tc>
        <w:tc>
          <w:tcPr>
            <w:tcW w:w="115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b/>
                <w:bCs/>
                <w:sz w:val="18"/>
                <w:szCs w:val="18"/>
              </w:rPr>
              <w:t>二到三年</w:t>
            </w:r>
            <w:r>
              <w:rPr>
                <w:rFonts w:ascii="宋体" w:hAnsi="宋体" w:cs="宋体" w:eastAsia="宋体" w:hint="default"/>
                <w:sz w:val="18"/>
                <w:szCs w:val="18"/>
              </w:rPr>
            </w:r>
          </w:p>
        </w:tc>
        <w:tc>
          <w:tcPr>
            <w:tcW w:w="152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b/>
                <w:bCs/>
                <w:sz w:val="18"/>
                <w:szCs w:val="18"/>
              </w:rPr>
              <w:t>三年以上</w:t>
            </w:r>
            <w:r>
              <w:rPr>
                <w:rFonts w:ascii="宋体" w:hAnsi="宋体" w:cs="宋体" w:eastAsia="宋体" w:hint="default"/>
                <w:sz w:val="18"/>
                <w:szCs w:val="18"/>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16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5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z w:val="18"/>
              </w:rPr>
              <w:t>6,506.11</w:t>
            </w:r>
          </w:p>
        </w:tc>
        <w:tc>
          <w:tcPr>
            <w:tcW w:w="1053" w:type="dxa"/>
            <w:tcBorders>
              <w:top w:val="single" w:sz="6" w:space="0" w:color="000000"/>
              <w:left w:val="nil" w:sz="6" w:space="0" w:color="auto"/>
              <w:bottom w:val="single" w:sz="6" w:space="0" w:color="000000"/>
              <w:right w:val="nil" w:sz="6" w:space="0" w:color="auto"/>
            </w:tcBorders>
          </w:tcPr>
          <w:p>
            <w:pPr/>
          </w:p>
        </w:tc>
        <w:tc>
          <w:tcPr>
            <w:tcW w:w="1157" w:type="dxa"/>
            <w:tcBorders>
              <w:top w:val="single" w:sz="6" w:space="0" w:color="000000"/>
              <w:left w:val="nil" w:sz="6" w:space="0" w:color="auto"/>
              <w:bottom w:val="single" w:sz="6" w:space="0" w:color="000000"/>
              <w:right w:val="nil" w:sz="6" w:space="0" w:color="auto"/>
            </w:tcBorders>
          </w:tcPr>
          <w:p>
            <w:pPr/>
          </w:p>
        </w:tc>
        <w:tc>
          <w:tcPr>
            <w:tcW w:w="1525" w:type="dxa"/>
            <w:tcBorders>
              <w:top w:val="single" w:sz="6" w:space="0" w:color="000000"/>
              <w:left w:val="nil" w:sz="6" w:space="0" w:color="auto"/>
              <w:bottom w:val="single" w:sz="6" w:space="0" w:color="000000"/>
              <w:right w:val="nil" w:sz="6" w:space="0" w:color="auto"/>
            </w:tcBorders>
          </w:tcPr>
          <w:p>
            <w:pP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6,506.11</w:t>
            </w:r>
            <w:r>
              <w:rPr>
                <w:rFonts w:ascii="Times New Roman"/>
                <w:sz w:val="18"/>
              </w:rPr>
            </w:r>
          </w:p>
        </w:tc>
      </w:tr>
      <w:tr>
        <w:trPr>
          <w:trHeight w:val="347" w:hRule="exact"/>
        </w:trPr>
        <w:tc>
          <w:tcPr>
            <w:tcW w:w="16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5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z w:val="18"/>
              </w:rPr>
              <w:t>2,537.36</w:t>
            </w:r>
          </w:p>
        </w:tc>
        <w:tc>
          <w:tcPr>
            <w:tcW w:w="1053" w:type="dxa"/>
            <w:tcBorders>
              <w:top w:val="single" w:sz="6" w:space="0" w:color="000000"/>
              <w:left w:val="nil" w:sz="6" w:space="0" w:color="auto"/>
              <w:bottom w:val="single" w:sz="6" w:space="0" w:color="000000"/>
              <w:right w:val="nil" w:sz="6" w:space="0" w:color="auto"/>
            </w:tcBorders>
          </w:tcPr>
          <w:p>
            <w:pPr/>
          </w:p>
        </w:tc>
        <w:tc>
          <w:tcPr>
            <w:tcW w:w="1157" w:type="dxa"/>
            <w:tcBorders>
              <w:top w:val="single" w:sz="6" w:space="0" w:color="000000"/>
              <w:left w:val="nil" w:sz="6" w:space="0" w:color="auto"/>
              <w:bottom w:val="single" w:sz="6" w:space="0" w:color="000000"/>
              <w:right w:val="nil" w:sz="6" w:space="0" w:color="auto"/>
            </w:tcBorders>
          </w:tcPr>
          <w:p>
            <w:pPr/>
          </w:p>
        </w:tc>
        <w:tc>
          <w:tcPr>
            <w:tcW w:w="1525" w:type="dxa"/>
            <w:tcBorders>
              <w:top w:val="single" w:sz="6" w:space="0" w:color="000000"/>
              <w:left w:val="nil" w:sz="6" w:space="0" w:color="auto"/>
              <w:bottom w:val="single" w:sz="6" w:space="0" w:color="000000"/>
              <w:right w:val="nil" w:sz="6" w:space="0" w:color="auto"/>
            </w:tcBorders>
          </w:tcPr>
          <w:p>
            <w:pP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2,537.36</w:t>
            </w:r>
            <w:r>
              <w:rPr>
                <w:rFonts w:ascii="Times New Roman"/>
                <w:sz w:val="18"/>
              </w:rPr>
            </w:r>
          </w:p>
        </w:tc>
      </w:tr>
      <w:tr>
        <w:trPr>
          <w:trHeight w:val="348" w:hRule="exact"/>
        </w:trPr>
        <w:tc>
          <w:tcPr>
            <w:tcW w:w="16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58" w:type="dxa"/>
            <w:tcBorders>
              <w:top w:val="single" w:sz="6" w:space="0" w:color="000000"/>
              <w:left w:val="nil" w:sz="6" w:space="0" w:color="auto"/>
              <w:bottom w:val="single" w:sz="6" w:space="0" w:color="000000"/>
              <w:right w:val="nil" w:sz="6" w:space="0" w:color="auto"/>
            </w:tcBorders>
          </w:tcPr>
          <w:p>
            <w:pPr/>
          </w:p>
        </w:tc>
        <w:tc>
          <w:tcPr>
            <w:tcW w:w="1053" w:type="dxa"/>
            <w:tcBorders>
              <w:top w:val="single" w:sz="6" w:space="0" w:color="000000"/>
              <w:left w:val="nil" w:sz="6" w:space="0" w:color="auto"/>
              <w:bottom w:val="single" w:sz="6" w:space="0" w:color="000000"/>
              <w:right w:val="nil" w:sz="6" w:space="0" w:color="auto"/>
            </w:tcBorders>
          </w:tcPr>
          <w:p>
            <w:pPr/>
          </w:p>
        </w:tc>
        <w:tc>
          <w:tcPr>
            <w:tcW w:w="1157" w:type="dxa"/>
            <w:tcBorders>
              <w:top w:val="single" w:sz="6" w:space="0" w:color="000000"/>
              <w:left w:val="nil" w:sz="6" w:space="0" w:color="auto"/>
              <w:bottom w:val="single" w:sz="6" w:space="0" w:color="000000"/>
              <w:right w:val="nil" w:sz="6" w:space="0" w:color="auto"/>
            </w:tcBorders>
          </w:tcPr>
          <w:p>
            <w:pPr/>
          </w:p>
        </w:tc>
        <w:tc>
          <w:tcPr>
            <w:tcW w:w="152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74"/>
              <w:jc w:val="right"/>
              <w:rPr>
                <w:rFonts w:ascii="Times New Roman" w:hAnsi="Times New Roman" w:cs="Times New Roman" w:eastAsia="Times New Roman" w:hint="default"/>
                <w:sz w:val="18"/>
                <w:szCs w:val="18"/>
              </w:rPr>
            </w:pPr>
            <w:r>
              <w:rPr>
                <w:rFonts w:ascii="Times New Roman"/>
                <w:sz w:val="18"/>
              </w:rPr>
              <w:t>32.00</w:t>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32.00</w:t>
            </w:r>
            <w:r>
              <w:rPr>
                <w:rFonts w:ascii="Times New Roman"/>
                <w:sz w:val="18"/>
              </w:rPr>
            </w:r>
          </w:p>
        </w:tc>
      </w:tr>
      <w:tr>
        <w:trPr>
          <w:trHeight w:val="270" w:hRule="exact"/>
        </w:trPr>
        <w:tc>
          <w:tcPr>
            <w:tcW w:w="162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59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958"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9,835.75</w:t>
            </w:r>
            <w:r>
              <w:rPr>
                <w:rFonts w:ascii="Times New Roman"/>
                <w:sz w:val="18"/>
              </w:rPr>
            </w:r>
          </w:p>
        </w:tc>
        <w:tc>
          <w:tcPr>
            <w:tcW w:w="1053" w:type="dxa"/>
            <w:tcBorders>
              <w:top w:val="single" w:sz="6" w:space="0" w:color="000000"/>
              <w:left w:val="nil" w:sz="6" w:space="0" w:color="auto"/>
              <w:bottom w:val="nil" w:sz="6" w:space="0" w:color="auto"/>
              <w:right w:val="nil" w:sz="6" w:space="0" w:color="auto"/>
            </w:tcBorders>
          </w:tcPr>
          <w:p>
            <w:pPr/>
          </w:p>
        </w:tc>
        <w:tc>
          <w:tcPr>
            <w:tcW w:w="1157" w:type="dxa"/>
            <w:tcBorders>
              <w:top w:val="single" w:sz="6" w:space="0" w:color="000000"/>
              <w:left w:val="nil" w:sz="6" w:space="0" w:color="auto"/>
              <w:bottom w:val="nil" w:sz="6" w:space="0" w:color="auto"/>
              <w:right w:val="nil" w:sz="6" w:space="0" w:color="auto"/>
            </w:tcBorders>
          </w:tcPr>
          <w:p>
            <w:pPr/>
          </w:p>
        </w:tc>
        <w:tc>
          <w:tcPr>
            <w:tcW w:w="1525"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37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32.00</w:t>
            </w:r>
            <w:r>
              <w:rPr>
                <w:rFonts w:ascii="Times New Roman"/>
                <w:sz w:val="18"/>
              </w:rPr>
            </w:r>
          </w:p>
        </w:tc>
        <w:tc>
          <w:tcPr>
            <w:tcW w:w="1482"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9,867.75</w:t>
            </w:r>
            <w:r>
              <w:rPr>
                <w:rFonts w:ascii="Times New Roman"/>
                <w:sz w:val="18"/>
              </w:rPr>
            </w:r>
          </w:p>
        </w:tc>
      </w:tr>
    </w:tbl>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bookmarkStart w:name="十、关联方及关联交易" w:id="297"/>
      <w:bookmarkEnd w:id="297"/>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298"/>
      <w:bookmarkEnd w:id="29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中国科学院控股有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5,067,030,000.00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33.51%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12"/>
          <w:szCs w:val="12"/>
        </w:rPr>
      </w:pPr>
    </w:p>
    <w:p>
      <w:pPr>
        <w:pStyle w:val="BodyText"/>
        <w:spacing w:line="398" w:lineRule="auto"/>
        <w:ind w:right="0" w:firstLine="420"/>
        <w:jc w:val="left"/>
      </w:pPr>
      <w:r>
        <w:rPr/>
        <w:t>中国科学院控股有限公司简称国科控股是经国务院批准，由中科院于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日设立的国有独资 </w:t>
      </w:r>
      <w:r>
        <w:rPr>
          <w:spacing w:val="-2"/>
        </w:rPr>
        <w:t>公司，注册资本</w:t>
      </w:r>
      <w:r>
        <w:rPr>
          <w:rFonts w:ascii="Times New Roman" w:hAnsi="Times New Roman" w:cs="Times New Roman" w:eastAsia="Times New Roman" w:hint="default"/>
          <w:spacing w:val="-2"/>
        </w:rPr>
        <w:t>50.67</w:t>
      </w:r>
      <w:r>
        <w:rPr>
          <w:spacing w:val="-2"/>
        </w:rPr>
        <w:t>亿元。根据《中国科学院章程》，中国科学院设立国有资产经营有限责任公司，授权</w:t>
      </w:r>
      <w:r>
        <w:rPr>
          <w:spacing w:val="-84"/>
        </w:rPr>
        <w:t> </w:t>
      </w:r>
      <w:r>
        <w:rPr>
          <w:spacing w:val="-84"/>
        </w:rPr>
      </w:r>
      <w:r>
        <w:rPr>
          <w:spacing w:val="-1"/>
        </w:rPr>
        <w:t>其管理院经营性国有资产，对院属单位经营性国有资产管理进行监督和指导；对院直接投资的企业中有关</w:t>
      </w:r>
      <w:r>
        <w:rPr>
          <w:spacing w:val="-81"/>
        </w:rPr>
        <w:t> </w:t>
      </w:r>
      <w:r>
        <w:rPr>
          <w:spacing w:val="-81"/>
        </w:rPr>
      </w:r>
      <w:r>
        <w:rPr>
          <w:spacing w:val="-1"/>
        </w:rPr>
        <w:t>国有资产依法行使出资人权利，并承担相应的保值增值责任。作为中科院设立的国有独资公司，国科控股</w:t>
      </w:r>
      <w:r>
        <w:rPr>
          <w:spacing w:val="-83"/>
        </w:rPr>
        <w:t> </w:t>
      </w:r>
      <w:r>
        <w:rPr>
          <w:spacing w:val="-83"/>
        </w:rPr>
      </w:r>
      <w:r>
        <w:rPr/>
        <w:t>主要按照上述章程的规定行使相关权利和义务。</w:t>
      </w:r>
    </w:p>
    <w:p>
      <w:pPr>
        <w:spacing w:line="439" w:lineRule="auto" w:before="121"/>
        <w:ind w:left="154" w:right="6972" w:firstLine="0"/>
        <w:jc w:val="left"/>
        <w:rPr>
          <w:rFonts w:ascii="宋体" w:hAnsi="宋体" w:cs="宋体" w:eastAsia="宋体" w:hint="default"/>
          <w:sz w:val="18"/>
          <w:szCs w:val="18"/>
        </w:rPr>
      </w:pPr>
      <w:r>
        <w:rPr>
          <w:rFonts w:ascii="宋体" w:hAnsi="宋体" w:cs="宋体" w:eastAsia="宋体" w:hint="default"/>
          <w:sz w:val="18"/>
          <w:szCs w:val="18"/>
        </w:rPr>
        <w:t>本企业最终控制方是中国科学院控股有限公司。 其他说明：</w:t>
      </w:r>
    </w:p>
    <w:p>
      <w:pPr>
        <w:spacing w:line="201"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44" w:lineRule="auto" w:before="0"/>
        <w:ind w:left="154" w:right="6419" w:firstLine="0"/>
        <w:jc w:val="left"/>
        <w:rPr>
          <w:rFonts w:ascii="宋体" w:hAnsi="宋体" w:cs="宋体" w:eastAsia="宋体" w:hint="default"/>
          <w:sz w:val="21"/>
          <w:szCs w:val="21"/>
        </w:rPr>
      </w:pPr>
      <w:bookmarkStart w:name="2、本企业的子公司情况" w:id="299"/>
      <w:bookmarkEnd w:id="29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在子公司中的权益。 </w:t>
      </w:r>
      <w:bookmarkStart w:name="3、本企业合营和联营企业情况" w:id="300"/>
      <w:bookmarkEnd w:id="30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4"/>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本企业重要的合营或联营企业详见附注八</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在合营企业或联营企业中的权益。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01"/>
      <w:bookmarkEnd w:id="30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四川计算机应用杂志社有限公司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公司关键管理人的家庭成员对之有重大影响的企业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中科院广州电子技术有限公司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bl>
    <w:p>
      <w:pPr>
        <w:spacing w:line="357" w:lineRule="auto" w:before="51"/>
        <w:ind w:left="154" w:right="1003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关联交易情况" w:id="302"/>
      <w:bookmarkEnd w:id="30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03"/>
      <w:bookmarkEnd w:id="30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中科院广州电子技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349,056.60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113,207.55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191,509.43</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深圳市中钞科信金融科技有限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159,433.96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1,596,698.12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关联租赁情况" w:id="304"/>
      <w:bookmarkEnd w:id="304"/>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深圳市中钞科信金融科技有 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1,725,942.85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5" w:right="0"/>
              <w:jc w:val="left"/>
              <w:rPr>
                <w:rFonts w:ascii="Times New Roman" w:hAnsi="Times New Roman" w:cs="Times New Roman" w:eastAsia="Times New Roman" w:hint="default"/>
                <w:sz w:val="18"/>
                <w:szCs w:val="18"/>
              </w:rPr>
            </w:pPr>
            <w:r>
              <w:rPr>
                <w:rFonts w:ascii="Times New Roman"/>
                <w:sz w:val="18"/>
              </w:rPr>
              <w:t>1,743,085.71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关键管理人员报酬" w:id="305"/>
      <w:bookmarkEnd w:id="305"/>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5,045,108.80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3,823,519.24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其他关联交易" w:id="306"/>
      <w:bookmarkEnd w:id="306"/>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firstLine="420"/>
        <w:jc w:val="both"/>
      </w:pPr>
      <w:r>
        <w:rPr>
          <w:spacing w:val="-1"/>
        </w:rPr>
        <w:t>高速机器视觉技术是联营企业中钞科信业务开展的技术基础，鉴于本公司在机器视觉领域具有强大的</w:t>
      </w:r>
      <w:r>
        <w:rPr/>
        <w:t> </w:t>
      </w:r>
      <w:r>
        <w:rPr>
          <w:spacing w:val="-1"/>
        </w:rPr>
        <w:t>技术实力，为支持联营企业的业务发展，本公司自中钞科信设立以来一直以员工借用的方式为中钞科信提</w:t>
      </w:r>
      <w:r>
        <w:rPr>
          <w:spacing w:val="-81"/>
        </w:rPr>
        <w:t> </w:t>
      </w:r>
      <w:r>
        <w:rPr>
          <w:spacing w:val="-81"/>
        </w:rPr>
      </w:r>
      <w:r>
        <w:rPr/>
        <w:t>供支持。</w:t>
      </w:r>
    </w:p>
    <w:p>
      <w:pPr>
        <w:pStyle w:val="BodyText"/>
        <w:spacing w:line="408" w:lineRule="auto" w:before="166"/>
        <w:ind w:right="1133" w:firstLine="420"/>
        <w:jc w:val="both"/>
      </w:pPr>
      <w:r>
        <w:rPr>
          <w:spacing w:val="-1"/>
        </w:rPr>
        <w:t>本年度本公司与中钞科信签订了《员工借用协议》，借用的员工主要从事技术研发、产品开发、技术</w:t>
      </w:r>
      <w:r>
        <w:rPr/>
        <w:t> </w:t>
      </w:r>
      <w:r>
        <w:rPr>
          <w:spacing w:val="-1"/>
        </w:rPr>
        <w:t>服务、经营管理等工作；中钞科信承担借用员工在借用期间发生的职工薪酬、社会保险等费用，并支付给</w:t>
      </w:r>
      <w:r>
        <w:rPr>
          <w:spacing w:val="-86"/>
        </w:rPr>
        <w:t> </w:t>
      </w:r>
      <w:r>
        <w:rPr>
          <w:spacing w:val="-86"/>
        </w:rPr>
      </w:r>
      <w:r>
        <w:rPr/>
        <w:t>本公司，由本公司向相关员工发放工资及缴纳社会保险等。</w:t>
      </w:r>
    </w:p>
    <w:p>
      <w:pPr>
        <w:pStyle w:val="BodyText"/>
        <w:spacing w:line="240" w:lineRule="auto" w:before="166"/>
        <w:ind w:left="364" w:right="0"/>
        <w:jc w:val="left"/>
      </w:pPr>
      <w:r>
        <w:rPr/>
        <w:t>本年度内员工借用涉及</w:t>
      </w:r>
      <w:r>
        <w:rPr>
          <w:rFonts w:ascii="宋体" w:hAnsi="宋体" w:cs="宋体" w:eastAsia="宋体" w:hint="default"/>
        </w:rPr>
        <w:t>77</w:t>
      </w:r>
      <w:r>
        <w:rPr/>
        <w:t>人</w:t>
      </w:r>
      <w:r>
        <w:rPr>
          <w:rFonts w:ascii="宋体" w:hAnsi="宋体" w:cs="宋体" w:eastAsia="宋体" w:hint="default"/>
        </w:rPr>
        <w:t>,</w:t>
      </w:r>
      <w:r>
        <w:rPr/>
        <w:t>为本期加权人数，金额</w:t>
      </w:r>
      <w:r>
        <w:rPr>
          <w:rFonts w:ascii="宋体" w:hAnsi="宋体" w:cs="宋体" w:eastAsia="宋体" w:hint="default"/>
        </w:rPr>
        <w:t>9,990,738.15</w:t>
      </w:r>
      <w:r>
        <w:rPr/>
        <w:t>元。</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bookmarkStart w:name="6、关联方应收应付款项" w:id="307"/>
      <w:bookmarkEnd w:id="30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08"/>
      <w:bookmarkEnd w:id="30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深圳市中钞科信金 融科技有限公司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589,375.00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129,675.00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42,625.00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成都瑞拓科技股份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四川计算机应用杂 志社有限公司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404,042.11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87,793.50</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深圳市中钞科信金 融科技有限公司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309"/>
      <w:bookmarkEnd w:id="30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中科院广州电子技术有限公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深圳市中钞科信金融科技有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16,450.22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承诺及或有事项" w:id="310"/>
      <w:bookmarkEnd w:id="310"/>
      <w:r>
        <w:rPr>
          <w:b w:val="0"/>
          <w:bCs w:val="0"/>
        </w:rPr>
      </w:r>
      <w:r>
        <w:rPr/>
        <w:t>十一、承诺及或有事项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11"/>
      <w:bookmarkEnd w:id="31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日，本集团无需要披露的重要承诺事项。</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或有事项" w:id="312"/>
      <w:bookmarkEnd w:id="31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5712" w:firstLine="0"/>
        <w:jc w:val="left"/>
        <w:rPr>
          <w:rFonts w:ascii="宋体" w:hAnsi="宋体" w:cs="宋体" w:eastAsia="宋体" w:hint="default"/>
          <w:sz w:val="21"/>
          <w:szCs w:val="21"/>
        </w:rPr>
      </w:pPr>
      <w:bookmarkStart w:name="（1）资产负债表日存在的重要或有事项"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日，本集团无需要披露的或有事项。</w:t>
      </w:r>
    </w:p>
    <w:p>
      <w:pPr>
        <w:spacing w:line="511" w:lineRule="auto" w:before="105"/>
        <w:ind w:left="154" w:right="5587" w:firstLine="0"/>
        <w:jc w:val="left"/>
        <w:rPr>
          <w:rFonts w:ascii="宋体" w:hAnsi="宋体" w:cs="宋体" w:eastAsia="宋体" w:hint="default"/>
          <w:sz w:val="24"/>
          <w:szCs w:val="24"/>
        </w:rPr>
      </w:pPr>
      <w:bookmarkStart w:name="（2）公司没有需要披露的重要或有事项，也应予以说明"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 </w:t>
      </w:r>
      <w:bookmarkStart w:name="十二、资产负债表日后事项" w:id="315"/>
      <w:bookmarkEnd w:id="315"/>
      <w:r>
        <w:rPr>
          <w:rFonts w:ascii="宋体" w:hAnsi="宋体" w:cs="宋体" w:eastAsia="宋体" w:hint="default"/>
          <w:sz w:val="21"/>
          <w:szCs w:val="21"/>
        </w:rPr>
      </w:r>
      <w:r>
        <w:rPr>
          <w:rFonts w:ascii="宋体" w:hAnsi="宋体" w:cs="宋体" w:eastAsia="宋体" w:hint="default"/>
          <w:b/>
          <w:bCs/>
          <w:sz w:val="24"/>
          <w:szCs w:val="24"/>
        </w:rPr>
        <w:t>十二、资产负债表日后事项</w:t>
      </w:r>
      <w:r>
        <w:rPr>
          <w:rFonts w:ascii="宋体" w:hAnsi="宋体" w:cs="宋体" w:eastAsia="宋体" w:hint="default"/>
          <w:sz w:val="24"/>
          <w:szCs w:val="24"/>
        </w:rPr>
      </w:r>
    </w:p>
    <w:p>
      <w:pPr>
        <w:pStyle w:val="Heading4"/>
        <w:spacing w:line="240" w:lineRule="auto" w:before="51"/>
        <w:ind w:right="0"/>
        <w:jc w:val="left"/>
        <w:rPr>
          <w:b w:val="0"/>
          <w:bCs w:val="0"/>
        </w:rPr>
      </w:pPr>
      <w:bookmarkStart w:name="1、利润分配情况" w:id="316"/>
      <w:bookmarkEnd w:id="316"/>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母公司财务报表主要项目注释" w:id="317"/>
      <w:bookmarkEnd w:id="317"/>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318"/>
      <w:bookmarkEnd w:id="318"/>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3,817,518.40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10,133,470.69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176,004,344.56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167,140,630.34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179,821,862.96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177,274,101.03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应收票据" w:id="319"/>
      <w:bookmarkEnd w:id="31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3,567,518.40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9,633,470.69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3,817,518.40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10,133,470.69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320"/>
      <w:bookmarkEnd w:id="32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1,004,56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504,560.0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221,903,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218.85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46,403,4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34.29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175,499,7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84.56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203,233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,897.14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36,093,26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167,140,63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0.34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222,907,</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778.85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46,903,4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34.29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176,004,3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44.56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203,233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,897.14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36,093,26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6.80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167,140,63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0.34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延长壳牌（四川）石油有</w:t>
            </w:r>
            <w:r>
              <w:rPr>
                <w:rFonts w:ascii="宋体" w:hAnsi="宋体" w:cs="宋体" w:eastAsia="宋体" w:hint="default"/>
                <w:sz w:val="18"/>
                <w:szCs w:val="18"/>
              </w:rPr>
              <w:t>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1,004,560.00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工程项目纠纷</w:t>
            </w:r>
          </w:p>
        </w:tc>
      </w:tr>
    </w:tbl>
    <w:p>
      <w:pPr>
        <w:spacing w:after="0" w:line="240" w:lineRule="auto"/>
        <w:jc w:val="left"/>
        <w:rPr>
          <w:rFonts w:ascii="宋体" w:hAnsi="宋体" w:cs="宋体" w:eastAsia="宋体" w:hint="default"/>
          <w:sz w:val="18"/>
          <w:szCs w:val="18"/>
        </w:rPr>
        <w:sectPr>
          <w:type w:val="continuous"/>
          <w:pgSz w:w="11910" w:h="16840"/>
          <w:pgMar w:top="1580" w:bottom="2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8"/>
        <w:gridCol w:w="1913"/>
        <w:gridCol w:w="1913"/>
        <w:gridCol w:w="1901"/>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1,004,560.00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129,467,196.08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6,473,359.80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129,467,196.08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6,473,359.80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55,282,132.75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11,056,426.55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16,312,564.17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8,156,282.09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20,717,365.85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20,717,365.85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221,779,258.85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46,403,434.29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right="0"/>
        <w:jc w:val="left"/>
      </w:pPr>
      <w:r>
        <w:rPr/>
        <w:t>根据账龄分析确认。</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19" w:lineRule="auto" w:before="14"/>
        <w:ind w:left="154" w:right="1407" w:firstLine="0"/>
        <w:jc w:val="left"/>
        <w:rPr>
          <w:rFonts w:ascii="宋体" w:hAnsi="宋体" w:cs="宋体" w:eastAsia="宋体" w:hint="default"/>
          <w:sz w:val="18"/>
          <w:szCs w:val="18"/>
        </w:rPr>
      </w:pPr>
      <w:r>
        <w:rPr>
          <w:rFonts w:ascii="宋体" w:hAnsi="宋体" w:cs="宋体" w:eastAsia="宋体" w:hint="default"/>
          <w:sz w:val="21"/>
          <w:szCs w:val="21"/>
        </w:rPr>
        <w:t>对关联方全资子公司成都中科信息技术有限公司应收项目款期末余额</w:t>
      </w:r>
      <w:r>
        <w:rPr>
          <w:rFonts w:ascii="Times New Roman" w:hAnsi="Times New Roman" w:cs="Times New Roman" w:eastAsia="Times New Roman" w:hint="default"/>
          <w:sz w:val="21"/>
          <w:szCs w:val="21"/>
        </w:rPr>
        <w:t>123,960.00</w:t>
      </w:r>
      <w:r>
        <w:rPr>
          <w:rFonts w:ascii="宋体" w:hAnsi="宋体" w:cs="宋体" w:eastAsia="宋体" w:hint="default"/>
          <w:sz w:val="21"/>
          <w:szCs w:val="21"/>
        </w:rPr>
        <w:t>元，不计提坏账准备。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 </w:t>
      </w:r>
      <w:r>
        <w:rPr>
          <w:rFonts w:ascii="宋体" w:hAnsi="宋体" w:cs="宋体" w:eastAsia="宋体" w:hint="default"/>
          <w:sz w:val="21"/>
          <w:szCs w:val="21"/>
        </w:rPr>
        <w:t>本期计提坏账准备金额</w:t>
      </w:r>
      <w:r>
        <w:rPr>
          <w:rFonts w:ascii="宋体" w:hAnsi="宋体" w:cs="宋体" w:eastAsia="宋体" w:hint="default"/>
          <w:sz w:val="21"/>
          <w:szCs w:val="21"/>
        </w:rPr>
        <w:t>10,810,167.49</w:t>
      </w:r>
      <w:r>
        <w:rPr>
          <w:rFonts w:ascii="宋体" w:hAnsi="宋体" w:cs="宋体" w:eastAsia="宋体" w:hint="default"/>
          <w:sz w:val="21"/>
          <w:szCs w:val="21"/>
        </w:rPr>
        <w:t>元；本期收回或转回坏账准备金额</w:t>
      </w:r>
      <w:r>
        <w:rPr>
          <w:rFonts w:ascii="宋体" w:hAnsi="宋体" w:cs="宋体" w:eastAsia="宋体" w:hint="default"/>
          <w:sz w:val="21"/>
          <w:szCs w:val="21"/>
        </w:rPr>
        <w:t>0.00</w:t>
      </w:r>
      <w:r>
        <w:rPr>
          <w:rFonts w:ascii="宋体" w:hAnsi="宋体" w:cs="宋体" w:eastAsia="宋体" w:hint="default"/>
          <w:sz w:val="21"/>
          <w:szCs w:val="21"/>
        </w:rPr>
        <w:t>元。 </w:t>
      </w:r>
      <w:r>
        <w:rPr>
          <w:rFonts w:ascii="宋体" w:hAnsi="宋体" w:cs="宋体" w:eastAsia="宋体" w:hint="default"/>
          <w:sz w:val="18"/>
          <w:szCs w:val="18"/>
        </w:rPr>
        <w:t>其中本期坏账准备收回或转回金额重要的：</w:t>
      </w:r>
    </w:p>
    <w:p>
      <w:pPr>
        <w:spacing w:before="5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7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按欠款方归集的期末余额前五名的应收账款情况</w:t>
      </w:r>
    </w:p>
    <w:p>
      <w:pPr>
        <w:pStyle w:val="BodyText"/>
        <w:spacing w:line="386" w:lineRule="auto" w:before="115"/>
        <w:ind w:right="1144" w:firstLine="420"/>
        <w:jc w:val="left"/>
      </w:pPr>
      <w:r>
        <w:rPr/>
        <w:t>本公司按欠款方归集的年末余额前五名应收账款汇总金额</w:t>
      </w:r>
      <w:r>
        <w:rPr>
          <w:rFonts w:ascii="Times New Roman" w:hAnsi="Times New Roman" w:cs="Times New Roman" w:eastAsia="Times New Roman" w:hint="default"/>
        </w:rPr>
        <w:t>95,909,863.62</w:t>
      </w:r>
      <w:r>
        <w:rPr/>
        <w:t>元，占应收账款余额合计数的 比例为</w:t>
      </w:r>
      <w:r>
        <w:rPr>
          <w:rFonts w:ascii="Times New Roman" w:hAnsi="Times New Roman" w:cs="Times New Roman" w:eastAsia="Times New Roman" w:hint="default"/>
        </w:rPr>
        <w:t>43.03%</w:t>
      </w:r>
      <w:r>
        <w:rPr/>
        <w:t>，相应计提的坏账准备汇总金额</w:t>
      </w:r>
      <w:r>
        <w:rPr>
          <w:rFonts w:ascii="Times New Roman" w:hAnsi="Times New Roman" w:cs="Times New Roman" w:eastAsia="Times New Roman" w:hint="default"/>
        </w:rPr>
        <w:t>11,757,816.15</w:t>
      </w:r>
      <w:r>
        <w:rPr/>
        <w:t>元。</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2、其他应收款" w:id="321"/>
      <w:bookmarkEnd w:id="32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939,791.67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1,186,208.33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38,770,636.50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35,571,508.05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39,710,428.17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36,757,716.38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应收利息" w:id="322"/>
      <w:bookmarkEnd w:id="32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1,186,208.33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1,186,208.33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其他应收款" w:id="323"/>
      <w:bookmarkEnd w:id="323"/>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46,008,0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66.68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7,237,43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38,770,63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41,570,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124.30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5,998,616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35,571,508.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46,008,0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66.68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7,237,43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0.18</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38,770,63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41,570,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124.30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5,998,616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35,571,508.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r>
      <w:tr>
        <w:trPr>
          <w:trHeight w:val="393"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979" w:header="877"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16,917,414.27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845,870.71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16,917,414.27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845,870.71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5,549,716.72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1,109,943.34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4,816,419.90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2,408,209.95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2,458,889.70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2,458,889.70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29,742,440.59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6,822,913.70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87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根据账龄分析确认。</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after="0"/>
        <w:jc w:val="left"/>
        <w:rPr>
          <w:rFonts w:ascii="宋体" w:hAnsi="宋体" w:cs="宋体" w:eastAsia="宋体" w:hint="default"/>
          <w:sz w:val="18"/>
          <w:szCs w:val="18"/>
        </w:rPr>
        <w:sectPr>
          <w:type w:val="continuous"/>
          <w:pgSz w:w="11910" w:h="16840"/>
          <w:pgMar w:top="1580" w:bottom="280" w:left="980" w:right="0"/>
        </w:sectPr>
      </w:pPr>
    </w:p>
    <w:p>
      <w:pPr>
        <w:spacing w:line="240" w:lineRule="auto" w:before="13"/>
        <w:rPr>
          <w:rFonts w:ascii="宋体" w:hAnsi="宋体" w:cs="宋体" w:eastAsia="宋体" w:hint="default"/>
          <w:sz w:val="25"/>
          <w:szCs w:val="25"/>
        </w:rPr>
      </w:pPr>
    </w:p>
    <w:p>
      <w:pPr>
        <w:spacing w:line="338" w:lineRule="auto" w:before="44"/>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4"/>
        <w:ind w:left="575" w:right="0"/>
        <w:jc w:val="left"/>
      </w:pPr>
      <w:r>
        <w:rPr/>
        <w:t>关联方子公司成都中科和中科石油应收余额</w:t>
      </w:r>
      <w:r>
        <w:rPr>
          <w:spacing w:val="-55"/>
        </w:rPr>
        <w:t> </w:t>
      </w:r>
      <w:r>
        <w:rPr>
          <w:rFonts w:ascii="Times New Roman" w:hAnsi="Times New Roman" w:cs="Times New Roman" w:eastAsia="Times New Roman" w:hint="default"/>
        </w:rPr>
        <w:t>7,975,296.48</w:t>
      </w:r>
      <w:r>
        <w:rPr>
          <w:rFonts w:ascii="Times New Roman" w:hAnsi="Times New Roman" w:cs="Times New Roman" w:eastAsia="Times New Roman" w:hint="default"/>
          <w:spacing w:val="-2"/>
        </w:rPr>
        <w:t> </w:t>
      </w:r>
      <w:r>
        <w:rPr/>
        <w:t>元，不计提坏账准备。未逾期大额保证金</w:t>
      </w:r>
    </w:p>
    <w:p>
      <w:pPr>
        <w:pStyle w:val="BodyText"/>
        <w:spacing w:line="240" w:lineRule="auto" w:before="178"/>
        <w:ind w:right="0"/>
        <w:jc w:val="left"/>
      </w:pPr>
      <w:r>
        <w:rPr>
          <w:rFonts w:ascii="Times New Roman" w:hAnsi="Times New Roman" w:cs="Times New Roman" w:eastAsia="Times New Roman" w:hint="default"/>
        </w:rPr>
        <w:t>8,290,329.61</w:t>
      </w:r>
      <w:r>
        <w:rPr>
          <w:rFonts w:ascii="Times New Roman" w:hAnsi="Times New Roman" w:cs="Times New Roman" w:eastAsia="Times New Roman" w:hint="default"/>
          <w:spacing w:val="-2"/>
        </w:rPr>
        <w:t> </w:t>
      </w:r>
      <w:r>
        <w:rPr/>
        <w:t>元，按照</w:t>
      </w:r>
      <w:r>
        <w:rPr>
          <w:spacing w:val="-54"/>
        </w:rPr>
        <w:t> </w:t>
      </w:r>
      <w:r>
        <w:rPr>
          <w:rFonts w:ascii="Times New Roman" w:hAnsi="Times New Roman" w:cs="Times New Roman" w:eastAsia="Times New Roman" w:hint="default"/>
        </w:rPr>
        <w:t>5%</w:t>
      </w:r>
      <w:r>
        <w:rPr/>
        <w:t>计提坏账准备，金额</w:t>
      </w:r>
      <w:r>
        <w:rPr>
          <w:spacing w:val="-53"/>
        </w:rPr>
        <w:t> </w:t>
      </w:r>
      <w:r>
        <w:rPr>
          <w:rFonts w:ascii="Times New Roman" w:hAnsi="Times New Roman" w:cs="Times New Roman" w:eastAsia="Times New Roman" w:hint="default"/>
        </w:rPr>
        <w:t>414,516.48</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footerReference w:type="default" r:id="rId29"/>
          <w:pgSz w:w="11910" w:h="16840"/>
          <w:pgMar w:footer="979" w:header="877" w:top="1060" w:bottom="1160" w:left="980" w:right="0"/>
          <w:pgNumType w:start="201"/>
        </w:sectPr>
      </w:pPr>
    </w:p>
    <w:p>
      <w:pPr>
        <w:spacing w:before="44"/>
        <w:ind w:left="154"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78"/>
        <w:ind w:right="-16"/>
        <w:jc w:val="left"/>
      </w:pPr>
      <w:r>
        <w:rPr/>
        <w:t>本期计提坏账准备金额</w:t>
      </w:r>
      <w:r>
        <w:rPr>
          <w:spacing w:val="-53"/>
        </w:rPr>
        <w:t> </w:t>
      </w:r>
      <w:r>
        <w:rPr>
          <w:rFonts w:ascii="Times New Roman" w:hAnsi="Times New Roman" w:cs="Times New Roman" w:eastAsia="Times New Roman" w:hint="default"/>
        </w:rPr>
        <w:t>1,238,813.93</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before="86"/>
        <w:ind w:left="154" w:right="-16"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7505" w:space="132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580" w:bottom="28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7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28,771,321.11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27,085,168.74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备用金及项目周转金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8,592,016.04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5,007,270.36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7,976,170.24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9,240,189.33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668,559.29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237,495.87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46,008,066.68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41,570,124.30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成都中科信息技术有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6,700,918.23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宜宾市科教产业投资 集团有限公司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3,737,900.00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186,895.00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四川省内江监狱</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2,132,629.05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106,631.45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成都中科石油技术股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1,274,378.25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成都市教育技术装备 管理中心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1,227,642.56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61,382.13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15,073,468.09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354,908.58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长期股权投资" w:id="324"/>
      <w:bookmarkEnd w:id="32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580" w:bottom="2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10,208,000.00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100,606,192.81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100,606,192.81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99,033,833.81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99,033,833.81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112,314,192.81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112,314,192.81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109,241,833.81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109,241,833.81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325"/>
      <w:bookmarkEnd w:id="32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2,708,000.00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2,708,000.00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1,500,000.00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1,500,000.00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10,208,000.00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1,500,000.00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11,708,000.00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326"/>
      <w:bookmarkEnd w:id="32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深圳市中 钞科信金 融科技有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5,572,359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5,572,359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5,572,359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92.81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营业收入和营业成本" w:id="327"/>
      <w:bookmarkEnd w:id="32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3750"/>
        <w:gridCol w:w="3815"/>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283,219,559.11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205,525,152.00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264,563,435.29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183,732,457.27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4,023,853.62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251,578.18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3,846,091.40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362,897.24</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287,243,412.73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205,776,730.18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268,409,526.69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184,095,354.51</w:t>
            </w:r>
          </w:p>
        </w:tc>
      </w:tr>
    </w:tbl>
    <w:p>
      <w:pPr>
        <w:spacing w:line="357" w:lineRule="auto" w:before="51"/>
        <w:ind w:left="154" w:right="953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投资收益" w:id="328"/>
      <w:bookmarkEnd w:id="32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5,572,359.00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5,939,489.83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738,308.22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6,310,667.22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5,939,489.83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四、补充资料" w:id="329"/>
      <w:bookmarkEnd w:id="329"/>
      <w:r>
        <w:rPr>
          <w:b w:val="0"/>
          <w:bCs w:val="0"/>
        </w:rPr>
      </w:r>
      <w:r>
        <w:rPr/>
        <w:t>十四、补充资料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30"/>
      <w:bookmarkEnd w:id="3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-6,041.03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18,579,485.98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738,308.22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57,697.00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2,409,802.39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23,245.19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16,936,402.59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31"/>
      <w:bookmarkEnd w:id="3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39"/>
        <w:gridCol w:w="3092"/>
        <w:gridCol w:w="1913"/>
        <w:gridCol w:w="1913"/>
      </w:tblGrid>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0.2600</w:t>
            </w:r>
          </w:p>
        </w:tc>
      </w:tr>
      <w:tr>
        <w:trPr>
          <w:trHeight w:val="71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第十二节 备查文件目录" w:id="332"/>
      <w:bookmarkEnd w:id="332"/>
      <w:r>
        <w:rPr>
          <w:b w:val="0"/>
          <w:bCs w:val="0"/>
        </w:rPr>
      </w:r>
      <w:bookmarkStart w:name="_bookmark11" w:id="333"/>
      <w:bookmarkEnd w:id="333"/>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6"/>
          <w:szCs w:val="46"/>
        </w:rPr>
      </w:pPr>
    </w:p>
    <w:p>
      <w:pPr>
        <w:pStyle w:val="BodyText"/>
        <w:spacing w:line="410" w:lineRule="auto"/>
        <w:ind w:right="2772"/>
        <w:jc w:val="left"/>
      </w:pPr>
      <w:r>
        <w:rPr/>
        <w:t>一、载有法定代表人签名的</w:t>
      </w:r>
      <w:r>
        <w:rPr>
          <w:rFonts w:ascii="Times New Roman" w:hAnsi="Times New Roman" w:cs="Times New Roman" w:eastAsia="Times New Roman" w:hint="default"/>
        </w:rPr>
        <w:t>2018</w:t>
      </w:r>
      <w:r>
        <w:rPr/>
        <w:t>年度报告文本； 二、载有法定代表人、主管会计工作负责人、会计机构负责人签名并盖章的财务报表； 三、载有会计师事务所盖章、注册会计师签名并盖章的审计报告原件； 四、报告期内在中国证监会指定网站上公开披露过的所有公司文件的正本及公告原稿； 五、其他有关资料；</w:t>
      </w:r>
    </w:p>
    <w:p>
      <w:pPr>
        <w:pStyle w:val="BodyText"/>
        <w:spacing w:line="240" w:lineRule="auto" w:before="85"/>
        <w:ind w:right="0"/>
        <w:jc w:val="left"/>
      </w:pPr>
      <w:r>
        <w:rPr/>
        <w:t>六、以上备查文件的备置地点：公司董事会办公室。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67"/>
        <w:ind w:left="5718" w:right="2038"/>
        <w:jc w:val="left"/>
      </w:pPr>
      <w:r>
        <w:rPr/>
        <w:t>中科院成都信息技术股份有限公司 法定代表人：王晓宇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6662" w:right="0"/>
        <w:jc w:val="lef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55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480" type="#_x0000_t75" stroked="false">
          <v:imagedata r:id="rId1" o:title=""/>
        </v:shape>
      </w:pict>
    </w:r>
    <w:r>
      <w:rPr/>
      <w:pict>
        <v:shape style="position:absolute;margin-left:527.679993pt;margin-top:781.957947pt;width:13pt;height:11pt;mso-position-horizontal-relative:page;mso-position-vertical-relative:page;z-index:-904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04408" type="#_x0000_t75" stroked="false">
          <v:imagedata r:id="rId1" o:title=""/>
        </v:shape>
      </w:pict>
    </w:r>
    <w:r>
      <w:rPr/>
      <w:pict>
        <v:shape style="position:absolute;margin-left:758.97998pt;margin-top:535.357971pt;width:13pt;height:11pt;mso-position-horizontal-relative:page;mso-position-vertical-relative:page;z-index:-904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312" type="#_x0000_t75" stroked="false">
          <v:imagedata r:id="rId1" o:title=""/>
        </v:shape>
      </w:pict>
    </w:r>
    <w:r>
      <w:rPr/>
      <w:pict>
        <v:shape style="position:absolute;margin-left:527.679993pt;margin-top:781.957947pt;width:13pt;height:11pt;mso-position-horizontal-relative:page;mso-position-vertical-relative:page;z-index:-90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264" type="#_x0000_t75" stroked="false">
          <v:imagedata r:id="rId1" o:title=""/>
        </v:shape>
      </w:pict>
    </w:r>
    <w:r>
      <w:rPr/>
      <w:pict>
        <v:shape style="position:absolute;margin-left:524.179993pt;margin-top:781.957947pt;width:15.5pt;height:11pt;mso-position-horizontal-relative:page;mso-position-vertical-relative:page;z-index:-904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216" type="#_x0000_t75" stroked="false">
          <v:imagedata r:id="rId1" o:title=""/>
        </v:shape>
      </w:pict>
    </w:r>
    <w:r>
      <w:rPr/>
      <w:pict>
        <v:shape style="position:absolute;margin-left:523.179993pt;margin-top:781.957947pt;width:17.5pt;height:11pt;mso-position-horizontal-relative:page;mso-position-vertical-relative:page;z-index:-904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168" type="#_x0000_t75" stroked="false">
          <v:imagedata r:id="rId1" o:title=""/>
        </v:shape>
      </w:pict>
    </w:r>
    <w:r>
      <w:rPr/>
      <w:pict>
        <v:shape style="position:absolute;margin-left:524.179993pt;margin-top:781.957947pt;width:15.5pt;height:11pt;mso-position-horizontal-relative:page;mso-position-vertical-relative:page;z-index:-9041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120" type="#_x0000_t75" stroked="false">
          <v:imagedata r:id="rId1" o:title=""/>
        </v:shape>
      </w:pict>
    </w:r>
    <w:r>
      <w:rPr/>
      <w:pict>
        <v:shape style="position:absolute;margin-left:523.179993pt;margin-top:781.957947pt;width:17.5pt;height:11pt;mso-position-horizontal-relative:page;mso-position-vertical-relative:page;z-index:-904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045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17.160004pt;margin-top:42.865608pt;width:222.55pt;height:11.5pt;mso-position-horizontal-relative:page;mso-position-vertical-relative:page;z-index:-904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60022pt;margin-top:42.865631pt;width:222.55pt;height:11.5pt;mso-position-horizontal-relative:page;mso-position-vertical-relative:page;z-index:-904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9043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17.160004pt;margin-top:42.865608pt;width:222.55pt;height:11.5pt;mso-position-horizontal-relative:page;mso-position-vertical-relative:page;z-index:-904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oter" Target="footer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www.casit.com.cn/" TargetMode="External"/><Relationship Id="rId13" Type="http://schemas.openxmlformats.org/officeDocument/2006/relationships/hyperlink" Target="mailto:dsh@casit.com.cn" TargetMode="External"/><Relationship Id="rId14" Type="http://schemas.openxmlformats.org/officeDocument/2006/relationships/hyperlink" Target="http://www.cninfo.com.cn/"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politics.people.com.cn/n/2013/0619/c1001-21892537.html" TargetMode="External"/><Relationship Id="rId18" Type="http://schemas.openxmlformats.org/officeDocument/2006/relationships/hyperlink" Target="https://baike.baidu.com/item/%E5%9B%BD%E6%B0%91%E7%BB%8F%E6%B5%8E/6135834" TargetMode="External"/><Relationship Id="rId19" Type="http://schemas.openxmlformats.org/officeDocument/2006/relationships/hyperlink" Target="https://baike.baidu.com/item/%E4%BA%A7%E5%93%81%E9%99%84%E5%8A%A0%E5%80%BC/8578839" TargetMode="External"/><Relationship Id="rId20" Type="http://schemas.openxmlformats.org/officeDocument/2006/relationships/hyperlink" Target="https://baike.baidu.com/item/%E6%88%98%E7%95%A5%E6%80%A7%E6%96%B0%E5%85%B4%E4%BA%A7%E4%B8%9A/10333409" TargetMode="Externa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image" Target="media/image7.jpeg"/><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4.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footer7.xml.rels><?xml version="1.0" encoding="UTF-8" standalone="yes"?>
<Relationships xmlns="http://schemas.openxmlformats.org/package/2006/relationships"><Relationship Id="rId1" Type="http://schemas.openxmlformats.org/officeDocument/2006/relationships/image" Target="media/image4.jpeg"/></Relationships>

</file>

<file path=word/_rels/footer8.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中科院成都信息技术股份有限公司</dc:creator>
  <dc:title>中科院成都信息技术股份有限公司2018年年度报告全文</dc:title>
  <dcterms:created xsi:type="dcterms:W3CDTF">2020-05-04T21:10:04Z</dcterms:created>
  <dcterms:modified xsi:type="dcterms:W3CDTF">2020-05-04T21:10:04Z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Office Word 2007</vt:lpwstr>
  </property>
  <property fmtid="{D5CDD505-2E9C-101B-9397-08002B2CF9AE}" pid="4" name="LastSaved">
    <vt:filetime>2020-05-04T00:00:00Z</vt:filetime>
  </property>
</Properties>
</file>