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type id="_x0000_t202" o:spt="202" coordsize="21600,21600" path="m,l,21600r21600,l21600,xe">
            <v:stroke joinstyle="miter"/>
            <v:path gradientshapeok="t" o:connecttype="rect"/>
          </v:shapetype>
          <v:shape style="position:absolute;margin-left:0pt;margin-top:0pt;width:595.35pt;height:841.95pt;mso-position-horizontal-relative:page;mso-position-vertical-relative:page;z-index:-98687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中科院成都信息技术股份有限公司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31"/>
                    <w:ind w:left="0" w:right="1134" w:firstLine="0"/>
                    <w:jc w:val="right"/>
                    <w:rPr>
                      <w:rFonts w:ascii="Times New Roman" w:hAnsi="Times New Roman" w:cs="Times New Roman" w:eastAsia="Times New Roman" w:hint="default"/>
                      <w:sz w:val="18"/>
                      <w:szCs w:val="18"/>
                    </w:rPr>
                  </w:pPr>
                  <w:r>
                    <w:rPr>
                      <w:rFonts w:ascii="Times New Roman"/>
                      <w:sz w:val="18"/>
                    </w:rPr>
                    <w:t>1</w:t>
                  </w:r>
                </w:p>
              </w:txbxContent>
            </v:textbox>
            <w10:wrap type="none"/>
          </v:shape>
        </w:pict>
      </w:r>
      <w:r>
        <w:rPr/>
        <w:pict>
          <v:group style="position:absolute;margin-left:0pt;margin-top:0pt;width:595.35pt;height:841.95pt;mso-position-horizontal-relative:page;mso-position-vertical-relative:page;z-index:-986848" coordorigin="0,0" coordsize="11907,16839">
            <v:group style="position:absolute;left:1104;top:982;width:9696;height:2" coordorigin="1104,982" coordsize="9696,2">
              <v:shape style="position:absolute;left:1104;top:982;width:9696;height:2" coordorigin="1104,982" coordsize="9696,0" path="m1104,982l10800,982e" filled="false" stroked="true" strokeweight=".72pt" strokecolor="#000000">
                <v:path arrowok="t"/>
              </v:shape>
              <v:shape style="position:absolute;left:0;top:0;width:11906;height:16838" type="#_x0000_t75" alt="?" stroked="false">
                <v:imagedata r:id="rId5" o:title=""/>
              </v:shape>
              <v:shape style="position:absolute;left:2921;top:6580;width:6870;height:254" type="#_x0000_t75" stroked="false">
                <v:imagedata r:id="rId6" o:title=""/>
              </v:shape>
              <v:shape style="position:absolute;left:4270;top:2839;width:3362;height:2035" type="#_x0000_t75" alt="?" stroked="false">
                <v:imagedata r:id="rId7" o:title=""/>
              </v:shape>
            </v:group>
            <v:group style="position:absolute;left:2103;top:8374;width:7680;height:1860" coordorigin="2103,8374" coordsize="7680,1860">
              <v:shape style="position:absolute;left:2103;top:8374;width:7680;height:1860" coordorigin="2103,8374" coordsize="7680,1860" path="m2103,10234l9783,10234,9783,8374,2103,8374,2103,10234xe" filled="true" fillcolor="#ffffff" stroked="false">
                <v:path arrowok="t"/>
                <v:fill type="solid"/>
              </v:shape>
              <v:shape style="position:absolute;left:10713;top:16134;width:1190;height:536" type="#_x0000_t75" stroked="false">
                <v:imagedata r:id="rId8" o:title=""/>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1"/>
          <w:szCs w:val="21"/>
        </w:rPr>
      </w:pPr>
    </w:p>
    <w:p>
      <w:pPr>
        <w:spacing w:line="456" w:lineRule="exact" w:before="0"/>
        <w:ind w:left="1553" w:right="1553" w:firstLine="0"/>
        <w:jc w:val="center"/>
        <w:rPr>
          <w:rFonts w:ascii="等线" w:hAnsi="等线" w:cs="等线" w:eastAsia="等线" w:hint="default"/>
          <w:sz w:val="36"/>
          <w:szCs w:val="36"/>
        </w:rPr>
      </w:pPr>
      <w:r>
        <w:rPr>
          <w:rFonts w:ascii="等线" w:hAnsi="等线" w:cs="等线" w:eastAsia="等线" w:hint="default"/>
          <w:b/>
          <w:bCs/>
          <w:color w:val="1F3864"/>
          <w:sz w:val="36"/>
          <w:szCs w:val="36"/>
        </w:rPr>
        <w:t>中科院成都信息技术股份有限公司</w:t>
      </w:r>
      <w:r>
        <w:rPr>
          <w:rFonts w:ascii="等线" w:hAnsi="等线" w:cs="等线" w:eastAsia="等线" w:hint="default"/>
          <w:sz w:val="36"/>
          <w:szCs w:val="36"/>
        </w:rPr>
      </w:r>
    </w:p>
    <w:p>
      <w:pPr>
        <w:spacing w:line="240" w:lineRule="auto" w:before="0"/>
        <w:rPr>
          <w:rFonts w:ascii="等线" w:hAnsi="等线" w:cs="等线" w:eastAsia="等线" w:hint="default"/>
          <w:b/>
          <w:bCs/>
          <w:sz w:val="46"/>
          <w:szCs w:val="46"/>
        </w:rPr>
      </w:pPr>
    </w:p>
    <w:p>
      <w:pPr>
        <w:spacing w:before="0"/>
        <w:ind w:left="1548" w:right="1553" w:firstLine="0"/>
        <w:jc w:val="center"/>
        <w:rPr>
          <w:rFonts w:ascii="等线" w:hAnsi="等线" w:cs="等线" w:eastAsia="等线" w:hint="default"/>
          <w:sz w:val="36"/>
          <w:szCs w:val="36"/>
        </w:rPr>
      </w:pPr>
      <w:r>
        <w:rPr>
          <w:rFonts w:ascii="等线" w:hAnsi="等线" w:cs="等线" w:eastAsia="等线" w:hint="default"/>
          <w:b/>
          <w:bCs/>
          <w:color w:val="1F3864"/>
          <w:w w:val="95"/>
          <w:sz w:val="36"/>
          <w:szCs w:val="36"/>
        </w:rPr>
        <w:t>2019</w:t>
      </w:r>
      <w:r>
        <w:rPr>
          <w:rFonts w:ascii="等线" w:hAnsi="等线" w:cs="等线" w:eastAsia="等线" w:hint="default"/>
          <w:b/>
          <w:bCs/>
          <w:color w:val="1F3864"/>
          <w:spacing w:val="55"/>
          <w:w w:val="95"/>
          <w:sz w:val="36"/>
          <w:szCs w:val="36"/>
        </w:rPr>
        <w:t> </w:t>
      </w:r>
      <w:r>
        <w:rPr>
          <w:rFonts w:ascii="等线" w:hAnsi="等线" w:cs="等线" w:eastAsia="等线" w:hint="default"/>
          <w:b/>
          <w:bCs/>
          <w:color w:val="1F3864"/>
          <w:w w:val="95"/>
          <w:sz w:val="36"/>
          <w:szCs w:val="36"/>
        </w:rPr>
        <w:t>年年度报告</w:t>
      </w:r>
      <w:r>
        <w:rPr>
          <w:rFonts w:ascii="等线" w:hAnsi="等线" w:cs="等线" w:eastAsia="等线" w:hint="default"/>
          <w:w w:val="95"/>
          <w:sz w:val="36"/>
          <w:szCs w:val="36"/>
        </w:rPr>
      </w:r>
    </w:p>
    <w:p>
      <w:pPr>
        <w:pStyle w:val="Heading2"/>
        <w:spacing w:line="240" w:lineRule="auto" w:before="83"/>
        <w:ind w:left="1551" w:right="1553"/>
        <w:jc w:val="center"/>
        <w:rPr>
          <w:rFonts w:ascii="Times New Roman" w:hAnsi="Times New Roman" w:cs="Times New Roman" w:eastAsia="Times New Roman" w:hint="default"/>
          <w:b w:val="0"/>
          <w:bCs w:val="0"/>
        </w:rPr>
      </w:pPr>
      <w:r>
        <w:rPr>
          <w:rFonts w:ascii="Times New Roman"/>
        </w:rPr>
        <w:t>2020-021</w:t>
      </w:r>
      <w:r>
        <w:rPr>
          <w:rFonts w:ascii="Times New Roman"/>
          <w:b w:val="0"/>
        </w:rPr>
      </w:r>
    </w:p>
    <w:p>
      <w:pPr>
        <w:spacing w:line="240" w:lineRule="auto" w:before="0"/>
        <w:rPr>
          <w:rFonts w:ascii="Times New Roman" w:hAnsi="Times New Roman" w:cs="Times New Roman" w:eastAsia="Times New Roman" w:hint="default"/>
          <w:b/>
          <w:bCs/>
          <w:sz w:val="20"/>
          <w:szCs w:val="20"/>
        </w:rPr>
      </w:pPr>
    </w:p>
    <w:p>
      <w:pPr>
        <w:spacing w:line="240" w:lineRule="auto" w:before="4"/>
        <w:rPr>
          <w:rFonts w:ascii="Times New Roman" w:hAnsi="Times New Roman" w:cs="Times New Roman" w:eastAsia="Times New Roman" w:hint="default"/>
          <w:b/>
          <w:bCs/>
          <w:sz w:val="19"/>
          <w:szCs w:val="19"/>
        </w:rPr>
      </w:pPr>
    </w:p>
    <w:p>
      <w:pPr>
        <w:spacing w:line="1860" w:lineRule="exact"/>
        <w:ind w:left="4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pict>
          <v:shape style="width:384pt;height:93pt;mso-position-horizontal-relative:char;mso-position-vertical-relative:line" type="#_x0000_t202" filled="true" fillcolor="#ffffff" stroked="true" strokeweight="1.25pt" strokecolor="#000000">
            <w10:anchorlock/>
            <v:textbox inset="0,0,0,0">
              <w:txbxContent>
                <w:p>
                  <w:pPr>
                    <w:spacing w:line="268" w:lineRule="auto" w:before="41"/>
                    <w:ind w:left="174" w:right="170"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公司董事会、监事会及董事、监事、高级管理人员保证</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本年度报告内容的真实、准确、完整，不存在虚假记载、误</w:t>
                  </w:r>
                  <w:r>
                    <w:rPr>
                      <w:rFonts w:ascii="Microsoft JhengHei" w:hAnsi="Microsoft JhengHei" w:cs="Microsoft JhengHei" w:eastAsia="Microsoft JhengHei" w:hint="default"/>
                      <w:b/>
                      <w:bCs/>
                      <w:spacing w:val="-44"/>
                      <w:sz w:val="28"/>
                      <w:szCs w:val="28"/>
                    </w:rPr>
                    <w:t> </w:t>
                  </w:r>
                  <w:r>
                    <w:rPr>
                      <w:rFonts w:ascii="Microsoft JhengHei" w:hAnsi="Microsoft JhengHei" w:cs="Microsoft JhengHei" w:eastAsia="Microsoft JhengHei" w:hint="default"/>
                      <w:b/>
                      <w:bCs/>
                      <w:spacing w:val="-44"/>
                      <w:sz w:val="28"/>
                      <w:szCs w:val="28"/>
                    </w:rPr>
                  </w:r>
                  <w:r>
                    <w:rPr>
                      <w:rFonts w:ascii="Microsoft JhengHei" w:hAnsi="Microsoft JhengHei" w:cs="Microsoft JhengHei" w:eastAsia="Microsoft JhengHei" w:hint="default"/>
                      <w:b/>
                      <w:bCs/>
                      <w:sz w:val="28"/>
                      <w:szCs w:val="28"/>
                    </w:rPr>
                    <w:t>导性陈述或者重大遗漏，并承担个别和连带的法律责任。</w:t>
                  </w:r>
                  <w:r>
                    <w:rPr>
                      <w:rFonts w:ascii="Microsoft JhengHei" w:hAnsi="Microsoft JhengHei" w:cs="Microsoft JhengHei" w:eastAsia="Microsoft JhengHei" w:hint="default"/>
                      <w:sz w:val="28"/>
                      <w:szCs w:val="28"/>
                    </w:rPr>
                  </w:r>
                </w:p>
              </w:txbxContent>
            </v:textbox>
            <v:fill type="solid"/>
          </v:shape>
        </w:pict>
      </w:r>
      <w:r>
        <w:rPr>
          <w:rFonts w:ascii="Times New Roman" w:hAnsi="Times New Roman" w:cs="Times New Roman" w:eastAsia="Times New Roman" w:hint="default"/>
          <w:position w:val="-36"/>
          <w:sz w:val="20"/>
          <w:szCs w:val="20"/>
        </w:rPr>
      </w: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8"/>
          <w:szCs w:val="28"/>
        </w:rPr>
      </w:pPr>
    </w:p>
    <w:p>
      <w:pPr>
        <w:spacing w:before="0"/>
        <w:ind w:left="1553" w:right="155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type w:val="continuous"/>
          <w:pgSz w:w="11910" w:h="16840"/>
          <w:pgMar w:top="1580" w:bottom="280" w:left="1680" w:right="16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p>
      <w:pPr>
        <w:pStyle w:val="Heading1"/>
        <w:spacing w:line="240" w:lineRule="auto"/>
        <w:ind w:left="2884" w:right="0"/>
        <w:jc w:val="left"/>
        <w:rPr>
          <w:b w:val="0"/>
          <w:bCs w:val="0"/>
        </w:rPr>
      </w:pPr>
      <w:bookmarkStart w:name="_TOC_250011" w:id="1"/>
      <w:bookmarkStart w:name="第一节重要提示、目录和释义" w:id="2"/>
      <w:r>
        <w:rPr>
          <w:b w:val="0"/>
          <w:bCs w:val="0"/>
        </w:rPr>
      </w:r>
      <w:r>
        <w:rPr/>
        <w:t>第一节重要提示、目录和释义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2"/>
        <w:ind w:left="152" w:right="1129"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3"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公司负责人史志明、主管会计工作负责人刘小兵及会计机构负责人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杜立声明：保证年度报告中财务报告的真实、准确、完整。</w:t>
      </w:r>
      <w:r>
        <w:rPr>
          <w:rFonts w:ascii="宋体" w:hAnsi="宋体" w:cs="宋体" w:eastAsia="宋体" w:hint="default"/>
          <w:sz w:val="28"/>
          <w:szCs w:val="28"/>
        </w:rPr>
      </w:r>
    </w:p>
    <w:p>
      <w:pPr>
        <w:spacing w:line="472" w:lineRule="auto" w:before="148"/>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本年度报告中涉及未来计划或规划等前瞻性陈述的，均不构成公司对投资</w:t>
      </w:r>
      <w:r>
        <w:rPr>
          <w:rFonts w:ascii="宋体" w:hAnsi="宋体" w:cs="宋体" w:eastAsia="宋体" w:hint="default"/>
          <w:sz w:val="28"/>
          <w:szCs w:val="28"/>
        </w:rPr>
      </w:r>
    </w:p>
    <w:p>
      <w:pPr>
        <w:spacing w:line="408" w:lineRule="auto" w:before="0"/>
        <w:ind w:left="152" w:right="1129" w:firstLine="0"/>
        <w:jc w:val="left"/>
        <w:rPr>
          <w:rFonts w:ascii="宋体" w:hAnsi="宋体" w:cs="宋体" w:eastAsia="宋体" w:hint="default"/>
          <w:sz w:val="28"/>
          <w:szCs w:val="28"/>
        </w:rPr>
      </w:pPr>
      <w:r>
        <w:rPr>
          <w:rFonts w:ascii="宋体" w:hAnsi="宋体" w:cs="宋体" w:eastAsia="宋体" w:hint="default"/>
          <w:b/>
          <w:bCs/>
          <w:spacing w:val="2"/>
          <w:sz w:val="28"/>
          <w:szCs w:val="28"/>
        </w:rPr>
        <w:t>者的实质承诺，敬请投资者及相关人士对此保持足够的风险认识，充分理解计</w:t>
      </w:r>
      <w:r>
        <w:rPr>
          <w:rFonts w:ascii="宋体" w:hAnsi="宋体" w:cs="宋体" w:eastAsia="宋体" w:hint="default"/>
          <w:b/>
          <w:bCs/>
          <w:w w:val="99"/>
          <w:sz w:val="28"/>
          <w:szCs w:val="28"/>
        </w:rPr>
        <w:t> </w:t>
      </w:r>
      <w:r>
        <w:rPr>
          <w:rFonts w:ascii="宋体" w:hAnsi="宋体" w:cs="宋体" w:eastAsia="宋体" w:hint="default"/>
          <w:b/>
          <w:bCs/>
          <w:sz w:val="28"/>
          <w:szCs w:val="28"/>
        </w:rPr>
        <w:t>划、预测与承诺之间的差异，注意投资风险。</w:t>
      </w:r>
      <w:r>
        <w:rPr>
          <w:rFonts w:ascii="宋体" w:hAnsi="宋体" w:cs="宋体" w:eastAsia="宋体" w:hint="default"/>
          <w:sz w:val="28"/>
          <w:szCs w:val="28"/>
        </w:rPr>
      </w:r>
    </w:p>
    <w:p>
      <w:pPr>
        <w:spacing w:line="398" w:lineRule="auto" w:before="162"/>
        <w:ind w:left="152" w:right="1133"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公司在本报告第四节</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2"/>
          <w:sz w:val="28"/>
          <w:szCs w:val="28"/>
        </w:rPr>
        <w:t>经营情况讨论与分析</w:t>
      </w:r>
      <w:r>
        <w:rPr>
          <w:rFonts w:ascii="Times New Roman" w:hAnsi="Times New Roman" w:cs="Times New Roman" w:eastAsia="Times New Roman" w:hint="default"/>
          <w:b/>
          <w:bCs/>
          <w:spacing w:val="2"/>
          <w:sz w:val="28"/>
          <w:szCs w:val="28"/>
        </w:rPr>
        <w:t>”</w:t>
      </w:r>
      <w:r>
        <w:rPr>
          <w:rFonts w:ascii="Times New Roman" w:hAnsi="Times New Roman" w:cs="Times New Roman" w:eastAsia="Times New Roman" w:hint="default"/>
          <w:b/>
          <w:bCs/>
          <w:spacing w:val="68"/>
          <w:sz w:val="28"/>
          <w:szCs w:val="28"/>
        </w:rPr>
        <w:t> </w:t>
      </w:r>
      <w:r>
        <w:rPr>
          <w:rFonts w:ascii="宋体" w:hAnsi="宋体" w:cs="宋体" w:eastAsia="宋体" w:hint="default"/>
          <w:b/>
          <w:bCs/>
          <w:spacing w:val="2"/>
          <w:sz w:val="28"/>
          <w:szCs w:val="28"/>
        </w:rPr>
        <w:t>中</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公司未来发展的展望</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部</w:t>
      </w:r>
      <w:r>
        <w:rPr>
          <w:rFonts w:ascii="宋体" w:hAnsi="宋体" w:cs="宋体" w:eastAsia="宋体" w:hint="default"/>
          <w:b/>
          <w:bCs/>
          <w:w w:val="99"/>
          <w:sz w:val="28"/>
          <w:szCs w:val="28"/>
        </w:rPr>
        <w:t> </w:t>
      </w:r>
      <w:r>
        <w:rPr>
          <w:rFonts w:ascii="宋体" w:hAnsi="宋体" w:cs="宋体" w:eastAsia="宋体" w:hint="default"/>
          <w:b/>
          <w:bCs/>
          <w:spacing w:val="2"/>
          <w:sz w:val="28"/>
          <w:szCs w:val="28"/>
        </w:rPr>
        <w:t>分，详细描述了公司经营中可能存在的风险及应对措施，敬请投资者关注相关</w:t>
      </w:r>
      <w:r>
        <w:rPr>
          <w:rFonts w:ascii="宋体" w:hAnsi="宋体" w:cs="宋体" w:eastAsia="宋体" w:hint="default"/>
          <w:b/>
          <w:bCs/>
          <w:w w:val="99"/>
          <w:sz w:val="28"/>
          <w:szCs w:val="28"/>
        </w:rPr>
        <w:t> </w:t>
      </w:r>
      <w:r>
        <w:rPr>
          <w:rFonts w:ascii="宋体" w:hAnsi="宋体" w:cs="宋体" w:eastAsia="宋体" w:hint="default"/>
          <w:b/>
          <w:bCs/>
          <w:sz w:val="28"/>
          <w:szCs w:val="28"/>
        </w:rPr>
        <w:t>内容。</w:t>
      </w:r>
      <w:r>
        <w:rPr>
          <w:rFonts w:ascii="宋体" w:hAnsi="宋体" w:cs="宋体" w:eastAsia="宋体" w:hint="default"/>
          <w:sz w:val="28"/>
          <w:szCs w:val="28"/>
        </w:rPr>
      </w:r>
    </w:p>
    <w:p>
      <w:pPr>
        <w:spacing w:before="173"/>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180000000</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70"/>
          <w:sz w:val="28"/>
          <w:szCs w:val="28"/>
        </w:rPr>
        <w:t> </w:t>
      </w:r>
      <w:r>
        <w:rPr>
          <w:rFonts w:ascii="Times New Roman" w:hAnsi="Times New Roman" w:cs="Times New Roman" w:eastAsia="Times New Roman" w:hint="default"/>
          <w:b/>
          <w:bCs/>
          <w:spacing w:val="1"/>
          <w:w w:val="100"/>
          <w:sz w:val="28"/>
          <w:szCs w:val="28"/>
        </w:rPr>
        <w:t>0</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w w:val="100"/>
          <w:sz w:val="28"/>
          <w:szCs w:val="28"/>
        </w:rPr>
        <w:t>5</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，以资本</w:t>
      </w:r>
      <w:r>
        <w:rPr>
          <w:rFonts w:ascii="宋体" w:hAnsi="宋体" w:cs="宋体" w:eastAsia="宋体" w:hint="default"/>
          <w:sz w:val="28"/>
          <w:szCs w:val="28"/>
        </w:rPr>
      </w:r>
    </w:p>
    <w:p>
      <w:pPr>
        <w:spacing w:before="236"/>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headerReference w:type="default" r:id="rId9"/>
          <w:footerReference w:type="default" r:id="rId10"/>
          <w:pgSz w:w="11910" w:h="16840"/>
          <w:pgMar w:header="880" w:footer="977" w:top="1100" w:bottom="1160" w:left="98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line="460" w:lineRule="exact" w:before="0"/>
        <w:ind w:left="2116" w:right="309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85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可转换公司债券相关情况</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董事、监事、高级管理人员和员工情况</w:t>
            </w:r>
            <w:r>
              <w:rPr>
                <w:rFonts w:ascii="Times New Roman" w:hAnsi="Times New Roman" w:cs="Times New Roman" w:eastAsia="Times New Roman" w:hint="default"/>
              </w:rPr>
              <w:tab/>
              <w:t>92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公司治理</w:t>
            </w:r>
            <w:r>
              <w:rPr>
                <w:rFonts w:ascii="Times New Roman" w:hAnsi="Times New Roman" w:cs="Times New Roman" w:eastAsia="Times New Roman" w:hint="default"/>
              </w:rPr>
              <w:tab/>
              <w:t>93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公司债券相关情况</w:t>
            </w:r>
            <w:r>
              <w:rPr>
                <w:rFonts w:ascii="Times New Roman" w:hAnsi="Times New Roman" w:cs="Times New Roman" w:eastAsia="Times New Roman" w:hint="default"/>
              </w:rPr>
              <w:tab/>
              <w:t>107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18"/>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spacing w:val="-5"/>
              </w:rPr>
              <w:t>116</w:t>
            </w:r>
            <w:r>
              <w:rPr>
                <w:rFonts w:ascii="Times New Roman" w:hAnsi="Times New Roman" w:cs="Times New Roman" w:eastAsia="Times New Roman" w:hint="default"/>
                <w:b w:val="0"/>
                <w:bCs w:val="0"/>
                <w:spacing w:val="-5"/>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第十三节</w:t>
          </w:r>
          <w:r>
            <w:rPr>
              <w:spacing w:val="-19"/>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spacing w:val="-5"/>
            </w:rPr>
            <w:t>117</w:t>
          </w:r>
          <w:r>
            <w:rPr>
              <w:rFonts w:ascii="Times New Roman" w:hAnsi="Times New Roman" w:cs="Times New Roman" w:eastAsia="Times New Roman" w:hint="default"/>
              <w:b w:val="0"/>
              <w:bCs w:val="0"/>
              <w:spacing w:val="-5"/>
            </w:rPr>
          </w:r>
        </w:p>
      </w:sdtContent>
    </w:sdt>
    <w:p>
      <w:pPr>
        <w:spacing w:after="0" w:line="240" w:lineRule="auto"/>
        <w:jc w:val="left"/>
        <w:rPr>
          <w:rFonts w:ascii="Times New Roman" w:hAnsi="Times New Roman" w:cs="Times New Roman" w:eastAsia="Times New Roman" w:hint="default"/>
        </w:rPr>
        <w:sectPr>
          <w:pgSz w:w="11910" w:h="16840"/>
          <w:pgMar w:header="880" w:footer="977" w:top="1100" w:bottom="1160" w:left="980" w:right="0"/>
        </w:sectPr>
      </w:pPr>
    </w:p>
    <w:p>
      <w:pPr>
        <w:spacing w:before="893"/>
        <w:ind w:left="2114" w:right="309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3"/>
        <w:gridCol w:w="622"/>
        <w:gridCol w:w="5424"/>
      </w:tblGrid>
      <w:tr>
        <w:trPr>
          <w:trHeight w:val="398" w:hRule="exact"/>
        </w:trPr>
        <w:tc>
          <w:tcPr>
            <w:tcW w:w="35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中科信息、本集团、本公司、母公司、公司</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中科院成都信息技术股份有限公司</w:t>
            </w:r>
          </w:p>
        </w:tc>
      </w:tr>
      <w:tr>
        <w:trPr>
          <w:trHeight w:val="715"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国科控股</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中国科学院控股有限公司，曾用名</w:t>
            </w:r>
            <w:r>
              <w:rPr>
                <w:rFonts w:ascii="Times New Roman" w:hAnsi="Times New Roman" w:cs="Times New Roman" w:eastAsia="Times New Roman" w:hint="default"/>
                <w:sz w:val="18"/>
                <w:szCs w:val="18"/>
              </w:rPr>
              <w:t>“</w:t>
            </w:r>
            <w:r>
              <w:rPr>
                <w:rFonts w:ascii="宋体" w:hAnsi="宋体" w:cs="宋体" w:eastAsia="宋体" w:hint="default"/>
                <w:sz w:val="18"/>
                <w:szCs w:val="18"/>
              </w:rPr>
              <w:t>中国科学院国有资产经营有限责 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，中科信息控股股东</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中科院</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中国科学院</w:t>
            </w:r>
          </w:p>
        </w:tc>
      </w:tr>
      <w:tr>
        <w:trPr>
          <w:trHeight w:val="715"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成都计算所</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2"/>
                <w:sz w:val="18"/>
                <w:szCs w:val="18"/>
              </w:rPr>
              <w:t>中国科学院成都计算机应用研究所，为中科院成都信息技术股份有限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公司前身。</w:t>
            </w:r>
          </w:p>
        </w:tc>
      </w:tr>
      <w:tr>
        <w:trPr>
          <w:trHeight w:val="71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宇中咨询</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jc w:val="left"/>
              <w:rPr>
                <w:rFonts w:ascii="宋体" w:hAnsi="宋体" w:cs="宋体" w:eastAsia="宋体" w:hint="default"/>
                <w:sz w:val="18"/>
                <w:szCs w:val="18"/>
              </w:rPr>
            </w:pPr>
            <w:r>
              <w:rPr>
                <w:rFonts w:ascii="宋体" w:hAnsi="宋体" w:cs="宋体" w:eastAsia="宋体" w:hint="default"/>
                <w:spacing w:val="-4"/>
                <w:sz w:val="18"/>
                <w:szCs w:val="18"/>
              </w:rPr>
              <w:t>菏泽宇中企业管理咨询中心（有限合伙），曾用名</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成都宇中投资管理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中心（有限合伙）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，中科信息股东</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埃德凯森</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四川埃徳凯森科技有限公司，中科信息股东</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中科石油</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成都中科石油工程技术股份有限公司，中科信息控股子公司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成都中科</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成都中科信息技术有限公司，中科信息全资子公司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中科金华</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中科院金华信息技术有限公司，中科信息全资子公司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中钞科信</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深圳市中钞科信金融科技有限公司，中科信息对外投资企业</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瑞拓科技</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成都瑞拓科技股份有限公司，中科信息关联方</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人民币元，特别注明的除外</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2587"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算法</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
              <w:jc w:val="both"/>
              <w:rPr>
                <w:rFonts w:ascii="宋体" w:hAnsi="宋体" w:cs="宋体" w:eastAsia="宋体" w:hint="default"/>
                <w:sz w:val="18"/>
                <w:szCs w:val="18"/>
              </w:rPr>
            </w:pPr>
            <w:r>
              <w:rPr>
                <w:rFonts w:ascii="宋体" w:hAnsi="宋体" w:cs="宋体" w:eastAsia="宋体" w:hint="default"/>
                <w:spacing w:val="-3"/>
                <w:w w:val="99"/>
                <w:sz w:val="18"/>
                <w:szCs w:val="18"/>
              </w:rPr>
              <w:t>算法（</w:t>
            </w:r>
            <w:r>
              <w:rPr>
                <w:rFonts w:ascii="Times New Roman" w:hAnsi="Times New Roman" w:cs="Times New Roman" w:eastAsia="Times New Roman" w:hint="default"/>
                <w:spacing w:val="-3"/>
                <w:w w:val="99"/>
                <w:sz w:val="18"/>
                <w:szCs w:val="18"/>
              </w:rPr>
              <w:t>Algorithm</w:t>
            </w:r>
            <w:r>
              <w:rPr>
                <w:rFonts w:ascii="宋体" w:hAnsi="宋体" w:cs="宋体" w:eastAsia="宋体" w:hint="default"/>
                <w:spacing w:val="-3"/>
                <w:w w:val="99"/>
                <w:sz w:val="18"/>
                <w:szCs w:val="18"/>
              </w:rPr>
              <w:t>），一般是指求解某类计算、分析或推理问题的策略</w:t>
            </w:r>
            <w:r>
              <w:rPr>
                <w:rFonts w:ascii="宋体" w:hAnsi="宋体" w:cs="宋体" w:eastAsia="宋体" w:hint="default"/>
                <w:spacing w:val="-78"/>
                <w:w w:val="99"/>
                <w:sz w:val="18"/>
                <w:szCs w:val="18"/>
              </w:rPr>
              <w:t> </w:t>
            </w:r>
            <w:r>
              <w:rPr>
                <w:rFonts w:ascii="宋体" w:hAnsi="宋体" w:cs="宋体" w:eastAsia="宋体" w:hint="default"/>
                <w:spacing w:val="-78"/>
                <w:w w:val="99"/>
                <w:sz w:val="18"/>
                <w:szCs w:val="18"/>
              </w:rPr>
            </w:r>
            <w:r>
              <w:rPr>
                <w:rFonts w:ascii="宋体" w:hAnsi="宋体" w:cs="宋体" w:eastAsia="宋体" w:hint="default"/>
                <w:spacing w:val="-2"/>
                <w:sz w:val="18"/>
                <w:szCs w:val="18"/>
              </w:rPr>
              <w:t>机制，一般利用计算机技术，形成一系列解决问题的清晰指令，能够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对一定规范的输入，在有限时间内获得所要求的输出。一个算法的优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劣可以用空间复杂度与时间复杂度来衡量。针对问题的不同，可以有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很多算法，比如机器学习算法就是一类从数据中自动分析获得规律， </w:t>
            </w:r>
            <w:r>
              <w:rPr>
                <w:rFonts w:ascii="宋体" w:hAnsi="宋体" w:cs="宋体" w:eastAsia="宋体" w:hint="default"/>
                <w:spacing w:val="-2"/>
                <w:sz w:val="18"/>
                <w:szCs w:val="18"/>
              </w:rPr>
              <w:t>并利用规律对未知数据进行预测的算法。再比如模式识别算法就是通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过计算机用数学技术方法来研究客体模式（如视觉和听觉信息）的自</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动处理和判读。</w:t>
            </w:r>
          </w:p>
        </w:tc>
      </w:tr>
      <w:tr>
        <w:trPr>
          <w:trHeight w:val="1025"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计算机自动推理</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both"/>
              <w:rPr>
                <w:rFonts w:ascii="宋体" w:hAnsi="宋体" w:cs="宋体" w:eastAsia="宋体" w:hint="default"/>
                <w:sz w:val="18"/>
                <w:szCs w:val="18"/>
              </w:rPr>
            </w:pPr>
            <w:r>
              <w:rPr>
                <w:rFonts w:ascii="宋体" w:hAnsi="宋体" w:cs="宋体" w:eastAsia="宋体" w:hint="default"/>
                <w:spacing w:val="-2"/>
                <w:sz w:val="18"/>
                <w:szCs w:val="18"/>
              </w:rPr>
              <w:t>计算机自动推理是计算机科学的一个分支，属于人工智能学科研究的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一种，它的主要研究方向是利用计算机进行自动化的逻辑证明，其内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容一般可分为演绎推理和非演绎推理。</w:t>
            </w:r>
          </w:p>
        </w:tc>
      </w:tr>
      <w:tr>
        <w:trPr>
          <w:trHeight w:val="1027"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智能识别及分析技术</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both"/>
              <w:rPr>
                <w:rFonts w:ascii="宋体" w:hAnsi="宋体" w:cs="宋体" w:eastAsia="宋体" w:hint="default"/>
                <w:sz w:val="18"/>
                <w:szCs w:val="18"/>
              </w:rPr>
            </w:pPr>
            <w:r>
              <w:rPr>
                <w:rFonts w:ascii="宋体" w:hAnsi="宋体" w:cs="宋体" w:eastAsia="宋体" w:hint="default"/>
                <w:spacing w:val="-2"/>
                <w:sz w:val="18"/>
                <w:szCs w:val="18"/>
              </w:rPr>
              <w:t>智能识别及分析技术是面向智能化生产、服务与管理的应用计算机技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术，主要解决目标特征数据自动采集、海量数据归纳与分析、复杂图</w:t>
            </w:r>
            <w:r>
              <w:rPr>
                <w:rFonts w:ascii="宋体" w:hAnsi="宋体" w:cs="宋体" w:eastAsia="宋体" w:hint="default"/>
                <w:sz w:val="18"/>
                <w:szCs w:val="18"/>
              </w:rPr>
              <w:t> 像理解与机器学习问题。</w:t>
            </w:r>
          </w:p>
        </w:tc>
      </w:tr>
    </w:tbl>
    <w:p>
      <w:pPr>
        <w:spacing w:after="0" w:line="316" w:lineRule="auto"/>
        <w:jc w:val="both"/>
        <w:rPr>
          <w:rFonts w:ascii="宋体" w:hAnsi="宋体" w:cs="宋体" w:eastAsia="宋体" w:hint="default"/>
          <w:sz w:val="18"/>
          <w:szCs w:val="18"/>
        </w:rPr>
        <w:sectPr>
          <w:pgSz w:w="11910" w:h="16840"/>
          <w:pgMar w:header="880" w:footer="977" w:top="1100" w:bottom="1160" w:left="980" w:right="0"/>
        </w:sectPr>
      </w:pPr>
    </w:p>
    <w:p>
      <w:pPr>
        <w:spacing w:line="240" w:lineRule="auto" w:before="0"/>
        <w:rPr>
          <w:rFonts w:ascii="宋体" w:hAnsi="宋体" w:cs="宋体" w:eastAsia="宋体" w:hint="default"/>
          <w:b/>
          <w:bCs/>
          <w:sz w:val="20"/>
          <w:szCs w:val="20"/>
        </w:rPr>
      </w:pPr>
      <w:r>
        <w:rPr/>
        <w:pict>
          <v:shape style="position:absolute;margin-left:56.400002pt;margin-top:71.998985pt;width:479.2pt;height:685.1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133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机器视觉技术</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both"/>
                          <w:rPr>
                            <w:rFonts w:ascii="宋体" w:hAnsi="宋体" w:cs="宋体" w:eastAsia="宋体" w:hint="default"/>
                            <w:sz w:val="18"/>
                            <w:szCs w:val="18"/>
                          </w:rPr>
                        </w:pPr>
                        <w:r>
                          <w:rPr>
                            <w:rFonts w:ascii="宋体" w:hAnsi="宋体" w:cs="宋体" w:eastAsia="宋体" w:hint="default"/>
                            <w:spacing w:val="-2"/>
                            <w:sz w:val="18"/>
                            <w:szCs w:val="18"/>
                          </w:rPr>
                          <w:t>是一门涉及人工智能、神经生物学、心理物理学、计算机科学、图像</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处理、模式识别等诸多领域的交叉学科。机器视觉主要用计算机来模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拟人的视觉功能，从客观事物的图像中提取信息，进行处理并加以理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解，最终用于实际检测、测量和控制。</w:t>
                        </w:r>
                      </w:p>
                    </w:tc>
                  </w:tr>
                  <w:tr>
                    <w:trPr>
                      <w:trHeight w:val="196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0"/>
                          <w:jc w:val="both"/>
                          <w:rPr>
                            <w:rFonts w:ascii="宋体" w:hAnsi="宋体" w:cs="宋体" w:eastAsia="宋体" w:hint="default"/>
                            <w:sz w:val="18"/>
                            <w:szCs w:val="18"/>
                          </w:rPr>
                        </w:pPr>
                        <w:r>
                          <w:rPr>
                            <w:rFonts w:ascii="宋体" w:hAnsi="宋体" w:cs="宋体" w:eastAsia="宋体" w:hint="default"/>
                            <w:spacing w:val="-3"/>
                            <w:sz w:val="18"/>
                            <w:szCs w:val="18"/>
                          </w:rPr>
                          <w:t>通过各种信息传感设备，如传感器、射频识别（</w:t>
                        </w:r>
                        <w:r>
                          <w:rPr>
                            <w:rFonts w:ascii="Times New Roman" w:hAnsi="Times New Roman" w:cs="Times New Roman" w:eastAsia="Times New Roman" w:hint="default"/>
                            <w:spacing w:val="-3"/>
                            <w:sz w:val="18"/>
                            <w:szCs w:val="18"/>
                          </w:rPr>
                          <w:t>RFID</w:t>
                        </w:r>
                        <w:r>
                          <w:rPr>
                            <w:rFonts w:ascii="宋体" w:hAnsi="宋体" w:cs="宋体" w:eastAsia="宋体" w:hint="default"/>
                            <w:spacing w:val="-3"/>
                            <w:sz w:val="18"/>
                            <w:szCs w:val="18"/>
                          </w:rPr>
                          <w:t>）技术、全球定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位系统、红外感应器、激光扫描器、气体感应器等各种装置与技术， 实时采集任何需要监控、连接、互动的物体或过程，采集其声、光、 </w:t>
                        </w:r>
                        <w:r>
                          <w:rPr>
                            <w:rFonts w:ascii="宋体" w:hAnsi="宋体" w:cs="宋体" w:eastAsia="宋体" w:hint="default"/>
                            <w:spacing w:val="-2"/>
                            <w:sz w:val="18"/>
                            <w:szCs w:val="18"/>
                          </w:rPr>
                          <w:t>热、电、力学、化学、生物、位置等各种需要的信息，与互联网结合</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形成的一个巨大网络。其目的是实现物与物、物与人，所有的物品与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网络的连接，方便识别、管理和控制。</w:t>
                        </w:r>
                      </w:p>
                    </w:tc>
                  </w:tr>
                  <w:tr>
                    <w:trPr>
                      <w:trHeight w:val="227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虚拟仿真</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both"/>
                          <w:rPr>
                            <w:rFonts w:ascii="宋体" w:hAnsi="宋体" w:cs="宋体" w:eastAsia="宋体" w:hint="default"/>
                            <w:sz w:val="18"/>
                            <w:szCs w:val="18"/>
                          </w:rPr>
                        </w:pPr>
                        <w:r>
                          <w:rPr>
                            <w:rFonts w:ascii="宋体" w:hAnsi="宋体" w:cs="宋体" w:eastAsia="宋体" w:hint="default"/>
                            <w:spacing w:val="-1"/>
                            <w:sz w:val="18"/>
                            <w:szCs w:val="18"/>
                          </w:rPr>
                          <w:t>仿真</w:t>
                        </w:r>
                        <w:r>
                          <w:rPr>
                            <w:rFonts w:ascii="Times New Roman" w:hAnsi="Times New Roman" w:cs="Times New Roman" w:eastAsia="Times New Roman" w:hint="default"/>
                            <w:spacing w:val="-1"/>
                            <w:sz w:val="18"/>
                            <w:szCs w:val="18"/>
                          </w:rPr>
                          <w:t>(simulation)</w:t>
                        </w:r>
                        <w:r>
                          <w:rPr>
                            <w:rFonts w:ascii="宋体" w:hAnsi="宋体" w:cs="宋体" w:eastAsia="宋体" w:hint="default"/>
                            <w:spacing w:val="-1"/>
                            <w:sz w:val="18"/>
                            <w:szCs w:val="18"/>
                          </w:rPr>
                          <w:t>技术，或称为模拟技术，是用一个系统模仿另一个真</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实系统的技术，是一种可创建和体验虚拟世界</w:t>
                        </w:r>
                        <w:r>
                          <w:rPr>
                            <w:rFonts w:ascii="Times New Roman" w:hAnsi="Times New Roman" w:cs="Times New Roman" w:eastAsia="Times New Roman" w:hint="default"/>
                            <w:spacing w:val="-3"/>
                            <w:sz w:val="18"/>
                            <w:szCs w:val="18"/>
                          </w:rPr>
                          <w:t>(Virtual</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World)</w:t>
                        </w:r>
                        <w:r>
                          <w:rPr>
                            <w:rFonts w:ascii="宋体" w:hAnsi="宋体" w:cs="宋体" w:eastAsia="宋体" w:hint="default"/>
                            <w:sz w:val="18"/>
                            <w:szCs w:val="18"/>
                          </w:rPr>
                          <w:t>的计算机</w:t>
                        </w:r>
                        <w:r>
                          <w:rPr>
                            <w:rFonts w:ascii="宋体" w:hAnsi="宋体" w:cs="宋体" w:eastAsia="宋体" w:hint="default"/>
                            <w:w w:val="99"/>
                            <w:sz w:val="18"/>
                            <w:szCs w:val="18"/>
                          </w:rPr>
                          <w:t> </w:t>
                        </w:r>
                        <w:r>
                          <w:rPr>
                            <w:rFonts w:ascii="宋体" w:hAnsi="宋体" w:cs="宋体" w:eastAsia="宋体" w:hint="default"/>
                            <w:spacing w:val="-2"/>
                            <w:sz w:val="18"/>
                            <w:szCs w:val="18"/>
                          </w:rPr>
                          <w:t>系统。是计算机技术、计算机图形学、计算机视觉、视觉生理学、视</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觉心理学、仿真技术、微电子技术、多媒体技术、信息技术、立体显</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示技术、传感与测量技术、软件工程、语音识别与合成技术、人机接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口技术、网络技术及人工智能技术等多种高新技术集成之结晶。其逼</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真性和实时交互性为系统仿真技术提供有力的支撑。</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SCADA</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10"/>
                          <w:jc w:val="both"/>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Supervisory</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Control</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And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Data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Acquisition</w:t>
                        </w:r>
                        <w:r>
                          <w:rPr>
                            <w:rFonts w:ascii="Times New Roman" w:hAnsi="Times New Roman" w:cs="Times New Roman" w:eastAsia="Times New Roman" w:hint="default"/>
                            <w:w w:val="99"/>
                            <w:sz w:val="18"/>
                            <w:szCs w:val="18"/>
                          </w:rPr>
                          <w:t> </w:t>
                        </w:r>
                        <w:r>
                          <w:rPr>
                            <w:rFonts w:ascii="宋体" w:hAnsi="宋体" w:cs="宋体" w:eastAsia="宋体" w:hint="default"/>
                            <w:spacing w:val="-7"/>
                            <w:sz w:val="18"/>
                            <w:szCs w:val="18"/>
                          </w:rPr>
                          <w:t>系统，即数据采集与监视控制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系统，应用领域很广，可以应用于电力、冶金、石油、化工、燃气、 铁路等领域的数据采集与监视控制以及过程控制等诸多领域。</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CNG</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0"/>
                          <w:jc w:val="both"/>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Supervisory</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Control</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And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Data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Acquisition</w:t>
                        </w:r>
                        <w:r>
                          <w:rPr>
                            <w:rFonts w:ascii="Times New Roman" w:hAnsi="Times New Roman" w:cs="Times New Roman" w:eastAsia="Times New Roman" w:hint="default"/>
                            <w:w w:val="99"/>
                            <w:sz w:val="18"/>
                            <w:szCs w:val="18"/>
                          </w:rPr>
                          <w:t> </w:t>
                        </w:r>
                        <w:r>
                          <w:rPr>
                            <w:rFonts w:ascii="宋体" w:hAnsi="宋体" w:cs="宋体" w:eastAsia="宋体" w:hint="default"/>
                            <w:spacing w:val="-7"/>
                            <w:sz w:val="18"/>
                            <w:szCs w:val="18"/>
                          </w:rPr>
                          <w:t>系统，即数据采集与监视控制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系统，应用领域很广，可以应用于电力、冶金、石油、化工、燃气、 铁路等领域的数据采集与监视控制以及过程控制等诸多领域。</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LNG</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液化天然气。</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RFID</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Radio Frequency</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Identification</w:t>
                        </w:r>
                        <w:r>
                          <w:rPr>
                            <w:rFonts w:ascii="宋体" w:hAnsi="宋体" w:cs="宋体" w:eastAsia="宋体" w:hint="default"/>
                            <w:sz w:val="18"/>
                            <w:szCs w:val="18"/>
                          </w:rPr>
                          <w:t>，又称无线射频识别，是一种通信技术</w:t>
                        </w:r>
                        <w:r>
                          <w:rPr>
                            <w:rFonts w:ascii="宋体" w:hAnsi="宋体" w:cs="宋体" w:eastAsia="宋体" w:hint="default"/>
                            <w:w w:val="99"/>
                            <w:sz w:val="18"/>
                            <w:szCs w:val="18"/>
                          </w:rPr>
                          <w:t> </w:t>
                        </w:r>
                        <w:r>
                          <w:rPr>
                            <w:rFonts w:ascii="宋体" w:hAnsi="宋体" w:cs="宋体" w:eastAsia="宋体" w:hint="default"/>
                            <w:spacing w:val="-2"/>
                            <w:sz w:val="18"/>
                            <w:szCs w:val="18"/>
                          </w:rPr>
                          <w:t>可通过无线电讯号识别特定目标并读写相关数据，而无需识别系统与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特定目标之间建立机械或光学接触。</w:t>
                        </w:r>
                      </w:p>
                    </w:tc>
                  </w:tr>
                  <w:tr>
                    <w:trPr>
                      <w:trHeight w:val="321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CMMI</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是能力成熟度模型</w:t>
                        </w:r>
                        <w:r>
                          <w:rPr>
                            <w:rFonts w:ascii="Times New Roman" w:hAnsi="Times New Roman" w:cs="Times New Roman" w:eastAsia="Times New Roman" w:hint="default"/>
                            <w:sz w:val="18"/>
                            <w:szCs w:val="18"/>
                          </w:rPr>
                          <w:t>(Capability Maturity Model)</w:t>
                        </w:r>
                        <w:r>
                          <w:rPr>
                            <w:rFonts w:ascii="宋体" w:hAnsi="宋体" w:cs="宋体" w:eastAsia="宋体" w:hint="default"/>
                            <w:sz w:val="18"/>
                            <w:szCs w:val="18"/>
                          </w:rPr>
                          <w:t>的缩写，</w:t>
                        </w:r>
                        <w:r>
                          <w:rPr>
                            <w:rFonts w:ascii="Times New Roman" w:hAnsi="Times New Roman" w:cs="Times New Roman" w:eastAsia="Times New Roman" w:hint="default"/>
                            <w:sz w:val="18"/>
                            <w:szCs w:val="18"/>
                          </w:rPr>
                          <w:t>CMM</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模型从</w:t>
                        </w:r>
                      </w:p>
                      <w:p>
                        <w:pPr>
                          <w:pStyle w:val="TableParagraph"/>
                          <w:spacing w:line="312" w:lineRule="auto" w:before="60"/>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分为不同的等级，按照软件过程能力将一个组织定位于不同的成 </w:t>
                        </w:r>
                        <w:r>
                          <w:rPr>
                            <w:rFonts w:ascii="宋体" w:hAnsi="宋体" w:cs="宋体" w:eastAsia="宋体" w:hint="default"/>
                            <w:spacing w:val="-2"/>
                            <w:sz w:val="18"/>
                            <w:szCs w:val="18"/>
                          </w:rPr>
                          <w:t>熟度等级。其重要思想是帮助一个组织通过基于模型的软件过程改进</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而达到使其软件过程向更高的能力成熟度等级迈进的目标。在这个过</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程中一个组织必须建立自己的软件过程，并依据</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CMM</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模型要求对此 </w:t>
                        </w:r>
                        <w:r>
                          <w:rPr>
                            <w:rFonts w:ascii="宋体" w:hAnsi="宋体" w:cs="宋体" w:eastAsia="宋体" w:hint="default"/>
                            <w:spacing w:val="-2"/>
                            <w:sz w:val="18"/>
                            <w:szCs w:val="18"/>
                          </w:rPr>
                          <w:t>过程进行评估，针对评估结果来进一步改进自己的软件过程，再次评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估自己的软件过程以期达到更高的成熟度等级或防止自己的过程能 力退化。如此循环最终使一个组织的软件过程能力趋于高度的成熟。 通过</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CMM</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认证的级别越高，其越容易获得用户的信任，在国内、国 际市场上的竞争力也就越强。</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2"/>
                          <w:jc w:val="both"/>
                          <w:rPr>
                            <w:rFonts w:ascii="宋体" w:hAnsi="宋体" w:cs="宋体" w:eastAsia="宋体" w:hint="default"/>
                            <w:sz w:val="18"/>
                            <w:szCs w:val="18"/>
                          </w:rPr>
                        </w:pPr>
                        <w:r>
                          <w:rPr>
                            <w:rFonts w:ascii="宋体" w:hAnsi="宋体" w:cs="宋体" w:eastAsia="宋体" w:hint="default"/>
                            <w:sz w:val="18"/>
                            <w:szCs w:val="18"/>
                          </w:rPr>
                          <w:t>大数据</w:t>
                        </w:r>
                        <w:r>
                          <w:rPr>
                            <w:rFonts w:ascii="Times New Roman" w:hAnsi="Times New Roman" w:cs="Times New Roman" w:eastAsia="Times New Roman" w:hint="default"/>
                            <w:sz w:val="18"/>
                            <w:szCs w:val="18"/>
                          </w:rPr>
                          <w:t>(big data,mega</w:t>
                        </w:r>
                        <w:r>
                          <w:rPr>
                            <w:rFonts w:ascii="Times New Roman" w:hAnsi="Times New Roman" w:cs="Times New Roman" w:eastAsia="Times New Roman" w:hint="default"/>
                            <w:spacing w:val="-3"/>
                            <w:sz w:val="18"/>
                            <w:szCs w:val="18"/>
                          </w:rPr>
                          <w:t> data)</w:t>
                        </w:r>
                        <w:r>
                          <w:rPr>
                            <w:rFonts w:ascii="宋体" w:hAnsi="宋体" w:cs="宋体" w:eastAsia="宋体" w:hint="default"/>
                            <w:spacing w:val="-3"/>
                            <w:sz w:val="18"/>
                            <w:szCs w:val="18"/>
                          </w:rPr>
                          <w:t>或称巨量资料，指的是需要新处理模式才能</w:t>
                        </w:r>
                        <w:r>
                          <w:rPr>
                            <w:rFonts w:ascii="宋体" w:hAnsi="宋体" w:cs="宋体" w:eastAsia="宋体" w:hint="default"/>
                            <w:sz w:val="18"/>
                            <w:szCs w:val="18"/>
                          </w:rPr>
                          <w:t> </w:t>
                        </w:r>
                        <w:r>
                          <w:rPr>
                            <w:rFonts w:ascii="宋体" w:hAnsi="宋体" w:cs="宋体" w:eastAsia="宋体" w:hint="default"/>
                            <w:spacing w:val="-2"/>
                            <w:sz w:val="18"/>
                            <w:szCs w:val="18"/>
                          </w:rPr>
                          <w:t>具有更强的决策力、洞察力和流程优化能力的海量、高增长率和多样</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化的信息资产。</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云计算（</w:t>
                        </w:r>
                        <w:r>
                          <w:rPr>
                            <w:rFonts w:ascii="Times New Roman" w:hAnsi="Times New Roman" w:cs="Times New Roman" w:eastAsia="Times New Roman" w:hint="default"/>
                            <w:spacing w:val="-6"/>
                            <w:sz w:val="18"/>
                            <w:szCs w:val="18"/>
                          </w:rPr>
                          <w:t>cloud</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pacing w:val="-4"/>
                            <w:sz w:val="18"/>
                            <w:szCs w:val="18"/>
                          </w:rPr>
                          <w:t>computing</w:t>
                        </w:r>
                        <w:r>
                          <w:rPr>
                            <w:rFonts w:ascii="宋体" w:hAnsi="宋体" w:cs="宋体" w:eastAsia="宋体" w:hint="default"/>
                            <w:spacing w:val="-4"/>
                            <w:sz w:val="18"/>
                            <w:szCs w:val="18"/>
                          </w:rPr>
                          <w:t>）是分布式计算的一种，指的是通过网络</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云</w:t>
                        </w:r>
                        <w:r>
                          <w:rPr>
                            <w:rFonts w:ascii="Times New Roman" w:hAnsi="Times New Roman" w:cs="Times New Roman" w:eastAsia="Times New Roman" w:hint="default"/>
                            <w:spacing w:val="-4"/>
                            <w:sz w:val="18"/>
                            <w:szCs w:val="18"/>
                          </w:rPr>
                          <w:t>”</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80" w:footer="977"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before="44"/>
        <w:ind w:left="0" w:right="1138" w:firstLine="0"/>
        <w:jc w:val="right"/>
        <w:rPr>
          <w:rFonts w:ascii="宋体" w:hAnsi="宋体" w:cs="宋体" w:eastAsia="宋体" w:hint="default"/>
          <w:sz w:val="18"/>
          <w:szCs w:val="18"/>
        </w:rPr>
      </w:pPr>
      <w:r>
        <w:rPr/>
        <w:pict>
          <v:shape style="position:absolute;margin-left:56.400002pt;margin-top:-195.009262pt;width:479.2pt;height:328.4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1922"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0"/>
                          <w:jc w:val="both"/>
                          <w:rPr>
                            <w:rFonts w:ascii="宋体" w:hAnsi="宋体" w:cs="宋体" w:eastAsia="宋体" w:hint="default"/>
                            <w:sz w:val="18"/>
                            <w:szCs w:val="18"/>
                          </w:rPr>
                        </w:pPr>
                        <w:r>
                          <w:rPr>
                            <w:rFonts w:ascii="宋体" w:hAnsi="宋体" w:cs="宋体" w:eastAsia="宋体" w:hint="default"/>
                            <w:spacing w:val="-2"/>
                            <w:sz w:val="18"/>
                            <w:szCs w:val="18"/>
                          </w:rPr>
                          <w:t>将巨大的数据计算处理程序分解成无数个小程序，然后，通过多部服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务器组成的系统进行处理和分析这些小程序得到结果并返回给用户。 </w:t>
                        </w:r>
                        <w:r>
                          <w:rPr>
                            <w:rFonts w:ascii="宋体" w:hAnsi="宋体" w:cs="宋体" w:eastAsia="宋体" w:hint="default"/>
                            <w:spacing w:val="-2"/>
                            <w:sz w:val="18"/>
                            <w:szCs w:val="18"/>
                          </w:rPr>
                          <w:t>云计算不是一种全新的网络技术，而是一种全新的网络应用概念，云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计算的核心概念就是以互联网为中心，在网站上提供快速且安全的云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计算服务与数据存储，让每一个使用互联网的人都可以使用网络上的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庞大计算资源与数据中心。</w:t>
                        </w:r>
                      </w:p>
                    </w:tc>
                  </w:tr>
                  <w:tr>
                    <w:trPr>
                      <w:trHeight w:val="133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GIS</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7"/>
                          <w:jc w:val="left"/>
                          <w:rPr>
                            <w:rFonts w:ascii="宋体" w:hAnsi="宋体" w:cs="宋体" w:eastAsia="宋体" w:hint="default"/>
                            <w:sz w:val="18"/>
                            <w:szCs w:val="18"/>
                          </w:rPr>
                        </w:pPr>
                        <w:r>
                          <w:rPr>
                            <w:rFonts w:ascii="宋体" w:hAnsi="宋体" w:cs="宋体" w:eastAsia="宋体" w:hint="default"/>
                            <w:spacing w:val="-1"/>
                            <w:w w:val="99"/>
                            <w:sz w:val="18"/>
                            <w:szCs w:val="18"/>
                          </w:rPr>
                          <w:t>地理信息系统（</w:t>
                        </w:r>
                        <w:r>
                          <w:rPr>
                            <w:rFonts w:ascii="Times New Roman" w:hAnsi="Times New Roman" w:cs="Times New Roman" w:eastAsia="Times New Roman" w:hint="default"/>
                            <w:spacing w:val="-1"/>
                            <w:w w:val="99"/>
                            <w:sz w:val="18"/>
                            <w:szCs w:val="18"/>
                          </w:rPr>
                          <w:t>Geographic</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sz w:val="18"/>
                            <w:szCs w:val="18"/>
                          </w:rPr>
                          <w:t>Information</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7"/>
                            <w:w w:val="99"/>
                            <w:sz w:val="18"/>
                            <w:szCs w:val="18"/>
                          </w:rPr>
                          <w:t>System</w:t>
                        </w:r>
                        <w:r>
                          <w:rPr>
                            <w:rFonts w:ascii="宋体" w:hAnsi="宋体" w:cs="宋体" w:eastAsia="宋体" w:hint="default"/>
                            <w:spacing w:val="-7"/>
                            <w:w w:val="99"/>
                            <w:sz w:val="18"/>
                            <w:szCs w:val="18"/>
                          </w:rPr>
                          <w:t>），是以地理空间数据</w:t>
                        </w:r>
                        <w:r>
                          <w:rPr>
                            <w:rFonts w:ascii="宋体" w:hAnsi="宋体" w:cs="宋体" w:eastAsia="宋体" w:hint="default"/>
                            <w:spacing w:val="-50"/>
                            <w:w w:val="99"/>
                            <w:sz w:val="18"/>
                            <w:szCs w:val="18"/>
                          </w:rPr>
                          <w:t> </w:t>
                        </w:r>
                        <w:r>
                          <w:rPr>
                            <w:rFonts w:ascii="宋体" w:hAnsi="宋体" w:cs="宋体" w:eastAsia="宋体" w:hint="default"/>
                            <w:spacing w:val="-50"/>
                            <w:w w:val="99"/>
                            <w:sz w:val="18"/>
                            <w:szCs w:val="18"/>
                          </w:rPr>
                        </w:r>
                        <w:r>
                          <w:rPr>
                            <w:rFonts w:ascii="宋体" w:hAnsi="宋体" w:cs="宋体" w:eastAsia="宋体" w:hint="default"/>
                            <w:spacing w:val="-2"/>
                            <w:sz w:val="18"/>
                            <w:szCs w:val="18"/>
                          </w:rPr>
                          <w:t>库为基础，在计算机软硬件的支持下，运用系统工程和信息科学的理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论，科学管理和综合分析具有空间内涵的地理数据，以提供管理、决</w:t>
                        </w:r>
                        <w:r>
                          <w:rPr>
                            <w:rFonts w:ascii="宋体" w:hAnsi="宋体" w:cs="宋体" w:eastAsia="宋体" w:hint="default"/>
                            <w:sz w:val="18"/>
                            <w:szCs w:val="18"/>
                          </w:rPr>
                          <w:t> 策等所需信息的技术系统。</w:t>
                        </w:r>
                      </w:p>
                    </w:tc>
                  </w:tr>
                  <w:tr>
                    <w:trPr>
                      <w:trHeight w:val="165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5G</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第五代移动通信技术（英语：</w:t>
                        </w:r>
                        <w:r>
                          <w:rPr>
                            <w:rFonts w:ascii="Times New Roman" w:hAnsi="Times New Roman" w:cs="Times New Roman" w:eastAsia="Times New Roman" w:hint="default"/>
                            <w:sz w:val="18"/>
                            <w:szCs w:val="18"/>
                          </w:rPr>
                          <w:t>5th generation mobile networks </w:t>
                        </w:r>
                        <w:r>
                          <w:rPr>
                            <w:rFonts w:ascii="宋体" w:hAnsi="宋体" w:cs="宋体" w:eastAsia="宋体" w:hint="default"/>
                            <w:sz w:val="18"/>
                            <w:szCs w:val="18"/>
                          </w:rPr>
                          <w:t>或</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5th generation</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wireless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systems</w:t>
                        </w:r>
                        <w:r>
                          <w:rPr>
                            <w:rFonts w:ascii="宋体" w:hAnsi="宋体" w:cs="宋体" w:eastAsia="宋体" w:hint="default"/>
                            <w:sz w:val="18"/>
                            <w:szCs w:val="18"/>
                          </w:rPr>
                          <w:t>、</w:t>
                        </w:r>
                        <w:r>
                          <w:rPr>
                            <w:rFonts w:ascii="Times New Roman" w:hAnsi="Times New Roman" w:cs="Times New Roman" w:eastAsia="Times New Roman" w:hint="default"/>
                            <w:sz w:val="18"/>
                            <w:szCs w:val="18"/>
                          </w:rPr>
                          <w:t>5th-Generation</w:t>
                        </w:r>
                        <w:r>
                          <w:rPr>
                            <w:rFonts w:ascii="宋体" w:hAnsi="宋体" w:cs="宋体" w:eastAsia="宋体" w:hint="default"/>
                            <w:sz w:val="18"/>
                            <w:szCs w:val="18"/>
                          </w:rPr>
                          <w:t>，简称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技术）是 </w:t>
                        </w:r>
                        <w:r>
                          <w:rPr>
                            <w:rFonts w:ascii="宋体" w:hAnsi="宋体" w:cs="宋体" w:eastAsia="宋体" w:hint="default"/>
                            <w:spacing w:val="-6"/>
                            <w:sz w:val="18"/>
                            <w:szCs w:val="18"/>
                          </w:rPr>
                          <w:t>最新一代蜂窝移动通信技术，也是即</w:t>
                        </w:r>
                        <w:r>
                          <w:rPr>
                            <w:rFonts w:ascii="宋体" w:hAnsi="宋体" w:cs="宋体" w:eastAsia="宋体" w:hint="default"/>
                            <w:spacing w:val="-42"/>
                            <w:sz w:val="18"/>
                            <w:szCs w:val="18"/>
                          </w:rPr>
                          <w:t> </w:t>
                        </w:r>
                        <w:r>
                          <w:rPr>
                            <w:rFonts w:ascii="Times New Roman" w:hAnsi="Times New Roman" w:cs="Times New Roman" w:eastAsia="Times New Roman" w:hint="default"/>
                            <w:spacing w:val="-21"/>
                            <w:w w:val="99"/>
                            <w:sz w:val="18"/>
                            <w:szCs w:val="18"/>
                          </w:rPr>
                          <w:t>4G</w:t>
                        </w:r>
                        <w:r>
                          <w:rPr>
                            <w:rFonts w:ascii="宋体" w:hAnsi="宋体" w:cs="宋体" w:eastAsia="宋体" w:hint="default"/>
                            <w:spacing w:val="-21"/>
                            <w:w w:val="99"/>
                            <w:sz w:val="18"/>
                            <w:szCs w:val="18"/>
                          </w:rPr>
                          <w:t>（</w:t>
                        </w:r>
                        <w:r>
                          <w:rPr>
                            <w:rFonts w:ascii="Times New Roman" w:hAnsi="Times New Roman" w:cs="Times New Roman" w:eastAsia="Times New Roman" w:hint="default"/>
                            <w:spacing w:val="-21"/>
                            <w:w w:val="99"/>
                            <w:sz w:val="18"/>
                            <w:szCs w:val="18"/>
                          </w:rPr>
                          <w:t>LTE-A</w:t>
                        </w:r>
                        <w:r>
                          <w:rPr>
                            <w:rFonts w:ascii="宋体" w:hAnsi="宋体" w:cs="宋体" w:eastAsia="宋体" w:hint="default"/>
                            <w:spacing w:val="-21"/>
                            <w:w w:val="99"/>
                            <w:sz w:val="18"/>
                            <w:szCs w:val="18"/>
                          </w:rPr>
                          <w:t>、</w:t>
                        </w:r>
                        <w:r>
                          <w:rPr>
                            <w:rFonts w:ascii="Times New Roman" w:hAnsi="Times New Roman" w:cs="Times New Roman" w:eastAsia="Times New Roman" w:hint="default"/>
                            <w:spacing w:val="-21"/>
                            <w:w w:val="99"/>
                            <w:sz w:val="18"/>
                            <w:szCs w:val="18"/>
                          </w:rPr>
                          <w:t>WiMax</w:t>
                        </w:r>
                        <w:r>
                          <w:rPr>
                            <w:rFonts w:ascii="宋体" w:hAnsi="宋体" w:cs="宋体" w:eastAsia="宋体" w:hint="default"/>
                            <w:spacing w:val="-21"/>
                            <w:w w:val="99"/>
                            <w:sz w:val="18"/>
                            <w:szCs w:val="18"/>
                          </w:rPr>
                          <w:t>）、</w:t>
                        </w:r>
                        <w:r>
                          <w:rPr>
                            <w:rFonts w:ascii="Times New Roman" w:hAnsi="Times New Roman" w:cs="Times New Roman" w:eastAsia="Times New Roman" w:hint="default"/>
                            <w:spacing w:val="-21"/>
                            <w:w w:val="99"/>
                            <w:sz w:val="18"/>
                            <w:szCs w:val="18"/>
                          </w:rPr>
                          <w:t>3G</w:t>
                        </w:r>
                        <w:r>
                          <w:rPr>
                            <w:rFonts w:ascii="宋体" w:hAnsi="宋体" w:cs="宋体" w:eastAsia="宋体" w:hint="default"/>
                            <w:spacing w:val="-21"/>
                            <w:w w:val="99"/>
                            <w:sz w:val="18"/>
                            <w:szCs w:val="18"/>
                          </w:rPr>
                          <w:t>（</w:t>
                        </w:r>
                        <w:r>
                          <w:rPr>
                            <w:rFonts w:ascii="Times New Roman" w:hAnsi="Times New Roman" w:cs="Times New Roman" w:eastAsia="Times New Roman" w:hint="default"/>
                            <w:spacing w:val="-21"/>
                            <w:w w:val="99"/>
                            <w:sz w:val="18"/>
                            <w:szCs w:val="18"/>
                          </w:rPr>
                          <w:t>UMTS</w:t>
                        </w:r>
                        <w:r>
                          <w:rPr>
                            <w:rFonts w:ascii="Times New Roman" w:hAnsi="Times New Roman" w:cs="Times New Roman" w:eastAsia="Times New Roman" w:hint="default"/>
                            <w:spacing w:val="-35"/>
                            <w:w w:val="99"/>
                            <w:sz w:val="18"/>
                            <w:szCs w:val="18"/>
                          </w:rPr>
                          <w:t> </w:t>
                        </w:r>
                        <w:r>
                          <w:rPr>
                            <w:rFonts w:ascii="Times New Roman" w:hAnsi="Times New Roman" w:cs="Times New Roman" w:eastAsia="Times New Roman" w:hint="default"/>
                            <w:spacing w:val="-35"/>
                            <w:w w:val="99"/>
                            <w:sz w:val="18"/>
                            <w:szCs w:val="18"/>
                          </w:rPr>
                        </w:r>
                        <w:r>
                          <w:rPr>
                            <w:rFonts w:ascii="Times New Roman" w:hAnsi="Times New Roman" w:cs="Times New Roman" w:eastAsia="Times New Roman" w:hint="default"/>
                            <w:spacing w:val="-9"/>
                            <w:sz w:val="18"/>
                            <w:szCs w:val="18"/>
                          </w:rPr>
                          <w:t>LTE</w:t>
                        </w:r>
                        <w:r>
                          <w:rPr>
                            <w:rFonts w:ascii="宋体" w:hAnsi="宋体" w:cs="宋体" w:eastAsia="宋体" w:hint="default"/>
                            <w:spacing w:val="-9"/>
                            <w:sz w:val="18"/>
                            <w:szCs w:val="18"/>
                          </w:rPr>
                          <w:t>）和</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2G</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GSM</w:t>
                        </w:r>
                        <w:r>
                          <w:rPr>
                            <w:rFonts w:ascii="宋体" w:hAnsi="宋体" w:cs="宋体" w:eastAsia="宋体" w:hint="default"/>
                            <w:spacing w:val="-5"/>
                            <w:sz w:val="18"/>
                            <w:szCs w:val="18"/>
                          </w:rPr>
                          <w:t>）系统之后的延伸。</w:t>
                        </w:r>
                        <w:r>
                          <w:rPr>
                            <w:rFonts w:ascii="Times New Roman" w:hAnsi="Times New Roman" w:cs="Times New Roman" w:eastAsia="Times New Roman" w:hint="default"/>
                            <w:spacing w:val="-5"/>
                            <w:sz w:val="18"/>
                            <w:szCs w:val="18"/>
                          </w:rPr>
                          <w:t>5G</w:t>
                        </w:r>
                        <w:r>
                          <w:rPr>
                            <w:rFonts w:ascii="Times New Roman" w:hAnsi="Times New Roman" w:cs="Times New Roman" w:eastAsia="Times New Roman" w:hint="default"/>
                            <w:sz w:val="18"/>
                            <w:szCs w:val="18"/>
                          </w:rPr>
                          <w:t> </w:t>
                        </w:r>
                        <w:r>
                          <w:rPr>
                            <w:rFonts w:ascii="宋体" w:hAnsi="宋体" w:cs="宋体" w:eastAsia="宋体" w:hint="default"/>
                            <w:sz w:val="18"/>
                            <w:szCs w:val="18"/>
                          </w:rPr>
                          <w:t>的性能目标是高数据速率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减少延迟、节省能源、降低成本、提高系统容量和大规模设备连接。</w:t>
                        </w:r>
                      </w:p>
                    </w:tc>
                  </w:tr>
                  <w:tr>
                    <w:trPr>
                      <w:trHeight w:val="164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区块链</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both"/>
                          <w:rPr>
                            <w:rFonts w:ascii="宋体" w:hAnsi="宋体" w:cs="宋体" w:eastAsia="宋体" w:hint="default"/>
                            <w:sz w:val="18"/>
                            <w:szCs w:val="18"/>
                          </w:rPr>
                        </w:pPr>
                        <w:r>
                          <w:rPr>
                            <w:rFonts w:ascii="宋体" w:hAnsi="宋体" w:cs="宋体" w:eastAsia="宋体" w:hint="default"/>
                            <w:sz w:val="18"/>
                            <w:szCs w:val="18"/>
                          </w:rPr>
                          <w:t>区块链（</w:t>
                        </w:r>
                        <w:r>
                          <w:rPr>
                            <w:rFonts w:ascii="Times New Roman" w:hAnsi="Times New Roman" w:cs="Times New Roman" w:eastAsia="Times New Roman" w:hint="default"/>
                            <w:sz w:val="18"/>
                            <w:szCs w:val="18"/>
                          </w:rPr>
                          <w:t>Blockchain</w:t>
                        </w:r>
                        <w:r>
                          <w:rPr>
                            <w:rFonts w:ascii="宋体" w:hAnsi="宋体" w:cs="宋体" w:eastAsia="宋体" w:hint="default"/>
                            <w:sz w:val="18"/>
                            <w:szCs w:val="18"/>
                          </w:rPr>
                          <w:t>）本质上是一个去中心化的数据库，同时作为比 </w:t>
                        </w:r>
                        <w:r>
                          <w:rPr>
                            <w:rFonts w:ascii="宋体" w:hAnsi="宋体" w:cs="宋体" w:eastAsia="宋体" w:hint="default"/>
                            <w:spacing w:val="-2"/>
                            <w:sz w:val="18"/>
                            <w:szCs w:val="18"/>
                          </w:rPr>
                          <w:t>特币的底层技术，是一串使用密码学方法相关联产生的数据块，每一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个数据块中包含了一批次比特币网络交易的信息，用于验证其信息的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有效性（防伪）和生成下一个区块。它是分布式数据存储、点对点传</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输、共识机制、加密算法等计算机技术的新型应用模式。</w:t>
                        </w:r>
                      </w:p>
                    </w:tc>
                  </w:tr>
                </w:tbl>
                <w:p>
                  <w:pPr/>
                </w:p>
              </w:txbxContent>
            </v:textbox>
            <w10:wrap type="none"/>
          </v:shape>
        </w:pict>
      </w:r>
      <w:r>
        <w:rPr>
          <w:rFonts w:ascii="宋体" w:hAnsi="宋体" w:cs="宋体" w:eastAsia="宋体" w:hint="default"/>
          <w:sz w:val="18"/>
          <w:szCs w:val="18"/>
        </w:rPr>
        <w:t>、</w:t>
      </w:r>
    </w:p>
    <w:p>
      <w:pPr>
        <w:spacing w:before="76"/>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80" w:footer="977"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2723" w:right="0"/>
        <w:jc w:val="left"/>
        <w:rPr>
          <w:b w:val="0"/>
          <w:bCs w:val="0"/>
        </w:rPr>
      </w:pPr>
      <w:bookmarkStart w:name="_TOC_250010" w:id="3"/>
      <w:bookmarkStart w:name="第二节公司简介和主要财务指标" w:id="4"/>
      <w:r>
        <w:rPr>
          <w:b w:val="0"/>
          <w:bCs w:val="0"/>
        </w:rPr>
      </w:r>
      <w:r>
        <w:rPr/>
        <w:t>第二节公司简介和主要财务指标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pict>
          <v:shape style="position:absolute;margin-left:138pt;margin-top:114.555626pt;width:396.85pt;height:19.7pt;mso-position-horizontal-relative:page;mso-position-vertical-relative:paragraph;z-index:-98677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bookmarkStart w:name="一、公司信息" w:id="5"/>
      <w:bookmarkEnd w:id="5"/>
      <w:r>
        <w:rPr>
          <w:b w:val="0"/>
          <w:bCs w:val="0"/>
        </w:rPr>
      </w:r>
      <w:r>
        <w:rPr/>
        <w:t>一、公司信息</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中科信息</w:t>
            </w:r>
          </w:p>
        </w:tc>
        <w:tc>
          <w:tcPr>
            <w:tcW w:w="21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300678</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中科院成都信息技术股份有限公司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中科信息</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Chengdu</w:t>
            </w:r>
            <w:r>
              <w:rPr>
                <w:rFonts w:ascii="Times New Roman"/>
                <w:spacing w:val="-4"/>
                <w:sz w:val="18"/>
              </w:rPr>
              <w:t> </w:t>
            </w:r>
            <w:r>
              <w:rPr>
                <w:rFonts w:ascii="Times New Roman"/>
                <w:sz w:val="18"/>
              </w:rPr>
              <w:t>Information</w:t>
            </w:r>
            <w:r>
              <w:rPr>
                <w:rFonts w:ascii="Times New Roman"/>
                <w:spacing w:val="-7"/>
                <w:sz w:val="18"/>
              </w:rPr>
              <w:t> </w:t>
            </w:r>
            <w:r>
              <w:rPr>
                <w:rFonts w:ascii="Times New Roman"/>
                <w:sz w:val="18"/>
              </w:rPr>
              <w:t>Technology</w:t>
            </w:r>
            <w:r>
              <w:rPr>
                <w:rFonts w:ascii="Times New Roman"/>
                <w:spacing w:val="-6"/>
                <w:sz w:val="18"/>
              </w:rPr>
              <w:t> </w:t>
            </w:r>
            <w:r>
              <w:rPr>
                <w:rFonts w:ascii="Times New Roman"/>
                <w:sz w:val="18"/>
              </w:rPr>
              <w:t>of</w:t>
            </w:r>
            <w:r>
              <w:rPr>
                <w:rFonts w:ascii="Times New Roman"/>
                <w:spacing w:val="-5"/>
                <w:sz w:val="18"/>
              </w:rPr>
              <w:t> </w:t>
            </w:r>
            <w:r>
              <w:rPr>
                <w:rFonts w:ascii="Times New Roman"/>
                <w:sz w:val="18"/>
              </w:rPr>
              <w:t>Chinese</w:t>
            </w:r>
            <w:r>
              <w:rPr>
                <w:rFonts w:ascii="Times New Roman"/>
                <w:spacing w:val="-14"/>
                <w:sz w:val="18"/>
              </w:rPr>
              <w:t> </w:t>
            </w:r>
            <w:r>
              <w:rPr>
                <w:rFonts w:ascii="Times New Roman"/>
                <w:sz w:val="18"/>
              </w:rPr>
              <w:t>Academy</w:t>
            </w:r>
            <w:r>
              <w:rPr>
                <w:rFonts w:ascii="Times New Roman"/>
                <w:spacing w:val="-4"/>
                <w:sz w:val="18"/>
              </w:rPr>
              <w:t> </w:t>
            </w:r>
            <w:r>
              <w:rPr>
                <w:rFonts w:ascii="Times New Roman"/>
                <w:sz w:val="18"/>
              </w:rPr>
              <w:t>of</w:t>
            </w:r>
            <w:r>
              <w:rPr>
                <w:rFonts w:ascii="Times New Roman"/>
                <w:spacing w:val="-6"/>
                <w:sz w:val="18"/>
              </w:rPr>
              <w:t> </w:t>
            </w:r>
            <w:r>
              <w:rPr>
                <w:rFonts w:ascii="Times New Roman"/>
                <w:sz w:val="18"/>
              </w:rPr>
              <w:t>Sciences</w:t>
            </w:r>
            <w:r>
              <w:rPr>
                <w:rFonts w:ascii="Times New Roman"/>
                <w:spacing w:val="-5"/>
                <w:sz w:val="18"/>
              </w:rPr>
              <w:t> </w:t>
            </w:r>
            <w:r>
              <w:rPr>
                <w:rFonts w:ascii="Times New Roman"/>
                <w:sz w:val="18"/>
              </w:rPr>
              <w:t>Co.,Ltd.</w:t>
            </w:r>
          </w:p>
        </w:tc>
      </w:tr>
      <w:tr>
        <w:trPr>
          <w:trHeight w:val="403" w:hRule="exact"/>
        </w:trPr>
        <w:tc>
          <w:tcPr>
            <w:tcW w:w="2284" w:type="dxa"/>
            <w:tcBorders>
              <w:top w:val="single" w:sz="4" w:space="0" w:color="000000"/>
              <w:left w:val="single" w:sz="4" w:space="0" w:color="000000"/>
              <w:bottom w:val="single" w:sz="4" w:space="0" w:color="000000"/>
              <w:right w:val="single" w:sz="13" w:space="0" w:color="FFFFFF"/>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4" w:type="dxa"/>
            <w:gridSpan w:val="3"/>
            <w:tcBorders>
              <w:top w:val="single" w:sz="4" w:space="0" w:color="000000"/>
              <w:left w:val="single" w:sz="13" w:space="0" w:color="FFFFFF"/>
              <w:bottom w:val="single" w:sz="4" w:space="0" w:color="000000"/>
              <w:right w:val="single" w:sz="12" w:space="0" w:color="FFFFFF"/>
            </w:tcBorders>
          </w:tcPr>
          <w:p>
            <w:pPr>
              <w:pStyle w:val="TableParagraph"/>
              <w:spacing w:line="240" w:lineRule="auto" w:before="93"/>
              <w:ind w:left="11" w:right="0"/>
              <w:jc w:val="left"/>
              <w:rPr>
                <w:rFonts w:ascii="Times New Roman" w:hAnsi="Times New Roman" w:cs="Times New Roman" w:eastAsia="Times New Roman" w:hint="default"/>
                <w:sz w:val="18"/>
                <w:szCs w:val="18"/>
              </w:rPr>
            </w:pPr>
            <w:r>
              <w:rPr>
                <w:rFonts w:ascii="Times New Roman"/>
                <w:sz w:val="18"/>
              </w:rPr>
              <w:t>CASIT</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史志明</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成都高新区天晖路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 </w:t>
            </w:r>
            <w:r>
              <w:rPr>
                <w:rFonts w:ascii="宋体" w:hAnsi="宋体" w:cs="宋体" w:eastAsia="宋体" w:hint="default"/>
                <w:sz w:val="18"/>
                <w:szCs w:val="18"/>
              </w:rPr>
              <w:t>号晶科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1803 </w:t>
            </w:r>
            <w:r>
              <w:rPr>
                <w:rFonts w:ascii="宋体" w:hAnsi="宋体" w:cs="宋体" w:eastAsia="宋体" w:hint="default"/>
                <w:sz w:val="18"/>
                <w:szCs w:val="18"/>
              </w:rPr>
              <w:t>室</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610041</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四川省成都市人民南路四段</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610041</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1">
              <w:r>
                <w:rPr>
                  <w:rFonts w:ascii="Times New Roman"/>
                  <w:sz w:val="18"/>
                </w:rPr>
                <w:t>http://www.casit.com.cn</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2">
              <w:r>
                <w:rPr>
                  <w:rFonts w:ascii="Times New Roman"/>
                  <w:sz w:val="18"/>
                </w:rPr>
                <w:t>dsh@casit.com.cn</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尹邦明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吴琳琳</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四川省成都市人民南路四段 </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四川省成都市人民南路四段 </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028-85221773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028-85135151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028-85229357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028-85229357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2">
              <w:r>
                <w:rPr>
                  <w:rFonts w:ascii="Times New Roman"/>
                  <w:sz w:val="18"/>
                </w:rPr>
                <w:t>dsh@casit.com.cn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2">
              <w:r>
                <w:rPr>
                  <w:rFonts w:ascii="Times New Roman"/>
                  <w:sz w:val="18"/>
                </w:rPr>
                <w:t>dsh@casit.com.cn</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0"/>
        <w:gridCol w:w="5578"/>
      </w:tblGrid>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《证券日</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巨</w:t>
            </w:r>
            <w:r>
              <w:rPr>
                <w:rFonts w:ascii="宋体" w:hAnsi="宋体" w:cs="宋体" w:eastAsia="宋体" w:hint="default"/>
                <w:sz w:val="18"/>
                <w:szCs w:val="18"/>
              </w:rPr>
              <w:t>潮资讯</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713"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四川省成都市人民南路四段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号中科院成都信息技术股份有限公司董 事会办公室</w:t>
            </w:r>
          </w:p>
        </w:tc>
      </w:tr>
    </w:tbl>
    <w:p>
      <w:pPr>
        <w:spacing w:line="240" w:lineRule="auto" w:before="3"/>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60"/>
        <w:gridCol w:w="6907"/>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天职国际会计师事务所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北京市海淀区车公庄西路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A-5 </w:t>
            </w:r>
            <w:r>
              <w:rPr>
                <w:rFonts w:ascii="宋体" w:hAnsi="宋体" w:cs="宋体" w:eastAsia="宋体" w:hint="default"/>
                <w:sz w:val="18"/>
                <w:szCs w:val="18"/>
              </w:rPr>
              <w:t>区域</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申军、刘浪</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4"/>
              <w:jc w:val="left"/>
              <w:rPr>
                <w:rFonts w:ascii="宋体" w:hAnsi="宋体" w:cs="宋体" w:eastAsia="宋体" w:hint="default"/>
                <w:sz w:val="18"/>
                <w:szCs w:val="18"/>
              </w:rPr>
            </w:pPr>
            <w:r>
              <w:rPr>
                <w:rFonts w:ascii="宋体" w:hAnsi="宋体" w:cs="宋体" w:eastAsia="宋体" w:hint="default"/>
                <w:sz w:val="18"/>
                <w:szCs w:val="18"/>
              </w:rPr>
              <w:t>北京市西城区金融大街兴盛 街 </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号国信证券大厦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谭杰伦、杜畅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364,413,271.82</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344,467,451.37</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290,694,326.03</w:t>
            </w:r>
            <w:r>
              <w:rPr>
                <w:rFonts w:ascii="Times New Roman"/>
                <w:sz w:val="18"/>
              </w:rPr>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35,288,967.18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46,807,199.75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42,536,330.87</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25,984,008.16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29,870,797.16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30,991,792.18</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-4,971,602.19</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-12,732,925.39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12,052,326.74</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0.1960</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0.2600</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0.2767</w:t>
            </w:r>
            <w:r>
              <w:rPr>
                <w:rFonts w:ascii="Times New Roman"/>
                <w:sz w:val="18"/>
              </w:rPr>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0.1960</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0.2600</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0.2767</w:t>
            </w:r>
            <w:r>
              <w:rPr>
                <w:rFonts w:ascii="Times New Roman"/>
                <w:sz w:val="18"/>
              </w:rPr>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10.24%</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859,478,665.91</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731,029,892.72</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689,087,643.31</w:t>
            </w:r>
            <w:r>
              <w:rPr>
                <w:rFonts w:ascii="Times New Roman"/>
                <w:sz w:val="18"/>
              </w:rPr>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592,935,135.57</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566,646,168.39</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524,838,968.64</w:t>
            </w:r>
            <w:r>
              <w:rPr>
                <w:rFonts w:ascii="Times New Roman"/>
                <w:sz w:val="18"/>
              </w:rPr>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1"/>
        <w:gridCol w:w="1740"/>
        <w:gridCol w:w="1740"/>
        <w:gridCol w:w="1738"/>
        <w:gridCol w:w="1730"/>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36,244,312.37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64,180,833.03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47,680,464.06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216,307,662.36</w:t>
            </w:r>
            <w:r>
              <w:rPr>
                <w:rFonts w:ascii="Times New Roman"/>
                <w:sz w:val="18"/>
              </w:rPr>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615,940.92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10,447,283.70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1,201,507.40</w:t>
            </w:r>
            <w:r>
              <w:rPr>
                <w:rFonts w:ascii="Times New Roman"/>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23,024,235.16</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20"/>
        <w:gridCol w:w="1740"/>
        <w:gridCol w:w="1740"/>
        <w:gridCol w:w="1738"/>
        <w:gridCol w:w="1730"/>
      </w:tblGrid>
      <w:tr>
        <w:trPr>
          <w:trHeight w:val="713" w:hRule="exact"/>
        </w:trPr>
        <w:tc>
          <w:tcPr>
            <w:tcW w:w="2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-1,924,416.59</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7,118,710.16</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330,311.34</w:t>
            </w:r>
            <w:r>
              <w:rPr>
                <w:rFonts w:ascii="Times New Roman"/>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18,845,160.97</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-39,014,693.91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-30,053,981.58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-119,382.00</w:t>
            </w:r>
            <w:r>
              <w:rPr>
                <w:rFonts w:ascii="Times New Roman"/>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64,216,455.30</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25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265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295"/>
        <w:gridCol w:w="1522"/>
        <w:gridCol w:w="1519"/>
        <w:gridCol w:w="1522"/>
        <w:gridCol w:w="1711"/>
      </w:tblGrid>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-6,041.03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-4,653.70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11,031,632.81</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18,579,485.98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14,636,150.28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398,904.11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738,308.22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-510,000.00</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57,697.00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-901,771.02</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36,004.14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1,615,577.90</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2,409,802.39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2,478,558.73</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23,245.19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-257,367.72</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9,304,959.02</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16,936,402.59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11,544,538.69</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2"/>
        <w:ind w:left="152" w:right="112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2" w:right="1119"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right="3096"/>
        <w:jc w:val="center"/>
        <w:rPr>
          <w:b w:val="0"/>
          <w:bCs w:val="0"/>
        </w:rPr>
      </w:pPr>
      <w:bookmarkStart w:name="_TOC_250009" w:id="15"/>
      <w:bookmarkStart w:name="第三节公司业务概要" w:id="16"/>
      <w:r>
        <w:rPr>
          <w:b w:val="0"/>
          <w:bCs w:val="0"/>
        </w:rPr>
      </w:r>
      <w:r>
        <w:rPr/>
        <w:t>第三节公司业务概要</w:t>
      </w:r>
      <w:bookmarkEnd w:id="1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408" w:lineRule="auto" w:before="157"/>
        <w:ind w:right="0" w:firstLine="420"/>
        <w:jc w:val="left"/>
      </w:pPr>
      <w:r>
        <w:rPr>
          <w:spacing w:val="-2"/>
        </w:rPr>
        <w:t>公司主营业务是以智能识别及分析技术为核心，为客户提供信息化解决方案（包括软件及硬件）及相</w:t>
      </w:r>
      <w:r>
        <w:rPr>
          <w:w w:val="100"/>
        </w:rPr>
        <w:t> </w:t>
      </w:r>
      <w:r>
        <w:rPr/>
        <w:t>关服务，目前主要应用在现场会议领域、烟草领域、印钞检测领域、油气领域、政府及其他领域。</w:t>
      </w:r>
    </w:p>
    <w:p>
      <w:pPr>
        <w:pStyle w:val="Heading3"/>
        <w:spacing w:line="240" w:lineRule="auto" w:before="46"/>
        <w:ind w:left="404" w:right="0"/>
        <w:jc w:val="left"/>
        <w:rPr>
          <w:b w:val="0"/>
          <w:bCs w:val="0"/>
        </w:rPr>
      </w:pPr>
      <w:r>
        <w:rPr/>
        <w:t>（一）公司业务架构</w:t>
      </w:r>
      <w:r>
        <w:rPr>
          <w:b w:val="0"/>
          <w:bCs w:val="0"/>
        </w:rPr>
      </w:r>
    </w:p>
    <w:p>
      <w:pPr>
        <w:spacing w:line="240" w:lineRule="auto" w:before="5"/>
        <w:rPr>
          <w:rFonts w:ascii="宋体" w:hAnsi="宋体" w:cs="宋体" w:eastAsia="宋体" w:hint="default"/>
          <w:b/>
          <w:bCs/>
          <w:sz w:val="17"/>
          <w:szCs w:val="17"/>
        </w:rPr>
      </w:pPr>
    </w:p>
    <w:p>
      <w:pPr>
        <w:spacing w:line="5730" w:lineRule="exact"/>
        <w:ind w:left="1492" w:right="0" w:firstLine="0"/>
        <w:rPr>
          <w:rFonts w:ascii="宋体" w:hAnsi="宋体" w:cs="宋体" w:eastAsia="宋体" w:hint="default"/>
          <w:sz w:val="20"/>
          <w:szCs w:val="20"/>
        </w:rPr>
      </w:pPr>
      <w:r>
        <w:rPr>
          <w:rFonts w:ascii="宋体" w:hAnsi="宋体" w:cs="宋体" w:eastAsia="宋体" w:hint="default"/>
          <w:position w:val="-114"/>
          <w:sz w:val="20"/>
          <w:szCs w:val="20"/>
        </w:rPr>
        <w:drawing>
          <wp:inline distT="0" distB="0" distL="0" distR="0">
            <wp:extent cx="4418829" cy="3638550"/>
            <wp:effectExtent l="0" t="0" r="0" b="0"/>
            <wp:docPr id="1" name="image5.png" descr="?"/>
            <wp:cNvGraphicFramePr>
              <a:graphicFrameLocks noChangeAspect="1"/>
            </wp:cNvGraphicFramePr>
            <a:graphic>
              <a:graphicData uri="http://schemas.openxmlformats.org/drawingml/2006/picture">
                <pic:pic>
                  <pic:nvPicPr>
                    <pic:cNvPr id="2" name="image5.png"/>
                    <pic:cNvPicPr/>
                  </pic:nvPicPr>
                  <pic:blipFill>
                    <a:blip r:embed="rId14" cstate="print"/>
                    <a:stretch>
                      <a:fillRect/>
                    </a:stretch>
                  </pic:blipFill>
                  <pic:spPr>
                    <a:xfrm>
                      <a:off x="0" y="0"/>
                      <a:ext cx="4418829" cy="3638550"/>
                    </a:xfrm>
                    <a:prstGeom prst="rect">
                      <a:avLst/>
                    </a:prstGeom>
                  </pic:spPr>
                </pic:pic>
              </a:graphicData>
            </a:graphic>
          </wp:inline>
        </w:drawing>
      </w:r>
      <w:r>
        <w:rPr>
          <w:rFonts w:ascii="宋体" w:hAnsi="宋体" w:cs="宋体" w:eastAsia="宋体" w:hint="default"/>
          <w:position w:val="-114"/>
          <w:sz w:val="20"/>
          <w:szCs w:val="20"/>
        </w:rPr>
      </w:r>
    </w:p>
    <w:p>
      <w:pPr>
        <w:pStyle w:val="BodyText"/>
        <w:spacing w:line="240" w:lineRule="auto" w:before="163"/>
        <w:ind w:left="2119" w:right="3096"/>
        <w:jc w:val="center"/>
      </w:pPr>
      <w:r>
        <w:rPr/>
        <w:t>（注：报告期内公司印钞检测业务由联营企业中钞科信实施）</w:t>
      </w:r>
    </w:p>
    <w:p>
      <w:pPr>
        <w:spacing w:line="240" w:lineRule="auto" w:before="10"/>
        <w:rPr>
          <w:rFonts w:ascii="宋体" w:hAnsi="宋体" w:cs="宋体" w:eastAsia="宋体" w:hint="default"/>
          <w:sz w:val="14"/>
          <w:szCs w:val="14"/>
        </w:rPr>
      </w:pPr>
    </w:p>
    <w:p>
      <w:pPr>
        <w:spacing w:line="408" w:lineRule="auto" w:before="0"/>
        <w:ind w:left="572" w:right="0" w:hanging="168"/>
        <w:jc w:val="left"/>
        <w:rPr>
          <w:rFonts w:ascii="宋体" w:hAnsi="宋体" w:cs="宋体" w:eastAsia="宋体" w:hint="default"/>
          <w:sz w:val="21"/>
          <w:szCs w:val="21"/>
        </w:rPr>
      </w:pPr>
      <w:r>
        <w:rPr>
          <w:rFonts w:ascii="宋体" w:hAnsi="宋体" w:cs="宋体" w:eastAsia="宋体" w:hint="default"/>
          <w:b/>
          <w:bCs/>
          <w:sz w:val="21"/>
          <w:szCs w:val="21"/>
        </w:rPr>
        <w:t>（二）报告期内公司从事的主要业务</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由中国科学院张景中院士领衔的人工智能团队持续创新研发，使公司在高速机器视觉与数据智能分析</w:t>
      </w:r>
    </w:p>
    <w:p>
      <w:pPr>
        <w:pStyle w:val="BodyText"/>
        <w:spacing w:line="408" w:lineRule="auto" w:before="46"/>
        <w:ind w:right="0"/>
        <w:jc w:val="left"/>
      </w:pPr>
      <w:r>
        <w:rPr>
          <w:spacing w:val="-2"/>
        </w:rPr>
        <w:t>领域继续保持国内领先水平，不断提升技术水平与产品质量，并将最新成果推广应用于行业信息化建设，</w:t>
      </w:r>
      <w:r>
        <w:rPr>
          <w:spacing w:val="-21"/>
        </w:rPr>
        <w:t> </w:t>
      </w:r>
      <w:r>
        <w:rPr>
          <w:spacing w:val="-21"/>
        </w:rPr>
      </w:r>
      <w:r>
        <w:rPr/>
        <w:t>保持了国内优秀行业信息化解决方案、智能化工程和相关产品与技术服务提供商的地位。</w:t>
      </w:r>
    </w:p>
    <w:p>
      <w:pPr>
        <w:pStyle w:val="BodyText"/>
        <w:spacing w:line="386" w:lineRule="auto" w:before="46"/>
        <w:ind w:left="572" w:right="0" w:hanging="70"/>
        <w:jc w:val="left"/>
      </w:pPr>
      <w:r>
        <w:rPr>
          <w:rFonts w:ascii="Times New Roman" w:hAnsi="Times New Roman" w:cs="Times New Roman" w:eastAsia="Times New Roman" w:hint="default"/>
        </w:rPr>
        <w:t>1.</w:t>
      </w:r>
      <w:r>
        <w:rPr/>
        <w:t>应用于现场会议领域的数字会议系列产品与信息化整体解决方案</w:t>
      </w:r>
      <w:r>
        <w:rPr>
          <w:w w:val="100"/>
        </w:rPr>
        <w:t> </w:t>
      </w:r>
      <w:r>
        <w:rPr>
          <w:spacing w:val="-4"/>
        </w:rPr>
        <w:t>数字会议系列产品：包括有线</w:t>
      </w:r>
      <w:r>
        <w:rPr>
          <w:rFonts w:ascii="Times New Roman" w:hAnsi="Times New Roman" w:cs="Times New Roman" w:eastAsia="Times New Roman" w:hint="default"/>
          <w:spacing w:val="-4"/>
        </w:rPr>
        <w:t>/</w:t>
      </w:r>
      <w:r>
        <w:rPr>
          <w:spacing w:val="-4"/>
        </w:rPr>
        <w:t>无线电子表决系统、智能电子选举计票系统、</w:t>
      </w:r>
      <w:r>
        <w:rPr>
          <w:rFonts w:ascii="Times New Roman" w:hAnsi="Times New Roman" w:cs="Times New Roman" w:eastAsia="Times New Roman" w:hint="default"/>
          <w:spacing w:val="-4"/>
        </w:rPr>
        <w:t>RFID/</w:t>
      </w:r>
      <w:r>
        <w:rPr>
          <w:spacing w:val="-4"/>
        </w:rPr>
        <w:t>人脸识别报到系统、</w:t>
      </w:r>
    </w:p>
    <w:p>
      <w:pPr>
        <w:pStyle w:val="BodyText"/>
        <w:spacing w:line="408" w:lineRule="auto" w:before="35"/>
        <w:ind w:right="0"/>
        <w:jc w:val="left"/>
      </w:pPr>
      <w:r>
        <w:rPr>
          <w:spacing w:val="-2"/>
        </w:rPr>
        <w:t>无纸化智能会议终端系统、选民登记系统和会务管理系统等会议全流程子系统；现场会议服务通过提供电</w:t>
      </w:r>
      <w:r>
        <w:rPr>
          <w:spacing w:val="-42"/>
        </w:rPr>
        <w:t> </w:t>
      </w:r>
      <w:r>
        <w:rPr>
          <w:spacing w:val="-42"/>
        </w:rPr>
      </w:r>
      <w:r>
        <w:rPr>
          <w:spacing w:val="-4"/>
        </w:rPr>
        <w:t>子表决器、智能电子票箱、计票通、</w:t>
      </w:r>
      <w:r>
        <w:rPr>
          <w:rFonts w:ascii="Times New Roman" w:hAnsi="Times New Roman" w:cs="Times New Roman" w:eastAsia="Times New Roman" w:hint="default"/>
          <w:spacing w:val="-4"/>
        </w:rPr>
        <w:t>RFID</w:t>
      </w:r>
      <w:r>
        <w:rPr>
          <w:spacing w:val="-4"/>
        </w:rPr>
        <w:t>远距离报到机、升降式一体机、会议系统主机、流媒体主机、投</w:t>
      </w:r>
    </w:p>
    <w:p>
      <w:pPr>
        <w:spacing w:after="0" w:line="408"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8"/>
        <w:jc w:val="both"/>
      </w:pPr>
      <w:r>
        <w:rPr>
          <w:spacing w:val="-2"/>
        </w:rPr>
        <w:t>屏主机、电子桌牌和麦克风等软、硬件产品，现场为客户提供包括事项表决、人事任免、人员报到、电子</w:t>
      </w:r>
      <w:r>
        <w:rPr>
          <w:spacing w:val="-42"/>
        </w:rPr>
        <w:t> </w:t>
      </w:r>
      <w:r>
        <w:rPr>
          <w:spacing w:val="-42"/>
        </w:rPr>
      </w:r>
      <w:r>
        <w:rPr/>
        <w:t>阅文、文件共享、同步演示、公告交流、外接投屏、呼叫服务等全方位会务功能。</w:t>
      </w:r>
    </w:p>
    <w:p>
      <w:pPr>
        <w:pStyle w:val="BodyText"/>
        <w:spacing w:line="386" w:lineRule="auto" w:before="46"/>
        <w:ind w:right="0" w:firstLine="419"/>
        <w:jc w:val="left"/>
      </w:pPr>
      <w:r>
        <w:rPr/>
        <w:t>整体解决方案：包括应用于现场会议电子表决、集中式大会选举、社区两委基层选举、基于</w:t>
      </w:r>
      <w:r>
        <w:rPr>
          <w:rFonts w:ascii="Times New Roman" w:hAnsi="Times New Roman" w:cs="Times New Roman" w:eastAsia="Times New Roman" w:hint="default"/>
        </w:rPr>
        <w:t>RFID/</w:t>
      </w:r>
      <w:r>
        <w:rPr/>
        <w:t>人</w:t>
      </w:r>
      <w:r>
        <w:rPr>
          <w:w w:val="100"/>
        </w:rPr>
        <w:t> </w:t>
      </w:r>
      <w:r>
        <w:rPr/>
        <w:t>脸识别技术的人员报到、党</w:t>
      </w:r>
      <w:r>
        <w:rPr>
          <w:rFonts w:ascii="Times New Roman" w:hAnsi="Times New Roman" w:cs="Times New Roman" w:eastAsia="Times New Roman" w:hint="default"/>
        </w:rPr>
        <w:t>/</w:t>
      </w:r>
      <w:r>
        <w:rPr/>
        <w:t>政</w:t>
      </w:r>
      <w:r>
        <w:rPr>
          <w:rFonts w:ascii="Times New Roman" w:hAnsi="Times New Roman" w:cs="Times New Roman" w:eastAsia="Times New Roman" w:hint="default"/>
        </w:rPr>
        <w:t>/</w:t>
      </w:r>
      <w:r>
        <w:rPr/>
        <w:t>军的无纸化会议整体解决方案。</w:t>
      </w:r>
    </w:p>
    <w:p>
      <w:pPr>
        <w:pStyle w:val="BodyText"/>
        <w:spacing w:line="400" w:lineRule="auto" w:before="35"/>
        <w:ind w:right="0" w:firstLine="420"/>
        <w:jc w:val="left"/>
      </w:pPr>
      <w:r>
        <w:rPr>
          <w:spacing w:val="-2"/>
        </w:rPr>
        <w:t>报告期内，公司第九代电子选举系统和新型电子表决系统相继为全国省、市、县两会选举提供了配套</w:t>
      </w:r>
      <w:r>
        <w:rPr>
          <w:spacing w:val="-3"/>
          <w:w w:val="100"/>
        </w:rPr>
        <w:t> </w:t>
      </w:r>
      <w:r>
        <w:rPr>
          <w:spacing w:val="-6"/>
          <w:w w:val="100"/>
        </w:rPr>
        <w:t>设备及服务保障，受到与会领导和代表</w:t>
      </w:r>
      <w:r>
        <w:rPr>
          <w:rFonts w:ascii="Times New Roman" w:hAnsi="Times New Roman" w:cs="Times New Roman" w:eastAsia="Times New Roman" w:hint="default"/>
          <w:spacing w:val="-6"/>
          <w:w w:val="100"/>
        </w:rPr>
        <w:t>/</w:t>
      </w:r>
      <w:r>
        <w:rPr>
          <w:spacing w:val="-6"/>
          <w:w w:val="100"/>
        </w:rPr>
        <w:t>委员的高度肯定。公司抓住产品在全国和地方两会成功应用的契机，</w:t>
      </w:r>
      <w:r>
        <w:rPr>
          <w:spacing w:val="-76"/>
          <w:w w:val="100"/>
        </w:rPr>
        <w:t> </w:t>
      </w:r>
      <w:r>
        <w:rPr>
          <w:spacing w:val="-76"/>
          <w:w w:val="100"/>
        </w:rPr>
      </w:r>
      <w:r>
        <w:rPr>
          <w:spacing w:val="-2"/>
        </w:rPr>
        <w:t>加快对选举、表决、报到等会议服务市场的大力开拓，持续推进营销队伍建设，全国各区域市场进一步拓</w:t>
      </w:r>
      <w:r>
        <w:rPr>
          <w:spacing w:val="-47"/>
        </w:rPr>
        <w:t> </w:t>
      </w:r>
      <w:r>
        <w:rPr>
          <w:spacing w:val="-47"/>
        </w:rPr>
      </w:r>
      <w:r>
        <w:rPr/>
        <w:t>展，数字会议业务继续保持了良好的业绩增长趋势。</w:t>
      </w:r>
    </w:p>
    <w:p>
      <w:pPr>
        <w:pStyle w:val="BodyText"/>
        <w:spacing w:line="386" w:lineRule="auto" w:before="52"/>
        <w:ind w:left="572" w:right="0" w:hanging="84"/>
        <w:jc w:val="left"/>
      </w:pPr>
      <w:r>
        <w:rPr>
          <w:rFonts w:ascii="Times New Roman" w:hAnsi="Times New Roman" w:cs="Times New Roman" w:eastAsia="Times New Roman" w:hint="default"/>
        </w:rPr>
        <w:t>2.</w:t>
      </w:r>
      <w:r>
        <w:rPr/>
        <w:t>应用于烟草领域覆盖农</w:t>
      </w:r>
      <w:r>
        <w:rPr>
          <w:rFonts w:ascii="Times New Roman" w:hAnsi="Times New Roman" w:cs="Times New Roman" w:eastAsia="Times New Roman" w:hint="default"/>
        </w:rPr>
        <w:t>-</w:t>
      </w:r>
      <w:r>
        <w:rPr/>
        <w:t>工</w:t>
      </w:r>
      <w:r>
        <w:rPr>
          <w:rFonts w:ascii="Times New Roman" w:hAnsi="Times New Roman" w:cs="Times New Roman" w:eastAsia="Times New Roman" w:hint="default"/>
        </w:rPr>
        <w:t>-</w:t>
      </w:r>
      <w:r>
        <w:rPr/>
        <w:t>商全产业链的信息化产品与整体解决方案</w:t>
      </w:r>
      <w:r>
        <w:rPr>
          <w:w w:val="100"/>
        </w:rPr>
        <w:t> </w:t>
      </w:r>
      <w:r>
        <w:rPr>
          <w:spacing w:val="-2"/>
        </w:rPr>
        <w:t>烟草信息化产品：提供包括行业信息化规划、信息化基础设施运维解决方案、智慧园区信息化基础设</w:t>
      </w:r>
    </w:p>
    <w:p>
      <w:pPr>
        <w:pStyle w:val="BodyText"/>
        <w:spacing w:line="408" w:lineRule="auto" w:before="65"/>
        <w:ind w:right="1131"/>
        <w:jc w:val="both"/>
      </w:pPr>
      <w:r>
        <w:rPr>
          <w:spacing w:val="-2"/>
        </w:rPr>
        <w:t>施建设、行业信息化应用系统定制开发、卷烟智能化生产、卷烟数字化仓储及物流综合平台、大数据科学</w:t>
      </w:r>
      <w:r>
        <w:rPr>
          <w:spacing w:val="-50"/>
        </w:rPr>
        <w:t> </w:t>
      </w:r>
      <w:r>
        <w:rPr>
          <w:spacing w:val="-50"/>
        </w:rPr>
      </w:r>
      <w:r>
        <w:rPr/>
        <w:t>监管平台等众多细分领域的产品与智能制造服务。</w:t>
      </w:r>
    </w:p>
    <w:p>
      <w:pPr>
        <w:pStyle w:val="BodyText"/>
        <w:spacing w:line="408" w:lineRule="auto" w:before="46"/>
        <w:ind w:right="1128" w:firstLine="420"/>
        <w:jc w:val="both"/>
      </w:pPr>
      <w:r>
        <w:rPr>
          <w:spacing w:val="-2"/>
        </w:rPr>
        <w:t>整体解决方案：基于工业互联网平台数字化管理解决方案，能够驱动卷烟制造全要素、全产业链、全</w:t>
      </w:r>
      <w:r>
        <w:rPr>
          <w:w w:val="100"/>
        </w:rPr>
        <w:t> </w:t>
      </w:r>
      <w:r>
        <w:rPr>
          <w:spacing w:val="-2"/>
        </w:rPr>
        <w:t>价值链实现深度互联，在卷烟制造和数字服务资源优化配置过程中，促进卷烟制造体系与服务体系深度融</w:t>
      </w:r>
      <w:r>
        <w:rPr>
          <w:spacing w:val="-42"/>
        </w:rPr>
        <w:t> </w:t>
      </w:r>
      <w:r>
        <w:rPr>
          <w:spacing w:val="-42"/>
        </w:rPr>
      </w:r>
      <w:r>
        <w:rPr>
          <w:spacing w:val="-3"/>
        </w:rPr>
        <w:t>合，已在浙江中烟、河南中烟、山东中烟、江苏中烟、四川中烟、重庆中烟、福建中烟、黑龙江烟草工业</w:t>
      </w:r>
      <w:r>
        <w:rPr>
          <w:spacing w:val="-6"/>
        </w:rPr>
        <w:t> </w:t>
      </w:r>
      <w:r>
        <w:rPr>
          <w:spacing w:val="-6"/>
        </w:rPr>
      </w:r>
      <w:r>
        <w:rPr/>
        <w:t>公司等客户中进行应用示范和产业化推广。</w:t>
      </w:r>
    </w:p>
    <w:p>
      <w:pPr>
        <w:pStyle w:val="BodyText"/>
        <w:spacing w:line="405" w:lineRule="auto" w:before="46"/>
        <w:ind w:right="1024" w:firstLine="420"/>
        <w:jc w:val="left"/>
      </w:pPr>
      <w:r>
        <w:rPr>
          <w:spacing w:val="-5"/>
        </w:rPr>
        <w:t>报告期内，烟草信息化业务整体发展态势良好，行业市场拓展持续推进，智能制造、生产大数据分析、</w:t>
      </w:r>
      <w:r>
        <w:rPr>
          <w:w w:val="100"/>
        </w:rPr>
        <w:t> </w:t>
      </w:r>
      <w:r>
        <w:rPr>
          <w:spacing w:val="-2"/>
        </w:rPr>
        <w:t>智慧园区、烟叶智能收购线等行业智能化业务得到进一步巩固。与四川中烟、湖北省烟草公司等客户建立</w:t>
      </w:r>
      <w:r>
        <w:rPr>
          <w:spacing w:val="-44"/>
        </w:rPr>
        <w:t> </w:t>
      </w:r>
      <w:r>
        <w:rPr>
          <w:spacing w:val="-44"/>
        </w:rPr>
      </w:r>
      <w:r>
        <w:rPr/>
        <w:t>了战略合作伙伴关系，参与组建了</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智慧鄂烟</w:t>
      </w:r>
      <w:r>
        <w:rPr>
          <w:rFonts w:ascii="Times New Roman" w:hAnsi="Times New Roman" w:cs="Times New Roman" w:eastAsia="Times New Roman" w:hint="default"/>
        </w:rPr>
        <w:t>”</w:t>
      </w:r>
      <w:r>
        <w:rPr/>
        <w:t>联合实验室，与广东、西藏客户加强了技术交流。</w:t>
      </w:r>
      <w:r>
        <w:rPr>
          <w:spacing w:val="-18"/>
        </w:rPr>
        <w:t> </w:t>
      </w:r>
      <w:r>
        <w:rPr>
          <w:spacing w:val="-18"/>
        </w:rPr>
      </w:r>
      <w:r>
        <w:rPr>
          <w:spacing w:val="-2"/>
        </w:rPr>
        <w:t>公司依托在云平台和信息安全技术上的多年积累，成功中标烟草行业内多个云平台建设、容灾中心建设项</w:t>
      </w:r>
      <w:r>
        <w:rPr>
          <w:spacing w:val="-42"/>
        </w:rPr>
        <w:t> </w:t>
      </w:r>
      <w:r>
        <w:rPr>
          <w:spacing w:val="-42"/>
        </w:rPr>
      </w:r>
      <w:r>
        <w:rPr>
          <w:spacing w:val="-5"/>
        </w:rPr>
        <w:t>目。依靠自身在行业运维服务方面多年积累的客户满意度，持续取得四川省烟草年度烟叶信息化运维项目。</w:t>
      </w:r>
      <w:r>
        <w:rPr>
          <w:spacing w:val="-4"/>
        </w:rPr>
        <w:t> </w:t>
      </w:r>
      <w:r>
        <w:rPr>
          <w:spacing w:val="-4"/>
        </w:rPr>
      </w:r>
      <w:r>
        <w:rPr>
          <w:spacing w:val="-2"/>
        </w:rPr>
        <w:t>持续挖掘高速机器视觉分析技术在工业领域的深入应用，致力于帮助客户提升产品质量管控水平，在烟草</w:t>
      </w:r>
      <w:r>
        <w:rPr>
          <w:spacing w:val="-42"/>
        </w:rPr>
        <w:t> </w:t>
      </w:r>
      <w:r>
        <w:rPr>
          <w:spacing w:val="-42"/>
        </w:rPr>
      </w:r>
      <w:r>
        <w:rPr>
          <w:spacing w:val="-2"/>
        </w:rPr>
        <w:t>工业智能制造领域取得了连续突破，浙江中烟二维码应用改造项目、四川中烟仓储信息化试点项目顺利实</w:t>
      </w:r>
      <w:r>
        <w:rPr>
          <w:spacing w:val="-42"/>
        </w:rPr>
        <w:t> </w:t>
      </w:r>
      <w:r>
        <w:rPr>
          <w:spacing w:val="-42"/>
        </w:rPr>
      </w:r>
      <w:r>
        <w:rPr/>
        <w:t>施。</w:t>
      </w:r>
    </w:p>
    <w:p>
      <w:pPr>
        <w:pStyle w:val="BodyText"/>
        <w:spacing w:line="386" w:lineRule="auto" w:before="48"/>
        <w:ind w:left="572" w:right="0"/>
        <w:jc w:val="left"/>
      </w:pPr>
      <w:r>
        <w:rPr>
          <w:rFonts w:ascii="Times New Roman" w:hAnsi="Times New Roman" w:cs="Times New Roman" w:eastAsia="Times New Roman" w:hint="default"/>
        </w:rPr>
        <w:t>3.</w:t>
      </w:r>
      <w:r>
        <w:rPr/>
        <w:t>印钞检测领域全生产流程在线质量检测产品与整体解决方案</w:t>
      </w:r>
      <w:r>
        <w:rPr>
          <w:w w:val="100"/>
        </w:rPr>
        <w:t> </w:t>
      </w:r>
      <w:r>
        <w:rPr>
          <w:spacing w:val="-2"/>
        </w:rPr>
        <w:t>印钞检测产品：提供从造纸、制版到印刷、销毁整个流程的相关检测产品。包括印钞前序流程，在线</w:t>
      </w:r>
    </w:p>
    <w:p>
      <w:pPr>
        <w:pStyle w:val="BodyText"/>
        <w:spacing w:line="398" w:lineRule="auto" w:before="65"/>
        <w:ind w:right="1128"/>
        <w:jc w:val="both"/>
      </w:pPr>
      <w:r>
        <w:rPr>
          <w:rFonts w:ascii="Times New Roman" w:hAnsi="Times New Roman" w:cs="Times New Roman" w:eastAsia="Times New Roman" w:hint="default"/>
          <w:spacing w:val="-2"/>
        </w:rPr>
        <w:t>/</w:t>
      </w:r>
      <w:r>
        <w:rPr>
          <w:spacing w:val="-2"/>
        </w:rPr>
        <w:t>离线质量检测系统（如纸张、防伪线、印版检测设备等），印钞流程在线</w:t>
      </w:r>
      <w:r>
        <w:rPr>
          <w:rFonts w:ascii="Times New Roman" w:hAnsi="Times New Roman" w:cs="Times New Roman" w:eastAsia="Times New Roman" w:hint="default"/>
          <w:spacing w:val="-2"/>
        </w:rPr>
        <w:t>/</w:t>
      </w:r>
      <w:r>
        <w:rPr>
          <w:spacing w:val="-2"/>
        </w:rPr>
        <w:t>离线质量检测系统（如胶</w:t>
      </w:r>
      <w:r>
        <w:rPr>
          <w:rFonts w:ascii="Times New Roman" w:hAnsi="Times New Roman" w:cs="Times New Roman" w:eastAsia="Times New Roman" w:hint="default"/>
          <w:spacing w:val="-2"/>
        </w:rPr>
        <w:t>/</w:t>
      </w:r>
      <w:r>
        <w:rPr>
          <w:spacing w:val="-2"/>
        </w:rPr>
        <w:t>凹印</w:t>
      </w:r>
      <w:r>
        <w:rPr>
          <w:spacing w:val="-11"/>
        </w:rPr>
        <w:t> </w:t>
      </w:r>
      <w:r>
        <w:rPr>
          <w:spacing w:val="-2"/>
        </w:rPr>
        <w:t>在离线检测、码后大张检查机、裁切质量及装箱管理系统等），钞票生命末期销毁管理系统（销毁影像稽</w:t>
      </w:r>
      <w:r>
        <w:rPr>
          <w:spacing w:val="-43"/>
        </w:rPr>
        <w:t> </w:t>
      </w:r>
      <w:r>
        <w:rPr>
          <w:spacing w:val="-43"/>
        </w:rPr>
      </w:r>
      <w:r>
        <w:rPr/>
        <w:t>核系统、销毁复点稽核系统等）以及印钞行业质量信息管理系统与数字管理系统等。</w:t>
      </w:r>
    </w:p>
    <w:p>
      <w:pPr>
        <w:pStyle w:val="BodyText"/>
        <w:spacing w:line="240" w:lineRule="auto" w:before="54"/>
        <w:ind w:left="572" w:right="0"/>
        <w:jc w:val="left"/>
      </w:pPr>
      <w:r>
        <w:rPr/>
        <w:t>整体解决方案：围绕钞票全生命周期提供整体在离线解决方案。</w:t>
      </w:r>
    </w:p>
    <w:p>
      <w:pPr>
        <w:spacing w:after="0" w:line="240"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0" w:firstLine="420"/>
        <w:jc w:val="left"/>
      </w:pPr>
      <w:r>
        <w:rPr>
          <w:spacing w:val="-5"/>
        </w:rPr>
        <w:t>公司印钞行业业务主要由联营企业中钞科信实施，报告期内，随着人民币新品的发行、生产工艺提升，</w:t>
      </w:r>
      <w:r>
        <w:rPr>
          <w:w w:val="100"/>
        </w:rPr>
        <w:t> </w:t>
      </w:r>
      <w:r>
        <w:rPr>
          <w:spacing w:val="-2"/>
        </w:rPr>
        <w:t>结合大数据分析、深度学习算法及新型光学成像技术，公司新研发了涂布褶子在线检测系统、大张涂后全</w:t>
      </w:r>
      <w:r>
        <w:rPr>
          <w:spacing w:val="-44"/>
        </w:rPr>
        <w:t> </w:t>
      </w:r>
      <w:r>
        <w:rPr>
          <w:spacing w:val="-44"/>
        </w:rPr>
      </w:r>
      <w:r>
        <w:rPr>
          <w:spacing w:val="-2"/>
        </w:rPr>
        <w:t>检系统以及防伪线新型检测系统并开始批量推广。新型检测系统的上线，稳步、有序地推进了新检测工艺</w:t>
      </w:r>
      <w:r>
        <w:rPr>
          <w:spacing w:val="-43"/>
        </w:rPr>
        <w:t> </w:t>
      </w:r>
      <w:r>
        <w:rPr>
          <w:spacing w:val="-43"/>
        </w:rPr>
      </w:r>
      <w:r>
        <w:rPr/>
        <w:t>的实施，促进了新一代信息化数据分析平台的建设，公司在印钞行业市场占有率持续上升。</w:t>
      </w:r>
    </w:p>
    <w:p>
      <w:pPr>
        <w:pStyle w:val="BodyText"/>
        <w:spacing w:line="386" w:lineRule="auto" w:before="46"/>
        <w:ind w:left="572" w:right="0"/>
        <w:jc w:val="left"/>
      </w:pPr>
      <w:r>
        <w:rPr>
          <w:rFonts w:ascii="Times New Roman" w:hAnsi="Times New Roman" w:cs="Times New Roman" w:eastAsia="Times New Roman" w:hint="default"/>
        </w:rPr>
        <w:t>4.</w:t>
      </w:r>
      <w:r>
        <w:rPr/>
        <w:t>石油领域的油气田数字化生产管理产品与整体解决方案</w:t>
      </w:r>
      <w:r>
        <w:rPr>
          <w:w w:val="100"/>
        </w:rPr>
        <w:t> </w:t>
      </w:r>
      <w:r>
        <w:rPr>
          <w:spacing w:val="-5"/>
        </w:rPr>
        <w:t>油气信息化产品：提供的油气田数字化生产管理产品可实现电子巡井、数据自动采集、生产实时监控，</w:t>
      </w:r>
    </w:p>
    <w:p>
      <w:pPr>
        <w:pStyle w:val="BodyText"/>
        <w:spacing w:line="398" w:lineRule="auto" w:before="65"/>
        <w:ind w:right="1128"/>
        <w:jc w:val="both"/>
      </w:pPr>
      <w:r>
        <w:rPr>
          <w:spacing w:val="-2"/>
        </w:rPr>
        <w:t>具有智能防御、高效管理、科学指挥等多种功能。天然气管网集输</w:t>
      </w:r>
      <w:r>
        <w:rPr>
          <w:rFonts w:ascii="Times New Roman" w:hAnsi="Times New Roman" w:cs="Times New Roman" w:eastAsia="Times New Roman" w:hint="default"/>
          <w:spacing w:val="-2"/>
        </w:rPr>
        <w:t>SCADA</w:t>
      </w:r>
      <w:r>
        <w:rPr>
          <w:spacing w:val="-2"/>
        </w:rPr>
        <w:t>系统、</w:t>
      </w:r>
      <w:r>
        <w:rPr>
          <w:rFonts w:ascii="Times New Roman" w:hAnsi="Times New Roman" w:cs="Times New Roman" w:eastAsia="Times New Roman" w:hint="default"/>
          <w:spacing w:val="-2"/>
        </w:rPr>
        <w:t>CNG/LNG</w:t>
      </w:r>
      <w:r>
        <w:rPr>
          <w:spacing w:val="-2"/>
        </w:rPr>
        <w:t>场站控制及生</w:t>
      </w:r>
      <w:r>
        <w:rPr>
          <w:spacing w:val="-3"/>
        </w:rPr>
        <w:t> </w:t>
      </w:r>
      <w:r>
        <w:rPr>
          <w:spacing w:val="-3"/>
        </w:rPr>
      </w:r>
      <w:r>
        <w:rPr>
          <w:spacing w:val="-2"/>
        </w:rPr>
        <w:t>产调度管理系统、油气井台智能视频监控分析系统、基于油气作业场所不安全行为智能视频识别等是公司</w:t>
      </w:r>
      <w:r>
        <w:rPr>
          <w:spacing w:val="-42"/>
        </w:rPr>
        <w:t> </w:t>
      </w:r>
      <w:r>
        <w:rPr>
          <w:spacing w:val="-42"/>
        </w:rPr>
      </w:r>
      <w:r>
        <w:rPr/>
        <w:t>在油气领域的优势产品和解决方案。</w:t>
      </w:r>
    </w:p>
    <w:p>
      <w:pPr>
        <w:pStyle w:val="BodyText"/>
        <w:spacing w:line="398" w:lineRule="auto" w:before="54"/>
        <w:ind w:right="1108" w:firstLine="420"/>
        <w:jc w:val="both"/>
      </w:pPr>
      <w:r>
        <w:rPr/>
        <w:t>整体解决方案</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spacing w:val="-4"/>
        </w:rPr>
        <w:t>石油天然气处理厂自控通信集输管理智能化系统、天然气管网集输及</w:t>
      </w:r>
      <w:r>
        <w:rPr>
          <w:rFonts w:ascii="Times New Roman" w:hAnsi="Times New Roman" w:cs="Times New Roman" w:eastAsia="Times New Roman" w:hint="default"/>
          <w:spacing w:val="-4"/>
        </w:rPr>
        <w:t>CNG/LNG</w:t>
      </w:r>
      <w:r>
        <w:rPr>
          <w:spacing w:val="-4"/>
        </w:rPr>
        <w:t>站控领</w:t>
      </w:r>
      <w:r>
        <w:rPr>
          <w:w w:val="100"/>
        </w:rPr>
        <w:t> </w:t>
      </w:r>
      <w:r>
        <w:rPr>
          <w:spacing w:val="-2"/>
        </w:rPr>
        <w:t>域的数字化管理、油气田大型数字化整体解决方案，能够为石油天然气的日常生产、运输、调度、维护、</w:t>
      </w:r>
      <w:r>
        <w:rPr>
          <w:spacing w:val="-24"/>
        </w:rPr>
        <w:t> </w:t>
      </w:r>
      <w:r>
        <w:rPr>
          <w:spacing w:val="-24"/>
        </w:rPr>
      </w:r>
      <w:r>
        <w:rPr/>
        <w:t>管理提供充分的技术支撑。</w:t>
      </w:r>
    </w:p>
    <w:p>
      <w:pPr>
        <w:pStyle w:val="BodyText"/>
        <w:spacing w:line="400" w:lineRule="auto" w:before="54"/>
        <w:ind w:right="1128" w:firstLine="401"/>
        <w:jc w:val="both"/>
      </w:pPr>
      <w:r>
        <w:rPr>
          <w:spacing w:val="-4"/>
        </w:rPr>
        <w:t>报告期内，公司塔里木油田业务新增订单增长快速，市场地位进一步巩固。顺利实施的</w:t>
      </w:r>
      <w:r>
        <w:rPr>
          <w:rFonts w:ascii="Times New Roman" w:hAnsi="Times New Roman" w:cs="Times New Roman" w:eastAsia="Times New Roman" w:hint="default"/>
          <w:spacing w:val="-4"/>
        </w:rPr>
        <w:t>“</w:t>
      </w:r>
      <w:r>
        <w:rPr>
          <w:spacing w:val="-4"/>
        </w:rPr>
        <w:t>克拉作业区标</w:t>
      </w:r>
      <w:r>
        <w:rPr>
          <w:w w:val="100"/>
        </w:rPr>
        <w:t> </w:t>
      </w:r>
      <w:r>
        <w:rPr/>
        <w:t>准化平台配套工程</w:t>
      </w:r>
      <w:r>
        <w:rPr>
          <w:rFonts w:ascii="Times New Roman" w:hAnsi="Times New Roman" w:cs="Times New Roman" w:eastAsia="Times New Roman" w:hint="default"/>
        </w:rPr>
        <w:t>”</w:t>
      </w:r>
      <w:r>
        <w:rPr/>
        <w:t>项目，将人脸识别与人体行为识别技术应用在油气生产领域，有效帮助石油天然气安</w:t>
      </w:r>
      <w:r>
        <w:rPr>
          <w:spacing w:val="-18"/>
        </w:rPr>
        <w:t> </w:t>
      </w:r>
      <w:r>
        <w:rPr>
          <w:spacing w:val="-18"/>
        </w:rPr>
      </w:r>
      <w:r>
        <w:rPr>
          <w:spacing w:val="-2"/>
        </w:rPr>
        <w:t>全生产实现从人工监督手工操作向智能化控制转化。成功争取到的塔里木盆地喀什北区块阿克莫木气田总</w:t>
      </w:r>
      <w:r>
        <w:rPr>
          <w:spacing w:val="-43"/>
        </w:rPr>
        <w:t> </w:t>
      </w:r>
      <w:r>
        <w:rPr>
          <w:spacing w:val="-43"/>
        </w:rPr>
      </w:r>
      <w:r>
        <w:rPr>
          <w:spacing w:val="-2"/>
        </w:rPr>
        <w:t>体开发工程仪表、通信、安防工程项目，运用了自控技术、通信技术、智能分析技术，为用户提供大型油</w:t>
      </w:r>
      <w:r>
        <w:rPr>
          <w:spacing w:val="-42"/>
        </w:rPr>
        <w:t> </w:t>
      </w:r>
      <w:r>
        <w:rPr>
          <w:spacing w:val="-42"/>
        </w:rPr>
      </w:r>
      <w:r>
        <w:rPr>
          <w:spacing w:val="-2"/>
        </w:rPr>
        <w:t>气田处理厂建设的数字化整体解决方案，帮助用户进一步提升油气田生产自动化、管理信息化、决策数字</w:t>
      </w:r>
      <w:r>
        <w:rPr>
          <w:spacing w:val="-45"/>
        </w:rPr>
        <w:t> </w:t>
      </w:r>
      <w:r>
        <w:rPr>
          <w:spacing w:val="-45"/>
        </w:rPr>
      </w:r>
      <w:r>
        <w:rPr/>
        <w:t>化水平。</w:t>
      </w:r>
    </w:p>
    <w:p>
      <w:pPr>
        <w:pStyle w:val="BodyText"/>
        <w:spacing w:line="386" w:lineRule="auto" w:before="52"/>
        <w:ind w:left="571" w:right="2501"/>
        <w:jc w:val="left"/>
        <w:rPr>
          <w:rFonts w:ascii="宋体" w:hAnsi="宋体" w:cs="宋体" w:eastAsia="宋体" w:hint="default"/>
        </w:rPr>
      </w:pPr>
      <w:r>
        <w:rPr>
          <w:rFonts w:ascii="Times New Roman" w:hAnsi="Times New Roman" w:cs="Times New Roman" w:eastAsia="Times New Roman" w:hint="default"/>
          <w:spacing w:val="-2"/>
        </w:rPr>
        <w:t>5.</w:t>
      </w:r>
      <w:r>
        <w:rPr>
          <w:spacing w:val="-2"/>
        </w:rPr>
        <w:t>应用于智慧政务及其他领域的产品与信息化整体解决方案</w:t>
      </w:r>
      <w:r>
        <w:rPr>
          <w:spacing w:val="-53"/>
        </w:rPr>
        <w:t> </w:t>
      </w:r>
      <w:r>
        <w:rPr>
          <w:spacing w:val="-53"/>
        </w:rPr>
      </w:r>
      <w:r>
        <w:rPr/>
        <w:t>智慧政务产品及解决方案：</w:t>
      </w:r>
      <w:r>
        <w:rPr>
          <w:rFonts w:ascii="宋体" w:hAnsi="宋体" w:cs="宋体" w:eastAsia="宋体" w:hint="default"/>
        </w:rPr>
        <w:t> </w:t>
      </w:r>
    </w:p>
    <w:p>
      <w:pPr>
        <w:pStyle w:val="BodyText"/>
        <w:spacing w:line="408" w:lineRule="auto" w:before="65"/>
        <w:ind w:left="151" w:right="1129" w:firstLine="420"/>
        <w:jc w:val="both"/>
      </w:pPr>
      <w:r>
        <w:rPr>
          <w:spacing w:val="-2"/>
        </w:rPr>
        <w:t>提供智慧政务服务平台整体解决方案、省级政务大数据共享及民生服务平台系统、省级政法部门信息</w:t>
      </w:r>
      <w:r>
        <w:rPr>
          <w:w w:val="100"/>
        </w:rPr>
        <w:t> </w:t>
      </w:r>
      <w:r>
        <w:rPr>
          <w:spacing w:val="-2"/>
        </w:rPr>
        <w:t>化资源共享平台系统、视频大数据智能检索分析系统等。为智慧人大、智慧政协、智慧组工、智慧统计和</w:t>
      </w:r>
      <w:r>
        <w:rPr>
          <w:spacing w:val="-43"/>
        </w:rPr>
        <w:t> </w:t>
      </w:r>
      <w:r>
        <w:rPr>
          <w:spacing w:val="-43"/>
        </w:rPr>
      </w:r>
      <w:r>
        <w:rPr/>
        <w:t>智慧教育建设提供技术、产品和服务。</w:t>
      </w:r>
    </w:p>
    <w:p>
      <w:pPr>
        <w:pStyle w:val="BodyText"/>
        <w:spacing w:line="403" w:lineRule="auto" w:before="46"/>
        <w:ind w:left="151" w:right="1109" w:firstLine="252"/>
        <w:jc w:val="both"/>
      </w:pPr>
      <w:r>
        <w:rPr/>
        <w:t>（</w:t>
      </w:r>
      <w:r>
        <w:rPr>
          <w:rFonts w:ascii="Times New Roman" w:hAnsi="Times New Roman" w:cs="Times New Roman" w:eastAsia="Times New Roman" w:hint="default"/>
        </w:rPr>
        <w:t>1</w:t>
      </w:r>
      <w:r>
        <w:rPr/>
        <w:t>）智慧组工、智慧人大、智慧政协产品：自主创新、安全可靠为核心，以基础设施为支撑，以标准</w:t>
      </w:r>
      <w:r>
        <w:rPr>
          <w:w w:val="100"/>
        </w:rPr>
        <w:t> </w:t>
      </w:r>
      <w:r>
        <w:rPr>
          <w:spacing w:val="-2"/>
        </w:rPr>
        <w:t>规范和管理机制为保障，以服务党委、人大、政协为中心，通过智慧党建云平台、档案数字化管理系统、</w:t>
      </w:r>
      <w:r>
        <w:rPr>
          <w:spacing w:val="-24"/>
        </w:rPr>
        <w:t> </w:t>
      </w:r>
      <w:r>
        <w:rPr>
          <w:spacing w:val="-24"/>
        </w:rPr>
      </w:r>
      <w:r>
        <w:rPr>
          <w:spacing w:val="-2"/>
        </w:rPr>
        <w:t>干部考察测评系统、干部民主推荐系统、干部任免系统、代表资格审查及人事任免系统、代表履职服务平</w:t>
      </w:r>
      <w:r>
        <w:rPr>
          <w:spacing w:val="-50"/>
        </w:rPr>
        <w:t> </w:t>
      </w:r>
      <w:r>
        <w:rPr>
          <w:spacing w:val="-50"/>
        </w:rPr>
      </w:r>
      <w:r>
        <w:rPr>
          <w:spacing w:val="-2"/>
        </w:rPr>
        <w:t>台、预算决算审查监督系统、常委会速录简报系统、电子阅文系统、委员提案管理系统、委员信息管理系</w:t>
      </w:r>
      <w:r>
        <w:rPr>
          <w:spacing w:val="-43"/>
        </w:rPr>
        <w:t> </w:t>
      </w:r>
      <w:r>
        <w:rPr>
          <w:spacing w:val="-43"/>
        </w:rPr>
      </w:r>
      <w:r>
        <w:rPr/>
        <w:t>统、社情民意管理系统等为客户提供了安全可靠的自主信息化服务。</w:t>
      </w:r>
    </w:p>
    <w:p>
      <w:pPr>
        <w:pStyle w:val="BodyText"/>
        <w:spacing w:line="386" w:lineRule="auto" w:before="50"/>
        <w:ind w:left="151" w:right="1131" w:firstLine="252"/>
        <w:jc w:val="both"/>
      </w:pPr>
      <w:r>
        <w:rPr>
          <w:spacing w:val="-1"/>
        </w:rPr>
        <w:t>（</w:t>
      </w:r>
      <w:r>
        <w:rPr>
          <w:rFonts w:ascii="Times New Roman" w:hAnsi="Times New Roman" w:cs="Times New Roman" w:eastAsia="Times New Roman" w:hint="default"/>
          <w:spacing w:val="-1"/>
        </w:rPr>
        <w:t>2</w:t>
      </w:r>
      <w:r>
        <w:rPr>
          <w:spacing w:val="-1"/>
        </w:rPr>
        <w:t>）政务大数据统计与挖掘分析产品：提供统计大数据系统、区域经济大数据管理平台等相关产品与</w:t>
      </w:r>
      <w:r>
        <w:rPr>
          <w:w w:val="100"/>
        </w:rPr>
        <w:t> </w:t>
      </w:r>
      <w:r>
        <w:rPr>
          <w:spacing w:val="-2"/>
        </w:rPr>
        <w:t>解决方案，运用人工智能、大数据等新一代信息技术有效提升统计、发改等政府部门的业务工作效率，全</w:t>
      </w:r>
    </w:p>
    <w:p>
      <w:pPr>
        <w:spacing w:after="0" w:line="386" w:lineRule="auto"/>
        <w:jc w:val="both"/>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left="656" w:right="1129" w:hanging="505"/>
        <w:jc w:val="left"/>
      </w:pPr>
      <w:r>
        <w:rPr>
          <w:spacing w:val="-2"/>
        </w:rPr>
        <w:t>面支撑统计部门全领域改革试点、地方政府营商环境提升，助力社会经济高质量发展。</w:t>
      </w:r>
      <w:r>
        <w:rPr>
          <w:spacing w:val="-32"/>
        </w:rPr>
        <w:t> </w:t>
      </w:r>
      <w:r>
        <w:rPr>
          <w:spacing w:val="-32"/>
        </w:rPr>
      </w:r>
      <w:r>
        <w:rPr/>
        <w:t>其他领域的产品与解决方案：</w:t>
      </w:r>
    </w:p>
    <w:p>
      <w:pPr>
        <w:pStyle w:val="BodyText"/>
        <w:spacing w:line="398" w:lineRule="auto" w:before="46"/>
        <w:ind w:left="153" w:right="0" w:firstLine="419"/>
        <w:jc w:val="left"/>
      </w:pPr>
      <w:r>
        <w:rPr>
          <w:spacing w:val="-6"/>
        </w:rPr>
        <w:t>（</w:t>
      </w:r>
      <w:r>
        <w:rPr>
          <w:rFonts w:ascii="Times New Roman" w:hAnsi="Times New Roman" w:cs="Times New Roman" w:eastAsia="Times New Roman" w:hint="default"/>
          <w:spacing w:val="-6"/>
        </w:rPr>
        <w:t>1</w:t>
      </w:r>
      <w:r>
        <w:rPr>
          <w:spacing w:val="-6"/>
        </w:rPr>
        <w:t>）智慧医疗产品：临床超声模拟教学产品包括</w:t>
      </w:r>
      <w:r>
        <w:rPr>
          <w:rFonts w:ascii="Times New Roman" w:hAnsi="Times New Roman" w:cs="Times New Roman" w:eastAsia="Times New Roman" w:hint="default"/>
          <w:spacing w:val="-6"/>
        </w:rPr>
        <w:t>“</w:t>
      </w:r>
      <w:r>
        <w:rPr>
          <w:spacing w:val="-6"/>
        </w:rPr>
        <w:t>经食管超声模拟教学系统</w:t>
      </w:r>
      <w:r>
        <w:rPr>
          <w:rFonts w:ascii="Times New Roman" w:hAnsi="Times New Roman" w:cs="Times New Roman" w:eastAsia="Times New Roman" w:hint="default"/>
          <w:spacing w:val="-6"/>
        </w:rPr>
        <w:t>”</w:t>
      </w:r>
      <w:r>
        <w:rPr>
          <w:spacing w:val="-6"/>
        </w:rPr>
        <w:t>、</w:t>
      </w:r>
      <w:r>
        <w:rPr>
          <w:rFonts w:ascii="Times New Roman" w:hAnsi="Times New Roman" w:cs="Times New Roman" w:eastAsia="Times New Roman" w:hint="default"/>
          <w:spacing w:val="-6"/>
        </w:rPr>
        <w:t>“</w:t>
      </w:r>
      <w:r>
        <w:rPr>
          <w:spacing w:val="-6"/>
        </w:rPr>
        <w:t>数字人断层解剖系统</w:t>
      </w:r>
      <w:r>
        <w:rPr>
          <w:rFonts w:ascii="Times New Roman" w:hAnsi="Times New Roman" w:cs="Times New Roman" w:eastAsia="Times New Roman" w:hint="default"/>
          <w:spacing w:val="-6"/>
        </w:rPr>
        <w:t>”</w:t>
      </w:r>
      <w:r>
        <w:rPr>
          <w:spacing w:val="-6"/>
        </w:rPr>
        <w:t>，</w:t>
      </w:r>
      <w:r>
        <w:rPr>
          <w:w w:val="100"/>
        </w:rPr>
        <w:t> </w:t>
      </w:r>
      <w:r>
        <w:rPr>
          <w:spacing w:val="-2"/>
        </w:rPr>
        <w:t>这两款产品已形成完整的临床超声技能培训体系。通过人机交互、人网互动等功能，帮助医疗系统学员更</w:t>
      </w:r>
      <w:r>
        <w:rPr>
          <w:spacing w:val="-43"/>
        </w:rPr>
        <w:t> </w:t>
      </w:r>
      <w:r>
        <w:rPr>
          <w:spacing w:val="-43"/>
        </w:rPr>
      </w:r>
      <w:r>
        <w:rPr/>
        <w:t>快掌握临床超声技能，培养临床思维。</w:t>
      </w:r>
    </w:p>
    <w:p>
      <w:pPr>
        <w:pStyle w:val="BodyText"/>
        <w:spacing w:line="386" w:lineRule="auto" w:before="54"/>
        <w:ind w:left="153" w:right="0" w:firstLine="420"/>
        <w:jc w:val="left"/>
      </w:pPr>
      <w:r>
        <w:rPr/>
        <w:t>（</w:t>
      </w:r>
      <w:r>
        <w:rPr>
          <w:rFonts w:ascii="Times New Roman" w:hAnsi="Times New Roman" w:cs="Times New Roman" w:eastAsia="Times New Roman" w:hint="default"/>
        </w:rPr>
        <w:t>2</w:t>
      </w:r>
      <w:r>
        <w:rPr/>
        <w:t>）其他领域的检测产品：卡片质量检测系统、膜卷类产品质量检测系统、电子玻璃形状测定仪、</w:t>
      </w:r>
      <w:r>
        <w:rPr>
          <w:w w:val="100"/>
        </w:rPr>
        <w:t> </w:t>
      </w:r>
      <w:r>
        <w:rPr/>
        <w:t>玻璃质量检查机、</w:t>
      </w:r>
      <w:r>
        <w:rPr>
          <w:rFonts w:ascii="Times New Roman" w:hAnsi="Times New Roman" w:cs="Times New Roman" w:eastAsia="Times New Roman" w:hint="default"/>
        </w:rPr>
        <w:t>RFID</w:t>
      </w:r>
      <w:r>
        <w:rPr/>
        <w:t>高柔性天线检测系统等。</w:t>
      </w:r>
    </w:p>
    <w:p>
      <w:pPr>
        <w:pStyle w:val="BodyText"/>
        <w:spacing w:line="403" w:lineRule="auto" w:before="35"/>
        <w:ind w:right="1128" w:firstLine="420"/>
        <w:jc w:val="both"/>
      </w:pPr>
      <w:r>
        <w:rPr>
          <w:spacing w:val="-2"/>
        </w:rPr>
        <w:t>报告期内，公司在智慧政务相关领域已成功实施和交付了多个市级、区县级的信息化项目。政务大数</w:t>
      </w:r>
      <w:r>
        <w:rPr>
          <w:spacing w:val="-3"/>
          <w:w w:val="100"/>
        </w:rPr>
        <w:t> </w:t>
      </w:r>
      <w:r>
        <w:rPr>
          <w:spacing w:val="-2"/>
        </w:rPr>
        <w:t>据统计与挖掘分析成功支撑了</w:t>
      </w:r>
      <w:r>
        <w:rPr>
          <w:rFonts w:ascii="Times New Roman" w:hAnsi="Times New Roman" w:cs="Times New Roman" w:eastAsia="Times New Roman" w:hint="default"/>
          <w:spacing w:val="-2"/>
        </w:rPr>
        <w:t>“</w:t>
      </w:r>
      <w:r>
        <w:rPr>
          <w:spacing w:val="-2"/>
        </w:rPr>
        <w:t>全国第四次经济普查</w:t>
      </w:r>
      <w:r>
        <w:rPr>
          <w:rFonts w:ascii="Times New Roman" w:hAnsi="Times New Roman" w:cs="Times New Roman" w:eastAsia="Times New Roman" w:hint="default"/>
          <w:spacing w:val="-2"/>
        </w:rPr>
        <w:t>”</w:t>
      </w:r>
      <w:r>
        <w:rPr>
          <w:spacing w:val="-2"/>
        </w:rPr>
        <w:t>等行业内重要工作，相关系统成功接入四川省成都市</w:t>
      </w:r>
      <w:r>
        <w:rPr>
          <w:spacing w:val="-19"/>
        </w:rPr>
        <w:t> </w:t>
      </w:r>
      <w:r>
        <w:rPr>
          <w:spacing w:val="-19"/>
        </w:rPr>
      </w:r>
      <w:r>
        <w:rPr>
          <w:rFonts w:ascii="Times New Roman" w:hAnsi="Times New Roman" w:cs="Times New Roman" w:eastAsia="Times New Roman" w:hint="default"/>
          <w:spacing w:val="-2"/>
        </w:rPr>
        <w:t>“</w:t>
      </w:r>
      <w:r>
        <w:rPr>
          <w:spacing w:val="-2"/>
        </w:rPr>
        <w:t>智慧治理中心</w:t>
      </w:r>
      <w:r>
        <w:rPr>
          <w:rFonts w:ascii="Times New Roman" w:hAnsi="Times New Roman" w:cs="Times New Roman" w:eastAsia="Times New Roman" w:hint="default"/>
          <w:spacing w:val="-2"/>
        </w:rPr>
        <w:t>”</w:t>
      </w:r>
      <w:r>
        <w:rPr>
          <w:spacing w:val="-2"/>
        </w:rPr>
        <w:t>，项目建设水平及业务价值得到了行业客户的高度认可。国家、省、市等各级政府部门参</w:t>
      </w:r>
      <w:r>
        <w:rPr>
          <w:spacing w:val="-17"/>
        </w:rPr>
        <w:t> </w:t>
      </w:r>
      <w:r>
        <w:rPr>
          <w:spacing w:val="-17"/>
        </w:rPr>
      </w:r>
      <w:r>
        <w:rPr>
          <w:spacing w:val="-2"/>
        </w:rPr>
        <w:t>观考察公司相关系统（项目）数十次，均给予充分肯定和好评，形成了良好的品牌效应。公司还成功研发</w:t>
      </w:r>
      <w:r>
        <w:rPr>
          <w:spacing w:val="-43"/>
        </w:rPr>
        <w:t> </w:t>
      </w:r>
      <w:r>
        <w:rPr>
          <w:spacing w:val="-43"/>
        </w:rPr>
      </w:r>
      <w:r>
        <w:rPr/>
        <w:t>了</w:t>
      </w:r>
      <w:r>
        <w:rPr>
          <w:rFonts w:ascii="Times New Roman" w:hAnsi="Times New Roman" w:cs="Times New Roman" w:eastAsia="Times New Roman" w:hint="default"/>
        </w:rPr>
        <w:t>“</w:t>
      </w:r>
      <w:r>
        <w:rPr/>
        <w:t>企业健康指数</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企业贡献指数</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大数据可视化</w:t>
      </w:r>
      <w:r>
        <w:rPr>
          <w:rFonts w:ascii="Times New Roman" w:hAnsi="Times New Roman" w:cs="Times New Roman" w:eastAsia="Times New Roman" w:hint="default"/>
        </w:rPr>
        <w:t>”</w:t>
      </w:r>
      <w:r>
        <w:rPr/>
        <w:t>等相关产品（算法模型），为未来市场核心竞争力</w:t>
      </w:r>
      <w:r>
        <w:rPr>
          <w:spacing w:val="-63"/>
        </w:rPr>
        <w:t> </w:t>
      </w:r>
      <w:r>
        <w:rPr>
          <w:spacing w:val="-63"/>
        </w:rPr>
      </w:r>
      <w:r>
        <w:rPr>
          <w:spacing w:val="-2"/>
        </w:rPr>
        <w:t>的打造奠定了良好的基础。虚拟仿真医疗教学系统在市场拓展方面取得了较大突破。经食管超声模拟教学</w:t>
      </w:r>
      <w:r>
        <w:rPr>
          <w:spacing w:val="-42"/>
        </w:rPr>
        <w:t> </w:t>
      </w:r>
      <w:r>
        <w:rPr>
          <w:spacing w:val="-42"/>
        </w:rPr>
      </w:r>
      <w:r>
        <w:rPr>
          <w:spacing w:val="-2"/>
        </w:rPr>
        <w:t>系统继在上海、深圳、甘肃等地的多家三甲医院实现推广销售之后，又成功开辟四川、河南市场。数字人</w:t>
      </w:r>
      <w:r>
        <w:rPr>
          <w:spacing w:val="-43"/>
        </w:rPr>
        <w:t> </w:t>
      </w:r>
      <w:r>
        <w:rPr>
          <w:spacing w:val="-43"/>
        </w:rPr>
      </w:r>
      <w:r>
        <w:rPr>
          <w:spacing w:val="-2"/>
        </w:rPr>
        <w:t>断层解剖教学系统在全国各大医院持续举办了临床超声培训班，成效良好，除开辟四川市场外，将持续开</w:t>
      </w:r>
      <w:r>
        <w:rPr>
          <w:spacing w:val="-42"/>
        </w:rPr>
        <w:t> </w:t>
      </w:r>
      <w:r>
        <w:rPr>
          <w:spacing w:val="-42"/>
        </w:rPr>
      </w:r>
      <w:r>
        <w:rPr>
          <w:spacing w:val="-2"/>
        </w:rPr>
        <w:t>拓上海、深圳、甘肃、河南、内蒙古等地市场。围术期人体基本生命功能智能化动态监测和调控解决方案</w:t>
      </w:r>
      <w:r>
        <w:rPr>
          <w:spacing w:val="-43"/>
        </w:rPr>
        <w:t> </w:t>
      </w:r>
      <w:r>
        <w:rPr>
          <w:spacing w:val="-43"/>
        </w:rPr>
      </w:r>
      <w:r>
        <w:rPr>
          <w:spacing w:val="-2"/>
        </w:rPr>
        <w:t>相继问世，且达到国际先进水平，已开始进入临床试验、产品注册阶段。卡片质量与电子玻璃检测系统逐</w:t>
      </w:r>
      <w:r>
        <w:rPr>
          <w:spacing w:val="-47"/>
        </w:rPr>
        <w:t> </w:t>
      </w:r>
      <w:r>
        <w:rPr>
          <w:spacing w:val="-47"/>
        </w:rPr>
      </w:r>
      <w:r>
        <w:rPr/>
        <w:t>步占领国内外中高端企业市场，膜卷类检测设备已经得到客户的认可，销售渠道逐步打开。</w:t>
      </w:r>
    </w:p>
    <w:p>
      <w:pPr>
        <w:pStyle w:val="BodyText"/>
        <w:spacing w:line="408" w:lineRule="auto" w:before="50"/>
        <w:ind w:left="572" w:right="0" w:hanging="168"/>
        <w:jc w:val="left"/>
      </w:pPr>
      <w:r>
        <w:rPr>
          <w:rFonts w:ascii="宋体" w:hAnsi="宋体" w:cs="宋体" w:eastAsia="宋体" w:hint="default"/>
          <w:b/>
          <w:bCs/>
        </w:rPr>
        <w:t>（三）主要经营模式</w:t>
      </w:r>
      <w:r>
        <w:rPr>
          <w:rFonts w:ascii="宋体" w:hAnsi="宋体" w:cs="宋体" w:eastAsia="宋体" w:hint="default"/>
          <w:b/>
          <w:bCs/>
          <w:spacing w:val="-103"/>
        </w:rPr>
        <w:t> </w:t>
      </w:r>
      <w:r>
        <w:rPr>
          <w:spacing w:val="-2"/>
        </w:rPr>
        <w:t>公司主要以承接各类客户的信息化项目的形式开展业务。客户根据所实施信息化项目的具体情况，一</w:t>
      </w:r>
    </w:p>
    <w:p>
      <w:pPr>
        <w:pStyle w:val="BodyText"/>
        <w:spacing w:line="408" w:lineRule="auto" w:before="46"/>
        <w:ind w:right="1128"/>
        <w:jc w:val="both"/>
      </w:pPr>
      <w:r>
        <w:rPr>
          <w:spacing w:val="-2"/>
        </w:rPr>
        <w:t>般以公开招标、邀请投标或单一来源采购谈判等方式选择供应商，招投标也是公司获取信息化项目业务的</w:t>
      </w:r>
      <w:r>
        <w:rPr>
          <w:spacing w:val="-42"/>
        </w:rPr>
        <w:t> </w:t>
      </w:r>
      <w:r>
        <w:rPr>
          <w:spacing w:val="-42"/>
        </w:rPr>
      </w:r>
      <w:r>
        <w:rPr>
          <w:spacing w:val="-2"/>
        </w:rPr>
        <w:t>主要方式。公司依据客户招标文件的要求，对客户所实施项目进行技术方案设计、软硬件系统配置、交付</w:t>
      </w:r>
      <w:r>
        <w:rPr>
          <w:spacing w:val="-47"/>
        </w:rPr>
        <w:t> </w:t>
      </w:r>
      <w:r>
        <w:rPr>
          <w:spacing w:val="-47"/>
        </w:rPr>
      </w:r>
      <w:r>
        <w:rPr>
          <w:spacing w:val="-2"/>
        </w:rPr>
        <w:t>方案制定、人员投入计划、实施费用估算等实质内容进行公开响应并参与投标比选。项目中标后公司与客</w:t>
      </w:r>
      <w:r>
        <w:rPr>
          <w:spacing w:val="-44"/>
        </w:rPr>
        <w:t> </w:t>
      </w:r>
      <w:r>
        <w:rPr>
          <w:spacing w:val="-44"/>
        </w:rPr>
      </w:r>
      <w:r>
        <w:rPr>
          <w:spacing w:val="-2"/>
        </w:rPr>
        <w:t>户签订正式的销售合同，各事业部组织项目组开展项目方案优化、技术开发、软硬件采购、安装实施、使</w:t>
      </w:r>
      <w:r>
        <w:rPr>
          <w:spacing w:val="-43"/>
        </w:rPr>
        <w:t> </w:t>
      </w:r>
      <w:r>
        <w:rPr>
          <w:spacing w:val="-43"/>
        </w:rPr>
      </w:r>
      <w:r>
        <w:rPr/>
        <w:t>用培训等工作，然后交付客户测试运行、验收。</w:t>
      </w:r>
    </w:p>
    <w:p>
      <w:pPr>
        <w:pStyle w:val="BodyText"/>
        <w:spacing w:line="484" w:lineRule="auto" w:before="166"/>
        <w:ind w:left="572" w:right="5725"/>
        <w:jc w:val="left"/>
      </w:pPr>
      <w:r>
        <w:rPr>
          <w:rFonts w:ascii="Times New Roman" w:hAnsi="Times New Roman" w:cs="Times New Roman" w:eastAsia="Times New Roman" w:hint="default"/>
        </w:rPr>
        <w:t>1.</w:t>
      </w:r>
      <w:r>
        <w:rPr/>
        <w:t>销售模式</w:t>
      </w:r>
      <w:r>
        <w:rPr>
          <w:spacing w:val="-103"/>
        </w:rPr>
        <w:t> </w:t>
      </w:r>
      <w:r>
        <w:rPr>
          <w:spacing w:val="-103"/>
        </w:rPr>
      </w:r>
      <w:r>
        <w:rPr>
          <w:spacing w:val="-2"/>
        </w:rPr>
        <w:t>公司销售为直销方式，具体主要流程如下：</w:t>
      </w:r>
    </w:p>
    <w:p>
      <w:pPr>
        <w:pStyle w:val="BodyText"/>
        <w:spacing w:line="386" w:lineRule="auto" w:before="99"/>
        <w:ind w:right="0" w:firstLine="419"/>
        <w:jc w:val="left"/>
      </w:pPr>
      <w:r>
        <w:rPr>
          <w:spacing w:val="-2"/>
        </w:rPr>
        <w:t>（</w:t>
      </w:r>
      <w:r>
        <w:rPr>
          <w:rFonts w:ascii="Times New Roman" w:hAnsi="Times New Roman" w:cs="Times New Roman" w:eastAsia="Times New Roman" w:hint="default"/>
          <w:spacing w:val="-2"/>
        </w:rPr>
        <w:t>1</w:t>
      </w:r>
      <w:r>
        <w:rPr>
          <w:spacing w:val="-2"/>
        </w:rPr>
        <w:t>）销售人员通过直访、项目信息发布平台、合作伙伴、设备供应商和业主邀标等多种形式获得项</w:t>
      </w:r>
      <w:r>
        <w:rPr>
          <w:w w:val="100"/>
        </w:rPr>
        <w:t> </w:t>
      </w:r>
      <w:r>
        <w:rPr/>
        <w:t>目销售线索，由公司进行销售线索的筛选和分配；</w:t>
      </w:r>
    </w:p>
    <w:p>
      <w:pPr>
        <w:spacing w:after="0" w:line="386"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left="572" w:right="0"/>
        <w:jc w:val="left"/>
      </w:pPr>
      <w:r>
        <w:rPr/>
        <w:t>（</w:t>
      </w:r>
      <w:r>
        <w:rPr>
          <w:rFonts w:ascii="Times New Roman" w:hAnsi="Times New Roman" w:cs="Times New Roman" w:eastAsia="Times New Roman" w:hint="default"/>
        </w:rPr>
        <w:t>2</w:t>
      </w:r>
      <w:r>
        <w:rPr/>
        <w:t>）项目负责人组织销售团队了解和分析客户需求，制定解决方案并与客户进行沟通、技术交流；</w:t>
      </w:r>
    </w:p>
    <w:p>
      <w:pPr>
        <w:spacing w:line="240" w:lineRule="auto" w:before="9"/>
        <w:rPr>
          <w:rFonts w:ascii="宋体" w:hAnsi="宋体" w:cs="宋体" w:eastAsia="宋体" w:hint="default"/>
          <w:sz w:val="22"/>
          <w:szCs w:val="22"/>
        </w:rPr>
      </w:pPr>
    </w:p>
    <w:p>
      <w:pPr>
        <w:pStyle w:val="BodyText"/>
        <w:spacing w:line="240" w:lineRule="auto"/>
        <w:ind w:left="572" w:right="0"/>
        <w:jc w:val="left"/>
      </w:pPr>
      <w:r>
        <w:rPr/>
        <w:t>（</w:t>
      </w:r>
      <w:r>
        <w:rPr>
          <w:rFonts w:ascii="Times New Roman" w:hAnsi="Times New Roman" w:cs="Times New Roman" w:eastAsia="Times New Roman" w:hint="default"/>
        </w:rPr>
        <w:t>3</w:t>
      </w:r>
      <w:r>
        <w:rPr/>
        <w:t>）参加客户或客户委托招标代理机构组织的公开招标或邀请投标或单一来源采购谈判；</w:t>
      </w:r>
    </w:p>
    <w:p>
      <w:pPr>
        <w:spacing w:line="240" w:lineRule="auto" w:before="9"/>
        <w:rPr>
          <w:rFonts w:ascii="宋体" w:hAnsi="宋体" w:cs="宋体" w:eastAsia="宋体" w:hint="default"/>
          <w:sz w:val="22"/>
          <w:szCs w:val="22"/>
        </w:rPr>
      </w:pPr>
    </w:p>
    <w:p>
      <w:pPr>
        <w:pStyle w:val="BodyText"/>
        <w:spacing w:line="484" w:lineRule="auto"/>
        <w:ind w:left="572" w:right="1129"/>
        <w:jc w:val="left"/>
      </w:pPr>
      <w:r>
        <w:rPr>
          <w:spacing w:val="-2"/>
        </w:rPr>
        <w:t>（</w:t>
      </w:r>
      <w:r>
        <w:rPr>
          <w:rFonts w:ascii="Times New Roman" w:hAnsi="Times New Roman" w:cs="Times New Roman" w:eastAsia="Times New Roman" w:hint="default"/>
          <w:spacing w:val="-2"/>
        </w:rPr>
        <w:t>4</w:t>
      </w:r>
      <w:r>
        <w:rPr>
          <w:spacing w:val="-2"/>
        </w:rPr>
        <w:t>）中标后依据投标文件与业主方进行合同商谈，并最终签订销售合同。</w:t>
      </w:r>
      <w:r>
        <w:rPr>
          <w:spacing w:val="-48"/>
        </w:rPr>
        <w:t> </w:t>
      </w:r>
      <w:r>
        <w:rPr>
          <w:spacing w:val="-48"/>
        </w:rPr>
      </w:r>
      <w:r>
        <w:rPr/>
        <w:t>公司各类业务的定价方式如下：</w:t>
      </w:r>
    </w:p>
    <w:p>
      <w:pPr>
        <w:pStyle w:val="BodyText"/>
        <w:spacing w:line="240" w:lineRule="auto" w:before="99"/>
        <w:ind w:left="632" w:right="0"/>
        <w:jc w:val="left"/>
      </w:pPr>
      <w:r>
        <w:rPr/>
        <w:t>①信息化解决方案</w:t>
      </w:r>
    </w:p>
    <w:p>
      <w:pPr>
        <w:spacing w:line="240" w:lineRule="auto" w:before="12"/>
        <w:rPr>
          <w:rFonts w:ascii="宋体" w:hAnsi="宋体" w:cs="宋体" w:eastAsia="宋体" w:hint="default"/>
          <w:sz w:val="23"/>
          <w:szCs w:val="23"/>
        </w:rPr>
      </w:pPr>
    </w:p>
    <w:p>
      <w:pPr>
        <w:pStyle w:val="BodyText"/>
        <w:spacing w:line="408" w:lineRule="auto"/>
        <w:ind w:right="1128" w:firstLine="420"/>
        <w:jc w:val="both"/>
      </w:pPr>
      <w:r>
        <w:rPr>
          <w:spacing w:val="-2"/>
        </w:rPr>
        <w:t>公司信息化解决方案是以客户的需求为出发点，以采购和集成部分设备或平台为基础，融入公司技术</w:t>
      </w:r>
      <w:r>
        <w:rPr>
          <w:w w:val="100"/>
        </w:rPr>
        <w:t> </w:t>
      </w:r>
      <w:r>
        <w:rPr>
          <w:spacing w:val="-3"/>
        </w:rPr>
        <w:t>或成果，形成满足客户需求的产品，为客户完成解决方案的部署和实施，完成产品交付。公司在综合考虑</w:t>
      </w:r>
      <w:r>
        <w:rPr>
          <w:spacing w:val="-5"/>
        </w:rPr>
        <w:t> </w:t>
      </w:r>
      <w:r>
        <w:rPr>
          <w:spacing w:val="-5"/>
        </w:rPr>
      </w:r>
      <w:r>
        <w:rPr>
          <w:spacing w:val="-2"/>
        </w:rPr>
        <w:t>采购成本和实施人员成本，公司融入技术成果的数量和实现难易程度等多种因素后，通过市场公开投标等</w:t>
      </w:r>
      <w:r>
        <w:rPr>
          <w:spacing w:val="-42"/>
        </w:rPr>
        <w:t> </w:t>
      </w:r>
      <w:r>
        <w:rPr>
          <w:spacing w:val="-42"/>
        </w:rPr>
      </w:r>
      <w:r>
        <w:rPr/>
        <w:t>方式最终确定销售价格。</w:t>
      </w:r>
    </w:p>
    <w:p>
      <w:pPr>
        <w:pStyle w:val="BodyText"/>
        <w:spacing w:line="240" w:lineRule="auto" w:before="166"/>
        <w:ind w:left="825" w:right="0"/>
        <w:jc w:val="left"/>
      </w:pPr>
      <w:r>
        <w:rPr/>
        <w:t>②技术服务与开发</w:t>
      </w:r>
    </w:p>
    <w:p>
      <w:pPr>
        <w:spacing w:line="240" w:lineRule="auto" w:before="12"/>
        <w:rPr>
          <w:rFonts w:ascii="宋体" w:hAnsi="宋体" w:cs="宋体" w:eastAsia="宋体" w:hint="default"/>
          <w:sz w:val="23"/>
          <w:szCs w:val="23"/>
        </w:rPr>
      </w:pPr>
    </w:p>
    <w:p>
      <w:pPr>
        <w:pStyle w:val="BodyText"/>
        <w:spacing w:line="408" w:lineRule="auto"/>
        <w:ind w:right="1128" w:firstLine="420"/>
        <w:jc w:val="both"/>
      </w:pPr>
      <w:r>
        <w:rPr>
          <w:spacing w:val="-2"/>
        </w:rPr>
        <w:t>技术服务与开发主要是以公司自有核心技术或专有能力为主要内容，以客户的需求为目标，为客户提</w:t>
      </w:r>
      <w:r>
        <w:rPr>
          <w:w w:val="100"/>
        </w:rPr>
        <w:t> </w:t>
      </w:r>
      <w:r>
        <w:rPr>
          <w:spacing w:val="-2"/>
        </w:rPr>
        <w:t>供定制化的产品或服务，最终以提供专有产品或特定服务为形态完成交付。其定价方式综合考量了所使用</w:t>
      </w:r>
      <w:r>
        <w:rPr>
          <w:spacing w:val="-42"/>
        </w:rPr>
        <w:t> </w:t>
      </w:r>
      <w:r>
        <w:rPr>
          <w:spacing w:val="-42"/>
        </w:rPr>
      </w:r>
      <w:r>
        <w:rPr>
          <w:spacing w:val="-2"/>
        </w:rPr>
        <w:t>核心技术或专有能力的价值，完成具体产品或服务的人员成本，通过市场公开投标等方式最终确定销售价</w:t>
      </w:r>
      <w:r>
        <w:rPr>
          <w:spacing w:val="-42"/>
        </w:rPr>
        <w:t> </w:t>
      </w:r>
      <w:r>
        <w:rPr>
          <w:spacing w:val="-42"/>
        </w:rPr>
      </w:r>
      <w:r>
        <w:rPr/>
        <w:t>格。</w:t>
      </w:r>
    </w:p>
    <w:p>
      <w:pPr>
        <w:pStyle w:val="BodyText"/>
        <w:spacing w:line="484" w:lineRule="auto" w:before="166"/>
        <w:ind w:left="572" w:right="0" w:firstLine="252"/>
        <w:jc w:val="left"/>
      </w:pPr>
      <w:r>
        <w:rPr>
          <w:rFonts w:ascii="Times New Roman" w:hAnsi="Times New Roman" w:cs="Times New Roman" w:eastAsia="Times New Roman" w:hint="default"/>
        </w:rPr>
        <w:t>2.</w:t>
      </w:r>
      <w:r>
        <w:rPr/>
        <w:t>生产及服务模式</w:t>
      </w:r>
      <w:r>
        <w:rPr>
          <w:w w:val="100"/>
        </w:rPr>
        <w:t> </w:t>
      </w:r>
      <w:r>
        <w:rPr>
          <w:spacing w:val="-5"/>
        </w:rPr>
        <w:t>公司信息化业务主要以承接项目形式开展，并分为两类：信息化解决方案项目、技术服务与开发项目。</w:t>
      </w:r>
    </w:p>
    <w:p>
      <w:pPr>
        <w:pStyle w:val="BodyText"/>
        <w:spacing w:line="254" w:lineRule="exact"/>
        <w:ind w:right="0"/>
        <w:jc w:val="left"/>
      </w:pPr>
      <w:r>
        <w:rPr/>
        <w:t>具体如下：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before="36"/>
        <w:ind w:left="0" w:right="1735"/>
        <w:jc w:val="right"/>
      </w:pPr>
      <w:r>
        <w:rPr/>
        <w:pict>
          <v:shape style="position:absolute;margin-left:89.279999pt;margin-top:-29.25634pt;width:417.25pt;height:126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38"/>
                    <w:gridCol w:w="6463"/>
                  </w:tblGrid>
                  <w:tr>
                    <w:trPr>
                      <w:trHeight w:val="518" w:hRule="exact"/>
                    </w:trPr>
                    <w:tc>
                      <w:tcPr>
                        <w:tcW w:w="1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6"/>
                          <w:ind w:left="1" w:right="0"/>
                          <w:jc w:val="center"/>
                          <w:rPr>
                            <w:rFonts w:ascii="宋体" w:hAnsi="宋体" w:cs="宋体" w:eastAsia="宋体" w:hint="default"/>
                            <w:sz w:val="21"/>
                            <w:szCs w:val="21"/>
                          </w:rPr>
                        </w:pPr>
                        <w:r>
                          <w:rPr>
                            <w:rFonts w:ascii="宋体" w:hAnsi="宋体" w:cs="宋体" w:eastAsia="宋体" w:hint="default"/>
                            <w:sz w:val="21"/>
                            <w:szCs w:val="21"/>
                          </w:rPr>
                          <w:t>项目类型</w:t>
                        </w:r>
                      </w:p>
                    </w:tc>
                    <w:tc>
                      <w:tcPr>
                        <w:tcW w:w="64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6"/>
                          <w:ind w:left="4" w:right="0"/>
                          <w:jc w:val="center"/>
                          <w:rPr>
                            <w:rFonts w:ascii="宋体" w:hAnsi="宋体" w:cs="宋体" w:eastAsia="宋体" w:hint="default"/>
                            <w:sz w:val="21"/>
                            <w:szCs w:val="21"/>
                          </w:rPr>
                        </w:pPr>
                        <w:r>
                          <w:rPr>
                            <w:rFonts w:ascii="宋体" w:hAnsi="宋体" w:cs="宋体" w:eastAsia="宋体" w:hint="default"/>
                            <w:sz w:val="21"/>
                            <w:szCs w:val="21"/>
                          </w:rPr>
                          <w:t>工作内容</w:t>
                        </w:r>
                      </w:p>
                    </w:tc>
                  </w:tr>
                  <w:tr>
                    <w:trPr>
                      <w:trHeight w:val="1454" w:hRule="exact"/>
                    </w:trPr>
                    <w:tc>
                      <w:tcPr>
                        <w:tcW w:w="1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4"/>
                          <w:ind w:left="4" w:right="0"/>
                          <w:jc w:val="center"/>
                          <w:rPr>
                            <w:rFonts w:ascii="宋体" w:hAnsi="宋体" w:cs="宋体" w:eastAsia="宋体" w:hint="default"/>
                            <w:sz w:val="21"/>
                            <w:szCs w:val="21"/>
                          </w:rPr>
                        </w:pPr>
                        <w:r>
                          <w:rPr>
                            <w:rFonts w:ascii="宋体" w:hAnsi="宋体" w:cs="宋体" w:eastAsia="宋体" w:hint="default"/>
                            <w:sz w:val="21"/>
                            <w:szCs w:val="21"/>
                          </w:rPr>
                          <w:t>信息化解决方案</w:t>
                        </w:r>
                      </w:p>
                    </w:tc>
                    <w:tc>
                      <w:tcPr>
                        <w:tcW w:w="6463" w:type="dxa"/>
                        <w:tcBorders>
                          <w:top w:val="single" w:sz="12" w:space="0" w:color="000000"/>
                          <w:left w:val="single" w:sz="12" w:space="0" w:color="000000"/>
                          <w:bottom w:val="single" w:sz="12" w:space="0" w:color="000000"/>
                          <w:right w:val="single" w:sz="12" w:space="0" w:color="000000"/>
                        </w:tcBorders>
                      </w:tcPr>
                      <w:p>
                        <w:pPr>
                          <w:pStyle w:val="TableParagraph"/>
                          <w:spacing w:line="408" w:lineRule="auto" w:before="74"/>
                          <w:ind w:left="2" w:right="-5"/>
                          <w:jc w:val="left"/>
                          <w:rPr>
                            <w:rFonts w:ascii="宋体" w:hAnsi="宋体" w:cs="宋体" w:eastAsia="宋体" w:hint="default"/>
                            <w:sz w:val="21"/>
                            <w:szCs w:val="21"/>
                          </w:rPr>
                        </w:pPr>
                        <w:r>
                          <w:rPr>
                            <w:rFonts w:ascii="宋体" w:hAnsi="宋体" w:cs="宋体" w:eastAsia="宋体" w:hint="default"/>
                            <w:sz w:val="21"/>
                            <w:szCs w:val="21"/>
                          </w:rPr>
                          <w:t>主要包括信息化系统的方案设计、软件开发、软硬件平台和设备部署</w:t>
                        </w:r>
                        <w:r>
                          <w:rPr>
                            <w:rFonts w:ascii="宋体" w:hAnsi="宋体" w:cs="宋体" w:eastAsia="宋体" w:hint="default"/>
                            <w:w w:val="100"/>
                            <w:sz w:val="21"/>
                            <w:szCs w:val="21"/>
                          </w:rPr>
                          <w:t> </w:t>
                        </w:r>
                        <w:r>
                          <w:rPr>
                            <w:rFonts w:ascii="宋体" w:hAnsi="宋体" w:cs="宋体" w:eastAsia="宋体" w:hint="default"/>
                            <w:spacing w:val="-4"/>
                            <w:sz w:val="21"/>
                            <w:szCs w:val="21"/>
                          </w:rPr>
                          <w:t>辅助设备及材料的采购、安装和调试工作，部分项目还包括工程施工建</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设内容。</w:t>
                        </w:r>
                      </w:p>
                    </w:tc>
                  </w:tr>
                  <w:tr>
                    <w:trPr>
                      <w:trHeight w:val="518" w:hRule="exact"/>
                    </w:trPr>
                    <w:tc>
                      <w:tcPr>
                        <w:tcW w:w="1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4"/>
                          <w:ind w:left="4" w:right="0"/>
                          <w:jc w:val="center"/>
                          <w:rPr>
                            <w:rFonts w:ascii="宋体" w:hAnsi="宋体" w:cs="宋体" w:eastAsia="宋体" w:hint="default"/>
                            <w:sz w:val="21"/>
                            <w:szCs w:val="21"/>
                          </w:rPr>
                        </w:pPr>
                        <w:r>
                          <w:rPr>
                            <w:rFonts w:ascii="宋体" w:hAnsi="宋体" w:cs="宋体" w:eastAsia="宋体" w:hint="default"/>
                            <w:sz w:val="21"/>
                            <w:szCs w:val="21"/>
                          </w:rPr>
                          <w:t>技术服务与开发</w:t>
                        </w:r>
                      </w:p>
                    </w:tc>
                    <w:tc>
                      <w:tcPr>
                        <w:tcW w:w="64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4"/>
                          <w:ind w:right="122"/>
                          <w:jc w:val="center"/>
                          <w:rPr>
                            <w:rFonts w:ascii="宋体" w:hAnsi="宋体" w:cs="宋体" w:eastAsia="宋体" w:hint="default"/>
                            <w:sz w:val="21"/>
                            <w:szCs w:val="21"/>
                          </w:rPr>
                        </w:pPr>
                        <w:r>
                          <w:rPr>
                            <w:rFonts w:ascii="宋体" w:hAnsi="宋体" w:cs="宋体" w:eastAsia="宋体" w:hint="default"/>
                            <w:spacing w:val="-2"/>
                            <w:sz w:val="21"/>
                            <w:szCs w:val="21"/>
                          </w:rPr>
                          <w:t>主要包括定制技术开发、现场技术支持服务、信息化系统运维服务。</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408" w:lineRule="auto" w:before="36"/>
        <w:ind w:right="1128" w:firstLine="420"/>
        <w:jc w:val="both"/>
      </w:pPr>
      <w:r>
        <w:rPr>
          <w:spacing w:val="-2"/>
        </w:rPr>
        <w:t>公司信息化解决方案项目中标后，由各项目组依据客户需求进行系统解决方案的整体设计、软硬件平</w:t>
      </w:r>
      <w:r>
        <w:rPr>
          <w:w w:val="100"/>
        </w:rPr>
        <w:t> </w:t>
      </w:r>
      <w:r>
        <w:rPr>
          <w:spacing w:val="-3"/>
        </w:rPr>
        <w:t>台和设备采购部署、相关软件系统的开发调试、配套设备和材料的采购、系统的安装和调试工作，部分项</w:t>
      </w:r>
      <w:r>
        <w:rPr>
          <w:spacing w:val="-6"/>
        </w:rPr>
        <w:t> </w:t>
      </w:r>
      <w:r>
        <w:rPr>
          <w:spacing w:val="-6"/>
        </w:rPr>
      </w:r>
      <w:r>
        <w:rPr/>
        <w:t>目还包括施工建设工作，然后将信息化系统交付客户试运行和验收。业务流程图大致如下：</w:t>
      </w:r>
    </w:p>
    <w:p>
      <w:pPr>
        <w:spacing w:after="0" w:line="408" w:lineRule="auto"/>
        <w:jc w:val="both"/>
        <w:sectPr>
          <w:pgSz w:w="11910" w:h="16840"/>
          <w:pgMar w:header="880" w:footer="977" w:top="1100" w:bottom="1160" w:left="980" w:right="0"/>
        </w:sectPr>
      </w:pPr>
    </w:p>
    <w:p>
      <w:pPr>
        <w:spacing w:line="240" w:lineRule="auto" w:before="12"/>
        <w:rPr>
          <w:rFonts w:ascii="宋体" w:hAnsi="宋体" w:cs="宋体" w:eastAsia="宋体" w:hint="default"/>
          <w:sz w:val="29"/>
          <w:szCs w:val="29"/>
        </w:rPr>
      </w:pPr>
    </w:p>
    <w:p>
      <w:pPr>
        <w:spacing w:line="4540" w:lineRule="exact"/>
        <w:ind w:left="2690"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3164127" cy="2883407"/>
            <wp:effectExtent l="0" t="0" r="0" b="0"/>
            <wp:docPr id="3" name="image6.png" descr="?"/>
            <wp:cNvGraphicFramePr>
              <a:graphicFrameLocks noChangeAspect="1"/>
            </wp:cNvGraphicFramePr>
            <a:graphic>
              <a:graphicData uri="http://schemas.openxmlformats.org/drawingml/2006/picture">
                <pic:pic>
                  <pic:nvPicPr>
                    <pic:cNvPr id="4" name="image6.png"/>
                    <pic:cNvPicPr/>
                  </pic:nvPicPr>
                  <pic:blipFill>
                    <a:blip r:embed="rId15" cstate="print"/>
                    <a:stretch>
                      <a:fillRect/>
                    </a:stretch>
                  </pic:blipFill>
                  <pic:spPr>
                    <a:xfrm>
                      <a:off x="0" y="0"/>
                      <a:ext cx="3164127" cy="2883407"/>
                    </a:xfrm>
                    <a:prstGeom prst="rect">
                      <a:avLst/>
                    </a:prstGeom>
                  </pic:spPr>
                </pic:pic>
              </a:graphicData>
            </a:graphic>
          </wp:inline>
        </w:drawing>
      </w:r>
      <w:r>
        <w:rPr>
          <w:rFonts w:ascii="宋体" w:hAnsi="宋体" w:cs="宋体" w:eastAsia="宋体" w:hint="default"/>
          <w:position w:val="-90"/>
          <w:sz w:val="20"/>
          <w:szCs w:val="20"/>
        </w:rPr>
      </w:r>
    </w:p>
    <w:p>
      <w:pPr>
        <w:spacing w:line="240" w:lineRule="auto" w:before="9"/>
        <w:rPr>
          <w:rFonts w:ascii="宋体" w:hAnsi="宋体" w:cs="宋体" w:eastAsia="宋体" w:hint="default"/>
          <w:sz w:val="16"/>
          <w:szCs w:val="16"/>
        </w:rPr>
      </w:pPr>
    </w:p>
    <w:p>
      <w:pPr>
        <w:pStyle w:val="BodyText"/>
        <w:spacing w:line="240" w:lineRule="auto" w:before="36"/>
        <w:ind w:left="572" w:right="0" w:firstLine="931"/>
        <w:jc w:val="left"/>
      </w:pPr>
      <w:r>
        <w:rPr/>
        <w:t>图例：公司技术开发主要是根据客户的特定需求开发出具有针对性的信息系统。</w:t>
      </w:r>
    </w:p>
    <w:p>
      <w:pPr>
        <w:spacing w:line="240" w:lineRule="auto" w:before="12"/>
        <w:rPr>
          <w:rFonts w:ascii="宋体" w:hAnsi="宋体" w:cs="宋体" w:eastAsia="宋体" w:hint="default"/>
          <w:sz w:val="23"/>
          <w:szCs w:val="23"/>
        </w:rPr>
      </w:pPr>
    </w:p>
    <w:p>
      <w:pPr>
        <w:pStyle w:val="BodyText"/>
        <w:spacing w:line="403" w:lineRule="auto"/>
        <w:ind w:right="1128" w:firstLine="420"/>
        <w:jc w:val="both"/>
      </w:pPr>
      <w:r>
        <w:rPr>
          <w:spacing w:val="-2"/>
        </w:rPr>
        <w:t>公司技术服务项目主要分为三大类。一是面向一些大集团客户，提供信息化系统</w:t>
      </w:r>
      <w:r>
        <w:rPr>
          <w:rFonts w:ascii="Times New Roman" w:hAnsi="Times New Roman" w:cs="Times New Roman" w:eastAsia="Times New Roman" w:hint="default"/>
          <w:spacing w:val="-2"/>
        </w:rPr>
        <w:t>IT</w:t>
      </w:r>
      <w:r>
        <w:rPr>
          <w:spacing w:val="-2"/>
        </w:rPr>
        <w:t>运维和现场技术支</w:t>
      </w:r>
      <w:r>
        <w:rPr>
          <w:w w:val="100"/>
        </w:rPr>
        <w:t> </w:t>
      </w:r>
      <w:r>
        <w:rPr>
          <w:spacing w:val="-2"/>
        </w:rPr>
        <w:t>持服务；二是现场数字会议领域，由公司派出技术服务团队携带相关会议设备提供现场会议服务（服务内</w:t>
      </w:r>
      <w:r>
        <w:rPr>
          <w:spacing w:val="-42"/>
        </w:rPr>
        <w:t> </w:t>
      </w:r>
      <w:r>
        <w:rPr>
          <w:spacing w:val="-42"/>
        </w:rPr>
      </w:r>
      <w:r>
        <w:rPr>
          <w:spacing w:val="-2"/>
        </w:rPr>
        <w:t>容包括相关会议系统设备的准备、调试以及会议期间的正式使用、会后的物资整理归档等工作，确保会议</w:t>
      </w:r>
      <w:r>
        <w:rPr>
          <w:spacing w:val="-43"/>
        </w:rPr>
        <w:t> </w:t>
      </w:r>
      <w:r>
        <w:rPr>
          <w:spacing w:val="-43"/>
        </w:rPr>
      </w:r>
      <w:r>
        <w:rPr>
          <w:spacing w:val="-2"/>
        </w:rPr>
        <w:t>系统设备在会议期间的正常运行）；三是公司之前为客户开发实施的整体解决方案或定制开发系统，在客</w:t>
      </w:r>
      <w:r>
        <w:rPr>
          <w:spacing w:val="-43"/>
        </w:rPr>
        <w:t> </w:t>
      </w:r>
      <w:r>
        <w:rPr>
          <w:spacing w:val="-43"/>
        </w:rPr>
      </w:r>
      <w:r>
        <w:rPr/>
        <w:t>户后续使用过程中，为客户有偿提供的系统升级优化和运行维护服务。</w:t>
      </w:r>
    </w:p>
    <w:p>
      <w:pPr>
        <w:pStyle w:val="BodyText"/>
        <w:spacing w:line="240" w:lineRule="auto" w:before="170"/>
        <w:ind w:left="572" w:right="0"/>
        <w:jc w:val="left"/>
      </w:pPr>
      <w:r>
        <w:rPr>
          <w:rFonts w:ascii="Times New Roman" w:hAnsi="Times New Roman" w:cs="Times New Roman" w:eastAsia="Times New Roman" w:hint="default"/>
        </w:rPr>
        <w:t>3.</w:t>
      </w:r>
      <w:r>
        <w:rPr/>
        <w:t>研发模式</w:t>
      </w:r>
    </w:p>
    <w:p>
      <w:pPr>
        <w:spacing w:line="240" w:lineRule="auto" w:before="9"/>
        <w:rPr>
          <w:rFonts w:ascii="宋体" w:hAnsi="宋体" w:cs="宋体" w:eastAsia="宋体" w:hint="default"/>
          <w:sz w:val="22"/>
          <w:szCs w:val="22"/>
        </w:rPr>
      </w:pPr>
    </w:p>
    <w:p>
      <w:pPr>
        <w:pStyle w:val="BodyText"/>
        <w:spacing w:line="403" w:lineRule="auto"/>
        <w:ind w:right="0" w:firstLine="419"/>
        <w:jc w:val="left"/>
      </w:pPr>
      <w:r>
        <w:rPr>
          <w:spacing w:val="-4"/>
        </w:rPr>
        <w:t>公司施行公司</w:t>
      </w:r>
      <w:r>
        <w:rPr>
          <w:rFonts w:ascii="Times New Roman" w:hAnsi="Times New Roman" w:cs="Times New Roman" w:eastAsia="Times New Roman" w:hint="default"/>
          <w:spacing w:val="-4"/>
        </w:rPr>
        <w:t>-</w:t>
      </w:r>
      <w:r>
        <w:rPr>
          <w:spacing w:val="-4"/>
        </w:rPr>
        <w:t>事业部两级技术研发体系，研发流程包括主流程、子流程、文档模板三部分。其中主流</w:t>
      </w:r>
      <w:r>
        <w:rPr>
          <w:w w:val="100"/>
        </w:rPr>
        <w:t> </w:t>
      </w:r>
      <w:r>
        <w:rPr>
          <w:spacing w:val="-2"/>
        </w:rPr>
        <w:t>程由概念阶段、计划阶段、开发阶段、验证阶段、发布阶段、生命周期管理阶段六部分构成。通过建立科</w:t>
      </w:r>
      <w:r>
        <w:rPr>
          <w:spacing w:val="-45"/>
        </w:rPr>
        <w:t> </w:t>
      </w:r>
      <w:r>
        <w:rPr>
          <w:spacing w:val="-45"/>
        </w:rPr>
      </w:r>
      <w:r>
        <w:rPr>
          <w:spacing w:val="-5"/>
        </w:rPr>
        <w:t>研项目管理系统，实施科研项目（含公司内部立项项目）的储备库、项目申报信息、项目申报、项目立项、</w:t>
      </w:r>
      <w:r>
        <w:rPr>
          <w:spacing w:val="-4"/>
        </w:rPr>
        <w:t> </w:t>
      </w:r>
      <w:r>
        <w:rPr>
          <w:spacing w:val="-4"/>
        </w:rPr>
      </w:r>
      <w:r>
        <w:rPr>
          <w:spacing w:val="-2"/>
        </w:rPr>
        <w:t>项目过程、项目结题及项目成果等全过程的管理。公司同时制订了《科研项目管理办法》，针对研发项目</w:t>
      </w:r>
      <w:r>
        <w:rPr>
          <w:spacing w:val="-43"/>
        </w:rPr>
        <w:t> </w:t>
      </w:r>
      <w:r>
        <w:rPr>
          <w:spacing w:val="-43"/>
        </w:rPr>
      </w:r>
      <w:r>
        <w:rPr/>
        <w:t>进行流程管理，在执行过程中进行持续优化。</w:t>
      </w:r>
    </w:p>
    <w:p>
      <w:pPr>
        <w:pStyle w:val="BodyText"/>
        <w:spacing w:line="484" w:lineRule="auto" w:before="170"/>
        <w:ind w:left="573" w:right="1129"/>
        <w:jc w:val="left"/>
      </w:pPr>
      <w:r>
        <w:rPr>
          <w:rFonts w:ascii="Times New Roman" w:hAnsi="Times New Roman" w:cs="Times New Roman" w:eastAsia="Times New Roman" w:hint="default"/>
        </w:rPr>
        <w:t>4.</w:t>
      </w:r>
      <w:r>
        <w:rPr/>
        <w:t>采购模式</w:t>
      </w:r>
      <w:r>
        <w:rPr>
          <w:spacing w:val="-103"/>
        </w:rPr>
        <w:t> </w:t>
      </w:r>
      <w:r>
        <w:rPr>
          <w:spacing w:val="-103"/>
        </w:rPr>
      </w:r>
      <w:r>
        <w:rPr>
          <w:spacing w:val="-2"/>
        </w:rPr>
        <w:t>根据与客户签订的销售合同，项目实施团队拟定采购计划并上报相关管理部门审批；实施团队确定每</w:t>
      </w:r>
    </w:p>
    <w:p>
      <w:pPr>
        <w:pStyle w:val="BodyText"/>
        <w:spacing w:line="254" w:lineRule="exact"/>
        <w:ind w:right="0"/>
        <w:jc w:val="left"/>
      </w:pPr>
      <w:r>
        <w:rPr/>
        <w:t>个项目需要采购的产品和提供的服务，然后向对应的供应商询价、谈判，通过比选、竞价、招标等多种方</w:t>
      </w:r>
    </w:p>
    <w:p>
      <w:pPr>
        <w:spacing w:line="240" w:lineRule="auto" w:before="10"/>
        <w:rPr>
          <w:rFonts w:ascii="宋体" w:hAnsi="宋体" w:cs="宋体" w:eastAsia="宋体" w:hint="default"/>
          <w:sz w:val="14"/>
          <w:szCs w:val="14"/>
        </w:rPr>
      </w:pPr>
    </w:p>
    <w:p>
      <w:pPr>
        <w:pStyle w:val="BodyText"/>
        <w:spacing w:line="398" w:lineRule="auto"/>
        <w:ind w:right="0"/>
        <w:jc w:val="left"/>
      </w:pPr>
      <w:r>
        <w:rPr/>
        <w:t>式确定供应商及采购价格，并最终签订采购合同。采购内容主要包括二大类：（</w:t>
      </w:r>
      <w:r>
        <w:rPr>
          <w:rFonts w:ascii="Times New Roman" w:hAnsi="Times New Roman" w:cs="Times New Roman" w:eastAsia="Times New Roman" w:hint="default"/>
        </w:rPr>
        <w:t>1</w:t>
      </w:r>
      <w:r>
        <w:rPr/>
        <w:t>）设备、软件及相关材</w:t>
      </w:r>
      <w:r>
        <w:rPr>
          <w:spacing w:val="-3"/>
          <w:w w:val="100"/>
        </w:rPr>
        <w:t> </w:t>
      </w:r>
      <w:r>
        <w:rPr>
          <w:spacing w:val="-5"/>
        </w:rPr>
        <w:t>料，主要包括信息化系统建设中所需的各种传感器、仪器仪表、网络设备、工控设备、通讯设备、服务器、</w:t>
      </w:r>
      <w:r>
        <w:rPr>
          <w:spacing w:val="-4"/>
        </w:rPr>
        <w:t> </w:t>
      </w:r>
      <w:r>
        <w:rPr>
          <w:spacing w:val="-4"/>
        </w:rPr>
      </w:r>
      <w:r>
        <w:rPr/>
        <w:t>存贮设备、软件开发平台、软件产品、辅助材料和各类工具等；（</w:t>
      </w:r>
      <w:r>
        <w:rPr>
          <w:rFonts w:ascii="Times New Roman" w:hAnsi="Times New Roman" w:cs="Times New Roman" w:eastAsia="Times New Roman" w:hint="default"/>
        </w:rPr>
        <w:t>2</w:t>
      </w:r>
      <w:r>
        <w:rPr/>
        <w:t>）服务，主要包括软件开发服务、专</w:t>
      </w:r>
    </w:p>
    <w:p>
      <w:pPr>
        <w:spacing w:after="0" w:line="398"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right="0"/>
        <w:jc w:val="both"/>
      </w:pPr>
      <w:r>
        <w:rPr/>
        <w:t>用设备运维服务、生产厂家原厂服务、特种施工服务和劳务服务等。</w:t>
      </w:r>
    </w:p>
    <w:p>
      <w:pPr>
        <w:spacing w:line="240" w:lineRule="auto" w:before="12"/>
        <w:rPr>
          <w:rFonts w:ascii="宋体" w:hAnsi="宋体" w:cs="宋体" w:eastAsia="宋体" w:hint="default"/>
          <w:sz w:val="23"/>
          <w:szCs w:val="23"/>
        </w:rPr>
      </w:pPr>
    </w:p>
    <w:p>
      <w:pPr>
        <w:pStyle w:val="BodyText"/>
        <w:spacing w:line="484" w:lineRule="auto"/>
        <w:ind w:left="572" w:right="0"/>
        <w:jc w:val="left"/>
      </w:pPr>
      <w:r>
        <w:rPr>
          <w:rFonts w:ascii="Times New Roman" w:hAnsi="Times New Roman" w:cs="Times New Roman" w:eastAsia="Times New Roman" w:hint="default"/>
        </w:rPr>
        <w:t>5.</w:t>
      </w:r>
      <w:r>
        <w:rPr/>
        <w:t>影响经营模式的主要因素</w:t>
      </w:r>
      <w:r>
        <w:rPr>
          <w:spacing w:val="-3"/>
          <w:w w:val="100"/>
        </w:rPr>
        <w:t> </w:t>
      </w:r>
      <w:r>
        <w:rPr>
          <w:spacing w:val="-2"/>
        </w:rPr>
        <w:t>公司目前采用的经营模式是结合下游客户在生产经营中对信息化系统的实际需求、信息化系统产品的</w:t>
      </w:r>
    </w:p>
    <w:p>
      <w:pPr>
        <w:pStyle w:val="BodyText"/>
        <w:spacing w:line="254" w:lineRule="exact"/>
        <w:ind w:right="0"/>
        <w:jc w:val="both"/>
      </w:pPr>
      <w:r>
        <w:rPr/>
        <w:t>定制化特点、行业技术特点及公司业务构成等因素确定的，报告期内未发生重大变化。</w:t>
      </w:r>
    </w:p>
    <w:p>
      <w:pPr>
        <w:spacing w:line="240" w:lineRule="auto" w:before="12"/>
        <w:rPr>
          <w:rFonts w:ascii="宋体" w:hAnsi="宋体" w:cs="宋体" w:eastAsia="宋体" w:hint="default"/>
          <w:sz w:val="23"/>
          <w:szCs w:val="23"/>
        </w:rPr>
      </w:pPr>
    </w:p>
    <w:p>
      <w:pPr>
        <w:pStyle w:val="BodyText"/>
        <w:spacing w:line="386" w:lineRule="auto"/>
        <w:ind w:left="572" w:right="0"/>
        <w:jc w:val="left"/>
      </w:pPr>
      <w:r>
        <w:rPr>
          <w:rFonts w:ascii="Times New Roman" w:hAnsi="Times New Roman" w:cs="Times New Roman" w:eastAsia="Times New Roman" w:hint="default"/>
          <w:b/>
          <w:bCs/>
        </w:rPr>
        <w:t>(</w:t>
      </w:r>
      <w:r>
        <w:rPr>
          <w:rFonts w:ascii="宋体" w:hAnsi="宋体" w:cs="宋体" w:eastAsia="宋体" w:hint="default"/>
          <w:b/>
          <w:bCs/>
        </w:rPr>
        <w:t>四</w:t>
      </w:r>
      <w:r>
        <w:rPr>
          <w:rFonts w:ascii="Times New Roman" w:hAnsi="Times New Roman" w:cs="Times New Roman" w:eastAsia="Times New Roman" w:hint="default"/>
          <w:b/>
          <w:bCs/>
        </w:rPr>
        <w:t>)</w:t>
      </w:r>
      <w:r>
        <w:rPr>
          <w:rFonts w:ascii="宋体" w:hAnsi="宋体" w:cs="宋体" w:eastAsia="宋体" w:hint="default"/>
          <w:b/>
          <w:bCs/>
        </w:rPr>
        <w:t>业绩驱动因素</w:t>
      </w:r>
      <w:r>
        <w:rPr>
          <w:rFonts w:ascii="宋体" w:hAnsi="宋体" w:cs="宋体" w:eastAsia="宋体" w:hint="default"/>
          <w:b/>
          <w:bCs/>
          <w:w w:val="100"/>
        </w:rPr>
        <w:t> </w:t>
      </w:r>
      <w:r>
        <w:rPr>
          <w:spacing w:val="-2"/>
        </w:rPr>
        <w:t>报告期内，受政策驱动、行业需求增长、市场开拓增强、技术创新加快、内部管理水平提升等因素驱</w:t>
      </w:r>
    </w:p>
    <w:p>
      <w:pPr>
        <w:pStyle w:val="BodyText"/>
        <w:spacing w:line="240" w:lineRule="auto" w:before="65"/>
        <w:ind w:right="0"/>
        <w:jc w:val="both"/>
      </w:pPr>
      <w:r>
        <w:rPr/>
        <w:t>动，公司营业收入实现一定幅度的增长。</w:t>
      </w:r>
    </w:p>
    <w:p>
      <w:pPr>
        <w:spacing w:line="240" w:lineRule="auto" w:before="10"/>
        <w:rPr>
          <w:rFonts w:ascii="宋体" w:hAnsi="宋体" w:cs="宋体" w:eastAsia="宋体" w:hint="default"/>
          <w:sz w:val="14"/>
          <w:szCs w:val="14"/>
        </w:rPr>
      </w:pPr>
    </w:p>
    <w:p>
      <w:pPr>
        <w:pStyle w:val="BodyText"/>
        <w:spacing w:line="240" w:lineRule="auto"/>
        <w:ind w:left="572" w:right="0"/>
        <w:jc w:val="left"/>
      </w:pPr>
      <w:r>
        <w:rPr>
          <w:rFonts w:ascii="Times New Roman" w:hAnsi="Times New Roman" w:cs="Times New Roman" w:eastAsia="Times New Roman" w:hint="default"/>
        </w:rPr>
        <w:t>1.</w:t>
      </w:r>
      <w:r>
        <w:rPr/>
        <w:t>政策有力推动因素</w:t>
      </w:r>
    </w:p>
    <w:p>
      <w:pPr>
        <w:pStyle w:val="BodyText"/>
        <w:spacing w:line="386" w:lineRule="auto" w:before="177"/>
        <w:ind w:right="1024" w:firstLine="420"/>
        <w:jc w:val="left"/>
      </w:pPr>
      <w:r>
        <w:rPr>
          <w:spacing w:val="-5"/>
          <w:w w:val="100"/>
        </w:rPr>
        <w:t>《</w:t>
      </w:r>
      <w:r>
        <w:rPr>
          <w:rFonts w:ascii="Times New Roman" w:hAnsi="Times New Roman" w:cs="Times New Roman" w:eastAsia="Times New Roman" w:hint="default"/>
          <w:spacing w:val="-5"/>
          <w:w w:val="100"/>
        </w:rPr>
        <w:t>“</w:t>
      </w:r>
      <w:r>
        <w:rPr>
          <w:spacing w:val="-5"/>
          <w:w w:val="100"/>
        </w:rPr>
        <w:t>十三五</w:t>
      </w:r>
      <w:r>
        <w:rPr>
          <w:rFonts w:ascii="Times New Roman" w:hAnsi="Times New Roman" w:cs="Times New Roman" w:eastAsia="Times New Roman" w:hint="default"/>
          <w:spacing w:val="-5"/>
          <w:w w:val="100"/>
        </w:rPr>
        <w:t>”</w:t>
      </w:r>
      <w:r>
        <w:rPr>
          <w:spacing w:val="-5"/>
          <w:w w:val="100"/>
        </w:rPr>
        <w:t>国家战略性新兴产业发展规划》、《</w:t>
      </w:r>
      <w:r>
        <w:rPr>
          <w:rFonts w:ascii="Times New Roman" w:hAnsi="Times New Roman" w:cs="Times New Roman" w:eastAsia="Times New Roman" w:hint="default"/>
          <w:spacing w:val="-5"/>
          <w:w w:val="100"/>
        </w:rPr>
        <w:t>“</w:t>
      </w:r>
      <w:r>
        <w:rPr>
          <w:spacing w:val="-5"/>
          <w:w w:val="100"/>
        </w:rPr>
        <w:t>十三五</w:t>
      </w:r>
      <w:r>
        <w:rPr>
          <w:rFonts w:ascii="Times New Roman" w:hAnsi="Times New Roman" w:cs="Times New Roman" w:eastAsia="Times New Roman" w:hint="default"/>
          <w:spacing w:val="-5"/>
          <w:w w:val="100"/>
        </w:rPr>
        <w:t>”</w:t>
      </w:r>
      <w:r>
        <w:rPr>
          <w:spacing w:val="-5"/>
          <w:w w:val="100"/>
        </w:rPr>
        <w:t>国家信息化规划》提出的</w:t>
      </w:r>
      <w:r>
        <w:rPr>
          <w:rFonts w:ascii="Times New Roman" w:hAnsi="Times New Roman" w:cs="Times New Roman" w:eastAsia="Times New Roman" w:hint="default"/>
          <w:spacing w:val="-5"/>
          <w:w w:val="100"/>
        </w:rPr>
        <w:t>“</w:t>
      </w:r>
      <w:r>
        <w:rPr>
          <w:spacing w:val="-5"/>
          <w:w w:val="100"/>
        </w:rPr>
        <w:t>实施网络强国战略，</w:t>
      </w:r>
      <w:r>
        <w:rPr>
          <w:w w:val="100"/>
        </w:rPr>
        <w:t> </w:t>
      </w:r>
      <w:r>
        <w:rPr/>
        <w:t>加快建设</w:t>
      </w:r>
      <w:r>
        <w:rPr>
          <w:rFonts w:ascii="Times New Roman" w:hAnsi="Times New Roman" w:cs="Times New Roman" w:eastAsia="Times New Roman" w:hint="default"/>
        </w:rPr>
        <w:t>“</w:t>
      </w:r>
      <w:r>
        <w:rPr/>
        <w:t>数字中国</w:t>
      </w:r>
      <w:r>
        <w:rPr>
          <w:rFonts w:ascii="Times New Roman" w:hAnsi="Times New Roman" w:cs="Times New Roman" w:eastAsia="Times New Roman" w:hint="default"/>
        </w:rPr>
        <w:t>”</w:t>
      </w:r>
      <w:r>
        <w:rPr/>
        <w:t>，推动物联网、云计算和人工智能等技术向各行业全面融合渗透，构建万物互联、融</w:t>
      </w:r>
      <w:r>
        <w:rPr>
          <w:w w:val="100"/>
        </w:rPr>
        <w:t> </w:t>
      </w:r>
      <w:r>
        <w:rPr/>
        <w:t>合创新、智能协同、安全可控的新一代信息技术产业体系</w:t>
      </w:r>
      <w:r>
        <w:rPr>
          <w:rFonts w:ascii="Times New Roman" w:hAnsi="Times New Roman" w:cs="Times New Roman" w:eastAsia="Times New Roman" w:hint="default"/>
        </w:rPr>
        <w:t>”</w:t>
      </w:r>
      <w:r>
        <w:rPr/>
        <w:t>等要求为公司主营业务发展提供了良好的政策</w:t>
      </w:r>
      <w:r>
        <w:rPr>
          <w:spacing w:val="-18"/>
        </w:rPr>
        <w:t> </w:t>
      </w:r>
      <w:r>
        <w:rPr>
          <w:spacing w:val="-18"/>
        </w:rPr>
      </w:r>
      <w:r>
        <w:rPr/>
        <w:t>环境和广阔的市场空间。</w:t>
      </w:r>
    </w:p>
    <w:p>
      <w:pPr>
        <w:pStyle w:val="BodyText"/>
        <w:spacing w:line="386" w:lineRule="auto" w:before="65"/>
        <w:ind w:left="572" w:right="0"/>
        <w:jc w:val="left"/>
      </w:pPr>
      <w:r>
        <w:rPr>
          <w:rFonts w:ascii="Times New Roman" w:hAnsi="Times New Roman" w:cs="Times New Roman" w:eastAsia="Times New Roman" w:hint="default"/>
        </w:rPr>
        <w:t>2.</w:t>
      </w:r>
      <w:r>
        <w:rPr/>
        <w:t>行业需求增长因素</w:t>
      </w:r>
      <w:r>
        <w:rPr>
          <w:w w:val="100"/>
        </w:rPr>
        <w:t> </w:t>
      </w:r>
      <w:r>
        <w:rPr>
          <w:spacing w:val="-2"/>
        </w:rPr>
        <w:t>随着新一代信息技术突飞猛进的发展，数字中国建设驶入快轨道。</w:t>
      </w:r>
      <w:r>
        <w:rPr>
          <w:rFonts w:ascii="Times New Roman" w:hAnsi="Times New Roman" w:cs="Times New Roman" w:eastAsia="Times New Roman" w:hint="default"/>
          <w:spacing w:val="-2"/>
        </w:rPr>
        <w:t>“</w:t>
      </w:r>
      <w:r>
        <w:rPr>
          <w:spacing w:val="-2"/>
        </w:rPr>
        <w:t>以人民为中心</w:t>
      </w:r>
      <w:r>
        <w:rPr>
          <w:rFonts w:ascii="Times New Roman" w:hAnsi="Times New Roman" w:cs="Times New Roman" w:eastAsia="Times New Roman" w:hint="default"/>
          <w:spacing w:val="-2"/>
        </w:rPr>
        <w:t>”</w:t>
      </w:r>
      <w:r>
        <w:rPr>
          <w:spacing w:val="-2"/>
        </w:rPr>
        <w:t>的智慧社会建设深</w:t>
      </w:r>
    </w:p>
    <w:p>
      <w:pPr>
        <w:pStyle w:val="BodyText"/>
        <w:spacing w:line="403" w:lineRule="auto" w:before="35"/>
        <w:ind w:right="1107"/>
        <w:jc w:val="both"/>
      </w:pPr>
      <w:r>
        <w:rPr>
          <w:spacing w:val="-2"/>
        </w:rPr>
        <w:t>入推进；电子政务进入一体化、协同化发展新阶段；工业互联网的蓬勃发展带动工业新旧动能加速转换。</w:t>
      </w:r>
      <w:r>
        <w:rPr>
          <w:spacing w:val="-21"/>
        </w:rPr>
        <w:t> </w:t>
      </w:r>
      <w:r>
        <w:rPr>
          <w:spacing w:val="-21"/>
        </w:rPr>
      </w:r>
      <w:r>
        <w:rPr>
          <w:spacing w:val="-2"/>
        </w:rPr>
        <w:t>从公司服务的领域和行业看，我国数字会议市场主要集中在党政、企事业单位及各类协会方面，党政领域</w:t>
      </w:r>
      <w:r>
        <w:rPr>
          <w:spacing w:val="-43"/>
        </w:rPr>
        <w:t> </w:t>
      </w:r>
      <w:r>
        <w:rPr>
          <w:spacing w:val="-43"/>
        </w:rPr>
      </w:r>
      <w:r>
        <w:rPr>
          <w:rFonts w:ascii="Times New Roman" w:hAnsi="Times New Roman" w:cs="Times New Roman" w:eastAsia="Times New Roman" w:hint="default"/>
        </w:rPr>
        <w:t>2018</w:t>
      </w:r>
      <w:r>
        <w:rPr/>
        <w:t>年市场规模为</w:t>
      </w:r>
      <w:r>
        <w:rPr>
          <w:rFonts w:ascii="Times New Roman" w:hAnsi="Times New Roman" w:cs="Times New Roman" w:eastAsia="Times New Roman" w:hint="default"/>
        </w:rPr>
        <w:t>43.8</w:t>
      </w:r>
      <w:r>
        <w:rPr/>
        <w:t>亿元，占比</w:t>
      </w:r>
      <w:r>
        <w:rPr>
          <w:rFonts w:ascii="Times New Roman" w:hAnsi="Times New Roman" w:cs="Times New Roman" w:eastAsia="Times New Roman" w:hint="default"/>
        </w:rPr>
        <w:t>25%</w:t>
      </w:r>
      <w:r>
        <w:rPr/>
        <w:t>，且增长稳定。在烟草行业，消费终端需求较为稳定，卷烟创新产</w:t>
      </w:r>
      <w:r>
        <w:rPr>
          <w:spacing w:val="-39"/>
        </w:rPr>
        <w:t> </w:t>
      </w:r>
      <w:r>
        <w:rPr>
          <w:spacing w:val="-39"/>
        </w:rPr>
      </w:r>
      <w:r>
        <w:rPr>
          <w:spacing w:val="-2"/>
        </w:rPr>
        <w:t>品增长势头迅猛，细支烟、爆珠烟等新产品的行情向好，产能扩张促进烟草生产环节（工业）信息化需求</w:t>
      </w:r>
      <w:r>
        <w:rPr>
          <w:spacing w:val="-43"/>
        </w:rPr>
        <w:t> </w:t>
      </w:r>
      <w:r>
        <w:rPr>
          <w:spacing w:val="-43"/>
        </w:rPr>
      </w:r>
      <w:r>
        <w:rPr>
          <w:spacing w:val="-2"/>
        </w:rPr>
        <w:t>进一步扩大。从</w:t>
      </w:r>
      <w:r>
        <w:rPr>
          <w:rFonts w:ascii="Times New Roman" w:hAnsi="Times New Roman" w:cs="Times New Roman" w:eastAsia="Times New Roman" w:hint="default"/>
          <w:spacing w:val="-2"/>
        </w:rPr>
        <w:t>“</w:t>
      </w:r>
      <w:r>
        <w:rPr>
          <w:spacing w:val="-2"/>
        </w:rPr>
        <w:t>中国制造</w:t>
      </w:r>
      <w:r>
        <w:rPr>
          <w:rFonts w:ascii="Times New Roman" w:hAnsi="Times New Roman" w:cs="Times New Roman" w:eastAsia="Times New Roman" w:hint="default"/>
          <w:spacing w:val="-2"/>
        </w:rPr>
        <w:t>2025”</w:t>
      </w:r>
      <w:r>
        <w:rPr>
          <w:spacing w:val="-2"/>
        </w:rPr>
        <w:t>到</w:t>
      </w:r>
      <w:r>
        <w:rPr>
          <w:rFonts w:ascii="Times New Roman" w:hAnsi="Times New Roman" w:cs="Times New Roman" w:eastAsia="Times New Roman" w:hint="default"/>
          <w:spacing w:val="-2"/>
        </w:rPr>
        <w:t>“</w:t>
      </w:r>
      <w:r>
        <w:rPr>
          <w:spacing w:val="-2"/>
        </w:rPr>
        <w:t>数字中国</w:t>
      </w:r>
      <w:r>
        <w:rPr>
          <w:rFonts w:ascii="Times New Roman" w:hAnsi="Times New Roman" w:cs="Times New Roman" w:eastAsia="Times New Roman" w:hint="default"/>
          <w:spacing w:val="-2"/>
        </w:rPr>
        <w:t>”,</w:t>
      </w:r>
      <w:r>
        <w:rPr>
          <w:spacing w:val="-2"/>
        </w:rPr>
        <w:t>从行业中长期科技规划到</w:t>
      </w:r>
      <w:r>
        <w:rPr>
          <w:rFonts w:ascii="Times New Roman" w:hAnsi="Times New Roman" w:cs="Times New Roman" w:eastAsia="Times New Roman" w:hint="default"/>
          <w:spacing w:val="-2"/>
        </w:rPr>
        <w:t>“</w:t>
      </w:r>
      <w:r>
        <w:rPr>
          <w:spacing w:val="-2"/>
        </w:rPr>
        <w:t>卷烟上水平</w:t>
      </w:r>
      <w:r>
        <w:rPr>
          <w:rFonts w:ascii="Times New Roman" w:hAnsi="Times New Roman" w:cs="Times New Roman" w:eastAsia="Times New Roman" w:hint="default"/>
          <w:spacing w:val="-2"/>
        </w:rPr>
        <w:t>”</w:t>
      </w:r>
      <w:r>
        <w:rPr>
          <w:spacing w:val="-2"/>
        </w:rPr>
        <w:t>，也将释放可观烟草</w:t>
      </w:r>
      <w:r>
        <w:rPr>
          <w:spacing w:val="-21"/>
        </w:rPr>
        <w:t> </w:t>
      </w:r>
      <w:r>
        <w:rPr>
          <w:spacing w:val="-21"/>
        </w:rPr>
      </w:r>
      <w:r>
        <w:rPr>
          <w:spacing w:val="-2"/>
        </w:rPr>
        <w:t>信息化落实与深化需求。在油气行业，在国家加大油气勘探开发力度的号召下，保障石油行业高质量发展</w:t>
      </w:r>
      <w:r>
        <w:rPr>
          <w:spacing w:val="-42"/>
        </w:rPr>
        <w:t> </w:t>
      </w:r>
      <w:r>
        <w:rPr>
          <w:spacing w:val="-42"/>
        </w:rPr>
      </w:r>
      <w:r>
        <w:rPr>
          <w:spacing w:val="-2"/>
        </w:rPr>
        <w:t>已经上升至国家能源安全的长效需求。国内油气产量的增加会将带动开采业固定资产投入的增加，石油信</w:t>
      </w:r>
      <w:r>
        <w:rPr>
          <w:spacing w:val="-42"/>
        </w:rPr>
        <w:t> </w:t>
      </w:r>
      <w:r>
        <w:rPr>
          <w:spacing w:val="-42"/>
        </w:rPr>
      </w:r>
      <w:r>
        <w:rPr>
          <w:spacing w:val="-2"/>
        </w:rPr>
        <w:t>息化投入作为固定资产投入的组成部分也将持续增长。在印钞造币行业，新版人民币防伪需求升级催生了</w:t>
      </w:r>
      <w:r>
        <w:rPr>
          <w:spacing w:val="-42"/>
        </w:rPr>
        <w:t> </w:t>
      </w:r>
      <w:r>
        <w:rPr>
          <w:spacing w:val="-42"/>
        </w:rPr>
      </w:r>
      <w:r>
        <w:rPr/>
        <w:t>全国印钞厂、造币厂新的技术需求，带动了印钞防伪检测需求的稳定增长。</w:t>
      </w:r>
    </w:p>
    <w:p>
      <w:pPr>
        <w:pStyle w:val="BodyText"/>
        <w:spacing w:line="386" w:lineRule="auto" w:before="50"/>
        <w:ind w:left="572" w:right="0"/>
        <w:jc w:val="left"/>
      </w:pPr>
      <w:r>
        <w:rPr>
          <w:rFonts w:ascii="Times New Roman" w:hAnsi="Times New Roman" w:cs="Times New Roman" w:eastAsia="Times New Roman" w:hint="default"/>
        </w:rPr>
        <w:t>3.</w:t>
      </w:r>
      <w:r>
        <w:rPr/>
        <w:t>市场开拓增强因素</w:t>
      </w:r>
      <w:r>
        <w:rPr>
          <w:w w:val="100"/>
        </w:rPr>
        <w:t> </w:t>
      </w:r>
      <w:r>
        <w:rPr>
          <w:spacing w:val="-2"/>
        </w:rPr>
        <w:t>公司一方面加大营销体系建设力度，持续完善市场体系，扩大公司销售渠道的覆盖区域，成效明显。</w:t>
      </w:r>
    </w:p>
    <w:p>
      <w:pPr>
        <w:pStyle w:val="BodyText"/>
        <w:spacing w:line="400" w:lineRule="auto" w:before="65"/>
        <w:ind w:right="1128"/>
        <w:jc w:val="both"/>
      </w:pPr>
      <w:r>
        <w:rPr>
          <w:spacing w:val="-2"/>
        </w:rPr>
        <w:t>另一方面积极开拓新行业，抓住各级政府加大信息化建设投入的机会，采用多种形式的战略合作，收到良</w:t>
      </w:r>
      <w:r>
        <w:rPr>
          <w:spacing w:val="-44"/>
        </w:rPr>
        <w:t> </w:t>
      </w:r>
      <w:r>
        <w:rPr>
          <w:spacing w:val="-44"/>
        </w:rPr>
      </w:r>
      <w:r>
        <w:rPr>
          <w:spacing w:val="-2"/>
        </w:rPr>
        <w:t>好效果。第三方面是深耕行业需求，充分利用人工智能和大数据等新技术，加强了对烟草、油气等行业重</w:t>
      </w:r>
      <w:r>
        <w:rPr>
          <w:spacing w:val="-50"/>
        </w:rPr>
        <w:t> </w:t>
      </w:r>
      <w:r>
        <w:rPr>
          <w:spacing w:val="-50"/>
        </w:rPr>
      </w:r>
      <w:r>
        <w:rPr>
          <w:spacing w:val="-1"/>
        </w:rPr>
        <w:t>点项目的策划、跟踪，有效提升了项目中标率。公司</w:t>
      </w:r>
      <w:r>
        <w:rPr>
          <w:rFonts w:ascii="Times New Roman" w:hAnsi="Times New Roman" w:cs="Times New Roman" w:eastAsia="Times New Roman" w:hint="default"/>
          <w:spacing w:val="-1"/>
        </w:rPr>
        <w:t>2019</w:t>
      </w:r>
      <w:r>
        <w:rPr>
          <w:spacing w:val="-1"/>
        </w:rPr>
        <w:t>年新签合同额有较大幅度增长，达到</w:t>
      </w:r>
      <w:r>
        <w:rPr>
          <w:rFonts w:ascii="Times New Roman" w:hAnsi="Times New Roman" w:cs="Times New Roman" w:eastAsia="Times New Roman" w:hint="default"/>
          <w:spacing w:val="-1"/>
        </w:rPr>
        <w:t>5.14</w:t>
      </w:r>
      <w:r>
        <w:rPr>
          <w:spacing w:val="-1"/>
        </w:rPr>
        <w:t>亿元，</w:t>
      </w:r>
      <w:r>
        <w:rPr>
          <w:spacing w:val="-24"/>
        </w:rPr>
        <w:t> </w:t>
      </w:r>
      <w:r>
        <w:rPr>
          <w:spacing w:val="-24"/>
        </w:rPr>
      </w:r>
      <w:r>
        <w:rPr/>
        <w:t>较</w:t>
      </w:r>
      <w:r>
        <w:rPr>
          <w:rFonts w:ascii="Times New Roman" w:hAnsi="Times New Roman" w:cs="Times New Roman" w:eastAsia="Times New Roman" w:hint="default"/>
        </w:rPr>
        <w:t>2018</w:t>
      </w:r>
      <w:r>
        <w:rPr/>
        <w:t>年同比增长</w:t>
      </w:r>
      <w:r>
        <w:rPr>
          <w:rFonts w:ascii="Times New Roman" w:hAnsi="Times New Roman" w:cs="Times New Roman" w:eastAsia="Times New Roman" w:hint="default"/>
        </w:rPr>
        <w:t>39.3%</w:t>
      </w:r>
      <w:r>
        <w:rPr/>
        <w:t>。在数字会议领域实现新签合同额</w:t>
      </w:r>
      <w:r>
        <w:rPr>
          <w:rFonts w:ascii="Times New Roman" w:hAnsi="Times New Roman" w:cs="Times New Roman" w:eastAsia="Times New Roman" w:hint="default"/>
        </w:rPr>
        <w:t>7168</w:t>
      </w:r>
      <w:r>
        <w:rPr/>
        <w:t>万元</w:t>
      </w:r>
      <w:r>
        <w:rPr>
          <w:rFonts w:ascii="Times New Roman" w:hAnsi="Times New Roman" w:cs="Times New Roman" w:eastAsia="Times New Roman" w:hint="default"/>
        </w:rPr>
        <w:t>,</w:t>
      </w:r>
      <w:r>
        <w:rPr/>
        <w:t>较</w:t>
      </w:r>
      <w:r>
        <w:rPr>
          <w:rFonts w:ascii="Times New Roman" w:hAnsi="Times New Roman" w:cs="Times New Roman" w:eastAsia="Times New Roman" w:hint="default"/>
        </w:rPr>
        <w:t>2018</w:t>
      </w:r>
      <w:r>
        <w:rPr/>
        <w:t>年同比增长</w:t>
      </w:r>
      <w:r>
        <w:rPr>
          <w:rFonts w:ascii="Times New Roman" w:hAnsi="Times New Roman" w:cs="Times New Roman" w:eastAsia="Times New Roman" w:hint="default"/>
        </w:rPr>
        <w:t>3.02%</w:t>
      </w:r>
      <w:r>
        <w:rPr/>
        <w:t>；在烟草行</w:t>
      </w:r>
    </w:p>
    <w:p>
      <w:pPr>
        <w:spacing w:after="0" w:line="400" w:lineRule="auto"/>
        <w:jc w:val="both"/>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386" w:lineRule="auto" w:before="36"/>
        <w:ind w:right="1131"/>
        <w:jc w:val="both"/>
      </w:pPr>
      <w:r>
        <w:rPr>
          <w:spacing w:val="-3"/>
        </w:rPr>
        <w:t>业，受部分重大项目实施推迟的影响，实现新签合同</w:t>
      </w:r>
      <w:r>
        <w:rPr>
          <w:rFonts w:ascii="Times New Roman" w:hAnsi="Times New Roman" w:cs="Times New Roman" w:eastAsia="Times New Roman" w:hint="default"/>
          <w:spacing w:val="-3"/>
        </w:rPr>
        <w:t>6905</w:t>
      </w:r>
      <w:r>
        <w:rPr>
          <w:spacing w:val="-3"/>
        </w:rPr>
        <w:t>万元，同比下降</w:t>
      </w:r>
      <w:r>
        <w:rPr>
          <w:rFonts w:ascii="Times New Roman" w:hAnsi="Times New Roman" w:cs="Times New Roman" w:eastAsia="Times New Roman" w:hint="default"/>
          <w:spacing w:val="-3"/>
        </w:rPr>
        <w:t>21.32%</w:t>
      </w:r>
      <w:r>
        <w:rPr>
          <w:spacing w:val="-3"/>
        </w:rPr>
        <w:t>；在油气行业，实现新签</w:t>
      </w:r>
      <w:r>
        <w:rPr>
          <w:spacing w:val="-7"/>
        </w:rPr>
        <w:t> </w:t>
      </w:r>
      <w:r>
        <w:rPr>
          <w:spacing w:val="-7"/>
        </w:rPr>
      </w:r>
      <w:r>
        <w:rPr>
          <w:spacing w:val="-3"/>
        </w:rPr>
        <w:t>合同额</w:t>
      </w:r>
      <w:r>
        <w:rPr>
          <w:rFonts w:ascii="Times New Roman" w:hAnsi="Times New Roman" w:cs="Times New Roman" w:eastAsia="Times New Roman" w:hint="default"/>
          <w:spacing w:val="-3"/>
        </w:rPr>
        <w:t>9676</w:t>
      </w:r>
      <w:r>
        <w:rPr>
          <w:spacing w:val="-3"/>
        </w:rPr>
        <w:t>万元，同比增长</w:t>
      </w:r>
      <w:r>
        <w:rPr>
          <w:rFonts w:ascii="Times New Roman" w:hAnsi="Times New Roman" w:cs="Times New Roman" w:eastAsia="Times New Roman" w:hint="default"/>
          <w:spacing w:val="-3"/>
        </w:rPr>
        <w:t>41.44%</w:t>
      </w:r>
      <w:r>
        <w:rPr>
          <w:spacing w:val="-3"/>
        </w:rPr>
        <w:t>；在政府与其他领域，公司积极顺应行业信息技术发展趋势，继续深度</w:t>
      </w:r>
      <w:r>
        <w:rPr>
          <w:spacing w:val="-6"/>
        </w:rPr>
        <w:t> </w:t>
      </w:r>
      <w:r>
        <w:rPr>
          <w:spacing w:val="-6"/>
        </w:rPr>
      </w:r>
      <w:r>
        <w:rPr>
          <w:spacing w:val="-2"/>
        </w:rPr>
        <w:t>参与</w:t>
      </w:r>
      <w:r>
        <w:rPr>
          <w:rFonts w:ascii="Times New Roman" w:hAnsi="Times New Roman" w:cs="Times New Roman" w:eastAsia="Times New Roman" w:hint="default"/>
          <w:spacing w:val="-2"/>
        </w:rPr>
        <w:t>“</w:t>
      </w:r>
      <w:r>
        <w:rPr>
          <w:spacing w:val="-2"/>
        </w:rPr>
        <w:t>数字中国</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智慧城市</w:t>
      </w:r>
      <w:r>
        <w:rPr>
          <w:rFonts w:ascii="Times New Roman" w:hAnsi="Times New Roman" w:cs="Times New Roman" w:eastAsia="Times New Roman" w:hint="default"/>
          <w:spacing w:val="-2"/>
        </w:rPr>
        <w:t>”</w:t>
      </w:r>
      <w:r>
        <w:rPr>
          <w:spacing w:val="-2"/>
        </w:rPr>
        <w:t>建设，实现新签合同</w:t>
      </w:r>
      <w:r>
        <w:rPr>
          <w:rFonts w:ascii="Times New Roman" w:hAnsi="Times New Roman" w:cs="Times New Roman" w:eastAsia="Times New Roman" w:hint="default"/>
          <w:spacing w:val="-2"/>
        </w:rPr>
        <w:t>2.77</w:t>
      </w:r>
      <w:r>
        <w:rPr>
          <w:spacing w:val="-2"/>
        </w:rPr>
        <w:t>亿元，同比增长</w:t>
      </w:r>
      <w:r>
        <w:rPr>
          <w:rFonts w:ascii="Times New Roman" w:hAnsi="Times New Roman" w:cs="Times New Roman" w:eastAsia="Times New Roman" w:hint="default"/>
          <w:spacing w:val="-2"/>
        </w:rPr>
        <w:t>236%</w:t>
      </w:r>
      <w:r>
        <w:rPr>
          <w:spacing w:val="-2"/>
        </w:rPr>
        <w:t>。基于上述市场开拓成果，为</w:t>
      </w:r>
      <w:r>
        <w:rPr>
          <w:spacing w:val="-10"/>
        </w:rPr>
        <w:t> </w:t>
      </w:r>
      <w:r>
        <w:rPr>
          <w:spacing w:val="-10"/>
        </w:rPr>
      </w:r>
      <w:r>
        <w:rPr>
          <w:rFonts w:ascii="Times New Roman" w:hAnsi="Times New Roman" w:cs="Times New Roman" w:eastAsia="Times New Roman" w:hint="default"/>
        </w:rPr>
        <w:t>2019</w:t>
      </w:r>
      <w:r>
        <w:rPr/>
        <w:t>年度营业收入实现持续增长奠定了基础，但市场竞争激烈等因素影响，项目整体毛利率有所下降。</w:t>
      </w:r>
    </w:p>
    <w:p>
      <w:pPr>
        <w:pStyle w:val="BodyText"/>
        <w:spacing w:line="386" w:lineRule="auto" w:before="35"/>
        <w:ind w:left="573" w:right="0"/>
        <w:jc w:val="left"/>
      </w:pPr>
      <w:r>
        <w:rPr>
          <w:rFonts w:ascii="Times New Roman" w:hAnsi="Times New Roman" w:cs="Times New Roman" w:eastAsia="Times New Roman" w:hint="default"/>
        </w:rPr>
        <w:t>4.</w:t>
      </w:r>
      <w:r>
        <w:rPr/>
        <w:t>技术创新加快因素</w:t>
      </w:r>
      <w:r>
        <w:rPr>
          <w:w w:val="100"/>
        </w:rPr>
        <w:t> </w:t>
      </w:r>
      <w:r>
        <w:rPr>
          <w:spacing w:val="-2"/>
        </w:rPr>
        <w:t>公司在新技术与产品研发方面坚持</w:t>
      </w:r>
      <w:r>
        <w:rPr>
          <w:rFonts w:ascii="Times New Roman" w:hAnsi="Times New Roman" w:cs="Times New Roman" w:eastAsia="Times New Roman" w:hint="default"/>
          <w:spacing w:val="-2"/>
        </w:rPr>
        <w:t>“</w:t>
      </w:r>
      <w:r>
        <w:rPr>
          <w:spacing w:val="-2"/>
        </w:rPr>
        <w:t>为客户创造价值</w:t>
      </w:r>
      <w:r>
        <w:rPr>
          <w:rFonts w:ascii="Times New Roman" w:hAnsi="Times New Roman" w:cs="Times New Roman" w:eastAsia="Times New Roman" w:hint="default"/>
          <w:spacing w:val="-2"/>
        </w:rPr>
        <w:t>”</w:t>
      </w:r>
      <w:r>
        <w:rPr>
          <w:spacing w:val="-2"/>
        </w:rPr>
        <w:t>的理念，以客户需求为导向，深入研究行业发展</w:t>
      </w:r>
    </w:p>
    <w:p>
      <w:pPr>
        <w:pStyle w:val="BodyText"/>
        <w:spacing w:line="405" w:lineRule="auto" w:before="35"/>
        <w:ind w:left="153" w:right="0"/>
        <w:jc w:val="left"/>
      </w:pPr>
      <w:r>
        <w:rPr>
          <w:spacing w:val="-2"/>
        </w:rPr>
        <w:t>趋势，综合运用智能识别与分析技术、软件工程技术、机电一体化技术等，推出创新性的产品和服务，切</w:t>
      </w:r>
      <w:r>
        <w:rPr>
          <w:spacing w:val="-43"/>
        </w:rPr>
        <w:t> </w:t>
      </w:r>
      <w:r>
        <w:rPr>
          <w:spacing w:val="-43"/>
        </w:rPr>
      </w:r>
      <w:r>
        <w:rPr>
          <w:spacing w:val="-2"/>
        </w:rPr>
        <w:t>实帮助行业客户实现精益管理、生产工艺和产品品质升级。报告期内，公司面向全国工青妇及各省级大会</w:t>
      </w:r>
      <w:r>
        <w:rPr>
          <w:spacing w:val="-44"/>
        </w:rPr>
        <w:t> </w:t>
      </w:r>
      <w:r>
        <w:rPr>
          <w:spacing w:val="-44"/>
        </w:rPr>
      </w:r>
      <w:r>
        <w:rPr/>
        <w:t>大力开展推广第九代电子选举系统、新型大席位电子表决系统的产品及技术服务，成效明显；新产品</w:t>
      </w:r>
      <w:r>
        <w:rPr>
          <w:rFonts w:ascii="Times New Roman" w:hAnsi="Times New Roman" w:cs="Times New Roman" w:eastAsia="Times New Roman" w:hint="default"/>
        </w:rPr>
        <w:t>“</w:t>
      </w:r>
      <w:r>
        <w:rPr/>
        <w:t>计</w:t>
      </w:r>
      <w:r>
        <w:rPr>
          <w:spacing w:val="-18"/>
        </w:rPr>
        <w:t> </w:t>
      </w:r>
      <w:r>
        <w:rPr/>
        <w:t>票通</w:t>
      </w:r>
      <w:r>
        <w:rPr>
          <w:rFonts w:ascii="Times New Roman" w:hAnsi="Times New Roman" w:cs="Times New Roman" w:eastAsia="Times New Roman" w:hint="default"/>
        </w:rPr>
        <w:t>”</w:t>
      </w:r>
      <w:r>
        <w:rPr/>
        <w:t>基层选举系统走向更多省份承担选举服务项目；加强了高速图像视觉检测技术在智能制造等方面的</w:t>
      </w:r>
      <w:r>
        <w:rPr>
          <w:spacing w:val="-17"/>
        </w:rPr>
        <w:t> </w:t>
      </w:r>
      <w:r>
        <w:rPr>
          <w:spacing w:val="-17"/>
        </w:rPr>
      </w:r>
      <w:r>
        <w:rPr/>
        <w:t>应用深度，面向工业智能制造的卷烟生产大数据分析平台、卷烟智能制造检测系统市场反响良好；印钞、</w:t>
      </w:r>
      <w:r>
        <w:rPr>
          <w:w w:val="100"/>
        </w:rPr>
        <w:t> </w:t>
      </w:r>
      <w:r>
        <w:rPr>
          <w:spacing w:val="-5"/>
        </w:rPr>
        <w:t>防伪、清分机产品线的多个系统完成技术升级，保障了市场订单的稳定获取；针对油气行业现场作业特点， </w:t>
      </w:r>
      <w:r>
        <w:rPr>
          <w:spacing w:val="-5"/>
        </w:rPr>
      </w:r>
      <w:r>
        <w:rPr>
          <w:spacing w:val="-2"/>
        </w:rPr>
        <w:t>运用智能识别与分析技术开发的人员作业安全识别和预警系统成功应用；智慧政务产品中的统计大数据分</w:t>
      </w:r>
      <w:r>
        <w:rPr>
          <w:spacing w:val="-42"/>
        </w:rPr>
        <w:t> </w:t>
      </w:r>
      <w:r>
        <w:rPr>
          <w:spacing w:val="-42"/>
        </w:rPr>
      </w:r>
      <w:r>
        <w:rPr>
          <w:spacing w:val="-2"/>
        </w:rPr>
        <w:t>析系统在屡获用户好评的同时，元数据、统计调查报表、企业健康指数平台、大数据可视化等相关产品也</w:t>
      </w:r>
      <w:r>
        <w:rPr>
          <w:spacing w:val="-49"/>
        </w:rPr>
        <w:t> </w:t>
      </w:r>
      <w:r>
        <w:rPr>
          <w:spacing w:val="-49"/>
        </w:rPr>
      </w:r>
      <w:r>
        <w:rPr>
          <w:spacing w:val="-2"/>
        </w:rPr>
        <w:t>陆续开始进入市场，丰富了智慧政务业务的产品体系；面向智慧医疗的经食道超声模拟教学系统、数字人</w:t>
      </w:r>
      <w:r>
        <w:rPr>
          <w:spacing w:val="-43"/>
        </w:rPr>
        <w:t> </w:t>
      </w:r>
      <w:r>
        <w:rPr>
          <w:spacing w:val="-43"/>
        </w:rPr>
      </w:r>
      <w:r>
        <w:rPr>
          <w:spacing w:val="2"/>
        </w:rPr>
        <w:t>断层解剖教学系统以其先进的教学理念和技术手段在医疗教学培训领域获得国内外专家和用户的好评及</w:t>
      </w:r>
      <w:r>
        <w:rPr>
          <w:spacing w:val="-28"/>
        </w:rPr>
        <w:t> </w:t>
      </w:r>
      <w:r>
        <w:rPr>
          <w:spacing w:val="-28"/>
        </w:rPr>
      </w:r>
      <w:r>
        <w:rPr>
          <w:spacing w:val="-2"/>
        </w:rPr>
        <w:t>推荐；运用高速机器视觉检测技术的烟箱缺条检测、烟用胶囊检测系统持续优化升级。新产品与技术创新</w:t>
      </w:r>
      <w:r>
        <w:rPr>
          <w:spacing w:val="-48"/>
        </w:rPr>
        <w:t> </w:t>
      </w:r>
      <w:r>
        <w:rPr>
          <w:spacing w:val="-48"/>
        </w:rPr>
      </w:r>
      <w:r>
        <w:rPr/>
        <w:t>成果应用市场的逐步成长为公司提供了不断的增长驱动力。</w:t>
      </w:r>
    </w:p>
    <w:p>
      <w:pPr>
        <w:pStyle w:val="BodyText"/>
        <w:spacing w:line="408" w:lineRule="auto" w:before="48"/>
        <w:ind w:left="153" w:right="0" w:firstLine="420"/>
        <w:jc w:val="left"/>
      </w:pPr>
      <w:r>
        <w:rPr>
          <w:spacing w:val="-2"/>
        </w:rPr>
        <w:t>报告期内，公司还争取到国家自然科学基金、四川省科技厅人工智能重大专项、中科院科技服务网络</w:t>
      </w:r>
      <w:r>
        <w:rPr>
          <w:w w:val="100"/>
        </w:rPr>
        <w:t> </w:t>
      </w:r>
      <w:r>
        <w:rPr/>
        <w:t>计划重点项目（</w:t>
      </w:r>
      <w:r>
        <w:rPr>
          <w:rFonts w:ascii="Times New Roman" w:hAnsi="Times New Roman" w:cs="Times New Roman" w:eastAsia="Times New Roman" w:hint="default"/>
        </w:rPr>
        <w:t>STS</w:t>
      </w:r>
      <w:r>
        <w:rPr/>
        <w:t>）、中科院西部之光等</w:t>
      </w:r>
      <w:r>
        <w:rPr>
          <w:rFonts w:ascii="Times New Roman" w:hAnsi="Times New Roman" w:cs="Times New Roman" w:eastAsia="Times New Roman" w:hint="default"/>
        </w:rPr>
        <w:t>18</w:t>
      </w:r>
      <w:r>
        <w:rPr/>
        <w:t>项政府研发资金支持。</w:t>
      </w:r>
    </w:p>
    <w:p>
      <w:pPr>
        <w:pStyle w:val="BodyText"/>
        <w:spacing w:line="484" w:lineRule="auto" w:before="14"/>
        <w:ind w:left="57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内部管理水平提升因素</w:t>
      </w:r>
      <w:r>
        <w:rPr>
          <w:w w:val="100"/>
        </w:rPr>
        <w:t> </w:t>
      </w:r>
      <w:r>
        <w:rPr>
          <w:spacing w:val="-2"/>
        </w:rPr>
        <w:t>公司持续加强内部管理，紧抓风险防控，不断提升运营水平。通过严格贯彻实施相关法律法规和公司</w:t>
      </w:r>
    </w:p>
    <w:p>
      <w:pPr>
        <w:pStyle w:val="BodyText"/>
        <w:spacing w:line="254" w:lineRule="exact"/>
        <w:ind w:left="153" w:right="0"/>
        <w:jc w:val="both"/>
      </w:pPr>
      <w:r>
        <w:rPr>
          <w:spacing w:val="-3"/>
        </w:rPr>
        <w:t>制度，规范三会运作，强化了对经营风险、法律风险、资金风险、信披风险、舆论风险的控制与防范，有</w:t>
      </w:r>
      <w:r>
        <w:rPr/>
      </w:r>
    </w:p>
    <w:p>
      <w:pPr>
        <w:spacing w:line="240" w:lineRule="auto" w:before="10"/>
        <w:rPr>
          <w:rFonts w:ascii="宋体" w:hAnsi="宋体" w:cs="宋体" w:eastAsia="宋体" w:hint="default"/>
          <w:sz w:val="14"/>
          <w:szCs w:val="14"/>
        </w:rPr>
      </w:pPr>
    </w:p>
    <w:p>
      <w:pPr>
        <w:pStyle w:val="BodyText"/>
        <w:spacing w:line="396" w:lineRule="auto"/>
        <w:ind w:left="153" w:right="1127"/>
        <w:jc w:val="both"/>
      </w:pPr>
      <w:r>
        <w:rPr>
          <w:spacing w:val="-2"/>
        </w:rPr>
        <w:t>效保护了经营成果。坚持把产品与服务质量放在第一位，把客户满意度作为衡量工作质量的主要标准，确</w:t>
      </w:r>
      <w:r>
        <w:rPr>
          <w:spacing w:val="-43"/>
        </w:rPr>
        <w:t> </w:t>
      </w:r>
      <w:r>
        <w:rPr>
          <w:spacing w:val="-43"/>
        </w:rPr>
      </w:r>
      <w:r>
        <w:rPr>
          <w:spacing w:val="-2"/>
        </w:rPr>
        <w:t>保了产品与服务质量的有效提升。报告期内，公司继续强化财务管理、物资采购管理、项目管理、应收账</w:t>
      </w:r>
      <w:r>
        <w:rPr>
          <w:spacing w:val="-43"/>
        </w:rPr>
        <w:t> </w:t>
      </w:r>
      <w:r>
        <w:rPr>
          <w:spacing w:val="-43"/>
        </w:rPr>
      </w:r>
      <w:r>
        <w:rPr>
          <w:spacing w:val="-2"/>
        </w:rPr>
        <w:t>款专项清理，成效明显。资质建设也取得良好进展，顺利通过了</w:t>
      </w:r>
      <w:r>
        <w:rPr>
          <w:rFonts w:ascii="Times New Roman" w:hAnsi="Times New Roman" w:cs="Times New Roman" w:eastAsia="Times New Roman" w:hint="default"/>
          <w:spacing w:val="-2"/>
        </w:rPr>
        <w:t>QES</w:t>
      </w:r>
      <w:r>
        <w:rPr>
          <w:spacing w:val="-2"/>
        </w:rPr>
        <w:t>三标管理体系年度评审，取得安防一</w:t>
      </w:r>
      <w:r>
        <w:rPr>
          <w:spacing w:val="-17"/>
        </w:rPr>
        <w:t> </w:t>
      </w:r>
      <w:r>
        <w:rPr>
          <w:spacing w:val="-17"/>
        </w:rPr>
      </w:r>
      <w:r>
        <w:rPr>
          <w:spacing w:val="-1"/>
        </w:rPr>
        <w:t>级、</w:t>
      </w:r>
      <w:r>
        <w:rPr>
          <w:rFonts w:ascii="Times New Roman" w:hAnsi="Times New Roman" w:cs="Times New Roman" w:eastAsia="Times New Roman" w:hint="default"/>
          <w:spacing w:val="-1"/>
        </w:rPr>
        <w:t>CMMI</w:t>
      </w:r>
      <w:r>
        <w:rPr>
          <w:spacing w:val="-1"/>
        </w:rPr>
        <w:t>三级、信息技术服务管理体系、信息安全管理体系等资质认证；全资子公司成都中科通过高新</w:t>
      </w:r>
      <w:r>
        <w:rPr>
          <w:spacing w:val="-42"/>
        </w:rPr>
        <w:t> </w:t>
      </w:r>
      <w:r>
        <w:rPr>
          <w:spacing w:val="-42"/>
        </w:rPr>
      </w:r>
      <w:r>
        <w:rPr>
          <w:spacing w:val="-1"/>
        </w:rPr>
        <w:t>技术企业认定，取得涉密信息系统集成软件开发甲级、质量管理体系、</w:t>
      </w:r>
      <w:r>
        <w:rPr>
          <w:rFonts w:ascii="Times New Roman" w:hAnsi="Times New Roman" w:cs="Times New Roman" w:eastAsia="Times New Roman" w:hint="default"/>
          <w:spacing w:val="-1"/>
        </w:rPr>
        <w:t>CMMI</w:t>
      </w:r>
      <w:r>
        <w:rPr>
          <w:spacing w:val="-1"/>
        </w:rPr>
        <w:t>三级认证证书。系列资质的</w:t>
      </w:r>
      <w:r>
        <w:rPr>
          <w:spacing w:val="-39"/>
        </w:rPr>
        <w:t> </w:t>
      </w:r>
      <w:r>
        <w:rPr>
          <w:spacing w:val="-39"/>
        </w:rPr>
      </w:r>
      <w:r>
        <w:rPr/>
        <w:t>取得将促进公司经营发展和管理水平再上新台阶。</w:t>
      </w:r>
    </w:p>
    <w:p>
      <w:pPr>
        <w:spacing w:after="0" w:line="396" w:lineRule="auto"/>
        <w:jc w:val="both"/>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Heading3"/>
        <w:spacing w:line="240" w:lineRule="auto" w:before="36"/>
        <w:ind w:left="484" w:right="0"/>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客户所处行业相关的市场形势和信息化需求</w:t>
      </w:r>
      <w:r>
        <w:rPr>
          <w:b w:val="0"/>
          <w:bCs w:val="0"/>
        </w:rPr>
      </w:r>
    </w:p>
    <w:p>
      <w:pPr>
        <w:pStyle w:val="BodyText"/>
        <w:spacing w:line="386" w:lineRule="auto" w:before="177"/>
        <w:ind w:left="572" w:right="0"/>
        <w:jc w:val="left"/>
      </w:pPr>
      <w:r>
        <w:rPr>
          <w:rFonts w:ascii="Times New Roman" w:hAnsi="Times New Roman" w:cs="Times New Roman" w:eastAsia="Times New Roman" w:hint="default"/>
        </w:rPr>
        <w:t>1.</w:t>
      </w:r>
      <w:r>
        <w:rPr/>
        <w:t>政务信息化领域</w:t>
      </w:r>
      <w:r>
        <w:rPr>
          <w:spacing w:val="-3"/>
          <w:w w:val="100"/>
        </w:rPr>
        <w:t> </w:t>
      </w:r>
      <w:r>
        <w:rPr>
          <w:spacing w:val="-5"/>
        </w:rPr>
        <w:t>我国电子政务的应用主体涉及包括多个政府部门，业务主体涵盖包括行政办公、共享灾备、应急指挥、</w:t>
      </w:r>
    </w:p>
    <w:p>
      <w:pPr>
        <w:pStyle w:val="BodyText"/>
        <w:spacing w:line="393" w:lineRule="auto" w:before="65"/>
        <w:ind w:right="1128"/>
        <w:jc w:val="both"/>
      </w:pPr>
      <w:r>
        <w:rPr>
          <w:spacing w:val="-2"/>
        </w:rPr>
        <w:t>平安工程、数字城市等多个建设领域，市场规模庞大。政务信息化是我国深化行政管理体制改革、建设服</w:t>
      </w:r>
      <w:r>
        <w:rPr>
          <w:spacing w:val="-50"/>
        </w:rPr>
        <w:t> </w:t>
      </w:r>
      <w:r>
        <w:rPr>
          <w:spacing w:val="-50"/>
        </w:rPr>
      </w:r>
      <w:r>
        <w:rPr>
          <w:spacing w:val="-2"/>
        </w:rPr>
        <w:t>务型政府的重要措施，国家各部委以及各地政府陆续出台电子政务的规划、政策等文件，为政务信息化行</w:t>
      </w:r>
      <w:r>
        <w:rPr>
          <w:spacing w:val="-43"/>
        </w:rPr>
        <w:t> </w:t>
      </w:r>
      <w:r>
        <w:rPr>
          <w:spacing w:val="-43"/>
        </w:rPr>
      </w:r>
      <w:r>
        <w:rPr>
          <w:spacing w:val="-2"/>
        </w:rPr>
        <w:t>业的健康发展提供了良好的政策环境。近年来，党和国家高度重视服务型政府建设，大力推进</w:t>
      </w:r>
      <w:r>
        <w:rPr>
          <w:rFonts w:ascii="Times New Roman" w:hAnsi="Times New Roman" w:cs="Times New Roman" w:eastAsia="Times New Roman" w:hint="default"/>
          <w:spacing w:val="-2"/>
        </w:rPr>
        <w:t>“</w:t>
      </w:r>
      <w:r>
        <w:rPr>
          <w:spacing w:val="-2"/>
        </w:rPr>
        <w:t>放管服</w:t>
      </w:r>
      <w:r>
        <w:rPr>
          <w:rFonts w:ascii="Times New Roman" w:hAnsi="Times New Roman" w:cs="Times New Roman" w:eastAsia="Times New Roman" w:hint="default"/>
          <w:spacing w:val="-2"/>
        </w:rPr>
        <w:t>”</w:t>
      </w:r>
      <w:r>
        <w:rPr>
          <w:spacing w:val="-2"/>
        </w:rPr>
        <w:t>改</w:t>
      </w:r>
      <w:r>
        <w:rPr>
          <w:spacing w:val="-18"/>
        </w:rPr>
        <w:t> </w:t>
      </w:r>
      <w:r>
        <w:rPr>
          <w:spacing w:val="-2"/>
        </w:rPr>
        <w:t>革，并要求运用信息技术实现政府治理能力现代化。在《</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国家信息化规划》等国家政策的大力支</w:t>
      </w:r>
      <w:r>
        <w:rPr>
          <w:spacing w:val="-17"/>
        </w:rPr>
        <w:t> </w:t>
      </w:r>
      <w:r>
        <w:rPr>
          <w:spacing w:val="-17"/>
        </w:rPr>
      </w:r>
      <w:r>
        <w:rPr>
          <w:spacing w:val="-2"/>
        </w:rPr>
        <w:t>持和推动下，政务信息化行业进入高速发展阶段，</w:t>
      </w:r>
      <w:r>
        <w:rPr>
          <w:rFonts w:ascii="Times New Roman" w:hAnsi="Times New Roman" w:cs="Times New Roman" w:eastAsia="Times New Roman" w:hint="default"/>
          <w:spacing w:val="-2"/>
        </w:rPr>
        <w:t>2017</w:t>
      </w:r>
      <w:r>
        <w:rPr>
          <w:spacing w:val="-2"/>
        </w:rPr>
        <w:t>年中国政务信息化市场规模达到</w:t>
      </w:r>
      <w:r>
        <w:rPr>
          <w:rFonts w:ascii="Times New Roman" w:hAnsi="Times New Roman" w:cs="Times New Roman" w:eastAsia="Times New Roman" w:hint="default"/>
          <w:spacing w:val="-2"/>
        </w:rPr>
        <w:t>2722</w:t>
      </w:r>
      <w:r>
        <w:rPr>
          <w:spacing w:val="-2"/>
        </w:rPr>
        <w:t>亿元，同比增</w:t>
      </w:r>
      <w:r>
        <w:rPr>
          <w:spacing w:val="-41"/>
        </w:rPr>
        <w:t> </w:t>
      </w:r>
      <w:r>
        <w:rPr>
          <w:spacing w:val="-41"/>
        </w:rPr>
      </w:r>
      <w:r>
        <w:rPr/>
        <w:t>长</w:t>
      </w:r>
      <w:r>
        <w:rPr>
          <w:rFonts w:ascii="Times New Roman" w:hAnsi="Times New Roman" w:cs="Times New Roman" w:eastAsia="Times New Roman" w:hint="default"/>
        </w:rPr>
        <w:t>16%</w:t>
      </w:r>
      <w:r>
        <w:rPr/>
        <w:t>；</w:t>
      </w:r>
      <w:r>
        <w:rPr>
          <w:rFonts w:ascii="Times New Roman" w:hAnsi="Times New Roman" w:cs="Times New Roman" w:eastAsia="Times New Roman" w:hint="default"/>
        </w:rPr>
        <w:t>2018</w:t>
      </w:r>
      <w:r>
        <w:rPr/>
        <w:t>年突破</w:t>
      </w:r>
      <w:r>
        <w:rPr>
          <w:rFonts w:ascii="Times New Roman" w:hAnsi="Times New Roman" w:cs="Times New Roman" w:eastAsia="Times New Roman" w:hint="default"/>
        </w:rPr>
        <w:t>3134</w:t>
      </w:r>
      <w:r>
        <w:rPr/>
        <w:t>亿元，同比增长</w:t>
      </w:r>
      <w:r>
        <w:rPr>
          <w:rFonts w:ascii="Times New Roman" w:hAnsi="Times New Roman" w:cs="Times New Roman" w:eastAsia="Times New Roman" w:hint="default"/>
        </w:rPr>
        <w:t>15.1%</w:t>
      </w:r>
      <w:r>
        <w:rPr/>
        <w:t>；</w:t>
      </w:r>
      <w:r>
        <w:rPr>
          <w:rFonts w:ascii="Times New Roman" w:hAnsi="Times New Roman" w:cs="Times New Roman" w:eastAsia="Times New Roman" w:hint="default"/>
        </w:rPr>
        <w:t>2019</w:t>
      </w:r>
      <w:r>
        <w:rPr/>
        <w:t>年进入新的黄金发展阶段。同时，数字政府、移动</w:t>
      </w:r>
      <w:r>
        <w:rPr>
          <w:spacing w:val="-15"/>
        </w:rPr>
        <w:t> </w:t>
      </w:r>
      <w:r>
        <w:rPr>
          <w:spacing w:val="-15"/>
        </w:rPr>
      </w:r>
      <w:r>
        <w:rPr/>
        <w:t>政务、大数据应用等带来新一轮政务信息化建设高潮。</w:t>
      </w:r>
    </w:p>
    <w:p>
      <w:pPr>
        <w:pStyle w:val="BodyText"/>
        <w:spacing w:line="386" w:lineRule="auto" w:before="59"/>
        <w:ind w:left="572" w:right="0"/>
        <w:jc w:val="left"/>
      </w:pPr>
      <w:r>
        <w:rPr/>
        <w:t>（</w:t>
      </w:r>
      <w:r>
        <w:rPr>
          <w:rFonts w:ascii="Times New Roman" w:hAnsi="Times New Roman" w:cs="Times New Roman" w:eastAsia="Times New Roman" w:hint="default"/>
        </w:rPr>
        <w:t>1</w:t>
      </w:r>
      <w:r>
        <w:rPr/>
        <w:t>）国家层面已指明了政务信息化的战略目标和实施路径</w:t>
      </w:r>
      <w:r>
        <w:rPr>
          <w:w w:val="100"/>
        </w:rPr>
        <w:t> </w:t>
      </w:r>
      <w:r>
        <w:rPr>
          <w:spacing w:val="-2"/>
        </w:rPr>
        <w:t>为更好更快推动政务信息化的普及，国家陆续出台了多项政务信息化建设的政策引导和管理规范，从</w:t>
      </w:r>
    </w:p>
    <w:p>
      <w:pPr>
        <w:pStyle w:val="BodyText"/>
        <w:spacing w:line="403" w:lineRule="auto" w:before="65"/>
        <w:ind w:right="0"/>
        <w:jc w:val="left"/>
      </w:pPr>
      <w:r>
        <w:rPr>
          <w:spacing w:val="-2"/>
        </w:rPr>
        <w:t>总体战略部署、互联网</w:t>
      </w:r>
      <w:r>
        <w:rPr>
          <w:rFonts w:ascii="Times New Roman" w:hAnsi="Times New Roman" w:cs="Times New Roman" w:eastAsia="Times New Roman" w:hint="default"/>
          <w:spacing w:val="-2"/>
        </w:rPr>
        <w:t>+</w:t>
      </w:r>
      <w:r>
        <w:rPr>
          <w:spacing w:val="-2"/>
        </w:rPr>
        <w:t>政务服务建设到政府数据共享机制，再到电子政务大数据平台建设，都给出了明</w:t>
      </w:r>
      <w:r>
        <w:rPr>
          <w:spacing w:val="-22"/>
        </w:rPr>
        <w:t> </w:t>
      </w:r>
      <w:r>
        <w:rPr>
          <w:spacing w:val="-22"/>
        </w:rPr>
      </w:r>
      <w:r>
        <w:rPr>
          <w:spacing w:val="-2"/>
        </w:rPr>
        <w:t>确的战略目标和实施路径，为我国政务信息化的协同发展指明了方向。新时代下政务信息化工作已经迈入</w:t>
      </w:r>
      <w:r>
        <w:rPr>
          <w:spacing w:val="-42"/>
        </w:rPr>
        <w:t> </w:t>
      </w:r>
      <w:r>
        <w:rPr>
          <w:spacing w:val="-42"/>
        </w:rPr>
      </w:r>
      <w:r>
        <w:rPr>
          <w:spacing w:val="-2"/>
        </w:rPr>
        <w:t>集约整合、全面互联、协同共治、共享开放、安全可信的新阶段，坚持大平台、大系统、大数据的顶层架</w:t>
      </w:r>
      <w:r>
        <w:rPr>
          <w:spacing w:val="-48"/>
        </w:rPr>
        <w:t> </w:t>
      </w:r>
      <w:r>
        <w:rPr>
          <w:spacing w:val="-48"/>
        </w:rPr>
      </w:r>
      <w:r>
        <w:rPr>
          <w:spacing w:val="-2"/>
        </w:rPr>
        <w:t>构，构建形成大平台共享、大数据慧治、大系统共治的顶层架构，建成全国一体化的国家大数据中心，促</w:t>
      </w:r>
      <w:r>
        <w:rPr>
          <w:spacing w:val="-43"/>
        </w:rPr>
        <w:t> </w:t>
      </w:r>
      <w:r>
        <w:rPr>
          <w:spacing w:val="-43"/>
        </w:rPr>
      </w:r>
      <w:r>
        <w:rPr>
          <w:spacing w:val="-2"/>
        </w:rPr>
        <w:t>进网络强国建设，提升宏观调控科学化、政府治理精准化、公共服务便捷化、基础设施集约化水平，原则</w:t>
      </w:r>
      <w:r>
        <w:rPr>
          <w:spacing w:val="-43"/>
        </w:rPr>
        <w:t> </w:t>
      </w:r>
      <w:r>
        <w:rPr>
          <w:spacing w:val="-43"/>
        </w:rPr>
      </w:r>
      <w:r>
        <w:rPr/>
        <w:t>上坚决不再审批各部门无序分散建设的业务系统。</w:t>
      </w:r>
    </w:p>
    <w:p>
      <w:pPr>
        <w:pStyle w:val="BodyText"/>
        <w:spacing w:line="240" w:lineRule="auto" w:before="50"/>
        <w:ind w:left="572" w:right="0"/>
        <w:jc w:val="left"/>
      </w:pPr>
      <w:r>
        <w:rPr>
          <w:spacing w:val="-2"/>
        </w:rPr>
        <w:t>（</w:t>
      </w:r>
      <w:r>
        <w:rPr>
          <w:rFonts w:ascii="Times New Roman" w:hAnsi="Times New Roman" w:cs="Times New Roman" w:eastAsia="Times New Roman" w:hint="default"/>
          <w:spacing w:val="-2"/>
        </w:rPr>
        <w:t>2</w:t>
      </w:r>
      <w:r>
        <w:rPr>
          <w:spacing w:val="-2"/>
        </w:rPr>
        <w:t>）构建</w:t>
      </w:r>
      <w:r>
        <w:rPr>
          <w:rFonts w:ascii="Times New Roman" w:hAnsi="Times New Roman" w:cs="Times New Roman" w:eastAsia="Times New Roman" w:hint="default"/>
          <w:spacing w:val="-2"/>
        </w:rPr>
        <w:t>“</w:t>
      </w:r>
      <w:r>
        <w:rPr>
          <w:spacing w:val="-2"/>
        </w:rPr>
        <w:t>大平台、大数据、大系统</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rFonts w:ascii="Times New Roman" w:hAnsi="Times New Roman" w:cs="Times New Roman" w:eastAsia="Times New Roman" w:hint="default"/>
          <w:spacing w:val="7"/>
        </w:rPr>
        <w:t> </w:t>
      </w:r>
      <w:r>
        <w:rPr>
          <w:spacing w:val="-2"/>
        </w:rPr>
        <w:t>一体化政务治理体系将是我国政务信息化建设长期指导方针</w:t>
      </w:r>
    </w:p>
    <w:p>
      <w:pPr>
        <w:pStyle w:val="BodyText"/>
        <w:spacing w:line="405" w:lineRule="auto" w:before="177"/>
        <w:ind w:right="0" w:firstLine="420"/>
        <w:jc w:val="left"/>
      </w:pP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政务服务</w:t>
      </w:r>
      <w:r>
        <w:rPr>
          <w:rFonts w:ascii="Times New Roman" w:hAnsi="Times New Roman" w:cs="Times New Roman" w:eastAsia="Times New Roman" w:hint="default"/>
        </w:rPr>
        <w:t>”</w:t>
      </w:r>
      <w:r>
        <w:rPr/>
        <w:t>平台体系由国家级平台、省级平台、地市级平台三个层级组成，各层级之间通过</w:t>
      </w:r>
      <w:r>
        <w:rPr>
          <w:w w:val="100"/>
        </w:rPr>
        <w:t> </w:t>
      </w:r>
      <w:r>
        <w:rPr>
          <w:spacing w:val="-2"/>
        </w:rPr>
        <w:t>政务服务数据共享平台进行资源目录注册、信息共享、业务协同、监督考核、统计分析等，实现政务服务</w:t>
      </w:r>
      <w:r>
        <w:rPr>
          <w:spacing w:val="-43"/>
        </w:rPr>
        <w:t> </w:t>
      </w:r>
      <w:r>
        <w:rPr>
          <w:spacing w:val="-43"/>
        </w:rPr>
      </w:r>
      <w:r>
        <w:rPr>
          <w:spacing w:val="-2"/>
        </w:rPr>
        <w:t>事项就近能办、同城通办、异地可办。十三五期间，我国政务信息化工程将以推进国家治理体系和治理能</w:t>
      </w:r>
      <w:r>
        <w:rPr>
          <w:spacing w:val="-47"/>
        </w:rPr>
        <w:t> </w:t>
      </w:r>
      <w:r>
        <w:rPr>
          <w:spacing w:val="-47"/>
        </w:rPr>
      </w:r>
      <w:r>
        <w:rPr>
          <w:spacing w:val="-2"/>
        </w:rPr>
        <w:t>力现代化作为政务信息化工作的总目标，大力加强统筹整合和共享共用，统筹构建一体整合大平台、共享</w:t>
      </w:r>
      <w:r>
        <w:rPr>
          <w:spacing w:val="-44"/>
        </w:rPr>
        <w:t> </w:t>
      </w:r>
      <w:r>
        <w:rPr>
          <w:spacing w:val="-44"/>
        </w:rPr>
      </w:r>
      <w:r>
        <w:rPr>
          <w:spacing w:val="-2"/>
        </w:rPr>
        <w:t>共用大数据、协同联动大系统，推进解决互联互通难、信息共享难、业务协同难的问题，将大平台、大数</w:t>
      </w:r>
      <w:r>
        <w:rPr>
          <w:spacing w:val="-42"/>
        </w:rPr>
        <w:t> </w:t>
      </w:r>
      <w:r>
        <w:rPr>
          <w:spacing w:val="-42"/>
        </w:rPr>
      </w:r>
      <w:r>
        <w:rPr>
          <w:spacing w:val="-2"/>
        </w:rPr>
        <w:t>据、大系统作为较长一个时期指导我国政务信息化建设的发展蓝图，构建一体化政务治理体系，促进治理</w:t>
      </w:r>
      <w:r>
        <w:rPr>
          <w:spacing w:val="-43"/>
        </w:rPr>
        <w:t> </w:t>
      </w:r>
      <w:r>
        <w:rPr>
          <w:spacing w:val="-43"/>
        </w:rPr>
      </w:r>
      <w:r>
        <w:rPr/>
        <w:t>机制协调化和治理手段高效化，形成部门联动的协同治理新局面。</w:t>
      </w:r>
    </w:p>
    <w:p>
      <w:pPr>
        <w:pStyle w:val="BodyText"/>
        <w:spacing w:line="240" w:lineRule="auto" w:before="48"/>
        <w:ind w:left="572" w:right="0"/>
        <w:jc w:val="left"/>
      </w:pPr>
      <w:r>
        <w:rPr/>
        <w:t>（</w:t>
      </w:r>
      <w:r>
        <w:rPr>
          <w:rFonts w:ascii="Times New Roman" w:hAnsi="Times New Roman" w:cs="Times New Roman" w:eastAsia="Times New Roman" w:hint="default"/>
        </w:rPr>
        <w:t>3</w:t>
      </w:r>
      <w:r>
        <w:rPr/>
        <w:t>）未来我国政务信息化建设的重点工程主要分为三大领域：</w:t>
      </w:r>
    </w:p>
    <w:p>
      <w:pPr>
        <w:pStyle w:val="BodyText"/>
        <w:spacing w:line="386" w:lineRule="auto" w:before="177"/>
        <w:ind w:right="0" w:firstLine="420"/>
        <w:jc w:val="left"/>
      </w:pPr>
      <w:r>
        <w:rPr>
          <w:spacing w:val="-2"/>
        </w:rPr>
        <w:t>①构建互联网</w:t>
      </w:r>
      <w:r>
        <w:rPr>
          <w:rFonts w:ascii="Times New Roman" w:hAnsi="Times New Roman" w:cs="Times New Roman" w:eastAsia="Times New Roman" w:hint="default"/>
          <w:spacing w:val="-2"/>
        </w:rPr>
        <w:t>+</w:t>
      </w:r>
      <w:r>
        <w:rPr>
          <w:spacing w:val="-2"/>
        </w:rPr>
        <w:t>政务服务的一体化政务数据平台。依托统一的国家电子政务网络加快建设综合性公共</w:t>
      </w:r>
      <w:r>
        <w:rPr>
          <w:w w:val="100"/>
        </w:rPr>
        <w:t> </w:t>
      </w:r>
      <w:r>
        <w:rPr/>
        <w:t>基础设施平台，实现电子政务关键公共基础设施的统建共用，支撑政务业务协同和数据共享汇聚。</w:t>
      </w:r>
    </w:p>
    <w:p>
      <w:pPr>
        <w:pStyle w:val="BodyText"/>
        <w:spacing w:line="240" w:lineRule="auto" w:before="65"/>
        <w:ind w:left="572" w:right="0"/>
        <w:jc w:val="left"/>
      </w:pPr>
      <w:r>
        <w:rPr>
          <w:spacing w:val="-4"/>
        </w:rPr>
        <w:t>②共建共享国家基础信息资源。以国家基础信息库共建共享为推进抓手，打破信息壁垒和</w:t>
      </w:r>
      <w:r>
        <w:rPr>
          <w:rFonts w:ascii="Times New Roman" w:hAnsi="Times New Roman" w:cs="Times New Roman" w:eastAsia="Times New Roman" w:hint="default"/>
          <w:spacing w:val="-4"/>
        </w:rPr>
        <w:t>“</w:t>
      </w:r>
      <w:r>
        <w:rPr>
          <w:spacing w:val="-4"/>
        </w:rPr>
        <w:t>数据孤岛</w:t>
      </w:r>
      <w:r>
        <w:rPr>
          <w:rFonts w:ascii="Times New Roman" w:hAnsi="Times New Roman" w:cs="Times New Roman" w:eastAsia="Times New Roman" w:hint="default"/>
          <w:spacing w:val="-4"/>
        </w:rPr>
        <w:t>”</w:t>
      </w:r>
      <w:r>
        <w:rPr>
          <w:spacing w:val="-4"/>
        </w:rPr>
        <w:t>，</w:t>
      </w:r>
    </w:p>
    <w:p>
      <w:pPr>
        <w:spacing w:after="0" w:line="240"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8"/>
        <w:jc w:val="both"/>
      </w:pPr>
      <w:r>
        <w:rPr>
          <w:spacing w:val="-2"/>
        </w:rPr>
        <w:t>逐步实现与业务信息以及社会大数据的关联汇聚，构建统一高效、互联互通、安全可靠的国家信息资源体</w:t>
      </w:r>
      <w:r>
        <w:rPr>
          <w:spacing w:val="-44"/>
        </w:rPr>
        <w:t> </w:t>
      </w:r>
      <w:r>
        <w:rPr>
          <w:spacing w:val="-44"/>
        </w:rPr>
      </w:r>
      <w:r>
        <w:rPr>
          <w:spacing w:val="-2"/>
        </w:rPr>
        <w:t>系，打通各部门信息系统，推动信息跨部门跨层级共享共用，依托国家公共数据开放网站，加快推进基础</w:t>
      </w:r>
      <w:r>
        <w:rPr>
          <w:spacing w:val="-50"/>
        </w:rPr>
        <w:t> </w:t>
      </w:r>
      <w:r>
        <w:rPr>
          <w:spacing w:val="-50"/>
        </w:rPr>
      </w:r>
      <w:r>
        <w:rPr/>
        <w:t>信息资源向社会开放。</w:t>
      </w:r>
    </w:p>
    <w:p>
      <w:pPr>
        <w:pStyle w:val="BodyText"/>
        <w:spacing w:line="408" w:lineRule="auto" w:before="46"/>
        <w:ind w:right="1128" w:firstLine="420"/>
        <w:jc w:val="both"/>
      </w:pPr>
      <w:r>
        <w:rPr>
          <w:spacing w:val="-2"/>
        </w:rPr>
        <w:t>③协同共建纵横联动业务系统。围绕十三五经济社会发展的重大任务，聚焦深化放管服改革的主要需</w:t>
      </w:r>
      <w:r>
        <w:rPr>
          <w:w w:val="100"/>
        </w:rPr>
        <w:t> </w:t>
      </w:r>
      <w:r>
        <w:rPr>
          <w:spacing w:val="-2"/>
        </w:rPr>
        <w:t>求，推动各部门联合构建充分共享、协同治理、界限清晰、分工有序的大系统工程。比如：执政能力信息</w:t>
      </w:r>
      <w:r>
        <w:rPr>
          <w:spacing w:val="-42"/>
        </w:rPr>
        <w:t> </w:t>
      </w:r>
      <w:r>
        <w:rPr>
          <w:spacing w:val="-42"/>
        </w:rPr>
      </w:r>
      <w:r>
        <w:rPr>
          <w:spacing w:val="-2"/>
        </w:rPr>
        <w:t>化（全国纪检监察信息系统、监督执纪问责信息平台等）、公共安全信息化（平安中国、自然灾害监测预</w:t>
      </w:r>
      <w:r>
        <w:rPr>
          <w:spacing w:val="-42"/>
        </w:rPr>
        <w:t> </w:t>
      </w:r>
      <w:r>
        <w:rPr>
          <w:spacing w:val="-42"/>
        </w:rPr>
      </w:r>
      <w:r>
        <w:rPr/>
        <w:t>警、环境事故应急处置等）。</w:t>
      </w:r>
    </w:p>
    <w:p>
      <w:pPr>
        <w:pStyle w:val="BodyText"/>
        <w:spacing w:line="408" w:lineRule="auto" w:before="46"/>
        <w:ind w:left="572" w:right="1129" w:firstLine="2"/>
        <w:jc w:val="left"/>
      </w:pPr>
      <w:r>
        <w:rPr>
          <w:rFonts w:ascii="宋体" w:hAnsi="宋体" w:cs="宋体" w:eastAsia="宋体" w:hint="default"/>
          <w:b/>
          <w:bCs/>
        </w:rPr>
        <w:t>公司措施：</w:t>
      </w:r>
      <w:r>
        <w:rPr>
          <w:rFonts w:ascii="宋体" w:hAnsi="宋体" w:cs="宋体" w:eastAsia="宋体" w:hint="default"/>
          <w:b/>
          <w:bCs/>
          <w:w w:val="100"/>
        </w:rPr>
        <w:t> </w:t>
      </w:r>
      <w:r>
        <w:rPr>
          <w:spacing w:val="-3"/>
        </w:rPr>
        <w:t>公司将紧紧抓住时代机遇，加快智慧组工、智慧人大、智慧政协等产品的研发与升级，大力推广统计</w:t>
      </w:r>
      <w:r>
        <w:rPr/>
      </w:r>
    </w:p>
    <w:p>
      <w:pPr>
        <w:pStyle w:val="BodyText"/>
        <w:spacing w:line="408" w:lineRule="auto" w:before="46"/>
        <w:ind w:right="0"/>
        <w:jc w:val="left"/>
      </w:pPr>
      <w:r>
        <w:rPr>
          <w:spacing w:val="-2"/>
        </w:rPr>
        <w:t>大数据管理与挖掘分析平台、区域经济运行监测分析平台等相关产品与解决方案在地方政府的应用，切实</w:t>
      </w:r>
      <w:r>
        <w:rPr>
          <w:spacing w:val="-42"/>
        </w:rPr>
        <w:t> </w:t>
      </w:r>
      <w:r>
        <w:rPr>
          <w:spacing w:val="-42"/>
        </w:rPr>
      </w:r>
      <w:r>
        <w:rPr/>
        <w:t>帮助其解决实际工作难题，提高工作效率，从而进一步提高公司在政务信息化领域的市场占有率。</w:t>
      </w:r>
    </w:p>
    <w:p>
      <w:pPr>
        <w:pStyle w:val="BodyText"/>
        <w:spacing w:line="386" w:lineRule="auto" w:before="46"/>
        <w:ind w:left="572" w:right="0"/>
        <w:jc w:val="left"/>
      </w:pPr>
      <w:r>
        <w:rPr>
          <w:rFonts w:ascii="Times New Roman" w:hAnsi="Times New Roman" w:cs="Times New Roman" w:eastAsia="Times New Roman" w:hint="default"/>
        </w:rPr>
        <w:t>2</w:t>
      </w:r>
      <w:r>
        <w:rPr/>
        <w:t>．数字会议领域</w:t>
      </w:r>
      <w:r>
        <w:rPr>
          <w:spacing w:val="-3"/>
          <w:w w:val="100"/>
        </w:rPr>
        <w:t> </w:t>
      </w:r>
      <w:r>
        <w:rPr>
          <w:spacing w:val="-2"/>
        </w:rPr>
        <w:t>数字会议系统是指综合运用计算机智能识别与分析、通信控制、多媒体等多种信息技术，实现人事选</w:t>
      </w:r>
    </w:p>
    <w:p>
      <w:pPr>
        <w:pStyle w:val="BodyText"/>
        <w:spacing w:line="408" w:lineRule="auto" w:before="65"/>
        <w:ind w:right="0"/>
        <w:jc w:val="left"/>
      </w:pPr>
      <w:r>
        <w:rPr>
          <w:spacing w:val="-2"/>
        </w:rPr>
        <w:t>举、议案表决、人员签到、灯光照明、传声扩声、会务管理以及集中控制等多种功能的一种系统。数字会</w:t>
      </w:r>
      <w:r>
        <w:rPr>
          <w:spacing w:val="-42"/>
        </w:rPr>
        <w:t> </w:t>
      </w:r>
      <w:r>
        <w:rPr>
          <w:spacing w:val="-42"/>
        </w:rPr>
      </w:r>
      <w:r>
        <w:rPr>
          <w:spacing w:val="-5"/>
        </w:rPr>
        <w:t>议系统的价值在于提高会议效率、加快会议进程、节约会议时间，保障会议顺利并可靠召开，在会议周期、</w:t>
      </w:r>
      <w:r>
        <w:rPr>
          <w:spacing w:val="-8"/>
        </w:rPr>
        <w:t> </w:t>
      </w:r>
      <w:r>
        <w:rPr>
          <w:spacing w:val="-8"/>
        </w:rPr>
      </w:r>
      <w:r>
        <w:rPr/>
        <w:t>人力成本等方面节约会议成本，实现</w:t>
      </w:r>
      <w:r>
        <w:rPr>
          <w:rFonts w:ascii="Times New Roman" w:hAnsi="Times New Roman" w:cs="Times New Roman" w:eastAsia="Times New Roman" w:hint="default"/>
        </w:rPr>
        <w:t>“</w:t>
      </w:r>
      <w:r>
        <w:rPr/>
        <w:t>高水平、快节奏、零差错</w:t>
      </w:r>
      <w:r>
        <w:rPr>
          <w:rFonts w:ascii="Times New Roman" w:hAnsi="Times New Roman" w:cs="Times New Roman" w:eastAsia="Times New Roman" w:hint="default"/>
        </w:rPr>
        <w:t>”</w:t>
      </w:r>
      <w:r>
        <w:rPr/>
        <w:t>的目标。</w:t>
      </w:r>
    </w:p>
    <w:p>
      <w:pPr>
        <w:pStyle w:val="BodyText"/>
        <w:spacing w:line="398" w:lineRule="auto" w:before="14"/>
        <w:ind w:right="1128" w:firstLine="419"/>
        <w:jc w:val="both"/>
      </w:pPr>
      <w:r>
        <w:rPr>
          <w:spacing w:val="-4"/>
        </w:rPr>
        <w:t>（</w:t>
      </w:r>
      <w:r>
        <w:rPr>
          <w:rFonts w:ascii="Times New Roman" w:hAnsi="Times New Roman" w:cs="Times New Roman" w:eastAsia="Times New Roman" w:hint="default"/>
          <w:spacing w:val="-4"/>
        </w:rPr>
        <w:t>1</w:t>
      </w:r>
      <w:r>
        <w:rPr>
          <w:spacing w:val="-4"/>
        </w:rPr>
        <w:t>）党政军机关、企事业单位、大型会议活动等对</w:t>
      </w:r>
      <w:r>
        <w:rPr>
          <w:rFonts w:ascii="Times New Roman" w:hAnsi="Times New Roman" w:cs="Times New Roman" w:eastAsia="Times New Roman" w:hint="default"/>
          <w:spacing w:val="-4"/>
        </w:rPr>
        <w:t>“</w:t>
      </w:r>
      <w:r>
        <w:rPr>
          <w:spacing w:val="-4"/>
        </w:rPr>
        <w:t>会议</w:t>
      </w:r>
      <w:r>
        <w:rPr>
          <w:rFonts w:ascii="Times New Roman" w:hAnsi="Times New Roman" w:cs="Times New Roman" w:eastAsia="Times New Roman" w:hint="default"/>
          <w:spacing w:val="-4"/>
        </w:rPr>
        <w:t>”</w:t>
      </w:r>
      <w:r>
        <w:rPr>
          <w:spacing w:val="-4"/>
        </w:rPr>
        <w:t>应用需求持续增长随着国家鼓励政策增多以</w:t>
      </w:r>
      <w:r>
        <w:rPr>
          <w:spacing w:val="-3"/>
          <w:w w:val="100"/>
        </w:rPr>
        <w:t> </w:t>
      </w:r>
      <w:r>
        <w:rPr>
          <w:spacing w:val="-2"/>
        </w:rPr>
        <w:t>及智能分析、高速机器视觉等技术的不断发展，数字会议系统整体市场规模保持较好的发展态势，其驱动</w:t>
      </w:r>
      <w:r>
        <w:rPr>
          <w:spacing w:val="-44"/>
        </w:rPr>
        <w:t> </w:t>
      </w:r>
      <w:r>
        <w:rPr>
          <w:spacing w:val="-44"/>
        </w:rPr>
      </w:r>
      <w:r>
        <w:rPr/>
        <w:t>力主要来自于以下方面：</w:t>
      </w:r>
    </w:p>
    <w:p>
      <w:pPr>
        <w:pStyle w:val="BodyText"/>
        <w:spacing w:line="408" w:lineRule="auto" w:before="54"/>
        <w:ind w:right="1128" w:firstLine="420"/>
        <w:jc w:val="both"/>
      </w:pPr>
      <w:r>
        <w:rPr>
          <w:spacing w:val="-2"/>
        </w:rPr>
        <w:t>①存量用户的升级改造：现有的存量用户需要对会议系统进行持续性升级改造，使功能更为智能、应</w:t>
      </w:r>
      <w:r>
        <w:rPr>
          <w:w w:val="100"/>
        </w:rPr>
        <w:t> </w:t>
      </w:r>
      <w:r>
        <w:rPr/>
        <w:t>用更灵活、运行更可靠，帮助其提升会议沟通效率和经营管理水平；</w:t>
      </w:r>
    </w:p>
    <w:p>
      <w:pPr>
        <w:pStyle w:val="BodyText"/>
        <w:spacing w:line="408" w:lineRule="auto" w:before="46"/>
        <w:ind w:right="1128" w:firstLine="420"/>
        <w:jc w:val="both"/>
      </w:pPr>
      <w:r>
        <w:rPr>
          <w:spacing w:val="-2"/>
        </w:rPr>
        <w:t>②成本降低和会议服务模式的推广将吸引更多的增量客户，推动促使增量用户持续增加：信息技术的</w:t>
      </w:r>
      <w:r>
        <w:rPr>
          <w:w w:val="100"/>
        </w:rPr>
        <w:t> </w:t>
      </w:r>
      <w:r>
        <w:rPr>
          <w:spacing w:val="-2"/>
        </w:rPr>
        <w:t>快速发展将带来智能会议设备成本降低，性能的提升，产品吸引力不断提高；国内尤其是三、四线城市的</w:t>
      </w:r>
      <w:r>
        <w:rPr>
          <w:spacing w:val="-47"/>
        </w:rPr>
        <w:t> </w:t>
      </w:r>
      <w:r>
        <w:rPr>
          <w:spacing w:val="-47"/>
        </w:rPr>
      </w:r>
      <w:r>
        <w:rPr>
          <w:spacing w:val="-2"/>
        </w:rPr>
        <w:t>政府基层组织、学校、医院事业单位、大型企业的数会议系统应用刚刚起步，是会议系统扩张发展的主要</w:t>
      </w:r>
      <w:r>
        <w:rPr>
          <w:spacing w:val="-47"/>
        </w:rPr>
        <w:t> </w:t>
      </w:r>
      <w:r>
        <w:rPr>
          <w:spacing w:val="-47"/>
        </w:rPr>
      </w:r>
      <w:r>
        <w:rPr/>
        <w:t>增量来源；此外使用成本的下降有利于数字会议系统的推广。</w:t>
      </w:r>
    </w:p>
    <w:p>
      <w:pPr>
        <w:pStyle w:val="BodyText"/>
        <w:spacing w:line="386" w:lineRule="auto" w:before="46"/>
        <w:ind w:right="1128" w:firstLine="419"/>
        <w:jc w:val="both"/>
      </w:pPr>
      <w:r>
        <w:rPr>
          <w:spacing w:val="-3"/>
        </w:rPr>
        <w:t>据中国产业信息网公开数据，</w:t>
      </w:r>
      <w:r>
        <w:rPr>
          <w:rFonts w:ascii="Times New Roman" w:hAnsi="Times New Roman" w:cs="Times New Roman" w:eastAsia="Times New Roman" w:hint="default"/>
          <w:spacing w:val="-3"/>
        </w:rPr>
        <w:t>2018</w:t>
      </w:r>
      <w:r>
        <w:rPr>
          <w:spacing w:val="-3"/>
        </w:rPr>
        <w:t>年，数字会议系统市场规模约</w:t>
      </w:r>
      <w:r>
        <w:rPr>
          <w:rFonts w:ascii="Times New Roman" w:hAnsi="Times New Roman" w:cs="Times New Roman" w:eastAsia="Times New Roman" w:hint="default"/>
          <w:spacing w:val="-3"/>
        </w:rPr>
        <w:t>175.2</w:t>
      </w:r>
      <w:r>
        <w:rPr>
          <w:spacing w:val="-3"/>
        </w:rPr>
        <w:t>亿元，其中政府领域数字会议系</w:t>
      </w:r>
      <w:r>
        <w:rPr>
          <w:w w:val="100"/>
        </w:rPr>
        <w:t> </w:t>
      </w:r>
      <w:r>
        <w:rPr>
          <w:spacing w:val="-2"/>
        </w:rPr>
        <w:t>统市场规模达到</w:t>
      </w:r>
      <w:r>
        <w:rPr>
          <w:rFonts w:ascii="Times New Roman" w:hAnsi="Times New Roman" w:cs="Times New Roman" w:eastAsia="Times New Roman" w:hint="default"/>
          <w:spacing w:val="-2"/>
        </w:rPr>
        <w:t>43.80</w:t>
      </w:r>
      <w:r>
        <w:rPr>
          <w:spacing w:val="-2"/>
        </w:rPr>
        <w:t>亿元，规模同比增长</w:t>
      </w:r>
      <w:r>
        <w:rPr>
          <w:rFonts w:ascii="Times New Roman" w:hAnsi="Times New Roman" w:cs="Times New Roman" w:eastAsia="Times New Roman" w:hint="default"/>
          <w:spacing w:val="-2"/>
        </w:rPr>
        <w:t>19.48%</w:t>
      </w:r>
      <w:r>
        <w:rPr>
          <w:spacing w:val="-2"/>
        </w:rPr>
        <w:t>，企事业单位及其他领域需求规模为</w:t>
      </w:r>
      <w:r>
        <w:rPr>
          <w:rFonts w:ascii="Times New Roman" w:hAnsi="Times New Roman" w:cs="Times New Roman" w:eastAsia="Times New Roman" w:hint="default"/>
          <w:spacing w:val="-2"/>
        </w:rPr>
        <w:t>131.40</w:t>
      </w:r>
      <w:r>
        <w:rPr>
          <w:spacing w:val="-2"/>
        </w:rPr>
        <w:t>亿元，规模较</w:t>
      </w:r>
      <w:r>
        <w:rPr>
          <w:spacing w:val="-50"/>
        </w:rPr>
        <w:t> </w:t>
      </w:r>
      <w:r>
        <w:rPr>
          <w:spacing w:val="-50"/>
        </w:rPr>
      </w:r>
      <w:r>
        <w:rPr>
          <w:spacing w:val="-3"/>
        </w:rPr>
        <w:t>上年同期增长</w:t>
      </w:r>
      <w:r>
        <w:rPr>
          <w:rFonts w:ascii="Times New Roman" w:hAnsi="Times New Roman" w:cs="Times New Roman" w:eastAsia="Times New Roman" w:hint="default"/>
          <w:spacing w:val="-3"/>
        </w:rPr>
        <w:t>21.73%</w:t>
      </w:r>
      <w:r>
        <w:rPr>
          <w:spacing w:val="-3"/>
        </w:rPr>
        <w:t>。由此可以看出，国家机关高端客户需求稳定，企事业单位客户需求加大，主打信息</w:t>
      </w:r>
      <w:r>
        <w:rPr>
          <w:spacing w:val="-12"/>
        </w:rPr>
        <w:t> </w:t>
      </w:r>
      <w:r>
        <w:rPr>
          <w:spacing w:val="-12"/>
        </w:rPr>
      </w:r>
      <w:r>
        <w:rPr/>
        <w:t>安全的国产品牌具有更多优势。</w:t>
      </w:r>
    </w:p>
    <w:p>
      <w:pPr>
        <w:pStyle w:val="BodyText"/>
        <w:spacing w:line="240" w:lineRule="auto" w:before="65"/>
        <w:ind w:left="572" w:right="0"/>
        <w:jc w:val="left"/>
      </w:pPr>
      <w:r>
        <w:rPr/>
        <w:t>（</w:t>
      </w:r>
      <w:r>
        <w:rPr>
          <w:rFonts w:ascii="Times New Roman" w:hAnsi="Times New Roman" w:cs="Times New Roman" w:eastAsia="Times New Roman" w:hint="default"/>
        </w:rPr>
        <w:t>2</w:t>
      </w:r>
      <w:r>
        <w:rPr/>
        <w:t>）数字会议业务已经进入既有市场竞争升级、未来市场空间仍需开拓的发展阶段</w:t>
      </w:r>
    </w:p>
    <w:p>
      <w:pPr>
        <w:spacing w:after="0" w:line="240"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06" w:firstLine="420"/>
        <w:jc w:val="both"/>
      </w:pPr>
      <w:r>
        <w:rPr>
          <w:spacing w:val="-2"/>
        </w:rPr>
        <w:t>我国省级机关和事业单位已经在广泛使用数字会议系统，需求水平不断提升，对企业提出了更高的要</w:t>
      </w:r>
      <w:r>
        <w:rPr>
          <w:w w:val="100"/>
        </w:rPr>
        <w:t> </w:t>
      </w:r>
      <w:r>
        <w:rPr>
          <w:spacing w:val="-2"/>
        </w:rPr>
        <w:t>求；地市级、县级机关和事业单位对数字会议系统的需求也在增强；大中型企业、会展中心、酒店、学校</w:t>
      </w:r>
      <w:r>
        <w:rPr>
          <w:spacing w:val="-42"/>
        </w:rPr>
        <w:t> </w:t>
      </w:r>
      <w:r>
        <w:rPr>
          <w:spacing w:val="-42"/>
        </w:rPr>
      </w:r>
      <w:r>
        <w:rPr>
          <w:spacing w:val="-2"/>
        </w:rPr>
        <w:t>等对数字会议系统的需求也呈现增长态势，加上国家对国产化产品的大力支持，数字会议业务的市场发展</w:t>
      </w:r>
      <w:r>
        <w:rPr>
          <w:spacing w:val="-42"/>
        </w:rPr>
        <w:t> </w:t>
      </w:r>
      <w:r>
        <w:rPr>
          <w:spacing w:val="-42"/>
        </w:rPr>
      </w:r>
      <w:r>
        <w:rPr>
          <w:spacing w:val="-2"/>
        </w:rPr>
        <w:t>空间不断加大。数字会议系统产品的更新换代要顺应市场发展需求，以大数据、人工智能为支撑的新型数</w:t>
      </w:r>
      <w:r>
        <w:rPr>
          <w:spacing w:val="-44"/>
        </w:rPr>
        <w:t> </w:t>
      </w:r>
      <w:r>
        <w:rPr>
          <w:spacing w:val="-44"/>
        </w:rPr>
      </w:r>
      <w:r>
        <w:rPr>
          <w:spacing w:val="-2"/>
        </w:rPr>
        <w:t>字会议产品，将计算机视觉支撑的智能签到、语音识别支撑的新型无纸化、智能阅文、语义分析、智库、</w:t>
      </w:r>
      <w:r>
        <w:rPr>
          <w:spacing w:val="-21"/>
        </w:rPr>
        <w:t> </w:t>
      </w:r>
      <w:r>
        <w:rPr>
          <w:spacing w:val="-21"/>
        </w:rPr>
      </w:r>
      <w:r>
        <w:rPr/>
        <w:t>自适应学习应用到传统智能会议系统，支持既有业态发展。</w:t>
      </w:r>
    </w:p>
    <w:p>
      <w:pPr>
        <w:pStyle w:val="BodyText"/>
        <w:spacing w:line="386" w:lineRule="auto" w:before="46"/>
        <w:ind w:right="0" w:firstLine="252"/>
        <w:jc w:val="left"/>
      </w:pPr>
      <w:r>
        <w:rPr>
          <w:spacing w:val="-3"/>
        </w:rPr>
        <w:t>（</w:t>
      </w:r>
      <w:r>
        <w:rPr>
          <w:rFonts w:ascii="Times New Roman" w:hAnsi="Times New Roman" w:cs="Times New Roman" w:eastAsia="Times New Roman" w:hint="default"/>
          <w:spacing w:val="-3"/>
        </w:rPr>
        <w:t>3</w:t>
      </w:r>
      <w:r>
        <w:rPr>
          <w:spacing w:val="-3"/>
        </w:rPr>
        <w:t>）会议系统竞争逐步分化，高端用户市场对可靠性、智能性要求日益提高，中低端市场对产品品牌、</w:t>
      </w:r>
      <w:r>
        <w:rPr>
          <w:w w:val="100"/>
        </w:rPr>
        <w:t> </w:t>
      </w:r>
      <w:r>
        <w:rPr/>
        <w:t>性价比等更为关注</w:t>
      </w:r>
    </w:p>
    <w:p>
      <w:pPr>
        <w:spacing w:line="240" w:lineRule="auto" w:before="2"/>
        <w:rPr>
          <w:rFonts w:ascii="宋体" w:hAnsi="宋体" w:cs="宋体" w:eastAsia="宋体" w:hint="default"/>
          <w:sz w:val="14"/>
          <w:szCs w:val="14"/>
        </w:rPr>
      </w:pPr>
    </w:p>
    <w:p>
      <w:pPr>
        <w:pStyle w:val="BodyText"/>
        <w:spacing w:line="408" w:lineRule="auto"/>
        <w:ind w:right="1129" w:firstLine="419"/>
        <w:jc w:val="both"/>
      </w:pPr>
      <w:r>
        <w:rPr>
          <w:spacing w:val="-2"/>
        </w:rPr>
        <w:t>在高端用户市场，特别是高级别的党政机关大型会议、大型集团性会议和大型会议活动中，对会议系</w:t>
      </w:r>
      <w:r>
        <w:rPr>
          <w:spacing w:val="-3"/>
          <w:w w:val="100"/>
        </w:rPr>
        <w:t> </w:t>
      </w:r>
      <w:r>
        <w:rPr>
          <w:spacing w:val="-2"/>
        </w:rPr>
        <w:t>统的可靠性、稳定性、实时性、灵活性和智能性有更为严格的技术要求，用户在产品采购中更为关注厂商</w:t>
      </w:r>
      <w:r>
        <w:rPr>
          <w:spacing w:val="-47"/>
        </w:rPr>
        <w:t> </w:t>
      </w:r>
      <w:r>
        <w:rPr>
          <w:spacing w:val="-47"/>
        </w:rPr>
      </w:r>
      <w:r>
        <w:rPr/>
        <w:t>的产品技术研发能力、一体化解决方案能力和会议系统保障能力。</w:t>
      </w:r>
    </w:p>
    <w:p>
      <w:pPr>
        <w:pStyle w:val="BodyText"/>
        <w:spacing w:line="408" w:lineRule="auto" w:before="166"/>
        <w:ind w:right="1106" w:firstLine="420"/>
        <w:jc w:val="both"/>
      </w:pPr>
      <w:r>
        <w:rPr>
          <w:spacing w:val="-2"/>
        </w:rPr>
        <w:t>在中低端市场，用户在采购中往往需要兼顾经济性和实用性。随着电子信息产业的快速发展和会议系</w:t>
      </w:r>
      <w:r>
        <w:rPr>
          <w:w w:val="100"/>
        </w:rPr>
        <w:t> </w:t>
      </w:r>
      <w:r>
        <w:rPr>
          <w:spacing w:val="-2"/>
        </w:rPr>
        <w:t>统应用的日益复杂、技术难度的不断提升，中低端市场的竞争焦点已经逐渐由单一的成本竞争转向品牌、</w:t>
      </w:r>
      <w:r>
        <w:rPr>
          <w:spacing w:val="-21"/>
        </w:rPr>
        <w:t> </w:t>
      </w:r>
      <w:r>
        <w:rPr>
          <w:spacing w:val="-21"/>
        </w:rPr>
      </w:r>
      <w:r>
        <w:rPr/>
        <w:t>综合实力及性价比竞争。</w:t>
      </w:r>
    </w:p>
    <w:p>
      <w:pPr>
        <w:pStyle w:val="BodyText"/>
        <w:spacing w:line="408" w:lineRule="auto" w:before="166"/>
        <w:ind w:right="1128" w:firstLine="420"/>
        <w:jc w:val="both"/>
      </w:pPr>
      <w:r>
        <w:rPr>
          <w:spacing w:val="-2"/>
        </w:rPr>
        <w:t>此外，在频次较低、召开时间不规律或对成本控制较为严格的会议中，客户也通过采购会议服务而非</w:t>
      </w:r>
      <w:r>
        <w:rPr>
          <w:w w:val="100"/>
        </w:rPr>
        <w:t> </w:t>
      </w:r>
      <w:r>
        <w:rPr/>
        <w:t>整套数字会议整体系统的方式满足自身需求。</w:t>
      </w:r>
    </w:p>
    <w:p>
      <w:pPr>
        <w:pStyle w:val="BodyText"/>
        <w:spacing w:line="484" w:lineRule="auto" w:before="166"/>
        <w:ind w:left="572" w:right="0"/>
        <w:jc w:val="left"/>
      </w:pPr>
      <w:r>
        <w:rPr/>
        <w:t>（</w:t>
      </w:r>
      <w:r>
        <w:rPr>
          <w:rFonts w:ascii="Times New Roman" w:hAnsi="Times New Roman" w:cs="Times New Roman" w:eastAsia="Times New Roman" w:hint="default"/>
        </w:rPr>
        <w:t>4</w:t>
      </w:r>
      <w:r>
        <w:rPr/>
        <w:t>）信息安全关注度日益提升，国产品牌具有一定优势</w:t>
      </w:r>
      <w:r>
        <w:rPr>
          <w:w w:val="100"/>
        </w:rPr>
        <w:t> </w:t>
      </w:r>
      <w:r>
        <w:rPr>
          <w:spacing w:val="-2"/>
        </w:rPr>
        <w:t>目前国内会议系统的高端用户主要集中在党政团机关、大型央企等国家核心部门，对于信息安全有极</w:t>
      </w:r>
    </w:p>
    <w:p>
      <w:pPr>
        <w:pStyle w:val="BodyText"/>
        <w:spacing w:line="254" w:lineRule="exact"/>
        <w:ind w:right="0"/>
        <w:jc w:val="left"/>
      </w:pPr>
      <w:r>
        <w:rPr/>
        <w:t>为严格的要求，因此对于国际品牌产品有较大的安全性顾虑，更倾向于选购国产品牌。会议系统厂商不只</w:t>
      </w:r>
    </w:p>
    <w:p>
      <w:pPr>
        <w:spacing w:line="240" w:lineRule="auto" w:before="10"/>
        <w:rPr>
          <w:rFonts w:ascii="宋体" w:hAnsi="宋体" w:cs="宋体" w:eastAsia="宋体" w:hint="default"/>
          <w:sz w:val="14"/>
          <w:szCs w:val="14"/>
        </w:rPr>
      </w:pPr>
    </w:p>
    <w:p>
      <w:pPr>
        <w:pStyle w:val="BodyText"/>
        <w:spacing w:line="240" w:lineRule="auto"/>
        <w:ind w:right="0"/>
        <w:jc w:val="left"/>
      </w:pPr>
      <w:r>
        <w:rPr/>
        <w:t>是提供产品交付即可，亦需要提供包括会议保障、运维服务等持续性的服务支持。</w:t>
      </w:r>
    </w:p>
    <w:p>
      <w:pPr>
        <w:spacing w:line="240" w:lineRule="auto" w:before="12"/>
        <w:rPr>
          <w:rFonts w:ascii="宋体" w:hAnsi="宋体" w:cs="宋体" w:eastAsia="宋体" w:hint="default"/>
          <w:sz w:val="23"/>
          <w:szCs w:val="23"/>
        </w:rPr>
      </w:pPr>
    </w:p>
    <w:p>
      <w:pPr>
        <w:pStyle w:val="BodyText"/>
        <w:spacing w:line="484" w:lineRule="auto"/>
        <w:ind w:left="572" w:right="0"/>
        <w:jc w:val="left"/>
      </w:pPr>
      <w:r>
        <w:rPr/>
        <w:t>（</w:t>
      </w:r>
      <w:r>
        <w:rPr>
          <w:rFonts w:ascii="Times New Roman" w:hAnsi="Times New Roman" w:cs="Times New Roman" w:eastAsia="Times New Roman" w:hint="default"/>
        </w:rPr>
        <w:t>5</w:t>
      </w:r>
      <w:r>
        <w:rPr/>
        <w:t>）新冠疫情下的数字会议行业发展形势</w:t>
      </w:r>
      <w:r>
        <w:rPr>
          <w:w w:val="100"/>
        </w:rPr>
        <w:t> </w:t>
      </w:r>
      <w:r>
        <w:rPr>
          <w:spacing w:val="-2"/>
        </w:rPr>
        <w:t>数字会议系统由报到系统、表决系统、投票选举系统、会议管理系统、中控系统、会场显示及音响系</w:t>
      </w:r>
    </w:p>
    <w:p>
      <w:pPr>
        <w:pStyle w:val="BodyText"/>
        <w:spacing w:line="254" w:lineRule="exact"/>
        <w:ind w:right="0"/>
        <w:jc w:val="left"/>
      </w:pPr>
      <w:r>
        <w:rPr/>
        <w:t>统组成。现广泛应用的视频会议系统集成了显示及音响、中控功能。</w:t>
      </w:r>
    </w:p>
    <w:p>
      <w:pPr>
        <w:spacing w:after="0" w:line="254" w:lineRule="exact"/>
        <w:jc w:val="left"/>
        <w:sectPr>
          <w:pgSz w:w="11910" w:h="16840"/>
          <w:pgMar w:header="880" w:footer="977" w:top="1100" w:bottom="1160" w:left="980" w:right="0"/>
        </w:sectPr>
      </w:pPr>
    </w:p>
    <w:p>
      <w:pPr>
        <w:spacing w:line="240" w:lineRule="auto" w:before="0"/>
        <w:rPr>
          <w:rFonts w:ascii="宋体" w:hAnsi="宋体" w:cs="宋体" w:eastAsia="宋体" w:hint="default"/>
          <w:sz w:val="26"/>
          <w:szCs w:val="26"/>
        </w:rPr>
      </w:pPr>
    </w:p>
    <w:p>
      <w:pPr>
        <w:spacing w:line="3395" w:lineRule="exact"/>
        <w:ind w:left="3282"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2144205" cy="2156269"/>
            <wp:effectExtent l="0" t="0" r="0" b="0"/>
            <wp:docPr id="5" name="image7.jpeg" descr="?"/>
            <wp:cNvGraphicFramePr>
              <a:graphicFrameLocks noChangeAspect="1"/>
            </wp:cNvGraphicFramePr>
            <a:graphic>
              <a:graphicData uri="http://schemas.openxmlformats.org/drawingml/2006/picture">
                <pic:pic>
                  <pic:nvPicPr>
                    <pic:cNvPr id="6" name="image7.jpeg"/>
                    <pic:cNvPicPr/>
                  </pic:nvPicPr>
                  <pic:blipFill>
                    <a:blip r:embed="rId16" cstate="print"/>
                    <a:stretch>
                      <a:fillRect/>
                    </a:stretch>
                  </pic:blipFill>
                  <pic:spPr>
                    <a:xfrm>
                      <a:off x="0" y="0"/>
                      <a:ext cx="2144205" cy="2156269"/>
                    </a:xfrm>
                    <a:prstGeom prst="rect">
                      <a:avLst/>
                    </a:prstGeom>
                  </pic:spPr>
                </pic:pic>
              </a:graphicData>
            </a:graphic>
          </wp:inline>
        </w:drawing>
      </w:r>
      <w:r>
        <w:rPr>
          <w:rFonts w:ascii="宋体" w:hAnsi="宋体" w:cs="宋体" w:eastAsia="宋体" w:hint="default"/>
          <w:position w:val="-67"/>
          <w:sz w:val="20"/>
          <w:szCs w:val="20"/>
        </w:rPr>
      </w:r>
    </w:p>
    <w:p>
      <w:pPr>
        <w:pStyle w:val="BodyText"/>
        <w:spacing w:line="408" w:lineRule="auto" w:before="82"/>
        <w:ind w:left="572" w:right="0" w:firstLine="3096"/>
        <w:jc w:val="left"/>
      </w:pPr>
      <w:r>
        <w:rPr/>
        <w:t>图例：</w:t>
      </w:r>
      <w:r>
        <w:rPr>
          <w:spacing w:val="-24"/>
        </w:rPr>
        <w:t> </w:t>
      </w:r>
      <w:r>
        <w:rPr/>
        <w:t>数字会议系统的组成</w:t>
      </w:r>
      <w:r>
        <w:rPr>
          <w:spacing w:val="-3"/>
          <w:w w:val="100"/>
        </w:rPr>
        <w:t> </w:t>
      </w:r>
      <w:r>
        <w:rPr>
          <w:spacing w:val="-4"/>
        </w:rPr>
        <w:t>新冠肺炎疫情让视频会议行业提前进入爆发期。目前国内视频会议的覆盖率大约在</w:t>
      </w:r>
      <w:r>
        <w:rPr>
          <w:rFonts w:ascii="Times New Roman" w:hAnsi="Times New Roman" w:cs="Times New Roman" w:eastAsia="Times New Roman" w:hint="default"/>
          <w:spacing w:val="-4"/>
        </w:rPr>
        <w:t>3%</w:t>
      </w:r>
      <w:r>
        <w:rPr>
          <w:spacing w:val="-4"/>
        </w:rPr>
        <w:t>以内，市场空间</w:t>
      </w:r>
    </w:p>
    <w:p>
      <w:pPr>
        <w:pStyle w:val="BodyText"/>
        <w:spacing w:line="405" w:lineRule="auto" w:before="14"/>
        <w:ind w:right="1024"/>
        <w:jc w:val="left"/>
      </w:pPr>
      <w:r>
        <w:rPr/>
        <w:t>潜力巨大，据业内人士预计，</w:t>
      </w:r>
      <w:r>
        <w:rPr>
          <w:rFonts w:ascii="Times New Roman" w:hAnsi="Times New Roman" w:cs="Times New Roman" w:eastAsia="Times New Roman" w:hint="default"/>
        </w:rPr>
        <w:t>2020</w:t>
      </w:r>
      <w:r>
        <w:rPr/>
        <w:t>年整个视频会议的整体增速会达到</w:t>
      </w:r>
      <w:r>
        <w:rPr>
          <w:rFonts w:ascii="Times New Roman" w:hAnsi="Times New Roman" w:cs="Times New Roman" w:eastAsia="Times New Roman" w:hint="default"/>
        </w:rPr>
        <w:t>22%</w:t>
      </w:r>
      <w:r>
        <w:rPr/>
        <w:t>。传统视频会议解决方案侧重于</w:t>
      </w:r>
      <w:r>
        <w:rPr>
          <w:spacing w:val="-99"/>
        </w:rPr>
        <w:t> </w:t>
      </w:r>
      <w:r>
        <w:rPr>
          <w:spacing w:val="-99"/>
        </w:rPr>
      </w:r>
      <w:r>
        <w:rPr>
          <w:spacing w:val="-2"/>
        </w:rPr>
        <w:t>硬件，具有部署繁琐、成本高等特点，但相对安全、稳定，主要客户为政府和大企业。新兴的云视频会议</w:t>
      </w:r>
      <w:r>
        <w:rPr>
          <w:spacing w:val="-42"/>
        </w:rPr>
        <w:t> </w:t>
      </w:r>
      <w:r>
        <w:rPr>
          <w:spacing w:val="-42"/>
        </w:rPr>
      </w:r>
      <w:r>
        <w:rPr>
          <w:spacing w:val="-3"/>
        </w:rPr>
        <w:t>产品安装使用方便，主要客户为中小企业。由于政府视频会议均使用内网，不与外网相连，因此如何进入</w:t>
      </w:r>
      <w:r>
        <w:rPr>
          <w:spacing w:val="-6"/>
        </w:rPr>
        <w:t> </w:t>
      </w:r>
      <w:r>
        <w:rPr>
          <w:spacing w:val="-6"/>
        </w:rPr>
      </w:r>
      <w:r>
        <w:rPr>
          <w:spacing w:val="-5"/>
        </w:rPr>
        <w:t>政府市场是云视频行业的瓶颈，并且现有视频会议产品还存在延时、画面不甚清晰等共性问题需要去解决。 </w:t>
      </w:r>
      <w:r>
        <w:rPr>
          <w:spacing w:val="-5"/>
        </w:rPr>
      </w:r>
      <w:r>
        <w:rPr>
          <w:spacing w:val="-2"/>
        </w:rPr>
        <w:t>视频会议行业发展要采用开拓细分市场的模式，不同类型的视频会议企业将在各自的细分领域去发力。中</w:t>
      </w:r>
      <w:r>
        <w:rPr>
          <w:spacing w:val="-42"/>
        </w:rPr>
        <w:t> </w:t>
      </w:r>
      <w:r>
        <w:rPr>
          <w:spacing w:val="-42"/>
        </w:rPr>
      </w:r>
      <w:r>
        <w:rPr>
          <w:spacing w:val="-2"/>
        </w:rPr>
        <w:t>科信息数字会议系统中的选举、表决系统适用我国的选举制度要求，服务于有中国特色的社会主义民主模</w:t>
      </w:r>
      <w:r>
        <w:rPr>
          <w:spacing w:val="-42"/>
        </w:rPr>
        <w:t> </w:t>
      </w:r>
      <w:r>
        <w:rPr>
          <w:spacing w:val="-42"/>
        </w:rPr>
      </w:r>
      <w:r>
        <w:rPr/>
        <w:t>式。</w:t>
      </w:r>
    </w:p>
    <w:p>
      <w:pPr>
        <w:pStyle w:val="BodyText"/>
        <w:spacing w:line="408" w:lineRule="auto" w:before="48"/>
        <w:ind w:left="572" w:right="1129" w:firstLine="2"/>
        <w:jc w:val="left"/>
      </w:pPr>
      <w:r>
        <w:rPr>
          <w:rFonts w:ascii="宋体" w:hAnsi="宋体" w:cs="宋体" w:eastAsia="宋体" w:hint="default"/>
          <w:b/>
          <w:bCs/>
        </w:rPr>
        <w:t>公司措施：</w:t>
      </w:r>
      <w:r>
        <w:rPr>
          <w:rFonts w:ascii="宋体" w:hAnsi="宋体" w:cs="宋体" w:eastAsia="宋体" w:hint="default"/>
          <w:b/>
          <w:bCs/>
          <w:w w:val="100"/>
        </w:rPr>
        <w:t> </w:t>
      </w:r>
      <w:r>
        <w:rPr>
          <w:spacing w:val="-2"/>
        </w:rPr>
        <w:t>公司将立足现有技术、品牌、市场、行业地位的优势，不断优化和完善数字会议产品线，提升品牌知</w:t>
      </w:r>
    </w:p>
    <w:p>
      <w:pPr>
        <w:pStyle w:val="BodyText"/>
        <w:spacing w:line="240" w:lineRule="auto" w:before="46"/>
        <w:ind w:right="0"/>
        <w:jc w:val="left"/>
      </w:pPr>
      <w:r>
        <w:rPr/>
        <w:t>名度，延伸行业覆盖面，进一步提高市场占有率。</w:t>
      </w:r>
    </w:p>
    <w:p>
      <w:pPr>
        <w:spacing w:line="240" w:lineRule="auto" w:before="10"/>
        <w:rPr>
          <w:rFonts w:ascii="宋体" w:hAnsi="宋体" w:cs="宋体" w:eastAsia="宋体" w:hint="default"/>
          <w:sz w:val="14"/>
          <w:szCs w:val="14"/>
        </w:rPr>
      </w:pPr>
    </w:p>
    <w:p>
      <w:pPr>
        <w:pStyle w:val="BodyText"/>
        <w:spacing w:line="386" w:lineRule="auto"/>
        <w:ind w:left="572" w:right="0"/>
        <w:jc w:val="left"/>
      </w:pPr>
      <w:r>
        <w:rPr>
          <w:rFonts w:ascii="Times New Roman" w:hAnsi="Times New Roman" w:cs="Times New Roman" w:eastAsia="Times New Roman" w:hint="default"/>
        </w:rPr>
        <w:t>3.</w:t>
      </w:r>
      <w:r>
        <w:rPr/>
        <w:t>烟草信息化领域</w:t>
      </w:r>
      <w:r>
        <w:rPr>
          <w:spacing w:val="-3"/>
          <w:w w:val="100"/>
        </w:rPr>
        <w:t> </w:t>
      </w:r>
      <w:r>
        <w:rPr>
          <w:spacing w:val="-2"/>
        </w:rPr>
        <w:t>近年来，国家不断推进新一代信息技术与传统产业融合，促使烟草企业把提升信息化水平作为实施创</w:t>
      </w:r>
    </w:p>
    <w:p>
      <w:pPr>
        <w:pStyle w:val="BodyText"/>
        <w:spacing w:line="240" w:lineRule="auto" w:before="65"/>
        <w:ind w:right="0"/>
        <w:jc w:val="left"/>
      </w:pPr>
      <w:r>
        <w:rPr/>
        <w:t>新驱动战略的重要抓手，加快推进数字烟草、智慧烟草的建设进程。</w:t>
      </w:r>
    </w:p>
    <w:p>
      <w:pPr>
        <w:spacing w:line="240" w:lineRule="auto" w:before="10"/>
        <w:rPr>
          <w:rFonts w:ascii="宋体" w:hAnsi="宋体" w:cs="宋体" w:eastAsia="宋体" w:hint="default"/>
          <w:sz w:val="14"/>
          <w:szCs w:val="14"/>
        </w:rPr>
      </w:pPr>
    </w:p>
    <w:p>
      <w:pPr>
        <w:pStyle w:val="BodyText"/>
        <w:spacing w:line="386" w:lineRule="auto"/>
        <w:ind w:left="572" w:right="0" w:hanging="1"/>
        <w:jc w:val="left"/>
      </w:pPr>
      <w:r>
        <w:rPr/>
        <w:t>（</w:t>
      </w:r>
      <w:r>
        <w:rPr>
          <w:rFonts w:ascii="Times New Roman" w:hAnsi="Times New Roman" w:cs="Times New Roman" w:eastAsia="Times New Roman" w:hint="default"/>
        </w:rPr>
        <w:t>1</w:t>
      </w:r>
      <w:r>
        <w:rPr/>
        <w:t>）烟草行业</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行动计划为行业的</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行动树立了总体目标，指明了方向</w:t>
      </w:r>
      <w:r>
        <w:rPr>
          <w:w w:val="100"/>
        </w:rPr>
        <w:t> </w:t>
      </w:r>
      <w:r>
        <w:rPr/>
        <w:t>国家烟草专卖局印发烟草行业</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行动计划，明确了行业</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行动的指导思想和基本原</w:t>
      </w:r>
    </w:p>
    <w:p>
      <w:pPr>
        <w:pStyle w:val="BodyText"/>
        <w:spacing w:line="403" w:lineRule="auto" w:before="35"/>
        <w:ind w:right="1022"/>
        <w:jc w:val="both"/>
      </w:pPr>
      <w:r>
        <w:rPr/>
        <w:t>则、总体目标和重点领域、重点行动和保障支撑。计划指出，行业要主动顺应</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发展趋势，贯彻</w:t>
      </w:r>
      <w:r>
        <w:rPr>
          <w:spacing w:val="-20"/>
        </w:rPr>
        <w:t> </w:t>
      </w:r>
      <w:r>
        <w:rPr>
          <w:spacing w:val="-20"/>
        </w:rPr>
      </w:r>
      <w:r>
        <w:rPr>
          <w:spacing w:val="-2"/>
        </w:rPr>
        <w:t>落实创新、协调、绿色、开放、共享五大发展理念，坚持烟草专卖制度和转变发展理念相结合，坚持业务</w:t>
      </w:r>
      <w:r>
        <w:rPr>
          <w:spacing w:val="-45"/>
        </w:rPr>
        <w:t> </w:t>
      </w:r>
      <w:r>
        <w:rPr>
          <w:spacing w:val="-45"/>
        </w:rPr>
      </w:r>
      <w:r>
        <w:rPr>
          <w:spacing w:val="-2"/>
        </w:rPr>
        <w:t>模式创新和推动技术应用相结合，坚持行业统筹规划和企业试点先行相结合，有序推进烟草产业与互联网</w:t>
      </w:r>
      <w:r>
        <w:rPr>
          <w:spacing w:val="-42"/>
        </w:rPr>
        <w:t> </w:t>
      </w:r>
      <w:r>
        <w:rPr>
          <w:spacing w:val="-42"/>
        </w:rPr>
      </w:r>
      <w:r>
        <w:rPr>
          <w:spacing w:val="-2"/>
        </w:rPr>
        <w:t>融合发展，进一步激发行业创新活力、发展潜力和转型动力，驱动中国烟草提质增效、转型升级、创新发</w:t>
      </w:r>
      <w:r>
        <w:rPr>
          <w:spacing w:val="-43"/>
        </w:rPr>
        <w:t> </w:t>
      </w:r>
      <w:r>
        <w:rPr>
          <w:spacing w:val="-43"/>
        </w:rPr>
      </w:r>
      <w:r>
        <w:rPr>
          <w:spacing w:val="-5"/>
        </w:rPr>
        <w:t>展，实现由一体化数字烟草向烟草产业数字经济新生态迈进。计划强调，要充分发挥互联网创新驱动作用，</w:t>
      </w:r>
    </w:p>
    <w:p>
      <w:pPr>
        <w:spacing w:after="0" w:line="403" w:lineRule="auto"/>
        <w:jc w:val="both"/>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393" w:lineRule="auto" w:before="36"/>
        <w:ind w:left="153" w:right="1127" w:hanging="1"/>
        <w:jc w:val="both"/>
      </w:pPr>
      <w:r>
        <w:rPr>
          <w:spacing w:val="-2"/>
        </w:rPr>
        <w:t>大力发展众创空间、开放式创新等，以企业为主体，着力增强</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智慧农业、</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协同制造、</w:t>
      </w:r>
      <w:r>
        <w:rPr>
          <w:spacing w:val="-25"/>
        </w:rPr>
        <w:t> </w:t>
      </w:r>
      <w:r>
        <w:rPr>
          <w:spacing w:val="-25"/>
        </w:rPr>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现代流通、</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高效政务等四个重点领域的创新能力，力争通过</w:t>
      </w:r>
      <w:r>
        <w:rPr>
          <w:rFonts w:ascii="Times New Roman" w:hAnsi="Times New Roman" w:cs="Times New Roman" w:eastAsia="Times New Roman" w:hint="default"/>
          <w:spacing w:val="-1"/>
        </w:rPr>
        <w:t>“</w:t>
      </w:r>
      <w:r>
        <w:rPr>
          <w:spacing w:val="-1"/>
        </w:rPr>
        <w:t>两步走</w:t>
      </w:r>
      <w:r>
        <w:rPr>
          <w:rFonts w:ascii="Times New Roman" w:hAnsi="Times New Roman" w:cs="Times New Roman" w:eastAsia="Times New Roman" w:hint="default"/>
          <w:spacing w:val="-1"/>
        </w:rPr>
        <w:t>”</w:t>
      </w:r>
      <w:r>
        <w:rPr>
          <w:spacing w:val="-1"/>
        </w:rPr>
        <w:t>实现烟草产业数</w:t>
      </w:r>
      <w:r>
        <w:rPr>
          <w:spacing w:val="-44"/>
        </w:rPr>
        <w:t> </w:t>
      </w:r>
      <w:r>
        <w:rPr>
          <w:spacing w:val="-44"/>
        </w:rPr>
      </w:r>
      <w:r>
        <w:rPr/>
        <w:t>字经济新生态的总体目标，即到</w:t>
      </w:r>
      <w:r>
        <w:rPr>
          <w:rFonts w:ascii="Times New Roman" w:hAnsi="Times New Roman" w:cs="Times New Roman" w:eastAsia="Times New Roman" w:hint="default"/>
        </w:rPr>
        <w:t>2020</w:t>
      </w:r>
      <w:r>
        <w:rPr/>
        <w:t>年，行业</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发展新基础得到夯实、应用新成效得到释放、发</w:t>
      </w:r>
      <w:r>
        <w:rPr>
          <w:spacing w:val="-21"/>
        </w:rPr>
        <w:t> </w:t>
      </w:r>
      <w:r>
        <w:rPr>
          <w:spacing w:val="-21"/>
        </w:rPr>
      </w:r>
      <w:r>
        <w:rPr/>
        <w:t>展新环境得到优化，</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发展实力初步形成；到</w:t>
      </w:r>
      <w:r>
        <w:rPr>
          <w:rFonts w:ascii="Times New Roman" w:hAnsi="Times New Roman" w:cs="Times New Roman" w:eastAsia="Times New Roman" w:hint="default"/>
        </w:rPr>
        <w:t>2025</w:t>
      </w:r>
      <w:r>
        <w:rPr/>
        <w:t>年，网络化、智能化、服务化、协同化的烟草</w:t>
      </w:r>
      <w:r>
        <w:rPr>
          <w:spacing w:val="-21"/>
        </w:rPr>
        <w:t> </w:t>
      </w:r>
      <w:r>
        <w:rPr>
          <w:spacing w:val="-21"/>
        </w:rPr>
      </w:r>
      <w:r>
        <w:rPr>
          <w:spacing w:val="-2"/>
        </w:rPr>
        <w:t>产业生态体系基本完善，</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新经济形态初步形成。计划明确，要建设</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商务服务平台、智</w:t>
      </w:r>
      <w:r>
        <w:rPr>
          <w:spacing w:val="-30"/>
        </w:rPr>
        <w:t> </w:t>
      </w:r>
      <w:r>
        <w:rPr>
          <w:spacing w:val="-30"/>
        </w:rPr>
      </w:r>
      <w:r>
        <w:rPr>
          <w:spacing w:val="-2"/>
        </w:rPr>
        <w:t>能物流平台、产业金融平台等三大应用平台，着力提高三个关键环节的融合水平，加快推动行业价值网络</w:t>
      </w:r>
      <w:r>
        <w:rPr>
          <w:spacing w:val="-44"/>
        </w:rPr>
        <w:t> </w:t>
      </w:r>
      <w:r>
        <w:rPr>
          <w:spacing w:val="-44"/>
        </w:rPr>
      </w:r>
      <w:r>
        <w:rPr>
          <w:spacing w:val="-2"/>
        </w:rPr>
        <w:t>建设；构建行业云平台、行业大数据平台，着力强化两个技术平台的支撑作用，加快推进全面感知、互联</w:t>
      </w:r>
      <w:r>
        <w:rPr>
          <w:spacing w:val="-44"/>
        </w:rPr>
        <w:t> </w:t>
      </w:r>
      <w:r>
        <w:rPr>
          <w:spacing w:val="-44"/>
        </w:rPr>
      </w:r>
      <w:r>
        <w:rPr/>
        <w:t>互通、资源共享的技术支撑平台建设。</w:t>
      </w:r>
    </w:p>
    <w:p>
      <w:pPr>
        <w:pStyle w:val="BodyText"/>
        <w:spacing w:line="386" w:lineRule="auto" w:before="59"/>
        <w:ind w:left="573" w:right="11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年烟草行业网络安全和信息化工作会议再次明确下一步信息化建设重点</w:t>
      </w:r>
      <w:r>
        <w:rPr>
          <w:w w:val="100"/>
        </w:rPr>
        <w:t> </w:t>
      </w:r>
      <w:r>
        <w:rPr>
          <w:spacing w:val="-4"/>
        </w:rPr>
        <w:t>继国家烟草专卖局《 </w:t>
      </w:r>
      <w:r>
        <w:rPr>
          <w:rFonts w:ascii="Times New Roman" w:hAnsi="Times New Roman" w:cs="Times New Roman" w:eastAsia="Times New Roman" w:hint="default"/>
        </w:rPr>
        <w:t>CT-155 </w:t>
      </w:r>
      <w:r>
        <w:rPr>
          <w:rFonts w:ascii="Times New Roman" w:hAnsi="Times New Roman" w:cs="Times New Roman" w:eastAsia="Times New Roman" w:hint="default"/>
          <w:spacing w:val="26"/>
        </w:rPr>
        <w:t> </w:t>
      </w:r>
      <w:r>
        <w:rPr>
          <w:spacing w:val="-4"/>
        </w:rPr>
        <w:t>行业信息化战略规划》和《烟草行业</w:t>
      </w:r>
      <w:r>
        <w:rPr>
          <w:rFonts w:ascii="Times New Roman" w:hAnsi="Times New Roman" w:cs="Times New Roman" w:eastAsia="Times New Roman" w:hint="default"/>
          <w:spacing w:val="-4"/>
        </w:rPr>
        <w:t>“</w:t>
      </w:r>
      <w:r>
        <w:rPr>
          <w:spacing w:val="-4"/>
        </w:rPr>
        <w:t>互联网</w:t>
      </w:r>
      <w:r>
        <w:rPr>
          <w:rFonts w:ascii="Times New Roman" w:hAnsi="Times New Roman" w:cs="Times New Roman" w:eastAsia="Times New Roman" w:hint="default"/>
          <w:spacing w:val="-4"/>
        </w:rPr>
        <w:t>+”</w:t>
      </w:r>
      <w:r>
        <w:rPr>
          <w:spacing w:val="-4"/>
        </w:rPr>
        <w:t>行动计划》发布后，</w:t>
      </w:r>
      <w:r>
        <w:rPr>
          <w:rFonts w:ascii="Times New Roman" w:hAnsi="Times New Roman" w:cs="Times New Roman" w:eastAsia="Times New Roman" w:hint="default"/>
          <w:spacing w:val="-4"/>
        </w:rPr>
        <w:t>2019</w:t>
      </w:r>
    </w:p>
    <w:p>
      <w:pPr>
        <w:pStyle w:val="BodyText"/>
        <w:spacing w:line="403" w:lineRule="auto" w:before="35"/>
        <w:ind w:left="153" w:right="1127"/>
        <w:jc w:val="both"/>
      </w:pPr>
      <w:r>
        <w:rPr>
          <w:spacing w:val="-2"/>
        </w:rPr>
        <w:t>年烟草行业网络安全和信息化工作会议上，国家局再次明确提出了准确把握网络强国战略部署、行业高质</w:t>
      </w:r>
      <w:r>
        <w:rPr>
          <w:spacing w:val="-42"/>
        </w:rPr>
        <w:t> </w:t>
      </w:r>
      <w:r>
        <w:rPr>
          <w:spacing w:val="-42"/>
        </w:rPr>
      </w:r>
      <w:r>
        <w:rPr>
          <w:spacing w:val="-2"/>
        </w:rPr>
        <w:t>量发展任务和两化融合创新工作要求，扎实推动行业平台升级改造，健全技术支撑体系，开展新技术与烟</w:t>
      </w:r>
      <w:r>
        <w:rPr>
          <w:spacing w:val="-43"/>
        </w:rPr>
        <w:t> </w:t>
      </w:r>
      <w:r>
        <w:rPr>
          <w:spacing w:val="-43"/>
        </w:rPr>
      </w:r>
      <w:r>
        <w:rPr>
          <w:spacing w:val="-1"/>
        </w:rPr>
        <w:t>草产业融合创新课题研究</w:t>
      </w:r>
      <w:r>
        <w:rPr>
          <w:rFonts w:ascii="Times New Roman" w:hAnsi="Times New Roman" w:cs="Times New Roman" w:eastAsia="Times New Roman" w:hint="default"/>
          <w:spacing w:val="-1"/>
        </w:rPr>
        <w:t>,</w:t>
      </w:r>
      <w:r>
        <w:rPr>
          <w:spacing w:val="-1"/>
        </w:rPr>
        <w:t>推动行业</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探索实践。将信息化与烟草产业的融合创新作为构建现代化</w:t>
      </w:r>
      <w:r>
        <w:rPr>
          <w:spacing w:val="-19"/>
        </w:rPr>
        <w:t> </w:t>
      </w:r>
      <w:r>
        <w:rPr>
          <w:spacing w:val="-19"/>
        </w:rPr>
      </w:r>
      <w:r>
        <w:rPr>
          <w:spacing w:val="-2"/>
        </w:rPr>
        <w:t>烟草经济体系、推动行业高质量发展的战略支点，以实现行业信息化高质量发展为目标，以平台和数据为</w:t>
      </w:r>
      <w:r>
        <w:rPr>
          <w:spacing w:val="-43"/>
        </w:rPr>
        <w:t> </w:t>
      </w:r>
      <w:r>
        <w:rPr>
          <w:spacing w:val="-43"/>
        </w:rPr>
      </w:r>
      <w:r>
        <w:rPr>
          <w:spacing w:val="-3"/>
        </w:rPr>
        <w:t>驱动，以安全运维和规范管理为保障，以技术进步赋能效率提升、管理提升和机制优化，为行业高质量发</w:t>
      </w:r>
      <w:r>
        <w:rPr>
          <w:spacing w:val="-6"/>
        </w:rPr>
        <w:t> </w:t>
      </w:r>
      <w:r>
        <w:rPr>
          <w:spacing w:val="-6"/>
        </w:rPr>
      </w:r>
      <w:r>
        <w:rPr/>
        <w:t>展提供新动能。</w:t>
      </w:r>
    </w:p>
    <w:p>
      <w:pPr>
        <w:pStyle w:val="BodyText"/>
        <w:spacing w:line="386" w:lineRule="auto" w:before="50"/>
        <w:ind w:left="573" w:right="0"/>
        <w:jc w:val="left"/>
      </w:pPr>
      <w:r>
        <w:rPr/>
        <w:t>（</w:t>
      </w:r>
      <w:r>
        <w:rPr>
          <w:rFonts w:ascii="Times New Roman" w:hAnsi="Times New Roman" w:cs="Times New Roman" w:eastAsia="Times New Roman" w:hint="default"/>
        </w:rPr>
        <w:t>3</w:t>
      </w:r>
      <w:r>
        <w:rPr/>
        <w:t>）借助信息技术持续深化精益管理是烟草行业实现高质量发展的有效举措</w:t>
      </w:r>
      <w:r>
        <w:rPr>
          <w:w w:val="100"/>
        </w:rPr>
        <w:t> </w:t>
      </w:r>
      <w:r>
        <w:rPr>
          <w:spacing w:val="-5"/>
        </w:rPr>
        <w:t>近年来，烟草企业在价值链各环节持续推进精益管理，基础管理逐渐加强，管理现代化水平不断提升，</w:t>
      </w:r>
    </w:p>
    <w:p>
      <w:pPr>
        <w:pStyle w:val="BodyText"/>
        <w:spacing w:line="400" w:lineRule="auto" w:before="65"/>
        <w:ind w:right="0"/>
        <w:jc w:val="left"/>
      </w:pPr>
      <w:r>
        <w:rPr/>
        <w:t>精益管理各项工作取得积极进展。但一些企业在规模快速增长的同时，发展方式仍相对粗放，业务流程、</w:t>
      </w:r>
      <w:r>
        <w:rPr>
          <w:w w:val="100"/>
        </w:rPr>
        <w:t> </w:t>
      </w:r>
      <w:r>
        <w:rPr>
          <w:spacing w:val="-2"/>
        </w:rPr>
        <w:t>运行机制、管控体系等尚不能完全适应发展需要；在硬实力不断增强的同时，管理、品牌、人才等软实力</w:t>
      </w:r>
      <w:r>
        <w:rPr>
          <w:spacing w:val="-43"/>
        </w:rPr>
        <w:t> </w:t>
      </w:r>
      <w:r>
        <w:rPr>
          <w:spacing w:val="-43"/>
        </w:rPr>
      </w:r>
      <w:r>
        <w:rPr>
          <w:spacing w:val="-2"/>
        </w:rPr>
        <w:t>方面还存在薄弱环节，不能很好适应建设现代化烟草经济体系要求。全面提升烟草企业管理水平依然任重</w:t>
      </w:r>
      <w:r>
        <w:rPr>
          <w:spacing w:val="-42"/>
        </w:rPr>
        <w:t> </w:t>
      </w:r>
      <w:r>
        <w:rPr>
          <w:spacing w:val="-42"/>
        </w:rPr>
      </w:r>
      <w:r>
        <w:rPr/>
        <w:t>而道远。精益管理是提升企业管理水平、促进企业提质增效的有效举措。面对行业高质量发展目标任务，</w:t>
      </w:r>
      <w:r>
        <w:rPr>
          <w:w w:val="100"/>
        </w:rPr>
        <w:t> </w:t>
      </w:r>
      <w:r>
        <w:rPr/>
        <w:t>烟草企业将聚焦核心能力提升，树立</w:t>
      </w:r>
      <w:r>
        <w:rPr>
          <w:rFonts w:ascii="Times New Roman" w:hAnsi="Times New Roman" w:cs="Times New Roman" w:eastAsia="Times New Roman" w:hint="default"/>
        </w:rPr>
        <w:t>“</w:t>
      </w:r>
      <w:r>
        <w:rPr/>
        <w:t>靶向思维</w:t>
      </w:r>
      <w:r>
        <w:rPr>
          <w:rFonts w:ascii="Times New Roman" w:hAnsi="Times New Roman" w:cs="Times New Roman" w:eastAsia="Times New Roman" w:hint="default"/>
        </w:rPr>
        <w:t>”</w:t>
      </w:r>
      <w:r>
        <w:rPr/>
        <w:t>，持续深化精益管理，提高抵御风险能力，为推进行业高</w:t>
      </w:r>
      <w:r>
        <w:rPr>
          <w:w w:val="100"/>
        </w:rPr>
        <w:t> </w:t>
      </w:r>
      <w:r>
        <w:rPr/>
        <w:t>质量发展提供有力支撑。</w:t>
      </w:r>
      <w:r>
        <w:rPr>
          <w:rFonts w:ascii="Times New Roman" w:hAnsi="Times New Roman" w:cs="Times New Roman" w:eastAsia="Times New Roman" w:hint="default"/>
        </w:rPr>
        <w:t>2019</w:t>
      </w:r>
      <w:r>
        <w:rPr/>
        <w:t>年全国企业管理现场会议强调，要认真贯彻落实行业</w:t>
      </w:r>
      <w:r>
        <w:rPr>
          <w:rFonts w:ascii="Times New Roman" w:hAnsi="Times New Roman" w:cs="Times New Roman" w:eastAsia="Times New Roman" w:hint="default"/>
        </w:rPr>
        <w:t>“1+6+2”</w:t>
      </w:r>
      <w:r>
        <w:rPr/>
        <w:t>高质量发展政</w:t>
      </w:r>
      <w:r>
        <w:rPr>
          <w:spacing w:val="-34"/>
        </w:rPr>
        <w:t> </w:t>
      </w:r>
      <w:r>
        <w:rPr>
          <w:spacing w:val="-34"/>
        </w:rPr>
      </w:r>
      <w:r>
        <w:rPr/>
        <w:t>策体系，聚焦提升核心竞争力，充分发挥互联网的创新驱动作用，释放</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新技术力量，打破惯性</w:t>
      </w:r>
      <w:r>
        <w:rPr>
          <w:spacing w:val="-18"/>
        </w:rPr>
        <w:t> </w:t>
      </w:r>
      <w:r>
        <w:rPr>
          <w:spacing w:val="-18"/>
        </w:rPr>
      </w:r>
      <w:r>
        <w:rPr>
          <w:spacing w:val="-5"/>
        </w:rPr>
        <w:t>思维、突破常规手段、创新工作机制，切实发挥信息技术在简化工作程序、优化管理流程、强化流程制约、 </w:t>
      </w:r>
      <w:r>
        <w:rPr>
          <w:spacing w:val="-5"/>
        </w:rPr>
      </w:r>
      <w:r>
        <w:rPr>
          <w:spacing w:val="-2"/>
        </w:rPr>
        <w:t>降低管理成本、提升管理效率等方面的作用，把精益管理扎实引向深入，主动作为、开拓创新，全面提升</w:t>
      </w:r>
      <w:r>
        <w:rPr>
          <w:spacing w:val="-43"/>
        </w:rPr>
        <w:t> </w:t>
      </w:r>
      <w:r>
        <w:rPr>
          <w:spacing w:val="-43"/>
        </w:rPr>
      </w:r>
      <w:r>
        <w:rPr/>
        <w:t>企业管理水平，不断打造企业核心竞争力，加快推动行业高质量发展。</w:t>
      </w:r>
    </w:p>
    <w:p>
      <w:pPr>
        <w:pStyle w:val="BodyText"/>
        <w:spacing w:line="408" w:lineRule="auto" w:before="52"/>
        <w:ind w:left="572" w:right="1129" w:firstLine="2"/>
        <w:jc w:val="left"/>
      </w:pPr>
      <w:r>
        <w:rPr>
          <w:rFonts w:ascii="宋体" w:hAnsi="宋体" w:cs="宋体" w:eastAsia="宋体" w:hint="default"/>
          <w:b/>
          <w:bCs/>
        </w:rPr>
        <w:t>公司措施：</w:t>
      </w:r>
      <w:r>
        <w:rPr>
          <w:rFonts w:ascii="宋体" w:hAnsi="宋体" w:cs="宋体" w:eastAsia="宋体" w:hint="default"/>
          <w:b/>
          <w:bCs/>
          <w:w w:val="100"/>
        </w:rPr>
        <w:t> </w:t>
      </w:r>
      <w:r>
        <w:rPr>
          <w:spacing w:val="-2"/>
        </w:rPr>
        <w:t>公司将根据自身规划，继续加大在烟草行业智能制造、工业互联网和全价值链工业数据挖掘与分析的</w:t>
      </w:r>
    </w:p>
    <w:p>
      <w:pPr>
        <w:spacing w:after="0" w:line="408"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386" w:lineRule="auto" w:before="36"/>
        <w:ind w:right="1133"/>
        <w:jc w:val="both"/>
      </w:pPr>
      <w:r>
        <w:rPr/>
        <w:t>应用，将</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领域的创新实践作为公司在烟草行业发展的主要增长动力。同时，通过与湖北烟草公</w:t>
      </w:r>
      <w:r>
        <w:rPr>
          <w:spacing w:val="-19"/>
        </w:rPr>
        <w:t> </w:t>
      </w:r>
      <w:r>
        <w:rPr>
          <w:spacing w:val="-19"/>
        </w:rPr>
      </w:r>
      <w:r>
        <w:rPr/>
        <w:t>司共建的</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智慧鄂烟</w:t>
      </w:r>
      <w:r>
        <w:rPr>
          <w:rFonts w:ascii="Times New Roman" w:hAnsi="Times New Roman" w:cs="Times New Roman" w:eastAsia="Times New Roman" w:hint="default"/>
        </w:rPr>
        <w:t>”</w:t>
      </w:r>
      <w:r>
        <w:rPr/>
        <w:t>联合实验室积极研究烟草未来发展方向，进行市场布局。</w:t>
      </w:r>
    </w:p>
    <w:p>
      <w:pPr>
        <w:pStyle w:val="BodyText"/>
        <w:spacing w:line="386" w:lineRule="auto" w:before="35"/>
        <w:ind w:left="572" w:right="0"/>
        <w:jc w:val="left"/>
      </w:pPr>
      <w:r>
        <w:rPr>
          <w:rFonts w:ascii="Times New Roman" w:hAnsi="Times New Roman" w:cs="Times New Roman" w:eastAsia="Times New Roman" w:hint="default"/>
        </w:rPr>
        <w:t>4.</w:t>
      </w:r>
      <w:r>
        <w:rPr/>
        <w:t>油气信息化领域</w:t>
      </w:r>
      <w:r>
        <w:rPr>
          <w:spacing w:val="-3"/>
          <w:w w:val="100"/>
        </w:rPr>
        <w:t> </w:t>
      </w:r>
      <w:r>
        <w:rPr>
          <w:spacing w:val="-2"/>
        </w:rPr>
        <w:t>石油行业属于高科技密集型行业，信息化实施的效果在很大程度上影响着整个行业的竞争能力。石油</w:t>
      </w:r>
    </w:p>
    <w:p>
      <w:pPr>
        <w:pStyle w:val="BodyText"/>
        <w:spacing w:line="408" w:lineRule="auto" w:before="65"/>
        <w:ind w:right="1107"/>
        <w:jc w:val="both"/>
      </w:pPr>
      <w:r>
        <w:rPr>
          <w:spacing w:val="-2"/>
        </w:rPr>
        <w:t>行业上中下游各个业务领域投资巨大，涉及人员众多，各产业价值链的关联度较高，某一业务领域的发展</w:t>
      </w:r>
      <w:r>
        <w:rPr>
          <w:spacing w:val="-42"/>
        </w:rPr>
        <w:t> </w:t>
      </w:r>
      <w:r>
        <w:rPr>
          <w:spacing w:val="-42"/>
        </w:rPr>
      </w:r>
      <w:r>
        <w:rPr>
          <w:spacing w:val="-2"/>
        </w:rPr>
        <w:t>会直接对其他业务领域产生影响，石油企业对于利用信息化手段实现上中下游产业的一体化协同发展具有</w:t>
      </w:r>
      <w:r>
        <w:rPr>
          <w:spacing w:val="-42"/>
        </w:rPr>
        <w:t> </w:t>
      </w:r>
      <w:r>
        <w:rPr>
          <w:spacing w:val="-42"/>
        </w:rPr>
      </w:r>
      <w:r>
        <w:rPr>
          <w:spacing w:val="-2"/>
        </w:rPr>
        <w:t>很大需求。石油行业信息化建设即是综合运用信息、通信、自动控制等多种技术，建立起覆盖油气勘探、</w:t>
      </w:r>
      <w:r>
        <w:rPr>
          <w:spacing w:val="-21"/>
        </w:rPr>
        <w:t> </w:t>
      </w:r>
      <w:r>
        <w:rPr>
          <w:spacing w:val="-21"/>
        </w:rPr>
      </w:r>
      <w:r>
        <w:rPr>
          <w:spacing w:val="-2"/>
        </w:rPr>
        <w:t>开采、炼化、管道运输、销售支撑等全方位业务的信息系统。目前，石油行业信息系统主要包括勘探开采</w:t>
      </w:r>
      <w:r>
        <w:rPr>
          <w:spacing w:val="-43"/>
        </w:rPr>
        <w:t> </w:t>
      </w:r>
      <w:r>
        <w:rPr>
          <w:spacing w:val="-43"/>
        </w:rPr>
      </w:r>
      <w:r>
        <w:rPr/>
        <w:t>类系统、炼油化工类系统、油气运输类系统、销售管理类系统、</w:t>
      </w:r>
      <w:r>
        <w:rPr>
          <w:rFonts w:ascii="Times New Roman" w:hAnsi="Times New Roman" w:cs="Times New Roman" w:eastAsia="Times New Roman" w:hint="default"/>
        </w:rPr>
        <w:t>ERP</w:t>
      </w:r>
      <w:r>
        <w:rPr>
          <w:rFonts w:ascii="Times New Roman" w:hAnsi="Times New Roman" w:cs="Times New Roman" w:eastAsia="Times New Roman" w:hint="default"/>
          <w:spacing w:val="21"/>
        </w:rPr>
        <w:t> </w:t>
      </w:r>
      <w:r>
        <w:rPr/>
        <w:t>系统、其他系统等。</w:t>
      </w:r>
    </w:p>
    <w:p>
      <w:pPr>
        <w:pStyle w:val="BodyText"/>
        <w:spacing w:line="386" w:lineRule="auto" w:before="14"/>
        <w:ind w:left="572" w:right="0"/>
        <w:jc w:val="left"/>
      </w:pPr>
      <w:r>
        <w:rPr/>
        <w:t>（</w:t>
      </w:r>
      <w:r>
        <w:rPr>
          <w:rFonts w:ascii="Times New Roman" w:hAnsi="Times New Roman" w:cs="Times New Roman" w:eastAsia="Times New Roman" w:hint="default"/>
        </w:rPr>
        <w:t>1</w:t>
      </w:r>
      <w:r>
        <w:rPr/>
        <w:t>）我国新增探明油气储量持续增长，</w:t>
      </w:r>
      <w:r>
        <w:rPr>
          <w:rFonts w:ascii="Times New Roman" w:hAnsi="Times New Roman" w:cs="Times New Roman" w:eastAsia="Times New Roman" w:hint="default"/>
        </w:rPr>
        <w:t>“</w:t>
      </w:r>
      <w:r>
        <w:rPr/>
        <w:t>三桶油</w:t>
      </w:r>
      <w:r>
        <w:rPr>
          <w:rFonts w:ascii="Times New Roman" w:hAnsi="Times New Roman" w:cs="Times New Roman" w:eastAsia="Times New Roman" w:hint="default"/>
        </w:rPr>
        <w:t>”</w:t>
      </w:r>
      <w:r>
        <w:rPr/>
        <w:t>加大油气勘探开发力度</w:t>
      </w:r>
      <w:r>
        <w:rPr>
          <w:w w:val="100"/>
        </w:rPr>
        <w:t> </w:t>
      </w:r>
      <w:r>
        <w:rPr>
          <w:spacing w:val="-6"/>
          <w:w w:val="100"/>
        </w:rPr>
        <w:t>近年来，我国能源需求持续快速增长</w:t>
      </w:r>
      <w:r>
        <w:rPr>
          <w:rFonts w:ascii="Times New Roman" w:hAnsi="Times New Roman" w:cs="Times New Roman" w:eastAsia="Times New Roman" w:hint="default"/>
          <w:spacing w:val="-6"/>
          <w:w w:val="100"/>
        </w:rPr>
        <w:t>,</w:t>
      </w:r>
      <w:r>
        <w:rPr>
          <w:spacing w:val="-6"/>
          <w:w w:val="100"/>
        </w:rPr>
        <w:t>特别是油气资源的大量消耗，石油和天然气生产总量也稳步增长。</w:t>
      </w:r>
    </w:p>
    <w:p>
      <w:pPr>
        <w:pStyle w:val="BodyText"/>
        <w:spacing w:line="388" w:lineRule="auto" w:before="35"/>
        <w:ind w:right="1025" w:hanging="1"/>
        <w:jc w:val="left"/>
      </w:pPr>
      <w:r>
        <w:rPr>
          <w:rFonts w:ascii="Times New Roman" w:hAnsi="Times New Roman" w:cs="Times New Roman" w:eastAsia="Times New Roman" w:hint="default"/>
        </w:rPr>
        <w:t>2019</w:t>
      </w:r>
      <w:r>
        <w:rPr/>
        <w:t>年，我国石油和天然气新增探明储量分别达到</w:t>
      </w:r>
      <w:r>
        <w:rPr>
          <w:rFonts w:ascii="Times New Roman" w:hAnsi="Times New Roman" w:cs="Times New Roman" w:eastAsia="Times New Roman" w:hint="default"/>
        </w:rPr>
        <w:t>12</w:t>
      </w:r>
      <w:r>
        <w:rPr/>
        <w:t>亿吨、</w:t>
      </w:r>
      <w:r>
        <w:rPr>
          <w:rFonts w:ascii="Times New Roman" w:hAnsi="Times New Roman" w:cs="Times New Roman" w:eastAsia="Times New Roman" w:hint="default"/>
        </w:rPr>
        <w:t>1.4</w:t>
      </w:r>
      <w:r>
        <w:rPr/>
        <w:t>万亿立方米，同比增长</w:t>
      </w:r>
      <w:r>
        <w:rPr>
          <w:rFonts w:ascii="Times New Roman" w:hAnsi="Times New Roman" w:cs="Times New Roman" w:eastAsia="Times New Roman" w:hint="default"/>
        </w:rPr>
        <w:t>25%</w:t>
      </w:r>
      <w:r>
        <w:rPr/>
        <w:t>和</w:t>
      </w:r>
      <w:r>
        <w:rPr>
          <w:rFonts w:ascii="Times New Roman" w:hAnsi="Times New Roman" w:cs="Times New Roman" w:eastAsia="Times New Roman" w:hint="default"/>
        </w:rPr>
        <w:t>68%</w:t>
      </w:r>
      <w:r>
        <w:rPr/>
        <w:t>。并且油</w:t>
      </w:r>
      <w:r>
        <w:rPr>
          <w:spacing w:val="-3"/>
          <w:w w:val="100"/>
        </w:rPr>
        <w:t> </w:t>
      </w:r>
      <w:r>
        <w:rPr/>
        <w:t>气勘探取得多项战略性突破和进展：渤海油田发现储量超过千亿方大气田</w:t>
      </w:r>
      <w:r>
        <w:rPr>
          <w:rFonts w:ascii="Times New Roman" w:hAnsi="Times New Roman" w:cs="Times New Roman" w:eastAsia="Times New Roman" w:hint="default"/>
        </w:rPr>
        <w:t>—</w:t>
      </w:r>
      <w:r>
        <w:rPr/>
        <w:t>渤中</w:t>
      </w:r>
      <w:r>
        <w:rPr>
          <w:rFonts w:ascii="Times New Roman" w:hAnsi="Times New Roman" w:cs="Times New Roman" w:eastAsia="Times New Roman" w:hint="default"/>
        </w:rPr>
        <w:t>19-6</w:t>
      </w:r>
      <w:r>
        <w:rPr/>
        <w:t>凝析气田，鄂尔多斯</w:t>
      </w:r>
      <w:r>
        <w:rPr>
          <w:spacing w:val="-100"/>
        </w:rPr>
        <w:t> </w:t>
      </w:r>
      <w:r>
        <w:rPr>
          <w:spacing w:val="-100"/>
        </w:rPr>
      </w:r>
      <w:r>
        <w:rPr>
          <w:spacing w:val="-2"/>
        </w:rPr>
        <w:t>盆地发现</w:t>
      </w:r>
      <w:r>
        <w:rPr>
          <w:rFonts w:ascii="Times New Roman" w:hAnsi="Times New Roman" w:cs="Times New Roman" w:eastAsia="Times New Roman" w:hint="default"/>
          <w:spacing w:val="-2"/>
        </w:rPr>
        <w:t>10</w:t>
      </w:r>
      <w:r>
        <w:rPr>
          <w:spacing w:val="-2"/>
        </w:rPr>
        <w:t>亿吨级的庆城页岩油大油田，四川盆地南部形成万亿立方米页岩气大气区，塔里木盆地博孜</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1"/>
        </w:rPr>
        <w:t> </w:t>
      </w:r>
      <w:r>
        <w:rPr>
          <w:spacing w:val="-2"/>
        </w:rPr>
        <w:t>大北地区万亿立方米凝析气田基本落实，准噶尔盆地南缘勘探取得重大突破，塔里木油田到</w:t>
      </w:r>
      <w:r>
        <w:rPr>
          <w:rFonts w:ascii="Times New Roman" w:hAnsi="Times New Roman" w:cs="Times New Roman" w:eastAsia="Times New Roman" w:hint="default"/>
          <w:spacing w:val="-2"/>
        </w:rPr>
        <w:t>2020</w:t>
      </w:r>
      <w:r>
        <w:rPr>
          <w:spacing w:val="-2"/>
        </w:rPr>
        <w:t>年，油气</w:t>
      </w:r>
      <w:r>
        <w:rPr>
          <w:spacing w:val="-41"/>
        </w:rPr>
        <w:t> </w:t>
      </w:r>
      <w:r>
        <w:rPr>
          <w:spacing w:val="-41"/>
        </w:rPr>
      </w:r>
      <w:r>
        <w:rPr>
          <w:spacing w:val="-2"/>
        </w:rPr>
        <w:t>产量当量将突破</w:t>
      </w:r>
      <w:r>
        <w:rPr>
          <w:rFonts w:ascii="Times New Roman" w:hAnsi="Times New Roman" w:cs="Times New Roman" w:eastAsia="Times New Roman" w:hint="default"/>
          <w:spacing w:val="-2"/>
        </w:rPr>
        <w:t>3000</w:t>
      </w:r>
      <w:r>
        <w:rPr>
          <w:spacing w:val="-2"/>
        </w:rPr>
        <w:t>万吨，到</w:t>
      </w:r>
      <w:r>
        <w:rPr>
          <w:rFonts w:ascii="Times New Roman" w:hAnsi="Times New Roman" w:cs="Times New Roman" w:eastAsia="Times New Roman" w:hint="default"/>
          <w:spacing w:val="-2"/>
        </w:rPr>
        <w:t>2025</w:t>
      </w:r>
      <w:r>
        <w:rPr>
          <w:spacing w:val="-2"/>
        </w:rPr>
        <w:t>年建成</w:t>
      </w:r>
      <w:r>
        <w:rPr>
          <w:rFonts w:ascii="Times New Roman" w:hAnsi="Times New Roman" w:cs="Times New Roman" w:eastAsia="Times New Roman" w:hint="default"/>
          <w:spacing w:val="-2"/>
        </w:rPr>
        <w:t>3500</w:t>
      </w:r>
      <w:r>
        <w:rPr>
          <w:spacing w:val="-2"/>
        </w:rPr>
        <w:t>万吨大油气田。中国石油、中国石化、中国海油都加大了油</w:t>
      </w:r>
      <w:r>
        <w:rPr>
          <w:spacing w:val="-36"/>
        </w:rPr>
        <w:t> </w:t>
      </w:r>
      <w:r>
        <w:rPr>
          <w:spacing w:val="-36"/>
        </w:rPr>
      </w:r>
      <w:r>
        <w:rPr>
          <w:spacing w:val="-5"/>
        </w:rPr>
        <w:t>气勘探开发力度，并制定新计划，加大勘探开发的整体投入，针对一些战略性、长远性的重点探区和领域，</w:t>
      </w:r>
      <w:r>
        <w:rPr>
          <w:spacing w:val="-12"/>
        </w:rPr>
        <w:t> </w:t>
      </w:r>
      <w:r>
        <w:rPr>
          <w:spacing w:val="-12"/>
        </w:rPr>
      </w:r>
      <w:r>
        <w:rPr/>
        <w:t>风险勘探投入将增加两到三倍。中国海油还编制了强化国内勘探开发</w:t>
      </w:r>
      <w:r>
        <w:rPr>
          <w:rFonts w:ascii="Times New Roman" w:hAnsi="Times New Roman" w:cs="Times New Roman" w:eastAsia="Times New Roman" w:hint="default"/>
        </w:rPr>
        <w:t>“</w:t>
      </w:r>
      <w:r>
        <w:rPr/>
        <w:t>七年行动计划</w:t>
      </w:r>
      <w:r>
        <w:rPr>
          <w:rFonts w:ascii="Times New Roman" w:hAnsi="Times New Roman" w:cs="Times New Roman" w:eastAsia="Times New Roman" w:hint="default"/>
        </w:rPr>
        <w:t>”</w:t>
      </w:r>
      <w:r>
        <w:rPr/>
        <w:t>，到</w:t>
      </w:r>
      <w:r>
        <w:rPr>
          <w:rFonts w:ascii="Times New Roman" w:hAnsi="Times New Roman" w:cs="Times New Roman" w:eastAsia="Times New Roman" w:hint="default"/>
        </w:rPr>
        <w:t>2025</w:t>
      </w:r>
      <w:r>
        <w:rPr/>
        <w:t>年，勘探工</w:t>
      </w:r>
      <w:r>
        <w:rPr>
          <w:w w:val="100"/>
        </w:rPr>
        <w:t> </w:t>
      </w:r>
      <w:r>
        <w:rPr/>
        <w:t>作量和探明储量将翻一番。</w:t>
      </w:r>
    </w:p>
    <w:p>
      <w:pPr>
        <w:pStyle w:val="BodyText"/>
        <w:spacing w:line="386" w:lineRule="auto" w:before="63"/>
        <w:ind w:left="573" w:right="0"/>
        <w:jc w:val="left"/>
      </w:pPr>
      <w:r>
        <w:rPr/>
        <w:t>（</w:t>
      </w:r>
      <w:r>
        <w:rPr>
          <w:rFonts w:ascii="Times New Roman" w:hAnsi="Times New Roman" w:cs="Times New Roman" w:eastAsia="Times New Roman" w:hint="default"/>
        </w:rPr>
        <w:t>2</w:t>
      </w:r>
      <w:r>
        <w:rPr/>
        <w:t>）随着技术进步，数字油田开始向智慧油田方向迈进</w:t>
      </w:r>
      <w:r>
        <w:rPr>
          <w:w w:val="100"/>
        </w:rPr>
        <w:t> </w:t>
      </w:r>
      <w:r>
        <w:rPr>
          <w:spacing w:val="-2"/>
        </w:rPr>
        <w:t>随着信息化和工业化的深度融合，物联网、大数据、云计算等新一代信息技术推广普及，《中国制造</w:t>
      </w:r>
    </w:p>
    <w:p>
      <w:pPr>
        <w:pStyle w:val="BodyText"/>
        <w:spacing w:line="405" w:lineRule="auto" w:before="65"/>
        <w:ind w:left="153" w:right="1127"/>
        <w:jc w:val="both"/>
      </w:pPr>
      <w:r>
        <w:rPr>
          <w:rFonts w:ascii="Times New Roman" w:hAnsi="Times New Roman" w:cs="Times New Roman" w:eastAsia="Times New Roman" w:hint="default"/>
          <w:spacing w:val="-4"/>
        </w:rPr>
        <w:t>2025</w:t>
      </w:r>
      <w:r>
        <w:rPr>
          <w:spacing w:val="-4"/>
        </w:rPr>
        <w:t>》的出台</w:t>
      </w:r>
      <w:r>
        <w:rPr>
          <w:rFonts w:ascii="Times New Roman" w:hAnsi="Times New Roman" w:cs="Times New Roman" w:eastAsia="Times New Roman" w:hint="default"/>
          <w:spacing w:val="-4"/>
        </w:rPr>
        <w:t>, </w:t>
      </w:r>
      <w:r>
        <w:rPr>
          <w:spacing w:val="-3"/>
        </w:rPr>
        <w:t>中国工业企业加速向</w:t>
      </w:r>
      <w:r>
        <w:rPr>
          <w:rFonts w:ascii="Times New Roman" w:hAnsi="Times New Roman" w:cs="Times New Roman" w:eastAsia="Times New Roman" w:hint="default"/>
          <w:spacing w:val="-3"/>
        </w:rPr>
        <w:t>“</w:t>
      </w:r>
      <w:r>
        <w:rPr>
          <w:spacing w:val="-3"/>
        </w:rPr>
        <w:t>智慧</w:t>
      </w:r>
      <w:r>
        <w:rPr>
          <w:rFonts w:ascii="Times New Roman" w:hAnsi="Times New Roman" w:cs="Times New Roman" w:eastAsia="Times New Roman" w:hint="default"/>
          <w:spacing w:val="-3"/>
        </w:rPr>
        <w:t>”</w:t>
      </w:r>
      <w:r>
        <w:rPr>
          <w:spacing w:val="-3"/>
        </w:rPr>
        <w:t>时代转型，以</w:t>
      </w:r>
      <w:r>
        <w:rPr>
          <w:rFonts w:ascii="Times New Roman" w:hAnsi="Times New Roman" w:cs="Times New Roman" w:eastAsia="Times New Roman" w:hint="default"/>
          <w:spacing w:val="-3"/>
        </w:rPr>
        <w:t>“</w:t>
      </w:r>
      <w:r>
        <w:rPr>
          <w:spacing w:val="-3"/>
        </w:rPr>
        <w:t>数字油田</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智慧油田</w:t>
      </w:r>
      <w:r>
        <w:rPr>
          <w:rFonts w:ascii="Times New Roman" w:hAnsi="Times New Roman" w:cs="Times New Roman" w:eastAsia="Times New Roman" w:hint="default"/>
          <w:spacing w:val="-3"/>
        </w:rPr>
        <w:t>”</w:t>
      </w:r>
      <w:r>
        <w:rPr>
          <w:spacing w:val="-3"/>
        </w:rPr>
        <w:t>建设为代表的技术革命拉</w:t>
      </w:r>
      <w:r>
        <w:rPr>
          <w:spacing w:val="-63"/>
        </w:rPr>
        <w:t> </w:t>
      </w:r>
      <w:r>
        <w:rPr>
          <w:spacing w:val="-63"/>
        </w:rPr>
      </w:r>
      <w:r>
        <w:rPr>
          <w:spacing w:val="-2"/>
        </w:rPr>
        <w:t>开帷幕，从数字化、网络化迈入智能化阶段，通过智能网络和应用增强企业的反应能力和管理水平，达到</w:t>
      </w:r>
      <w:r>
        <w:rPr>
          <w:spacing w:val="-47"/>
        </w:rPr>
        <w:t> </w:t>
      </w:r>
      <w:r>
        <w:rPr>
          <w:spacing w:val="-47"/>
        </w:rPr>
      </w:r>
      <w:r>
        <w:rPr>
          <w:spacing w:val="-2"/>
        </w:rPr>
        <w:t>降本增效的目的，为石油业务的发展提供有力支撑。智慧油田是数字油田发展的高级形态，是数字油田由</w:t>
      </w:r>
      <w:r>
        <w:rPr>
          <w:spacing w:val="-48"/>
        </w:rPr>
        <w:t> </w:t>
      </w:r>
      <w:r>
        <w:rPr>
          <w:spacing w:val="-48"/>
        </w:rPr>
      </w:r>
      <w:r>
        <w:rPr>
          <w:spacing w:val="-2"/>
        </w:rPr>
        <w:t>量变向质变转换的结果。二者的最大区别点，就在于数字油田侧重于油田各种生产和管理数据的收集、上</w:t>
      </w:r>
      <w:r>
        <w:rPr>
          <w:spacing w:val="-42"/>
        </w:rPr>
        <w:t> </w:t>
      </w:r>
      <w:r>
        <w:rPr>
          <w:spacing w:val="-42"/>
        </w:rPr>
      </w:r>
      <w:r>
        <w:rPr>
          <w:spacing w:val="-2"/>
        </w:rPr>
        <w:t>传与备份，而智慧油田则通过融入人的智慧，更加侧重于对采集到的各种生产与管理数据进行整理分析和</w:t>
      </w:r>
      <w:r>
        <w:rPr>
          <w:spacing w:val="-42"/>
        </w:rPr>
        <w:t> </w:t>
      </w:r>
      <w:r>
        <w:rPr>
          <w:spacing w:val="-42"/>
        </w:rPr>
      </w:r>
      <w:r>
        <w:rPr>
          <w:spacing w:val="-2"/>
        </w:rPr>
        <w:t>深度应用，为生产经营和管理者提供科学、智能、实时、高效的辅助决策支持手段。未来智能油田将以统</w:t>
      </w:r>
      <w:r>
        <w:rPr>
          <w:spacing w:val="-43"/>
        </w:rPr>
        <w:t> </w:t>
      </w:r>
      <w:r>
        <w:rPr>
          <w:spacing w:val="-43"/>
        </w:rPr>
      </w:r>
      <w:r>
        <w:rPr>
          <w:spacing w:val="-2"/>
        </w:rPr>
        <w:t>一的数据智能分析控制平台为中心，无论固定资产、移动设备还是工作人员，都将成为数据的收集者和接</w:t>
      </w:r>
      <w:r>
        <w:rPr>
          <w:spacing w:val="-48"/>
        </w:rPr>
        <w:t> </w:t>
      </w:r>
      <w:r>
        <w:rPr>
          <w:spacing w:val="-48"/>
        </w:rPr>
      </w:r>
      <w:r>
        <w:rPr>
          <w:spacing w:val="-2"/>
        </w:rPr>
        <w:t>受者，并直接同控制中心建立联系。智能控制中心可以结合人工智能、大数据、云计算等技术，通过分析</w:t>
      </w:r>
      <w:r>
        <w:rPr>
          <w:spacing w:val="-43"/>
        </w:rPr>
        <w:t> </w:t>
      </w:r>
      <w:r>
        <w:rPr>
          <w:spacing w:val="-43"/>
        </w:rPr>
      </w:r>
      <w:r>
        <w:rPr>
          <w:spacing w:val="-2"/>
        </w:rPr>
        <w:t>海量数据，实时地在全资产范围内完成资源的合理调配、生产优化运行、故障判断、风险预警等，最终实</w:t>
      </w:r>
    </w:p>
    <w:p>
      <w:pPr>
        <w:spacing w:after="0" w:line="405" w:lineRule="auto"/>
        <w:jc w:val="both"/>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0" w:lineRule="auto" w:before="36"/>
        <w:ind w:right="1128"/>
        <w:jc w:val="both"/>
      </w:pPr>
      <w:r>
        <w:rPr>
          <w:spacing w:val="-2"/>
        </w:rPr>
        <w:t>现全部油田资产的智能化开发运营。智能油田的监测范围不断扩大，由近井地带深入到油藏内部；决策分</w:t>
      </w:r>
      <w:r>
        <w:rPr>
          <w:spacing w:val="-48"/>
        </w:rPr>
        <w:t> </w:t>
      </w:r>
      <w:r>
        <w:rPr>
          <w:spacing w:val="-48"/>
        </w:rPr>
      </w:r>
      <w:r>
        <w:rPr>
          <w:spacing w:val="-2"/>
        </w:rPr>
        <w:t>析过程更加可视化和智能化；模型计算能力不断增强，有效解决复杂条件下油藏生产优化问题；自动化水</w:t>
      </w:r>
      <w:r>
        <w:rPr>
          <w:spacing w:val="-42"/>
        </w:rPr>
        <w:t> </w:t>
      </w:r>
      <w:r>
        <w:rPr>
          <w:spacing w:val="-42"/>
        </w:rPr>
      </w:r>
      <w:r>
        <w:rPr>
          <w:spacing w:val="-2"/>
        </w:rPr>
        <w:t>平大幅提升。预计到</w:t>
      </w:r>
      <w:r>
        <w:rPr>
          <w:rFonts w:ascii="Times New Roman" w:hAnsi="Times New Roman" w:cs="Times New Roman" w:eastAsia="Times New Roman" w:hint="default"/>
          <w:spacing w:val="-2"/>
        </w:rPr>
        <w:t>2025</w:t>
      </w:r>
      <w:r>
        <w:rPr>
          <w:spacing w:val="-2"/>
        </w:rPr>
        <w:t>年油气田开发进入智能油田阶段。智能油田将显著提高油气产量和采收率，部分</w:t>
      </w:r>
      <w:r>
        <w:rPr>
          <w:spacing w:val="-38"/>
        </w:rPr>
        <w:t> </w:t>
      </w:r>
      <w:r>
        <w:rPr>
          <w:spacing w:val="-38"/>
        </w:rPr>
      </w:r>
      <w:r>
        <w:rPr/>
        <w:t>油田的采收率有望提高到</w:t>
      </w:r>
      <w:r>
        <w:rPr>
          <w:rFonts w:ascii="Times New Roman" w:hAnsi="Times New Roman" w:cs="Times New Roman" w:eastAsia="Times New Roman" w:hint="default"/>
        </w:rPr>
        <w:t>55%</w:t>
      </w:r>
      <w:r>
        <w:rPr/>
        <w:t>以上。</w:t>
      </w:r>
    </w:p>
    <w:p>
      <w:pPr>
        <w:pStyle w:val="BodyText"/>
        <w:spacing w:line="400" w:lineRule="auto" w:before="170"/>
        <w:ind w:right="1126" w:firstLine="420"/>
        <w:jc w:val="both"/>
      </w:pPr>
      <w:r>
        <w:rPr>
          <w:spacing w:val="-2"/>
        </w:rPr>
        <w:t>展望未来，在大数据、云计算、物联网、虚拟现实、自动控制、人工智能、量子计算和量子通信等高</w:t>
      </w:r>
      <w:r>
        <w:rPr>
          <w:w w:val="100"/>
        </w:rPr>
        <w:t> </w:t>
      </w:r>
      <w:r>
        <w:rPr>
          <w:spacing w:val="-2"/>
        </w:rPr>
        <w:t>新技术的推动下，世界油气工业的自动化、信息化、智能化水平将会越来越高。预计</w:t>
      </w:r>
      <w:r>
        <w:rPr>
          <w:rFonts w:ascii="Times New Roman" w:hAnsi="Times New Roman" w:cs="Times New Roman" w:eastAsia="Times New Roman" w:hint="default"/>
          <w:spacing w:val="-2"/>
        </w:rPr>
        <w:t>2020—2030</w:t>
      </w:r>
      <w:r>
        <w:rPr>
          <w:spacing w:val="-2"/>
        </w:rPr>
        <w:t>年，油气</w:t>
      </w:r>
      <w:r>
        <w:rPr>
          <w:spacing w:val="-37"/>
        </w:rPr>
        <w:t> </w:t>
      </w:r>
      <w:r>
        <w:rPr>
          <w:spacing w:val="-37"/>
        </w:rPr>
      </w:r>
      <w:r>
        <w:rPr>
          <w:spacing w:val="-2"/>
        </w:rPr>
        <w:t>管道、炼油、油气田开发、钻井等油气行业将陆续进入智能化时代。智能化将成为未来油气工业持续提质</w:t>
      </w:r>
      <w:r>
        <w:rPr>
          <w:spacing w:val="-47"/>
        </w:rPr>
        <w:t> </w:t>
      </w:r>
      <w:r>
        <w:rPr>
          <w:spacing w:val="-47"/>
        </w:rPr>
      </w:r>
      <w:r>
        <w:rPr/>
        <w:t>降本增效的有效途径、必由之路。</w:t>
      </w:r>
    </w:p>
    <w:p>
      <w:pPr>
        <w:spacing w:line="240" w:lineRule="auto" w:before="7"/>
        <w:rPr>
          <w:rFonts w:ascii="宋体" w:hAnsi="宋体" w:cs="宋体" w:eastAsia="宋体" w:hint="default"/>
          <w:sz w:val="15"/>
          <w:szCs w:val="15"/>
        </w:rPr>
      </w:pPr>
    </w:p>
    <w:p>
      <w:pPr>
        <w:pStyle w:val="BodyText"/>
        <w:spacing w:line="408" w:lineRule="auto"/>
        <w:ind w:left="572" w:right="1129" w:firstLine="2"/>
        <w:jc w:val="left"/>
      </w:pPr>
      <w:r>
        <w:rPr>
          <w:rFonts w:ascii="宋体" w:hAnsi="宋体" w:cs="宋体" w:eastAsia="宋体" w:hint="default"/>
          <w:b/>
          <w:bCs/>
        </w:rPr>
        <w:t>公司措施：</w:t>
      </w:r>
      <w:r>
        <w:rPr>
          <w:rFonts w:ascii="宋体" w:hAnsi="宋体" w:cs="宋体" w:eastAsia="宋体" w:hint="default"/>
          <w:b/>
          <w:bCs/>
          <w:w w:val="100"/>
        </w:rPr>
        <w:t> </w:t>
      </w:r>
      <w:r>
        <w:rPr>
          <w:spacing w:val="-2"/>
        </w:rPr>
        <w:t>公司将进一步稳固塔里木油田业务市场，抓住油气田扩大产能的良好机遇，发挥公司机器视觉与智能</w:t>
      </w:r>
    </w:p>
    <w:p>
      <w:pPr>
        <w:pStyle w:val="BodyText"/>
        <w:spacing w:line="408" w:lineRule="auto" w:before="46"/>
        <w:ind w:right="1128"/>
        <w:jc w:val="both"/>
      </w:pPr>
      <w:r>
        <w:rPr>
          <w:spacing w:val="-2"/>
        </w:rPr>
        <w:t>分析核心技术优势，积极争取国内各大油田的投资建设项目。大力推广独具特色的油气作业场所不安全识</w:t>
      </w:r>
      <w:r>
        <w:rPr>
          <w:spacing w:val="-42"/>
        </w:rPr>
        <w:t> </w:t>
      </w:r>
      <w:r>
        <w:rPr>
          <w:spacing w:val="-42"/>
        </w:rPr>
      </w:r>
      <w:r>
        <w:rPr/>
        <w:t>别与预警系统，为油气生产环节提供属于公司的智能化解决方案，进一步提高市场占有率。</w:t>
      </w:r>
    </w:p>
    <w:p>
      <w:pPr>
        <w:pStyle w:val="BodyText"/>
        <w:spacing w:line="386" w:lineRule="auto" w:before="46"/>
        <w:ind w:left="572" w:right="0" w:hanging="84"/>
        <w:jc w:val="left"/>
      </w:pPr>
      <w:r>
        <w:rPr>
          <w:rFonts w:ascii="Times New Roman" w:hAnsi="Times New Roman" w:cs="Times New Roman" w:eastAsia="Times New Roman" w:hint="default"/>
        </w:rPr>
        <w:t>5.</w:t>
      </w:r>
      <w:r>
        <w:rPr/>
        <w:t>印钞检测领域</w:t>
      </w:r>
      <w:r>
        <w:rPr>
          <w:spacing w:val="-103"/>
        </w:rPr>
        <w:t> </w:t>
      </w:r>
      <w:r>
        <w:rPr>
          <w:spacing w:val="-103"/>
        </w:rPr>
      </w:r>
      <w:r>
        <w:rPr>
          <w:spacing w:val="-2"/>
        </w:rPr>
        <w:t>印钞检测技术属于印钞工艺中的核心技术之一，改革开放初期至今，随着信息技术的发展和应用，我</w:t>
      </w:r>
    </w:p>
    <w:p>
      <w:pPr>
        <w:pStyle w:val="BodyText"/>
        <w:spacing w:line="408" w:lineRule="auto" w:before="65"/>
        <w:ind w:right="1128"/>
        <w:jc w:val="both"/>
      </w:pPr>
      <w:r>
        <w:rPr>
          <w:spacing w:val="-2"/>
        </w:rPr>
        <w:t>国印钞检测设备经历了从完全依赖进口到国产设备替代进口并实现出口的飞跃。在新一代信息技术浪潮的</w:t>
      </w:r>
      <w:r>
        <w:rPr>
          <w:spacing w:val="-42"/>
        </w:rPr>
        <w:t> </w:t>
      </w:r>
      <w:r>
        <w:rPr>
          <w:spacing w:val="-42"/>
        </w:rPr>
      </w:r>
      <w:r>
        <w:rPr/>
        <w:t>推动下，印钞检测技术更是朝着智慧化方向不断发展。</w:t>
      </w:r>
    </w:p>
    <w:p>
      <w:pPr>
        <w:spacing w:line="240" w:lineRule="auto" w:before="12"/>
        <w:rPr>
          <w:rFonts w:ascii="宋体" w:hAnsi="宋体" w:cs="宋体" w:eastAsia="宋体" w:hint="default"/>
          <w:sz w:val="14"/>
          <w:szCs w:val="14"/>
        </w:rPr>
      </w:pPr>
    </w:p>
    <w:p>
      <w:pPr>
        <w:pStyle w:val="BodyText"/>
        <w:spacing w:line="240" w:lineRule="auto"/>
        <w:ind w:left="572" w:right="0"/>
        <w:jc w:val="left"/>
      </w:pPr>
      <w:r>
        <w:rPr/>
        <w:t>（</w:t>
      </w:r>
      <w:r>
        <w:rPr>
          <w:rFonts w:ascii="Times New Roman" w:hAnsi="Times New Roman" w:cs="Times New Roman" w:eastAsia="Times New Roman" w:hint="default"/>
        </w:rPr>
        <w:t>1</w:t>
      </w:r>
      <w:r>
        <w:rPr/>
        <w:t>）运用人工智能技术提升检测质量是印钞行业发展的内生需求</w:t>
      </w:r>
    </w:p>
    <w:p>
      <w:pPr>
        <w:spacing w:line="240" w:lineRule="auto" w:before="1"/>
        <w:rPr>
          <w:rFonts w:ascii="宋体" w:hAnsi="宋体" w:cs="宋体" w:eastAsia="宋体" w:hint="default"/>
          <w:sz w:val="25"/>
          <w:szCs w:val="25"/>
        </w:rPr>
      </w:pPr>
    </w:p>
    <w:p>
      <w:pPr>
        <w:pStyle w:val="BodyText"/>
        <w:spacing w:line="398" w:lineRule="auto"/>
        <w:ind w:right="0" w:firstLine="419"/>
        <w:jc w:val="left"/>
      </w:pPr>
      <w:r>
        <w:rPr>
          <w:rFonts w:ascii="Times New Roman" w:hAnsi="Times New Roman" w:cs="Times New Roman" w:eastAsia="Times New Roman" w:hint="default"/>
        </w:rPr>
        <w:t>1997</w:t>
      </w:r>
      <w:r>
        <w:rPr/>
        <w:t>年开始，中科信息的前身</w:t>
      </w:r>
      <w:r>
        <w:rPr>
          <w:rFonts w:ascii="Times New Roman" w:hAnsi="Times New Roman" w:cs="Times New Roman" w:eastAsia="Times New Roman" w:hint="default"/>
        </w:rPr>
        <w:t>—</w:t>
      </w:r>
      <w:r>
        <w:rPr/>
        <w:t>中科院成都计算机应用研究所结合自身在计算机算法领域取得的研究</w:t>
      </w:r>
      <w:r>
        <w:rPr>
          <w:w w:val="100"/>
        </w:rPr>
        <w:t> </w:t>
      </w:r>
      <w:r>
        <w:rPr>
          <w:spacing w:val="-2"/>
        </w:rPr>
        <w:t>成果，将高速机器视觉技术应用于货币检测领域，先后攻克了印钞过程中号码、荧光、水印等防伪标识的</w:t>
      </w:r>
      <w:r>
        <w:rPr>
          <w:spacing w:val="-47"/>
        </w:rPr>
        <w:t> </w:t>
      </w:r>
      <w:r>
        <w:rPr>
          <w:spacing w:val="-47"/>
        </w:rPr>
      </w:r>
      <w:r>
        <w:rPr>
          <w:spacing w:val="-6"/>
        </w:rPr>
        <w:t>检测技术，</w:t>
      </w:r>
      <w:r>
        <w:rPr>
          <w:rFonts w:ascii="Times New Roman" w:hAnsi="Times New Roman" w:cs="Times New Roman" w:eastAsia="Times New Roman" w:hint="default"/>
          <w:spacing w:val="-6"/>
        </w:rPr>
        <w:t>2006</w:t>
      </w:r>
      <w:r>
        <w:rPr>
          <w:spacing w:val="-6"/>
        </w:rPr>
        <w:t>年已基本掌握了印钞全工序在线检测技术，使国内钞厂在某些工序开始替代国外设备。</w:t>
      </w:r>
      <w:r>
        <w:rPr>
          <w:rFonts w:ascii="Times New Roman" w:hAnsi="Times New Roman" w:cs="Times New Roman" w:eastAsia="Times New Roman" w:hint="default"/>
          <w:spacing w:val="-6"/>
        </w:rPr>
        <w:t>2007</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spacing w:val="-2"/>
        </w:rPr>
        <w:t>年，综合运用前期在印钞检测领域取得的技术成果，制造出集彩色胶印、彩色凹印、红外、荧光、透视等</w:t>
      </w:r>
      <w:r>
        <w:rPr>
          <w:spacing w:val="-42"/>
        </w:rPr>
        <w:t> </w:t>
      </w:r>
      <w:r>
        <w:rPr>
          <w:spacing w:val="-42"/>
        </w:rPr>
      </w:r>
      <w:r>
        <w:rPr/>
        <w:t>多重检测手段于一身的大张机图像检测系统，并取得多项技术性突破，在国内各大印钞厂成功推广应用。</w:t>
      </w:r>
      <w:r>
        <w:rPr>
          <w:w w:val="100"/>
        </w:rPr>
        <w:t> </w:t>
      </w:r>
      <w:r>
        <w:rPr>
          <w:spacing w:val="-2"/>
        </w:rPr>
        <w:t>而后随着对钞票防伪设计与生产工艺理解的更加深入，不仅应用范围大幅度拓宽，而且在印钞检测技术上</w:t>
      </w:r>
      <w:r>
        <w:rPr>
          <w:spacing w:val="-42"/>
        </w:rPr>
        <w:t> </w:t>
      </w:r>
      <w:r>
        <w:rPr>
          <w:spacing w:val="-42"/>
        </w:rPr>
      </w:r>
      <w:r>
        <w:rPr>
          <w:spacing w:val="-4"/>
        </w:rPr>
        <w:t>已达到领先水平。国内印钞检测技术的逐渐成熟，实现从</w:t>
      </w:r>
      <w:r>
        <w:rPr>
          <w:rFonts w:ascii="Times New Roman" w:hAnsi="Times New Roman" w:cs="Times New Roman" w:eastAsia="Times New Roman" w:hint="default"/>
          <w:spacing w:val="-4"/>
        </w:rPr>
        <w:t>2007</w:t>
      </w:r>
      <w:r>
        <w:rPr>
          <w:spacing w:val="-4"/>
        </w:rPr>
        <w:t>年起开始向东南亚国家出口小型高速清分机；</w:t>
      </w:r>
      <w:r>
        <w:rPr>
          <w:spacing w:val="-44"/>
        </w:rPr>
        <w:t> </w:t>
      </w:r>
      <w:r>
        <w:rPr>
          <w:spacing w:val="-44"/>
        </w:rPr>
      </w:r>
      <w:r>
        <w:rPr>
          <w:rFonts w:ascii="Times New Roman" w:hAnsi="Times New Roman" w:cs="Times New Roman" w:eastAsia="Times New Roman" w:hint="default"/>
        </w:rPr>
        <w:t>2014</w:t>
      </w:r>
      <w:r>
        <w:rPr/>
        <w:t>年向泰国成功销售泰铢大张机图像检测系统。</w:t>
      </w:r>
    </w:p>
    <w:p>
      <w:pPr>
        <w:pStyle w:val="BodyText"/>
        <w:spacing w:line="240" w:lineRule="auto" w:before="172"/>
        <w:ind w:left="573" w:right="0"/>
        <w:jc w:val="left"/>
      </w:pPr>
      <w:r>
        <w:rPr/>
        <w:t>（</w:t>
      </w:r>
      <w:r>
        <w:rPr>
          <w:rFonts w:ascii="Times New Roman" w:hAnsi="Times New Roman" w:cs="Times New Roman" w:eastAsia="Times New Roman" w:hint="default"/>
        </w:rPr>
        <w:t>2</w:t>
      </w:r>
      <w:r>
        <w:rPr/>
        <w:t>）印钞造币行业走高质量发展之路带动印钞检测需求持续提升</w:t>
      </w:r>
    </w:p>
    <w:p>
      <w:pPr>
        <w:spacing w:line="240" w:lineRule="auto" w:before="1"/>
        <w:rPr>
          <w:rFonts w:ascii="宋体" w:hAnsi="宋体" w:cs="宋体" w:eastAsia="宋体" w:hint="default"/>
          <w:sz w:val="25"/>
          <w:szCs w:val="25"/>
        </w:rPr>
      </w:pPr>
    </w:p>
    <w:p>
      <w:pPr>
        <w:pStyle w:val="BodyText"/>
        <w:spacing w:line="408" w:lineRule="auto"/>
        <w:ind w:right="0" w:firstLine="420"/>
        <w:jc w:val="left"/>
      </w:pPr>
      <w:r>
        <w:rPr>
          <w:spacing w:val="-2"/>
        </w:rPr>
        <w:t>中国印钞造币总公司提出，在新时代要走高质量发展之路，以质量为企业立身之本。一流的产品质量</w:t>
      </w:r>
      <w:r>
        <w:rPr>
          <w:w w:val="100"/>
        </w:rPr>
        <w:t> </w:t>
      </w:r>
      <w:r>
        <w:rPr>
          <w:spacing w:val="-2"/>
        </w:rPr>
        <w:t>有赖于一流的技术和一流的管理作保障。在技术方面，印钞造币各个专业、各个领域将在全方位对标国际</w:t>
      </w:r>
    </w:p>
    <w:p>
      <w:pPr>
        <w:spacing w:after="0" w:line="408"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8"/>
        <w:jc w:val="both"/>
      </w:pPr>
      <w:r>
        <w:rPr>
          <w:spacing w:val="-2"/>
        </w:rPr>
        <w:t>一流中，找差距、查原因、想办法，尽快实现弯道超车、跨代升级，从数量型向质量效益型转变。这就要</w:t>
      </w:r>
      <w:r>
        <w:rPr>
          <w:spacing w:val="-48"/>
        </w:rPr>
        <w:t> </w:t>
      </w:r>
      <w:r>
        <w:rPr>
          <w:spacing w:val="-48"/>
        </w:rPr>
      </w:r>
      <w:r>
        <w:rPr>
          <w:spacing w:val="-2"/>
        </w:rPr>
        <w:t>求人民币在券别结构、票面材质、制版印刷技术、机读性能及防伪措施等方面都要具有国际先进水平。由</w:t>
      </w:r>
      <w:r>
        <w:rPr>
          <w:spacing w:val="-44"/>
        </w:rPr>
        <w:t> </w:t>
      </w:r>
      <w:r>
        <w:rPr>
          <w:spacing w:val="-44"/>
        </w:rPr>
      </w:r>
      <w:r>
        <w:rPr>
          <w:spacing w:val="-2"/>
        </w:rPr>
        <w:t>于货币生产流程中的各个环节都会用到质量检测装置，从造纸、胶印、凹印、印码到检封几乎整个流程都</w:t>
      </w:r>
      <w:r>
        <w:rPr>
          <w:spacing w:val="-44"/>
        </w:rPr>
        <w:t> </w:t>
      </w:r>
      <w:r>
        <w:rPr>
          <w:spacing w:val="-44"/>
        </w:rPr>
      </w:r>
      <w:r>
        <w:rPr>
          <w:spacing w:val="-2"/>
        </w:rPr>
        <w:t>涉及到质检技术的应用，目前人民币防伪标示已达到几十个，随着货币防伪标识的增加、变化及印钞质量</w:t>
      </w:r>
      <w:r>
        <w:rPr>
          <w:spacing w:val="-43"/>
        </w:rPr>
        <w:t> </w:t>
      </w:r>
      <w:r>
        <w:rPr>
          <w:spacing w:val="-43"/>
        </w:rPr>
      </w:r>
      <w:r>
        <w:rPr>
          <w:spacing w:val="-2"/>
        </w:rPr>
        <w:t>要求的提高，各生产工序的印钞检测设备技术工艺将持续更新。因此印钞造币行业对印钞检测需求必将持</w:t>
      </w:r>
      <w:r>
        <w:rPr>
          <w:spacing w:val="-42"/>
        </w:rPr>
        <w:t> </w:t>
      </w:r>
      <w:r>
        <w:rPr>
          <w:spacing w:val="-42"/>
        </w:rPr>
      </w:r>
      <w:r>
        <w:rPr/>
        <w:t>续提升。</w:t>
      </w:r>
    </w:p>
    <w:p>
      <w:pPr>
        <w:spacing w:line="240" w:lineRule="auto" w:before="12"/>
        <w:rPr>
          <w:rFonts w:ascii="宋体" w:hAnsi="宋体" w:cs="宋体" w:eastAsia="宋体" w:hint="default"/>
          <w:sz w:val="14"/>
          <w:szCs w:val="14"/>
        </w:rPr>
      </w:pPr>
    </w:p>
    <w:p>
      <w:pPr>
        <w:pStyle w:val="BodyText"/>
        <w:spacing w:line="240" w:lineRule="auto"/>
        <w:ind w:left="572"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助力中国印钞造币品牌走向国际</w:t>
      </w:r>
    </w:p>
    <w:p>
      <w:pPr>
        <w:spacing w:line="240" w:lineRule="auto" w:before="1"/>
        <w:rPr>
          <w:rFonts w:ascii="宋体" w:hAnsi="宋体" w:cs="宋体" w:eastAsia="宋体" w:hint="default"/>
          <w:sz w:val="25"/>
          <w:szCs w:val="25"/>
        </w:rPr>
      </w:pPr>
    </w:p>
    <w:p>
      <w:pPr>
        <w:pStyle w:val="BodyText"/>
        <w:spacing w:line="398" w:lineRule="auto"/>
        <w:ind w:right="0" w:firstLine="420"/>
        <w:jc w:val="left"/>
      </w:pPr>
      <w:r>
        <w:rPr/>
        <w:t>中国印钞造币总公司</w:t>
      </w:r>
      <w:r>
        <w:rPr>
          <w:rFonts w:ascii="Times New Roman" w:hAnsi="Times New Roman" w:cs="Times New Roman" w:eastAsia="Times New Roman" w:hint="default"/>
        </w:rPr>
        <w:t>“</w:t>
      </w:r>
      <w:r>
        <w:rPr/>
        <w:t>四个转变</w:t>
      </w:r>
      <w:r>
        <w:rPr>
          <w:rFonts w:ascii="Times New Roman" w:hAnsi="Times New Roman" w:cs="Times New Roman" w:eastAsia="Times New Roman" w:hint="default"/>
        </w:rPr>
        <w:t>”</w:t>
      </w:r>
      <w:r>
        <w:rPr/>
        <w:t>强调，要从仅盯国内市场向紧盯国内国际两个市场转变。人民币作为</w:t>
      </w:r>
      <w:r>
        <w:rPr>
          <w:w w:val="100"/>
        </w:rPr>
        <w:t> </w:t>
      </w:r>
      <w:r>
        <w:rPr>
          <w:spacing w:val="-5"/>
        </w:rPr>
        <w:t>支付和结算货币已被许多国家接受，随着人民币国际化进程的推进，人民币境外流量、存量将进一步加大，</w:t>
      </w:r>
      <w:r>
        <w:rPr>
          <w:spacing w:val="-4"/>
        </w:rPr>
        <w:t> </w:t>
      </w:r>
      <w:r>
        <w:rPr>
          <w:spacing w:val="-4"/>
        </w:rPr>
      </w:r>
      <w:r>
        <w:rPr>
          <w:spacing w:val="-2"/>
        </w:rPr>
        <w:t>国际市场对于人民币供应量的需求也将稳步提升。中国印钞造币行业除完成指令性生产任务之外，越来越</w:t>
      </w:r>
      <w:r>
        <w:rPr>
          <w:spacing w:val="-42"/>
        </w:rPr>
        <w:t> </w:t>
      </w:r>
      <w:r>
        <w:rPr>
          <w:spacing w:val="-42"/>
        </w:rPr>
      </w:r>
      <w:r>
        <w:rPr/>
        <w:t>多地以市场经济主体的身份进入国内、国际两个市场，参与竞争。国家提出</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倡议以来，中国印</w:t>
      </w:r>
      <w:r>
        <w:rPr>
          <w:w w:val="100"/>
        </w:rPr>
        <w:t> </w:t>
      </w:r>
      <w:r>
        <w:rPr>
          <w:spacing w:val="-2"/>
        </w:rPr>
        <w:t>钞造币总公司确立了国际化发展战略，自</w:t>
      </w:r>
      <w:r>
        <w:rPr>
          <w:rFonts w:ascii="Times New Roman" w:hAnsi="Times New Roman" w:cs="Times New Roman" w:eastAsia="Times New Roman" w:hint="default"/>
          <w:spacing w:val="-2"/>
        </w:rPr>
        <w:t>2015</w:t>
      </w:r>
      <w:r>
        <w:rPr>
          <w:spacing w:val="-2"/>
        </w:rPr>
        <w:t>年起，先后中标尼泊尔、泰国、孟加拉、斯里兰卡、马来西</w:t>
      </w:r>
      <w:r>
        <w:rPr>
          <w:spacing w:val="-38"/>
        </w:rPr>
        <w:t> </w:t>
      </w:r>
      <w:r>
        <w:rPr>
          <w:spacing w:val="-38"/>
        </w:rPr>
      </w:r>
      <w:r>
        <w:rPr>
          <w:spacing w:val="-2"/>
        </w:rPr>
        <w:t>亚、印度、巴西、波兰等多个国家的货币生产项目，成功实现了全产业链输出，在国际货币舞台发出了中</w:t>
      </w:r>
      <w:r>
        <w:rPr>
          <w:spacing w:val="-43"/>
        </w:rPr>
        <w:t> </w:t>
      </w:r>
      <w:r>
        <w:rPr>
          <w:spacing w:val="-43"/>
        </w:rPr>
      </w:r>
      <w:r>
        <w:rPr>
          <w:spacing w:val="-2"/>
        </w:rPr>
        <w:t>国声音。近年来，本公司的联营企业中钞科信研制的印钞检测设备也已出口多个国家，并在</w:t>
      </w:r>
      <w:r>
        <w:rPr>
          <w:rFonts w:ascii="Times New Roman" w:hAnsi="Times New Roman" w:cs="Times New Roman" w:eastAsia="Times New Roman" w:hint="default"/>
          <w:spacing w:val="-2"/>
        </w:rPr>
        <w:t>2018</w:t>
      </w:r>
      <w:r>
        <w:rPr>
          <w:spacing w:val="-2"/>
        </w:rPr>
        <w:t>年顺利进</w:t>
      </w:r>
      <w:r>
        <w:rPr>
          <w:spacing w:val="-39"/>
        </w:rPr>
        <w:t> </w:t>
      </w:r>
      <w:r>
        <w:rPr>
          <w:spacing w:val="-39"/>
        </w:rPr>
      </w:r>
      <w:r>
        <w:rPr>
          <w:spacing w:val="-2"/>
        </w:rPr>
        <w:t>入欧洲市场，获得高度认可。可以预见，国际市场的深入拓展从长远趋势上将促进印钞检测需求增长。但</w:t>
      </w:r>
      <w:r>
        <w:rPr>
          <w:spacing w:val="-44"/>
        </w:rPr>
        <w:t> </w:t>
      </w:r>
      <w:r>
        <w:rPr>
          <w:spacing w:val="-44"/>
        </w:rPr>
      </w:r>
      <w:r>
        <w:rPr>
          <w:spacing w:val="-2"/>
        </w:rPr>
        <w:t>受此次新冠疫情影响，对西班牙、捷克、印度等海外市场的出口业务目前全部暂停，待相关国家疫情缓解</w:t>
      </w:r>
      <w:r>
        <w:rPr>
          <w:spacing w:val="-47"/>
        </w:rPr>
        <w:t> </w:t>
      </w:r>
      <w:r>
        <w:rPr>
          <w:spacing w:val="-47"/>
        </w:rPr>
      </w:r>
      <w:r>
        <w:rPr/>
        <w:t>后才能恢复正常。</w:t>
      </w:r>
    </w:p>
    <w:p>
      <w:pPr>
        <w:pStyle w:val="Heading3"/>
        <w:spacing w:line="240" w:lineRule="auto" w:before="54"/>
        <w:ind w:left="575" w:right="0"/>
        <w:jc w:val="left"/>
        <w:rPr>
          <w:b w:val="0"/>
          <w:bCs w:val="0"/>
        </w:rPr>
      </w:pPr>
      <w:r>
        <w:rPr/>
        <w:t>公司措施：</w:t>
      </w:r>
      <w:r>
        <w:rPr>
          <w:b w:val="0"/>
          <w:bCs w:val="0"/>
        </w:rPr>
      </w:r>
    </w:p>
    <w:p>
      <w:pPr>
        <w:spacing w:line="240" w:lineRule="auto" w:before="2"/>
        <w:rPr>
          <w:rFonts w:ascii="宋体" w:hAnsi="宋体" w:cs="宋体" w:eastAsia="宋体" w:hint="default"/>
          <w:b/>
          <w:bCs/>
          <w:sz w:val="26"/>
          <w:szCs w:val="26"/>
        </w:rPr>
      </w:pPr>
    </w:p>
    <w:p>
      <w:pPr>
        <w:pStyle w:val="BodyText"/>
        <w:spacing w:line="408" w:lineRule="auto"/>
        <w:ind w:right="0" w:firstLine="420"/>
        <w:jc w:val="left"/>
      </w:pPr>
      <w:r>
        <w:rPr>
          <w:spacing w:val="-2"/>
        </w:rPr>
        <w:t>公司将紧抓行业整体升级改造所带来的机遇，持续导入人工智能技术实现已有工艺设备的产品升级，</w:t>
      </w:r>
      <w:r>
        <w:rPr>
          <w:w w:val="100"/>
        </w:rPr>
        <w:t> </w:t>
      </w:r>
      <w:r>
        <w:rPr/>
        <w:t>以新一代印钞检测领域高端技术和更好的产品与服务提升核心竞争力，继续争取扩大出口业务。</w:t>
      </w:r>
    </w:p>
    <w:p>
      <w:pPr>
        <w:spacing w:line="240" w:lineRule="auto" w:before="1"/>
        <w:rPr>
          <w:rFonts w:ascii="宋体" w:hAnsi="宋体" w:cs="宋体" w:eastAsia="宋体" w:hint="default"/>
          <w:sz w:val="15"/>
          <w:szCs w:val="15"/>
        </w:rPr>
      </w:pPr>
    </w:p>
    <w:p>
      <w:pPr>
        <w:pStyle w:val="Heading3"/>
        <w:spacing w:line="240" w:lineRule="auto"/>
        <w:ind w:left="575" w:right="0"/>
        <w:jc w:val="left"/>
        <w:rPr>
          <w:b w:val="0"/>
          <w:bCs w:val="0"/>
        </w:rPr>
      </w:pPr>
      <w:r>
        <w:rPr/>
        <w:t>（六）公司所处行业发展阶段、周期性特点以及行业地位</w:t>
      </w:r>
      <w:r>
        <w:rPr>
          <w:b w:val="0"/>
          <w:bCs w:val="0"/>
        </w:rPr>
      </w:r>
    </w:p>
    <w:p>
      <w:pPr>
        <w:pStyle w:val="BodyText"/>
        <w:spacing w:line="600" w:lineRule="atLeast" w:before="32"/>
        <w:ind w:left="572" w:right="0"/>
        <w:jc w:val="left"/>
      </w:pPr>
      <w:r>
        <w:rPr>
          <w:rFonts w:ascii="Times New Roman" w:hAnsi="Times New Roman" w:cs="Times New Roman" w:eastAsia="Times New Roman" w:hint="default"/>
        </w:rPr>
        <w:t>1.</w:t>
      </w:r>
      <w:r>
        <w:rPr/>
        <w:t>公司所处行业发展阶段</w:t>
      </w:r>
      <w:r>
        <w:rPr>
          <w:w w:val="100"/>
        </w:rPr>
        <w:t> </w:t>
      </w:r>
      <w:r>
        <w:rPr>
          <w:spacing w:val="-5"/>
        </w:rPr>
        <w:t>软件与信息技术服务业是指利用计算机、通信网络等技术对信息进行生产、收集、处理、加工、存储、</w:t>
      </w:r>
    </w:p>
    <w:p>
      <w:pPr>
        <w:spacing w:line="240" w:lineRule="auto" w:before="10"/>
        <w:rPr>
          <w:rFonts w:ascii="宋体" w:hAnsi="宋体" w:cs="宋体" w:eastAsia="宋体" w:hint="default"/>
          <w:sz w:val="14"/>
          <w:szCs w:val="14"/>
        </w:rPr>
      </w:pPr>
    </w:p>
    <w:p>
      <w:pPr>
        <w:pStyle w:val="BodyText"/>
        <w:spacing w:line="408" w:lineRule="auto"/>
        <w:ind w:right="1108"/>
        <w:jc w:val="both"/>
      </w:pPr>
      <w:r>
        <w:rPr>
          <w:spacing w:val="-2"/>
        </w:rPr>
        <w:t>运输、检索和利用，并提供信息服务的业务活动。该行业具有技术更新快、</w:t>
      </w:r>
      <w:hyperlink r:id="rId17">
        <w:r>
          <w:rPr>
            <w:spacing w:val="-2"/>
          </w:rPr>
          <w:t>产品附加值</w:t>
        </w:r>
      </w:hyperlink>
      <w:r>
        <w:rPr>
          <w:spacing w:val="-2"/>
        </w:rPr>
        <w:t>高、应用领域广、</w:t>
      </w:r>
      <w:r>
        <w:rPr>
          <w:spacing w:val="-24"/>
        </w:rPr>
        <w:t> </w:t>
      </w:r>
      <w:r>
        <w:rPr>
          <w:spacing w:val="-24"/>
        </w:rPr>
      </w:r>
      <w:r>
        <w:rPr>
          <w:spacing w:val="-2"/>
        </w:rPr>
        <w:t>渗透能力强、资源消耗低、人力资源利用充分等突出特点，是关系国民经济和社会发展全局的基础性、战</w:t>
      </w:r>
      <w:r>
        <w:rPr>
          <w:spacing w:val="-47"/>
        </w:rPr>
        <w:t> </w:t>
      </w:r>
      <w:r>
        <w:rPr>
          <w:spacing w:val="-47"/>
        </w:rPr>
      </w:r>
      <w:r>
        <w:rPr>
          <w:spacing w:val="-2"/>
        </w:rPr>
        <w:t>略性、先导性产业，是引领科技创新、驱动经济社会转型发展的核心力量，是建设制造强国和网络强国的</w:t>
      </w:r>
      <w:r>
        <w:rPr>
          <w:spacing w:val="-47"/>
        </w:rPr>
        <w:t> </w:t>
      </w:r>
      <w:r>
        <w:rPr>
          <w:spacing w:val="-47"/>
        </w:rPr>
      </w:r>
      <w:r>
        <w:rPr>
          <w:spacing w:val="-2"/>
        </w:rPr>
        <w:t>核心支撑，对于推动信息化和工业化深度融合，培育和发展战略性新兴产业，</w:t>
      </w:r>
      <w:hyperlink r:id="rId18">
        <w:r>
          <w:rPr>
            <w:spacing w:val="-2"/>
          </w:rPr>
          <w:t>建设创新型国家</w:t>
        </w:r>
      </w:hyperlink>
      <w:r>
        <w:rPr>
          <w:spacing w:val="-2"/>
        </w:rPr>
        <w:t>，</w:t>
      </w:r>
      <w:hyperlink r:id="rId19">
        <w:r>
          <w:rPr>
            <w:spacing w:val="-2"/>
          </w:rPr>
          <w:t>加快经济</w:t>
        </w:r>
      </w:hyperlink>
      <w:r>
        <w:rPr>
          <w:spacing w:val="-49"/>
        </w:rPr>
        <w:t> </w:t>
      </w:r>
      <w:r>
        <w:rPr>
          <w:spacing w:val="-49"/>
        </w:rPr>
      </w:r>
      <w:hyperlink r:id="rId19">
        <w:r>
          <w:rPr>
            <w:spacing w:val="-2"/>
          </w:rPr>
          <w:t>发展方式转变</w:t>
        </w:r>
      </w:hyperlink>
      <w:r>
        <w:rPr>
          <w:spacing w:val="-2"/>
        </w:rPr>
        <w:t>和</w:t>
      </w:r>
      <w:hyperlink r:id="rId20">
        <w:r>
          <w:rPr>
            <w:spacing w:val="-2"/>
          </w:rPr>
          <w:t>产业结构调整</w:t>
        </w:r>
      </w:hyperlink>
      <w:r>
        <w:rPr>
          <w:spacing w:val="-2"/>
        </w:rPr>
        <w:t>，提高国家</w:t>
      </w:r>
      <w:hyperlink r:id="rId21">
        <w:r>
          <w:rPr>
            <w:spacing w:val="-2"/>
          </w:rPr>
          <w:t>信息安全保障</w:t>
        </w:r>
      </w:hyperlink>
      <w:r>
        <w:rPr>
          <w:spacing w:val="-2"/>
        </w:rPr>
        <w:t>能力和</w:t>
      </w:r>
      <w:hyperlink r:id="rId22">
        <w:r>
          <w:rPr>
            <w:spacing w:val="-2"/>
          </w:rPr>
          <w:t>国际竞争力</w:t>
        </w:r>
      </w:hyperlink>
      <w:r>
        <w:rPr>
          <w:spacing w:val="-2"/>
        </w:rPr>
        <w:t>具有重要意义。建设强大的软件</w:t>
      </w:r>
    </w:p>
    <w:p>
      <w:pPr>
        <w:spacing w:after="0" w:line="408" w:lineRule="auto"/>
        <w:jc w:val="both"/>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8"/>
        <w:jc w:val="both"/>
        <w:rPr>
          <w:rFonts w:ascii="宋体" w:hAnsi="宋体" w:cs="宋体" w:eastAsia="宋体" w:hint="default"/>
        </w:rPr>
      </w:pPr>
      <w:r>
        <w:rPr>
          <w:spacing w:val="-2"/>
        </w:rPr>
        <w:t>和信息技术服务业，是我国构建全球竞争新优势、抢占新工业革命制高点的必然选择。为此国家出台系列</w:t>
      </w:r>
      <w:r>
        <w:rPr>
          <w:spacing w:val="-43"/>
        </w:rPr>
        <w:t> </w:t>
      </w:r>
      <w:r>
        <w:rPr>
          <w:spacing w:val="-43"/>
        </w:rPr>
      </w:r>
      <w:r>
        <w:rPr>
          <w:spacing w:val="-2"/>
        </w:rPr>
        <w:t>扶持政策，从税收、研究经费、进出口优惠、人才培养、</w:t>
      </w:r>
      <w:hyperlink r:id="rId23">
        <w:r>
          <w:rPr>
            <w:spacing w:val="-2"/>
          </w:rPr>
          <w:t>知识产权保护</w:t>
        </w:r>
      </w:hyperlink>
      <w:r>
        <w:rPr>
          <w:spacing w:val="-2"/>
        </w:rPr>
        <w:t>、市场开发和投融资等方面给予了</w:t>
      </w:r>
      <w:r>
        <w:rPr>
          <w:spacing w:val="-45"/>
        </w:rPr>
        <w:t> </w:t>
      </w:r>
      <w:r>
        <w:rPr>
          <w:spacing w:val="-45"/>
        </w:rPr>
      </w:r>
      <w:r>
        <w:rPr/>
        <w:t>较为全面的政策支持。</w:t>
      </w:r>
      <w:r>
        <w:rPr>
          <w:rFonts w:ascii="宋体" w:hAnsi="宋体" w:cs="宋体" w:eastAsia="宋体" w:hint="default"/>
        </w:rPr>
        <w:t> </w:t>
      </w:r>
    </w:p>
    <w:p>
      <w:pPr>
        <w:spacing w:line="240" w:lineRule="auto" w:before="12"/>
        <w:rPr>
          <w:rFonts w:ascii="宋体" w:hAnsi="宋体" w:cs="宋体" w:eastAsia="宋体" w:hint="default"/>
          <w:sz w:val="14"/>
          <w:szCs w:val="14"/>
        </w:rPr>
      </w:pPr>
    </w:p>
    <w:p>
      <w:pPr>
        <w:pStyle w:val="BodyText"/>
        <w:spacing w:line="396" w:lineRule="auto"/>
        <w:ind w:right="1128" w:firstLine="420"/>
        <w:jc w:val="left"/>
        <w:rPr>
          <w:rFonts w:ascii="宋体" w:hAnsi="宋体" w:cs="宋体" w:eastAsia="宋体" w:hint="default"/>
        </w:rPr>
      </w:pP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时期是我国全面建成小康社会决胜阶段，全球新一轮科技革命和产业变革持续深入，国内经</w:t>
      </w:r>
      <w:r>
        <w:rPr>
          <w:w w:val="100"/>
        </w:rPr>
        <w:t> </w:t>
      </w:r>
      <w:r>
        <w:rPr>
          <w:spacing w:val="-2"/>
        </w:rPr>
        <w:t>济发展方式加快转变，软件和信息技术服务业迎来更大发展机遇。《中国制造</w:t>
      </w:r>
      <w:r>
        <w:rPr>
          <w:rFonts w:ascii="Times New Roman" w:hAnsi="Times New Roman" w:cs="Times New Roman" w:eastAsia="Times New Roman" w:hint="default"/>
          <w:spacing w:val="-2"/>
        </w:rPr>
        <w:t>2025</w:t>
      </w:r>
      <w:r>
        <w:rPr>
          <w:spacing w:val="-2"/>
        </w:rPr>
        <w:t>》《国务院关于积极推</w:t>
      </w:r>
      <w:r>
        <w:rPr>
          <w:spacing w:val="-38"/>
        </w:rPr>
        <w:t> </w:t>
      </w:r>
      <w:r>
        <w:rPr>
          <w:spacing w:val="-38"/>
        </w:rPr>
      </w:r>
      <w:r>
        <w:rPr/>
        <w:t>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行动的指导意见》《国务院关于深化制造业与互联网融合发展的指导意见》《促进大数据发</w:t>
      </w:r>
      <w:r>
        <w:rPr>
          <w:w w:val="100"/>
        </w:rPr>
        <w:t> </w:t>
      </w:r>
      <w:r>
        <w:rPr>
          <w:spacing w:val="-2"/>
        </w:rPr>
        <w:t>展行动纲要》《国家信息化发展战略纲要》《软件和信息技术服务业发展规划（</w:t>
      </w:r>
      <w:r>
        <w:rPr>
          <w:rFonts w:ascii="Times New Roman" w:hAnsi="Times New Roman" w:cs="Times New Roman" w:eastAsia="Times New Roman" w:hint="default"/>
          <w:spacing w:val="-2"/>
        </w:rPr>
        <w:t>2016-2020</w:t>
      </w:r>
      <w:r>
        <w:rPr>
          <w:spacing w:val="-2"/>
        </w:rPr>
        <w:t>年）》《</w:t>
      </w:r>
      <w:r>
        <w:rPr>
          <w:rFonts w:ascii="Times New Roman" w:hAnsi="Times New Roman" w:cs="Times New Roman" w:eastAsia="Times New Roman" w:hint="default"/>
          <w:spacing w:val="-2"/>
        </w:rPr>
        <w:t>“</w:t>
      </w:r>
      <w:r>
        <w:rPr>
          <w:spacing w:val="-2"/>
        </w:rPr>
        <w:t>互联</w:t>
      </w:r>
      <w:r>
        <w:rPr>
          <w:spacing w:val="-10"/>
        </w:rPr>
        <w:t> </w:t>
      </w:r>
      <w:r>
        <w:rPr/>
        <w:t>网</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3</w:t>
      </w:r>
      <w:r>
        <w:rPr/>
        <w:t>年行动实施方案》《新一代人工智能发展规划》等一系列国家战略的出台，为进一步优化</w:t>
      </w:r>
      <w:r>
        <w:rPr>
          <w:w w:val="100"/>
        </w:rPr>
        <w:t> </w:t>
      </w:r>
      <w:r>
        <w:rPr>
          <w:spacing w:val="-2"/>
        </w:rPr>
        <w:t>政策环境，为软件与信息技术服务业的突破式发展提供了新机遇，使其快速步入高速发展成长期。未来随</w:t>
      </w:r>
      <w:r>
        <w:rPr>
          <w:spacing w:val="-49"/>
        </w:rPr>
        <w:t> </w:t>
      </w:r>
      <w:r>
        <w:rPr>
          <w:spacing w:val="-49"/>
        </w:rPr>
      </w:r>
      <w:r>
        <w:rPr>
          <w:spacing w:val="-2"/>
        </w:rPr>
        <w:t>着行业的逐渐发展与成熟，我国软件和信息技术服务行业的业务收入将持续提高，发展空间广阔。我国的</w:t>
      </w:r>
      <w:r>
        <w:rPr>
          <w:spacing w:val="-44"/>
        </w:rPr>
        <w:t> </w:t>
      </w:r>
      <w:r>
        <w:rPr>
          <w:spacing w:val="-44"/>
        </w:rPr>
      </w:r>
      <w:r>
        <w:rPr/>
        <w:t>软件和信息技术服务行业的下游用户需求已经由基于信息系统基础构建转变成基于自身业务特点和行业</w:t>
      </w:r>
      <w:r>
        <w:rPr>
          <w:w w:val="100"/>
        </w:rPr>
        <w:t> </w:t>
      </w:r>
      <w:r>
        <w:rPr>
          <w:spacing w:val="-2"/>
        </w:rPr>
        <w:t>特点的业务发展需要，因此各行业对于以行业特点为核心应用软件、信息技术、跨行业的管理软件和基于</w:t>
      </w:r>
      <w:r>
        <w:rPr>
          <w:spacing w:val="-44"/>
        </w:rPr>
        <w:t> </w:t>
      </w:r>
      <w:r>
        <w:rPr>
          <w:spacing w:val="-44"/>
        </w:rPr>
      </w:r>
      <w:r>
        <w:rPr>
          <w:spacing w:val="-2"/>
        </w:rPr>
        <w:t>现有系统的专业化服务呈现出旺盛的需求。随着经济型、产业升级及</w:t>
      </w:r>
      <w:r>
        <w:rPr>
          <w:rFonts w:ascii="Times New Roman" w:hAnsi="Times New Roman" w:cs="Times New Roman" w:eastAsia="Times New Roman" w:hint="default"/>
          <w:spacing w:val="-2"/>
        </w:rPr>
        <w:t>“</w:t>
      </w:r>
      <w:r>
        <w:rPr>
          <w:spacing w:val="-2"/>
        </w:rPr>
        <w:t>两化融合</w:t>
      </w:r>
      <w:r>
        <w:rPr>
          <w:rFonts w:ascii="Times New Roman" w:hAnsi="Times New Roman" w:cs="Times New Roman" w:eastAsia="Times New Roman" w:hint="default"/>
          <w:spacing w:val="-2"/>
        </w:rPr>
        <w:t>”</w:t>
      </w:r>
      <w:r>
        <w:rPr>
          <w:spacing w:val="-2"/>
        </w:rPr>
        <w:t>进程的不断深入，传统产</w:t>
      </w:r>
      <w:r>
        <w:rPr>
          <w:spacing w:val="-27"/>
        </w:rPr>
        <w:t> </w:t>
      </w:r>
      <w:r>
        <w:rPr>
          <w:spacing w:val="-27"/>
        </w:rPr>
      </w:r>
      <w:r>
        <w:rPr/>
        <w:t>业的信息化需求将会不断激发，带来巨大的市场机遇。</w:t>
      </w:r>
      <w:r>
        <w:rPr>
          <w:rFonts w:ascii="宋体" w:hAnsi="宋体" w:cs="宋体" w:eastAsia="宋体" w:hint="default"/>
        </w:rPr>
        <w:t> </w:t>
      </w:r>
    </w:p>
    <w:p>
      <w:pPr>
        <w:spacing w:line="240" w:lineRule="auto" w:before="12"/>
        <w:rPr>
          <w:rFonts w:ascii="宋体" w:hAnsi="宋体" w:cs="宋体" w:eastAsia="宋体" w:hint="default"/>
          <w:sz w:val="15"/>
          <w:szCs w:val="15"/>
        </w:rPr>
      </w:pPr>
    </w:p>
    <w:p>
      <w:pPr>
        <w:pStyle w:val="BodyText"/>
        <w:spacing w:line="240" w:lineRule="auto"/>
        <w:ind w:left="572" w:right="0"/>
        <w:jc w:val="left"/>
        <w:rPr>
          <w:rFonts w:ascii="宋体" w:hAnsi="宋体" w:cs="宋体" w:eastAsia="宋体" w:hint="default"/>
        </w:rPr>
      </w:pPr>
      <w:r>
        <w:rPr>
          <w:rFonts w:ascii="Times New Roman" w:hAnsi="Times New Roman" w:cs="Times New Roman" w:eastAsia="Times New Roman" w:hint="default"/>
        </w:rPr>
        <w:t>2.</w:t>
      </w:r>
      <w:r>
        <w:rPr/>
        <w:t>行业周期性特点</w:t>
      </w:r>
      <w:r>
        <w:rPr>
          <w:rFonts w:ascii="宋体" w:hAnsi="宋体" w:cs="宋体" w:eastAsia="宋体" w:hint="default"/>
        </w:rPr>
        <w:t> </w:t>
      </w:r>
    </w:p>
    <w:p>
      <w:pPr>
        <w:spacing w:line="240" w:lineRule="auto" w:before="12"/>
        <w:rPr>
          <w:rFonts w:ascii="宋体" w:hAnsi="宋体" w:cs="宋体" w:eastAsia="宋体" w:hint="default"/>
          <w:sz w:val="24"/>
          <w:szCs w:val="24"/>
        </w:rPr>
      </w:pPr>
    </w:p>
    <w:p>
      <w:pPr>
        <w:pStyle w:val="BodyText"/>
        <w:spacing w:line="408" w:lineRule="auto"/>
        <w:ind w:right="1128" w:firstLine="420"/>
        <w:jc w:val="both"/>
      </w:pPr>
      <w:r>
        <w:rPr>
          <w:spacing w:val="-2"/>
        </w:rPr>
        <w:t>相对而言，软件和信息技术服务业受经济周期的影响比传统的制造业要小，尤其是电子政务、工业信</w:t>
      </w:r>
      <w:r>
        <w:rPr>
          <w:w w:val="100"/>
        </w:rPr>
        <w:t> </w:t>
      </w:r>
      <w:r>
        <w:rPr>
          <w:spacing w:val="-2"/>
        </w:rPr>
        <w:t>息化等领域均为国家重点发展的信息化领域，具有较强的抗周期性。面向电子政务、工业信息化等领域服</w:t>
      </w:r>
      <w:r>
        <w:rPr>
          <w:spacing w:val="-43"/>
        </w:rPr>
        <w:t> </w:t>
      </w:r>
      <w:r>
        <w:rPr>
          <w:spacing w:val="-43"/>
        </w:rPr>
      </w:r>
      <w:r>
        <w:rPr>
          <w:spacing w:val="-2"/>
        </w:rPr>
        <w:t>务的软件和信息技术服务企业，由于服务的需求主体主要是政府部门和大型企业，政府部门和大型企业信</w:t>
      </w:r>
      <w:r>
        <w:rPr>
          <w:spacing w:val="-42"/>
        </w:rPr>
        <w:t> </w:t>
      </w:r>
      <w:r>
        <w:rPr>
          <w:spacing w:val="-42"/>
        </w:rPr>
      </w:r>
      <w:r>
        <w:rPr>
          <w:spacing w:val="-2"/>
        </w:rPr>
        <w:t>息化建设投资行为的特殊性决定本行业具有一定的季节性特征，一般而言上述客户在上一年末或当年初确</w:t>
      </w:r>
      <w:r>
        <w:rPr>
          <w:spacing w:val="-42"/>
        </w:rPr>
        <w:t> </w:t>
      </w:r>
      <w:r>
        <w:rPr>
          <w:spacing w:val="-42"/>
        </w:rPr>
      </w:r>
      <w:r>
        <w:rPr>
          <w:spacing w:val="-2"/>
        </w:rPr>
        <w:t>定信息化投资计划，在当年第二季度实施供应商招标，一般在当年四季度进行项目验收结算。由于项目的</w:t>
      </w:r>
      <w:r>
        <w:rPr>
          <w:spacing w:val="-43"/>
        </w:rPr>
        <w:t> </w:t>
      </w:r>
      <w:r>
        <w:rPr>
          <w:spacing w:val="-43"/>
        </w:rPr>
      </w:r>
      <w:r>
        <w:rPr>
          <w:spacing w:val="-2"/>
        </w:rPr>
        <w:t>规模、复杂程度及合同实施周期的差异，部分大型项目存在跨期验收结算的情况。由于政府和大型企业客</w:t>
      </w:r>
      <w:r>
        <w:rPr>
          <w:spacing w:val="-48"/>
        </w:rPr>
        <w:t> </w:t>
      </w:r>
      <w:r>
        <w:rPr>
          <w:spacing w:val="-48"/>
        </w:rPr>
      </w:r>
      <w:r>
        <w:rPr>
          <w:spacing w:val="-2"/>
        </w:rPr>
        <w:t>户项目验收和合同款项支付在年末相对集中，同行业内企业的营收确认、利润实现及现金流量等均呈现出</w:t>
      </w:r>
      <w:r>
        <w:rPr>
          <w:spacing w:val="-42"/>
        </w:rPr>
        <w:t> </w:t>
      </w:r>
      <w:r>
        <w:rPr>
          <w:spacing w:val="-42"/>
        </w:rPr>
      </w:r>
      <w:r>
        <w:rPr/>
        <w:t>一定的季节性。</w:t>
      </w:r>
    </w:p>
    <w:p>
      <w:pPr>
        <w:pStyle w:val="BodyText"/>
        <w:spacing w:line="240" w:lineRule="auto" w:before="166"/>
        <w:ind w:left="572" w:right="0"/>
        <w:jc w:val="left"/>
      </w:pPr>
      <w:r>
        <w:rPr>
          <w:rFonts w:ascii="Times New Roman" w:hAnsi="Times New Roman" w:cs="Times New Roman" w:eastAsia="Times New Roman" w:hint="default"/>
        </w:rPr>
        <w:t>3.</w:t>
      </w:r>
      <w:r>
        <w:rPr/>
        <w:t>公司行业地位</w:t>
      </w:r>
    </w:p>
    <w:p>
      <w:pPr>
        <w:spacing w:line="240" w:lineRule="auto" w:before="9"/>
        <w:rPr>
          <w:rFonts w:ascii="宋体" w:hAnsi="宋体" w:cs="宋体" w:eastAsia="宋体" w:hint="default"/>
          <w:sz w:val="22"/>
          <w:szCs w:val="22"/>
        </w:rPr>
      </w:pPr>
    </w:p>
    <w:p>
      <w:pPr>
        <w:pStyle w:val="BodyText"/>
        <w:spacing w:line="393" w:lineRule="auto"/>
        <w:ind w:right="1128" w:firstLine="420"/>
        <w:jc w:val="both"/>
      </w:pPr>
      <w:r>
        <w:rPr>
          <w:spacing w:val="-2"/>
        </w:rPr>
        <w:t>公司是中国科学院控股有限公司直接控股的高科技公司，是由成立于</w:t>
      </w:r>
      <w:r>
        <w:rPr>
          <w:rFonts w:ascii="Times New Roman" w:hAnsi="Times New Roman" w:cs="Times New Roman" w:eastAsia="Times New Roman" w:hint="default"/>
          <w:spacing w:val="-2"/>
        </w:rPr>
        <w:t>1958</w:t>
      </w:r>
      <w:r>
        <w:rPr>
          <w:spacing w:val="-2"/>
        </w:rPr>
        <w:t>年的成都计算所整体转制而</w:t>
      </w:r>
      <w:r>
        <w:rPr>
          <w:w w:val="100"/>
        </w:rPr>
        <w:t> </w:t>
      </w:r>
      <w:r>
        <w:rPr>
          <w:spacing w:val="-2"/>
        </w:rPr>
        <w:t>来。公司以中科院院士张景中领衔的一流应用基础研究团队，多年来专注于人工智能领域的计算机自动推</w:t>
      </w:r>
      <w:r>
        <w:rPr>
          <w:spacing w:val="-42"/>
        </w:rPr>
        <w:t> </w:t>
      </w:r>
      <w:r>
        <w:rPr>
          <w:spacing w:val="-42"/>
        </w:rPr>
      </w:r>
      <w:r>
        <w:rPr>
          <w:spacing w:val="-2"/>
        </w:rPr>
        <w:t>理理论研究，打造出从应用基础研究、技术研发、产品开发及专业技术服务的完整业务链条。</w:t>
      </w:r>
      <w:r>
        <w:rPr>
          <w:rFonts w:ascii="Times New Roman" w:hAnsi="Times New Roman" w:cs="Times New Roman" w:eastAsia="Times New Roman" w:hint="default"/>
          <w:spacing w:val="-2"/>
        </w:rPr>
        <w:t>60</w:t>
      </w:r>
      <w:r>
        <w:rPr>
          <w:spacing w:val="-2"/>
        </w:rPr>
        <w:t>年的深厚</w:t>
      </w:r>
      <w:r>
        <w:rPr>
          <w:spacing w:val="-45"/>
        </w:rPr>
        <w:t> </w:t>
      </w:r>
      <w:r>
        <w:rPr>
          <w:spacing w:val="-45"/>
        </w:rPr>
      </w:r>
      <w:r>
        <w:rPr>
          <w:spacing w:val="-2"/>
        </w:rPr>
        <w:t>科研积淀和众多研发成果，使公司在计算机应用领域的应用基础理论、关键技术、工程与产品三个层次上</w:t>
      </w:r>
      <w:r>
        <w:rPr/>
      </w:r>
    </w:p>
    <w:p>
      <w:pPr>
        <w:spacing w:after="0" w:line="393" w:lineRule="auto"/>
        <w:jc w:val="both"/>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3" w:lineRule="auto" w:before="36"/>
        <w:ind w:right="0"/>
        <w:jc w:val="left"/>
      </w:pPr>
      <w:r>
        <w:rPr>
          <w:spacing w:val="-2"/>
        </w:rPr>
        <w:t>形成了独特的综合优势，在智能识别与分析（特别是高速机器视觉）领域始终处于国际先进、国内领先水</w:t>
      </w:r>
      <w:r>
        <w:rPr>
          <w:spacing w:val="-50"/>
        </w:rPr>
        <w:t> </w:t>
      </w:r>
      <w:r>
        <w:rPr>
          <w:spacing w:val="-50"/>
        </w:rPr>
      </w:r>
      <w:r>
        <w:rPr>
          <w:spacing w:val="-4"/>
        </w:rPr>
        <w:t>平。公司践行</w:t>
      </w:r>
      <w:r>
        <w:rPr>
          <w:rFonts w:ascii="Times New Roman" w:hAnsi="Times New Roman" w:cs="Times New Roman" w:eastAsia="Times New Roman" w:hint="default"/>
          <w:spacing w:val="-4"/>
        </w:rPr>
        <w:t>“</w:t>
      </w:r>
      <w:r>
        <w:rPr>
          <w:spacing w:val="-4"/>
        </w:rPr>
        <w:t>服务国家重大需求、助力行业产业升级</w:t>
      </w:r>
      <w:r>
        <w:rPr>
          <w:rFonts w:ascii="Times New Roman" w:hAnsi="Times New Roman" w:cs="Times New Roman" w:eastAsia="Times New Roman" w:hint="default"/>
          <w:spacing w:val="-4"/>
        </w:rPr>
        <w:t>”</w:t>
      </w:r>
      <w:r>
        <w:rPr>
          <w:spacing w:val="-4"/>
        </w:rPr>
        <w:t>的使命，</w:t>
      </w:r>
      <w:r>
        <w:rPr>
          <w:rFonts w:ascii="Times New Roman" w:hAnsi="Times New Roman" w:cs="Times New Roman" w:eastAsia="Times New Roman" w:hint="default"/>
          <w:spacing w:val="-4"/>
        </w:rPr>
        <w:t>30</w:t>
      </w:r>
      <w:r>
        <w:rPr>
          <w:spacing w:val="-4"/>
        </w:rPr>
        <w:t>多年坚持深耕行业，运用丰富的</w:t>
      </w:r>
      <w:r>
        <w:rPr>
          <w:rFonts w:ascii="Times New Roman" w:hAnsi="Times New Roman" w:cs="Times New Roman" w:eastAsia="Times New Roman" w:hint="default"/>
          <w:spacing w:val="-4"/>
        </w:rPr>
        <w:t>“</w:t>
      </w:r>
      <w:r>
        <w:rPr>
          <w:spacing w:val="-4"/>
        </w:rPr>
        <w:t>行业专</w:t>
      </w:r>
      <w:r>
        <w:rPr>
          <w:spacing w:val="-18"/>
        </w:rPr>
        <w:t> </w:t>
      </w:r>
      <w:r>
        <w:rPr>
          <w:spacing w:val="-18"/>
        </w:rPr>
      </w:r>
      <w:r>
        <w:rPr>
          <w:spacing w:val="-4"/>
        </w:rPr>
        <w:t>家</w:t>
      </w:r>
      <w:r>
        <w:rPr>
          <w:rFonts w:ascii="Times New Roman" w:hAnsi="Times New Roman" w:cs="Times New Roman" w:eastAsia="Times New Roman" w:hint="default"/>
          <w:spacing w:val="-4"/>
        </w:rPr>
        <w:t>+</w:t>
      </w:r>
      <w:r>
        <w:rPr>
          <w:spacing w:val="-4"/>
        </w:rPr>
        <w:t>技术专家</w:t>
      </w:r>
      <w:r>
        <w:rPr>
          <w:rFonts w:ascii="Times New Roman" w:hAnsi="Times New Roman" w:cs="Times New Roman" w:eastAsia="Times New Roman" w:hint="default"/>
          <w:spacing w:val="-4"/>
        </w:rPr>
        <w:t>”</w:t>
      </w:r>
      <w:r>
        <w:rPr>
          <w:spacing w:val="-4"/>
        </w:rPr>
        <w:t>优势，凭借</w:t>
      </w:r>
      <w:r>
        <w:rPr>
          <w:rFonts w:ascii="Times New Roman" w:hAnsi="Times New Roman" w:cs="Times New Roman" w:eastAsia="Times New Roman" w:hint="default"/>
          <w:spacing w:val="-4"/>
        </w:rPr>
        <w:t>“</w:t>
      </w:r>
      <w:r>
        <w:rPr>
          <w:spacing w:val="-4"/>
        </w:rPr>
        <w:t>技术</w:t>
      </w:r>
      <w:r>
        <w:rPr>
          <w:rFonts w:ascii="Times New Roman" w:hAnsi="Times New Roman" w:cs="Times New Roman" w:eastAsia="Times New Roman" w:hint="default"/>
          <w:spacing w:val="-4"/>
        </w:rPr>
        <w:t>+</w:t>
      </w:r>
      <w:r>
        <w:rPr>
          <w:spacing w:val="-4"/>
        </w:rPr>
        <w:t>服务</w:t>
      </w:r>
      <w:r>
        <w:rPr>
          <w:rFonts w:ascii="Times New Roman" w:hAnsi="Times New Roman" w:cs="Times New Roman" w:eastAsia="Times New Roman" w:hint="default"/>
          <w:spacing w:val="-4"/>
        </w:rPr>
        <w:t>”“</w:t>
      </w:r>
      <w:r>
        <w:rPr>
          <w:spacing w:val="-4"/>
        </w:rPr>
        <w:t>软件</w:t>
      </w:r>
      <w:r>
        <w:rPr>
          <w:rFonts w:ascii="Times New Roman" w:hAnsi="Times New Roman" w:cs="Times New Roman" w:eastAsia="Times New Roman" w:hint="default"/>
          <w:spacing w:val="-4"/>
        </w:rPr>
        <w:t>+</w:t>
      </w:r>
      <w:r>
        <w:rPr>
          <w:spacing w:val="-4"/>
        </w:rPr>
        <w:t>硬件</w:t>
      </w:r>
      <w:r>
        <w:rPr>
          <w:rFonts w:ascii="Times New Roman" w:hAnsi="Times New Roman" w:cs="Times New Roman" w:eastAsia="Times New Roman" w:hint="default"/>
          <w:spacing w:val="-4"/>
        </w:rPr>
        <w:t>”</w:t>
      </w:r>
      <w:r>
        <w:rPr>
          <w:spacing w:val="-4"/>
        </w:rPr>
        <w:t>的业务特色，成为国内领先的行业信息化整体解决方案、</w:t>
      </w:r>
      <w:r>
        <w:rPr>
          <w:spacing w:val="-20"/>
        </w:rPr>
        <w:t> </w:t>
      </w:r>
      <w:r>
        <w:rPr>
          <w:spacing w:val="-20"/>
        </w:rPr>
      </w:r>
      <w:r>
        <w:rPr>
          <w:spacing w:val="-2"/>
        </w:rPr>
        <w:t>智能化工程和相关产品与技术服务提供商。公司是党和国家重大会议的选举设备和服务提供商和国内数字</w:t>
      </w:r>
      <w:r>
        <w:rPr>
          <w:spacing w:val="-42"/>
        </w:rPr>
        <w:t> </w:t>
      </w:r>
      <w:r>
        <w:rPr>
          <w:spacing w:val="-42"/>
        </w:rPr>
      </w:r>
      <w:r>
        <w:rPr>
          <w:spacing w:val="-2"/>
        </w:rPr>
        <w:t>会议一流品牌，是我国烟草行业信息化建设的重点技术依托单位、国家印钞行业重大检测装备的研发、制</w:t>
      </w:r>
      <w:r>
        <w:rPr>
          <w:spacing w:val="-44"/>
        </w:rPr>
        <w:t> </w:t>
      </w:r>
      <w:r>
        <w:rPr>
          <w:spacing w:val="-44"/>
        </w:rPr>
      </w:r>
      <w:r>
        <w:rPr>
          <w:spacing w:val="-2"/>
        </w:rPr>
        <w:t>造提供商和国家数字油田信息化建设的重要参与者。近年来，公司充分运用人工智能核心技术优势，结合</w:t>
      </w:r>
      <w:r>
        <w:rPr>
          <w:spacing w:val="-44"/>
        </w:rPr>
        <w:t> </w:t>
      </w:r>
      <w:r>
        <w:rPr>
          <w:spacing w:val="-44"/>
        </w:rPr>
      </w:r>
      <w:r>
        <w:rPr>
          <w:spacing w:val="-2"/>
        </w:rPr>
        <w:t>云计算、大数据、物联网、移动互联、虚拟仿真等新一代信息技术，提供新型智慧城市关键技术、平台系</w:t>
      </w:r>
      <w:r>
        <w:rPr>
          <w:spacing w:val="-42"/>
        </w:rPr>
        <w:t> </w:t>
      </w:r>
      <w:r>
        <w:rPr>
          <w:spacing w:val="-42"/>
        </w:rPr>
      </w:r>
      <w:r>
        <w:rPr>
          <w:spacing w:val="-2"/>
        </w:rPr>
        <w:t>统和运维服务，积极拓展智慧政务、智慧医疗相关业务的应用落地和推广实施，先后在政务民生服务、人</w:t>
      </w:r>
      <w:r>
        <w:rPr>
          <w:spacing w:val="-47"/>
        </w:rPr>
        <w:t> </w:t>
      </w:r>
      <w:r>
        <w:rPr>
          <w:spacing w:val="-47"/>
        </w:rPr>
      </w:r>
      <w:r>
        <w:rPr>
          <w:spacing w:val="-2"/>
        </w:rPr>
        <w:t>大政协议案、政法信息共享、统计大数据分析、区域经济运行监测分析、医护人员麻醉与手术培训、临床</w:t>
      </w:r>
      <w:r>
        <w:rPr>
          <w:spacing w:val="-43"/>
        </w:rPr>
        <w:t> </w:t>
      </w:r>
      <w:r>
        <w:rPr>
          <w:spacing w:val="-43"/>
        </w:rPr>
      </w:r>
      <w:r>
        <w:rPr>
          <w:spacing w:val="-2"/>
        </w:rPr>
        <w:t>生命体征监测等领域推出了多个产品与解决方案并落地实施，取得了良好的经济和社会效益，树立了良好</w:t>
      </w:r>
      <w:r>
        <w:rPr>
          <w:spacing w:val="-42"/>
        </w:rPr>
        <w:t> </w:t>
      </w:r>
      <w:r>
        <w:rPr>
          <w:spacing w:val="-42"/>
        </w:rPr>
      </w:r>
      <w:r>
        <w:rPr/>
        <w:t>的案例示范效应。</w:t>
      </w:r>
    </w:p>
    <w:p>
      <w:pPr>
        <w:pStyle w:val="BodyText"/>
        <w:spacing w:line="484" w:lineRule="auto" w:before="170"/>
        <w:ind w:left="573" w:right="0"/>
        <w:jc w:val="left"/>
      </w:pPr>
      <w:r>
        <w:rPr>
          <w:rFonts w:ascii="Times New Roman" w:hAnsi="Times New Roman" w:cs="Times New Roman" w:eastAsia="Times New Roman" w:hint="default"/>
        </w:rPr>
        <w:t>(1)</w:t>
      </w:r>
      <w:r>
        <w:rPr/>
        <w:t>在政府信息化领域的行业地位</w:t>
      </w:r>
      <w:r>
        <w:rPr>
          <w:w w:val="100"/>
        </w:rPr>
        <w:t> </w:t>
      </w:r>
      <w:r>
        <w:rPr>
          <w:spacing w:val="-2"/>
        </w:rPr>
        <w:t>目前，公司长期从事四川省内政府各系统信息化基础设施相关业务，早在公司前身成都计算所时期，</w:t>
      </w:r>
    </w:p>
    <w:p>
      <w:pPr>
        <w:pStyle w:val="BodyText"/>
        <w:spacing w:line="254" w:lineRule="exact"/>
        <w:ind w:left="153" w:right="0"/>
        <w:jc w:val="both"/>
      </w:pPr>
      <w:r>
        <w:rPr/>
        <w:t>公司已与四川省邮电局、四川省财政厅等政府部门开展业务合作。凭借多年的业务积累、品牌积累和较强</w:t>
      </w:r>
    </w:p>
    <w:p>
      <w:pPr>
        <w:spacing w:line="240" w:lineRule="auto" w:before="10"/>
        <w:rPr>
          <w:rFonts w:ascii="宋体" w:hAnsi="宋体" w:cs="宋体" w:eastAsia="宋体" w:hint="default"/>
          <w:sz w:val="14"/>
          <w:szCs w:val="14"/>
        </w:rPr>
      </w:pPr>
    </w:p>
    <w:p>
      <w:pPr>
        <w:pStyle w:val="BodyText"/>
        <w:spacing w:line="408" w:lineRule="auto"/>
        <w:ind w:left="153" w:right="1106"/>
        <w:jc w:val="both"/>
      </w:pPr>
      <w:r>
        <w:rPr>
          <w:spacing w:val="-2"/>
        </w:rPr>
        <w:t>的技术背景，公司客户已覆盖省财政、教育、公安、统计、法院等多个领域。在四川省内政府行业信息化</w:t>
      </w:r>
      <w:r>
        <w:rPr>
          <w:spacing w:val="-42"/>
        </w:rPr>
        <w:t> </w:t>
      </w:r>
      <w:r>
        <w:rPr>
          <w:spacing w:val="-42"/>
        </w:rPr>
      </w:r>
      <w:r>
        <w:rPr>
          <w:spacing w:val="-2"/>
        </w:rPr>
        <w:t>服务供应商中，公司是为数不多的能够同时提供信息化基础平台规划、信息化基础设施建设、硬件集成、</w:t>
      </w:r>
      <w:r>
        <w:rPr>
          <w:spacing w:val="-21"/>
        </w:rPr>
        <w:t> </w:t>
      </w:r>
      <w:r>
        <w:rPr>
          <w:spacing w:val="-21"/>
        </w:rPr>
      </w:r>
      <w:r>
        <w:rPr>
          <w:spacing w:val="-2"/>
        </w:rPr>
        <w:t>软件开发及配套服务的企业，凭借成都计算应用研究所多年的行业实践经验沉淀，公司在信息化基础设施</w:t>
      </w:r>
      <w:r>
        <w:rPr>
          <w:spacing w:val="-42"/>
        </w:rPr>
        <w:t> </w:t>
      </w:r>
      <w:r>
        <w:rPr>
          <w:spacing w:val="-42"/>
        </w:rPr>
      </w:r>
      <w:r>
        <w:rPr>
          <w:spacing w:val="-2"/>
        </w:rPr>
        <w:t>建设、智能化工程及计算机系统集成、政务民生服务、政法信息共享、统计大数据分析、区域经济运行监</w:t>
      </w:r>
      <w:r>
        <w:rPr>
          <w:spacing w:val="-43"/>
        </w:rPr>
        <w:t> </w:t>
      </w:r>
      <w:r>
        <w:rPr>
          <w:spacing w:val="-43"/>
        </w:rPr>
      </w:r>
      <w:r>
        <w:rPr/>
        <w:t>测分析等领域的技术水平较为成熟，在四川省内树立了良好的口碑，形成较强的竞争优势。</w:t>
      </w:r>
    </w:p>
    <w:p>
      <w:pPr>
        <w:pStyle w:val="BodyText"/>
        <w:spacing w:line="484" w:lineRule="auto" w:before="166"/>
        <w:ind w:left="572" w:right="0"/>
        <w:jc w:val="left"/>
      </w:pPr>
      <w:r>
        <w:rPr>
          <w:rFonts w:ascii="Times New Roman" w:hAnsi="Times New Roman" w:cs="Times New Roman" w:eastAsia="Times New Roman" w:hint="default"/>
        </w:rPr>
        <w:t>(2)</w:t>
      </w:r>
      <w:r>
        <w:rPr/>
        <w:t>在数字会议领域的行业地位</w:t>
      </w:r>
      <w:r>
        <w:rPr>
          <w:w w:val="100"/>
        </w:rPr>
        <w:t> </w:t>
      </w:r>
      <w:r>
        <w:rPr>
          <w:spacing w:val="-2"/>
        </w:rPr>
        <w:t>公司前身成都计算所是我国第一代电子票箱、电子表决器和报到机的研制者，在投票选举系统上掌握</w:t>
      </w:r>
    </w:p>
    <w:p>
      <w:pPr>
        <w:pStyle w:val="BodyText"/>
        <w:spacing w:line="270" w:lineRule="exact"/>
        <w:ind w:right="0"/>
        <w:jc w:val="both"/>
        <w:rPr>
          <w:rFonts w:ascii="Times New Roman" w:hAnsi="Times New Roman" w:cs="Times New Roman" w:eastAsia="Times New Roman" w:hint="default"/>
        </w:rPr>
      </w:pPr>
      <w:r>
        <w:rPr/>
        <w:t>核心技术，拥有自主知识产权。从</w:t>
      </w:r>
      <w:r>
        <w:rPr>
          <w:rFonts w:ascii="Times New Roman" w:hAnsi="Times New Roman" w:cs="Times New Roman" w:eastAsia="Times New Roman" w:hint="default"/>
        </w:rPr>
        <w:t>1982</w:t>
      </w:r>
      <w:r>
        <w:rPr/>
        <w:t>年党的</w:t>
      </w:r>
      <w:r>
        <w:rPr>
          <w:rFonts w:ascii="Times New Roman" w:hAnsi="Times New Roman" w:cs="Times New Roman" w:eastAsia="Times New Roman" w:hint="default"/>
        </w:rPr>
        <w:t>“</w:t>
      </w:r>
      <w:r>
        <w:rPr/>
        <w:t>十二大</w:t>
      </w:r>
      <w:r>
        <w:rPr>
          <w:rFonts w:ascii="Times New Roman" w:hAnsi="Times New Roman" w:cs="Times New Roman" w:eastAsia="Times New Roman" w:hint="default"/>
        </w:rPr>
        <w:t>”</w:t>
      </w:r>
      <w:r>
        <w:rPr/>
        <w:t>将计算机技术运用于现场会议领域，至今已连续</w:t>
      </w:r>
      <w:r>
        <w:rPr>
          <w:rFonts w:ascii="Times New Roman" w:hAnsi="Times New Roman" w:cs="Times New Roman" w:eastAsia="Times New Roman" w:hint="default"/>
        </w:rPr>
        <w:t>37</w:t>
      </w:r>
    </w:p>
    <w:p>
      <w:pPr>
        <w:pStyle w:val="BodyText"/>
        <w:spacing w:line="400" w:lineRule="auto" w:before="177"/>
        <w:ind w:right="1106"/>
        <w:jc w:val="both"/>
      </w:pPr>
      <w:r>
        <w:rPr>
          <w:spacing w:val="-2"/>
        </w:rPr>
        <w:t>年为国内规格最高会议</w:t>
      </w:r>
      <w:r>
        <w:rPr>
          <w:rFonts w:ascii="Times New Roman" w:hAnsi="Times New Roman" w:cs="Times New Roman" w:eastAsia="Times New Roman" w:hint="default"/>
          <w:spacing w:val="-2"/>
        </w:rPr>
        <w:t>——</w:t>
      </w:r>
      <w:r>
        <w:rPr>
          <w:spacing w:val="-2"/>
        </w:rPr>
        <w:t>党的全国代表大会和全国</w:t>
      </w:r>
      <w:r>
        <w:rPr>
          <w:rFonts w:ascii="Times New Roman" w:hAnsi="Times New Roman" w:cs="Times New Roman" w:eastAsia="Times New Roman" w:hint="default"/>
          <w:spacing w:val="-2"/>
        </w:rPr>
        <w:t>“</w:t>
      </w:r>
      <w:r>
        <w:rPr>
          <w:spacing w:val="-2"/>
        </w:rPr>
        <w:t>两会</w:t>
      </w:r>
      <w:r>
        <w:rPr>
          <w:rFonts w:ascii="Times New Roman" w:hAnsi="Times New Roman" w:cs="Times New Roman" w:eastAsia="Times New Roman" w:hint="default"/>
          <w:spacing w:val="-2"/>
        </w:rPr>
        <w:t>”</w:t>
      </w:r>
      <w:r>
        <w:rPr>
          <w:spacing w:val="-2"/>
        </w:rPr>
        <w:t>提供服务。经过</w:t>
      </w:r>
      <w:r>
        <w:rPr>
          <w:rFonts w:ascii="Times New Roman" w:hAnsi="Times New Roman" w:cs="Times New Roman" w:eastAsia="Times New Roman" w:hint="default"/>
          <w:spacing w:val="-2"/>
        </w:rPr>
        <w:t>30</w:t>
      </w:r>
      <w:r>
        <w:rPr>
          <w:spacing w:val="-2"/>
        </w:rPr>
        <w:t>多年的持续研发和行业实践</w:t>
      </w:r>
      <w:r>
        <w:rPr>
          <w:spacing w:val="-25"/>
        </w:rPr>
        <w:t> </w:t>
      </w:r>
      <w:r>
        <w:rPr>
          <w:spacing w:val="-25"/>
        </w:rPr>
      </w:r>
      <w:r>
        <w:rPr>
          <w:spacing w:val="-2"/>
        </w:rPr>
        <w:t>应用，公司已实现了从报到、选举、表决、会议管理等领域的全链条业务覆盖，能够根据不同用户的业务</w:t>
      </w:r>
      <w:r>
        <w:rPr>
          <w:spacing w:val="-43"/>
        </w:rPr>
        <w:t> </w:t>
      </w:r>
      <w:r>
        <w:rPr>
          <w:spacing w:val="-43"/>
        </w:rPr>
      </w:r>
      <w:r>
        <w:rPr>
          <w:spacing w:val="-2"/>
        </w:rPr>
        <w:t>需求提供数字会议系统从产品研发、生产、销售、集成、实施到维护的一体化解决方案。系统以其快速、</w:t>
      </w:r>
      <w:r>
        <w:rPr>
          <w:spacing w:val="-21"/>
        </w:rPr>
        <w:t> </w:t>
      </w:r>
      <w:r>
        <w:rPr>
          <w:spacing w:val="-21"/>
        </w:rPr>
      </w:r>
      <w:r>
        <w:rPr>
          <w:spacing w:val="-2"/>
        </w:rPr>
        <w:t>准确、稳定的优良性能在数字会议系统领域享有较高的知名度，成为国内数字会议一流品牌。公司是党和</w:t>
      </w:r>
      <w:r>
        <w:rPr>
          <w:spacing w:val="-44"/>
        </w:rPr>
        <w:t> </w:t>
      </w:r>
      <w:r>
        <w:rPr>
          <w:spacing w:val="-44"/>
        </w:rPr>
      </w:r>
      <w:r>
        <w:rPr>
          <w:spacing w:val="-2"/>
        </w:rPr>
        <w:t>国家重大会议的选举设备和服务提供商，在党政机关群体积累了丰富的中高端客户资源，同时具有很强的</w:t>
      </w:r>
      <w:r>
        <w:rPr>
          <w:spacing w:val="-42"/>
        </w:rPr>
        <w:t> </w:t>
      </w:r>
      <w:r>
        <w:rPr>
          <w:spacing w:val="-42"/>
        </w:rPr>
      </w:r>
      <w:r>
        <w:rPr>
          <w:spacing w:val="-2"/>
        </w:rPr>
        <w:t>客户粘合度，在电子选举市场领域具有绝对领先优势地位。公司智能票箱于</w:t>
      </w:r>
      <w:r>
        <w:rPr>
          <w:rFonts w:ascii="Times New Roman" w:hAnsi="Times New Roman" w:cs="Times New Roman" w:eastAsia="Times New Roman" w:hint="default"/>
          <w:spacing w:val="-2"/>
        </w:rPr>
        <w:t>2009</w:t>
      </w:r>
      <w:r>
        <w:rPr>
          <w:spacing w:val="-2"/>
        </w:rPr>
        <w:t>年被列入我国建国六十周</w:t>
      </w:r>
      <w:r>
        <w:rPr>
          <w:spacing w:val="-44"/>
        </w:rPr>
        <w:t> </w:t>
      </w:r>
      <w:r>
        <w:rPr>
          <w:spacing w:val="-44"/>
        </w:rPr>
      </w:r>
      <w:r>
        <w:rPr>
          <w:spacing w:val="-2"/>
        </w:rPr>
        <w:t>年成就之一展出，于</w:t>
      </w:r>
      <w:r>
        <w:rPr>
          <w:rFonts w:ascii="Times New Roman" w:hAnsi="Times New Roman" w:cs="Times New Roman" w:eastAsia="Times New Roman" w:hint="default"/>
          <w:spacing w:val="-2"/>
        </w:rPr>
        <w:t>2018</w:t>
      </w:r>
      <w:r>
        <w:rPr>
          <w:spacing w:val="-2"/>
        </w:rPr>
        <w:t>年作为自主创新成果之一入选我国</w:t>
      </w:r>
      <w:r>
        <w:rPr>
          <w:rFonts w:ascii="Times New Roman" w:hAnsi="Times New Roman" w:cs="Times New Roman" w:eastAsia="Times New Roman" w:hint="default"/>
          <w:spacing w:val="-2"/>
        </w:rPr>
        <w:t>“</w:t>
      </w:r>
      <w:r>
        <w:rPr>
          <w:spacing w:val="-2"/>
        </w:rPr>
        <w:t>庆祝改革开放</w:t>
      </w:r>
      <w:r>
        <w:rPr>
          <w:rFonts w:ascii="Times New Roman" w:hAnsi="Times New Roman" w:cs="Times New Roman" w:eastAsia="Times New Roman" w:hint="default"/>
          <w:spacing w:val="-2"/>
        </w:rPr>
        <w:t>40</w:t>
      </w:r>
      <w:r>
        <w:rPr>
          <w:spacing w:val="-2"/>
        </w:rPr>
        <w:t>周年</w:t>
      </w:r>
      <w:r>
        <w:rPr>
          <w:rFonts w:ascii="Times New Roman" w:hAnsi="Times New Roman" w:cs="Times New Roman" w:eastAsia="Times New Roman" w:hint="default"/>
          <w:spacing w:val="-2"/>
        </w:rPr>
        <w:t>”</w:t>
      </w:r>
      <w:r>
        <w:rPr>
          <w:spacing w:val="-2"/>
        </w:rPr>
        <w:t>大型展览，成为高速机</w:t>
      </w:r>
    </w:p>
    <w:p>
      <w:pPr>
        <w:spacing w:after="0" w:line="400" w:lineRule="auto"/>
        <w:jc w:val="both"/>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right="0"/>
        <w:jc w:val="both"/>
      </w:pPr>
      <w:r>
        <w:rPr/>
        <w:t>器视觉与智能分析技术在选举领域应用的经典案例。</w:t>
      </w:r>
    </w:p>
    <w:p>
      <w:pPr>
        <w:pStyle w:val="BodyText"/>
        <w:spacing w:line="580" w:lineRule="atLeast" w:before="24"/>
        <w:ind w:left="572" w:right="0"/>
        <w:jc w:val="left"/>
      </w:pPr>
      <w:r>
        <w:rPr>
          <w:rFonts w:ascii="Times New Roman" w:hAnsi="Times New Roman" w:cs="Times New Roman" w:eastAsia="Times New Roman" w:hint="default"/>
        </w:rPr>
        <w:t>(3)</w:t>
      </w:r>
      <w:r>
        <w:rPr/>
        <w:t>在烟草信息化领域的行业地位</w:t>
      </w:r>
      <w:r>
        <w:rPr>
          <w:w w:val="100"/>
        </w:rPr>
        <w:t> </w:t>
      </w:r>
      <w:r>
        <w:rPr>
          <w:spacing w:val="-2"/>
        </w:rPr>
        <w:t>公司前身成都计算所自上世纪</w:t>
      </w:r>
      <w:r>
        <w:rPr>
          <w:rFonts w:ascii="Times New Roman" w:hAnsi="Times New Roman" w:cs="Times New Roman" w:eastAsia="Times New Roman" w:hint="default"/>
          <w:spacing w:val="-2"/>
        </w:rPr>
        <w:t>80</w:t>
      </w:r>
      <w:r>
        <w:rPr>
          <w:spacing w:val="-2"/>
        </w:rPr>
        <w:t>年代起就开始从事烟草行业信息化建设服务，拥有一支技术水平处于</w:t>
      </w:r>
      <w:r>
        <w:rPr/>
      </w:r>
    </w:p>
    <w:p>
      <w:pPr>
        <w:pStyle w:val="BodyText"/>
        <w:spacing w:line="396" w:lineRule="auto" w:before="177"/>
        <w:ind w:right="1106"/>
        <w:jc w:val="both"/>
        <w:rPr>
          <w:rFonts w:ascii="宋体" w:hAnsi="宋体" w:cs="宋体" w:eastAsia="宋体" w:hint="default"/>
        </w:rPr>
      </w:pPr>
      <w:r>
        <w:rPr>
          <w:spacing w:val="-2"/>
        </w:rPr>
        <w:t>国内领先地位的专业化队伍，拥有较为深厚的行业积累和技术沉淀。经过</w:t>
      </w:r>
      <w:r>
        <w:rPr>
          <w:rFonts w:ascii="Times New Roman" w:hAnsi="Times New Roman" w:cs="Times New Roman" w:eastAsia="Times New Roman" w:hint="default"/>
          <w:spacing w:val="-2"/>
        </w:rPr>
        <w:t>30</w:t>
      </w:r>
      <w:r>
        <w:rPr>
          <w:spacing w:val="-2"/>
        </w:rPr>
        <w:t>余年的精耕细作，公司先后承</w:t>
      </w:r>
      <w:r>
        <w:rPr>
          <w:spacing w:val="-45"/>
        </w:rPr>
        <w:t> </w:t>
      </w:r>
      <w:r>
        <w:rPr>
          <w:spacing w:val="-45"/>
        </w:rPr>
      </w:r>
      <w:r>
        <w:rPr>
          <w:spacing w:val="-2"/>
        </w:rPr>
        <w:t>担了包括河南中烟在内的</w:t>
      </w:r>
      <w:r>
        <w:rPr>
          <w:rFonts w:ascii="Times New Roman" w:hAnsi="Times New Roman" w:cs="Times New Roman" w:eastAsia="Times New Roman" w:hint="default"/>
          <w:spacing w:val="-2"/>
        </w:rPr>
        <w:t>10</w:t>
      </w:r>
      <w:r>
        <w:rPr>
          <w:spacing w:val="-2"/>
        </w:rPr>
        <w:t>多家省级中烟工业公司和烟草商业公司的信息化建设总体规划，完成了河南中</w:t>
      </w:r>
      <w:r>
        <w:rPr>
          <w:spacing w:val="-49"/>
        </w:rPr>
        <w:t> </w:t>
      </w:r>
      <w:r>
        <w:rPr>
          <w:spacing w:val="-49"/>
        </w:rPr>
      </w:r>
      <w:r>
        <w:rPr>
          <w:spacing w:val="-2"/>
        </w:rPr>
        <w:t>烟、四川省烟草公司、川渝中烟等省级公司以及郑州、许昌、杭州、南京、青岛、哈尔滨、贵阳、玉溪、</w:t>
      </w:r>
      <w:r>
        <w:rPr>
          <w:spacing w:val="-21"/>
        </w:rPr>
        <w:t> </w:t>
      </w:r>
      <w:r>
        <w:rPr>
          <w:spacing w:val="-21"/>
        </w:rPr>
      </w:r>
      <w:r>
        <w:rPr>
          <w:spacing w:val="-2"/>
        </w:rPr>
        <w:t>成都等近</w:t>
      </w:r>
      <w:r>
        <w:rPr>
          <w:rFonts w:ascii="Times New Roman" w:hAnsi="Times New Roman" w:cs="Times New Roman" w:eastAsia="Times New Roman" w:hint="default"/>
          <w:spacing w:val="-2"/>
        </w:rPr>
        <w:t>20</w:t>
      </w:r>
      <w:r>
        <w:rPr>
          <w:spacing w:val="-2"/>
        </w:rPr>
        <w:t>家工业企业的各类信息化建设工程，业务已经覆盖了烟草信息化的农、工、商全行业，技术全</w:t>
      </w:r>
      <w:r>
        <w:rPr>
          <w:spacing w:val="-42"/>
        </w:rPr>
        <w:t> </w:t>
      </w:r>
      <w:r>
        <w:rPr>
          <w:spacing w:val="-42"/>
        </w:rPr>
      </w:r>
      <w:r>
        <w:rPr>
          <w:spacing w:val="-2"/>
        </w:rPr>
        <w:t>面，且自主开发了独具特色的应用系统或产品，有着较为丰富的客户资源和实践经验。公司面向工业智能</w:t>
      </w:r>
      <w:r>
        <w:rPr>
          <w:spacing w:val="-44"/>
        </w:rPr>
        <w:t> </w:t>
      </w:r>
      <w:r>
        <w:rPr>
          <w:spacing w:val="-44"/>
        </w:rPr>
      </w:r>
      <w:r>
        <w:rPr>
          <w:spacing w:val="-2"/>
        </w:rPr>
        <w:t>制造推出的创新产品</w:t>
      </w:r>
      <w:r>
        <w:rPr>
          <w:rFonts w:ascii="Times New Roman" w:hAnsi="Times New Roman" w:cs="Times New Roman" w:eastAsia="Times New Roman" w:hint="default"/>
          <w:spacing w:val="-2"/>
        </w:rPr>
        <w:t>——</w:t>
      </w:r>
      <w:r>
        <w:rPr>
          <w:spacing w:val="-2"/>
        </w:rPr>
        <w:t>卷烟厂智慧设备管理系统在杭州等地使用获好评，成为烟草行业</w:t>
      </w:r>
      <w:r>
        <w:rPr>
          <w:rFonts w:ascii="Times New Roman" w:hAnsi="Times New Roman" w:cs="Times New Roman" w:eastAsia="Times New Roman" w:hint="default"/>
          <w:spacing w:val="-2"/>
        </w:rPr>
        <w:t>“</w:t>
      </w:r>
      <w:r>
        <w:rPr>
          <w:spacing w:val="-2"/>
        </w:rPr>
        <w:t>智慧工厂</w:t>
      </w:r>
      <w:r>
        <w:rPr>
          <w:rFonts w:ascii="Times New Roman" w:hAnsi="Times New Roman" w:cs="Times New Roman" w:eastAsia="Times New Roman" w:hint="default"/>
          <w:spacing w:val="-2"/>
        </w:rPr>
        <w:t>”</w:t>
      </w:r>
      <w:r>
        <w:rPr>
          <w:spacing w:val="-2"/>
        </w:rPr>
        <w:t>的示</w:t>
      </w:r>
      <w:r>
        <w:rPr>
          <w:spacing w:val="-18"/>
        </w:rPr>
        <w:t> </w:t>
      </w:r>
      <w:r>
        <w:rPr>
          <w:spacing w:val="-2"/>
        </w:rPr>
        <w:t>范案例。公司现已成为国内少数几家能为烟草行业提供包括农业、工业和商业全产业链整体解决方案的供</w:t>
      </w:r>
      <w:r>
        <w:rPr>
          <w:spacing w:val="-42"/>
        </w:rPr>
        <w:t> </w:t>
      </w:r>
      <w:r>
        <w:rPr>
          <w:spacing w:val="-42"/>
        </w:rPr>
      </w:r>
      <w:r>
        <w:rPr/>
        <w:t>应商。</w:t>
      </w:r>
      <w:r>
        <w:rPr>
          <w:rFonts w:ascii="宋体" w:hAnsi="宋体" w:cs="宋体" w:eastAsia="宋体" w:hint="default"/>
        </w:rPr>
        <w:t> </w:t>
      </w:r>
    </w:p>
    <w:p>
      <w:pPr>
        <w:pStyle w:val="BodyText"/>
        <w:spacing w:line="240" w:lineRule="auto" w:before="176"/>
        <w:ind w:left="573" w:right="0"/>
        <w:jc w:val="left"/>
        <w:rPr>
          <w:rFonts w:ascii="宋体" w:hAnsi="宋体" w:cs="宋体" w:eastAsia="宋体" w:hint="default"/>
        </w:rPr>
      </w:pPr>
      <w:r>
        <w:rPr>
          <w:rFonts w:ascii="宋体" w:hAnsi="宋体" w:cs="宋体" w:eastAsia="宋体" w:hint="default"/>
        </w:rPr>
        <w:t>(4)</w:t>
      </w:r>
      <w:r>
        <w:rPr/>
        <w:t>在油气信息化领域的行业地位</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BodyText"/>
        <w:spacing w:line="400" w:lineRule="auto"/>
        <w:ind w:left="153" w:right="1024" w:firstLine="419"/>
        <w:jc w:val="left"/>
      </w:pPr>
      <w:r>
        <w:rPr>
          <w:spacing w:val="-2"/>
        </w:rPr>
        <w:t>公司于</w:t>
      </w:r>
      <w:r>
        <w:rPr>
          <w:rFonts w:ascii="宋体" w:hAnsi="宋体" w:cs="宋体" w:eastAsia="宋体" w:hint="default"/>
          <w:spacing w:val="-2"/>
        </w:rPr>
        <w:t>2007</w:t>
      </w:r>
      <w:r>
        <w:rPr>
          <w:spacing w:val="-2"/>
        </w:rPr>
        <w:t>年开始进入石油行业。基于多年的基础理论研究，公司在高速机器视觉、智能分析、</w:t>
      </w:r>
      <w:r>
        <w:rPr>
          <w:rFonts w:ascii="宋体" w:hAnsi="宋体" w:cs="宋体" w:eastAsia="宋体" w:hint="default"/>
          <w:spacing w:val="-2"/>
        </w:rPr>
        <w:t>GIS</w:t>
      </w:r>
      <w:r>
        <w:rPr>
          <w:spacing w:val="-2"/>
        </w:rPr>
        <w:t>、</w:t>
      </w:r>
      <w:r>
        <w:rPr>
          <w:w w:val="100"/>
        </w:rPr>
        <w:t> </w:t>
      </w:r>
      <w:r>
        <w:rPr>
          <w:spacing w:val="-4"/>
        </w:rPr>
        <w:t>物联网等领域形成了独特的技术优势，结合石油行业的实践应用，开发出了油气田场站</w:t>
      </w:r>
      <w:r>
        <w:rPr>
          <w:rFonts w:ascii="Times New Roman" w:hAnsi="Times New Roman" w:cs="Times New Roman" w:eastAsia="Times New Roman" w:hint="default"/>
          <w:spacing w:val="-4"/>
        </w:rPr>
        <w:t>SCADA</w:t>
      </w:r>
      <w:r>
        <w:rPr>
          <w:spacing w:val="-4"/>
        </w:rPr>
        <w:t>系统、多业</w:t>
      </w:r>
      <w:r>
        <w:rPr>
          <w:spacing w:val="-29"/>
        </w:rPr>
        <w:t> </w:t>
      </w:r>
      <w:r>
        <w:rPr>
          <w:spacing w:val="-29"/>
        </w:rPr>
      </w:r>
      <w:r>
        <w:rPr>
          <w:spacing w:val="-4"/>
        </w:rPr>
        <w:t>务光传输系统、智能防御</w:t>
      </w:r>
      <w:r>
        <w:rPr>
          <w:rFonts w:ascii="Times New Roman" w:hAnsi="Times New Roman" w:cs="Times New Roman" w:eastAsia="Times New Roman" w:hint="default"/>
          <w:spacing w:val="-4"/>
        </w:rPr>
        <w:t>-</w:t>
      </w:r>
      <w:r>
        <w:rPr>
          <w:spacing w:val="-4"/>
        </w:rPr>
        <w:t>工业电视监控系统、统一安防平台等多种信息化系统，技术水平和创新能力在国</w:t>
      </w:r>
      <w:r>
        <w:rPr>
          <w:spacing w:val="-17"/>
        </w:rPr>
        <w:t> </w:t>
      </w:r>
      <w:r>
        <w:rPr>
          <w:spacing w:val="-17"/>
        </w:rPr>
      </w:r>
      <w:r>
        <w:rPr>
          <w:spacing w:val="-2"/>
        </w:rPr>
        <w:t>内处于领先水平。作为中石油、中石化等国内主要石油公司信息系统建设的合作伙伴，公司已开展了包括</w:t>
      </w:r>
      <w:r>
        <w:rPr>
          <w:spacing w:val="-48"/>
        </w:rPr>
        <w:t> </w:t>
      </w:r>
      <w:r>
        <w:rPr>
          <w:spacing w:val="-48"/>
        </w:rPr>
      </w:r>
      <w:r>
        <w:rPr/>
        <w:t>中石油昆仑燃气、塔里木油田、胜利油田、吐哈油田、中原油田、川东气田等在内的上百个信息化项目。</w:t>
      </w:r>
      <w:r>
        <w:rPr>
          <w:w w:val="100"/>
        </w:rPr>
        <w:t> </w:t>
      </w:r>
      <w:r>
        <w:rPr>
          <w:spacing w:val="-2"/>
        </w:rPr>
        <w:t>基于自身的技术优势和多年行业经验积累，公司已经掌握了油气领域信息化涉及的主要核心技术，能够为</w:t>
      </w:r>
      <w:r>
        <w:rPr>
          <w:spacing w:val="-42"/>
        </w:rPr>
        <w:t> </w:t>
      </w:r>
      <w:r>
        <w:rPr>
          <w:spacing w:val="-42"/>
        </w:rPr>
      </w:r>
      <w:r>
        <w:rPr>
          <w:spacing w:val="-2"/>
        </w:rPr>
        <w:t>行业上中下游提供紧贴业务需求的信息化整体解决方案。目前，石油行业信息化建设加快向数字化、智能</w:t>
      </w:r>
      <w:r>
        <w:rPr>
          <w:spacing w:val="-43"/>
        </w:rPr>
        <w:t> </w:t>
      </w:r>
      <w:r>
        <w:rPr>
          <w:spacing w:val="-43"/>
        </w:rPr>
      </w:r>
      <w:r>
        <w:rPr/>
        <w:t>化发展，公司诸多特色技术，包括高速机器视觉、</w:t>
      </w:r>
      <w:r>
        <w:rPr>
          <w:rFonts w:ascii="Times New Roman" w:hAnsi="Times New Roman" w:cs="Times New Roman" w:eastAsia="Times New Roman" w:hint="default"/>
        </w:rPr>
        <w:t>GIS</w:t>
      </w:r>
      <w:r>
        <w:rPr/>
        <w:t>、物联网、智能分析技术等在石油行业项目中均有</w:t>
      </w:r>
      <w:r>
        <w:rPr>
          <w:spacing w:val="-45"/>
        </w:rPr>
        <w:t> </w:t>
      </w:r>
      <w:r>
        <w:rPr>
          <w:spacing w:val="-45"/>
        </w:rPr>
      </w:r>
      <w:r>
        <w:rPr>
          <w:spacing w:val="-2"/>
        </w:rPr>
        <w:t>广泛、成熟应用，技术水平和创新能力在国内处于领先水平，建立了较为牢固的客户群体，有较强的竞争</w:t>
      </w:r>
      <w:r>
        <w:rPr>
          <w:spacing w:val="-48"/>
        </w:rPr>
        <w:t> </w:t>
      </w:r>
      <w:r>
        <w:rPr>
          <w:spacing w:val="-48"/>
        </w:rPr>
      </w:r>
      <w:r>
        <w:rPr/>
        <w:t>优势。</w:t>
      </w:r>
    </w:p>
    <w:p>
      <w:pPr>
        <w:pStyle w:val="BodyText"/>
        <w:spacing w:line="240" w:lineRule="auto" w:before="172"/>
        <w:ind w:left="573" w:right="0"/>
        <w:jc w:val="left"/>
      </w:pPr>
      <w:r>
        <w:rPr>
          <w:rFonts w:ascii="Times New Roman" w:hAnsi="Times New Roman" w:cs="Times New Roman" w:eastAsia="Times New Roman" w:hint="default"/>
        </w:rPr>
        <w:t>(5)</w:t>
      </w:r>
      <w:r>
        <w:rPr/>
        <w:t>在印钞检测信息化领域的行业地位</w:t>
      </w:r>
    </w:p>
    <w:p>
      <w:pPr>
        <w:spacing w:line="240" w:lineRule="auto" w:before="9"/>
        <w:rPr>
          <w:rFonts w:ascii="宋体" w:hAnsi="宋体" w:cs="宋体" w:eastAsia="宋体" w:hint="default"/>
          <w:sz w:val="22"/>
          <w:szCs w:val="22"/>
        </w:rPr>
      </w:pPr>
    </w:p>
    <w:p>
      <w:pPr>
        <w:pStyle w:val="BodyText"/>
        <w:spacing w:line="398" w:lineRule="auto"/>
        <w:ind w:left="153" w:right="1127" w:firstLine="419"/>
        <w:jc w:val="both"/>
      </w:pPr>
      <w:r>
        <w:rPr>
          <w:spacing w:val="-2"/>
        </w:rPr>
        <w:t>公司自</w:t>
      </w:r>
      <w:r>
        <w:rPr>
          <w:rFonts w:ascii="Times New Roman" w:hAnsi="Times New Roman" w:cs="Times New Roman" w:eastAsia="Times New Roman" w:hint="default"/>
          <w:spacing w:val="-2"/>
        </w:rPr>
        <w:t>1997</w:t>
      </w:r>
      <w:r>
        <w:rPr>
          <w:spacing w:val="-2"/>
        </w:rPr>
        <w:t>年率先将高速机器视觉技术应用于印钞检测行业，</w:t>
      </w:r>
      <w:r>
        <w:rPr>
          <w:rFonts w:ascii="Times New Roman" w:hAnsi="Times New Roman" w:cs="Times New Roman" w:eastAsia="Times New Roman" w:hint="default"/>
          <w:spacing w:val="-2"/>
        </w:rPr>
        <w:t>20</w:t>
      </w:r>
      <w:r>
        <w:rPr>
          <w:spacing w:val="-2"/>
        </w:rPr>
        <w:t>多年来根据印钞行业需要相继开发了</w:t>
      </w:r>
      <w:r>
        <w:rPr>
          <w:w w:val="100"/>
        </w:rPr>
        <w:t> </w:t>
      </w:r>
      <w:r>
        <w:rPr>
          <w:spacing w:val="-2"/>
        </w:rPr>
        <w:t>涵盖从造纸、胶印、凹印、印码到检封整个工艺流程的系列产品，成为国内少数能从制版、防伪线、钞票</w:t>
      </w:r>
      <w:r>
        <w:rPr>
          <w:spacing w:val="-42"/>
        </w:rPr>
        <w:t> </w:t>
      </w:r>
      <w:r>
        <w:rPr>
          <w:spacing w:val="-42"/>
        </w:rPr>
      </w:r>
      <w:r>
        <w:rPr>
          <w:spacing w:val="2"/>
        </w:rPr>
        <w:t>纸和印钞工序提供全套机器视觉检测解决方案的提供商，是中国印钞造币总公司重要的信息技术依托单</w:t>
      </w:r>
      <w:r>
        <w:rPr>
          <w:spacing w:val="-28"/>
        </w:rPr>
        <w:t> </w:t>
      </w:r>
      <w:r>
        <w:rPr>
          <w:spacing w:val="-28"/>
        </w:rPr>
      </w:r>
      <w:r>
        <w:rPr>
          <w:spacing w:val="-2"/>
        </w:rPr>
        <w:t>位。自</w:t>
      </w:r>
      <w:r>
        <w:rPr>
          <w:rFonts w:ascii="Times New Roman" w:hAnsi="Times New Roman" w:cs="Times New Roman" w:eastAsia="Times New Roman" w:hint="default"/>
          <w:spacing w:val="-2"/>
        </w:rPr>
        <w:t>2008</w:t>
      </w:r>
      <w:r>
        <w:rPr>
          <w:spacing w:val="-2"/>
        </w:rPr>
        <w:t>年起，公司主要通过联营企业中钞科信实施印钞行业信息化业务，目前该公司已经占有国内印</w:t>
      </w:r>
      <w:r>
        <w:rPr>
          <w:spacing w:val="-39"/>
        </w:rPr>
        <w:t> </w:t>
      </w:r>
      <w:r>
        <w:rPr>
          <w:spacing w:val="-39"/>
        </w:rPr>
      </w:r>
      <w:r>
        <w:rPr>
          <w:spacing w:val="-2"/>
        </w:rPr>
        <w:t>钞检测产品及技术服务业务的绝大部分市场份额，在确保钞票印制产品质量和保障国家金融安全领域具有</w:t>
      </w:r>
    </w:p>
    <w:p>
      <w:pPr>
        <w:spacing w:after="0" w:line="398" w:lineRule="auto"/>
        <w:jc w:val="both"/>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spacing w:line="626" w:lineRule="auto" w:before="36"/>
        <w:ind w:left="152" w:right="7863" w:firstLine="0"/>
        <w:jc w:val="left"/>
        <w:rPr>
          <w:rFonts w:ascii="宋体" w:hAnsi="宋体" w:cs="宋体" w:eastAsia="宋体" w:hint="default"/>
          <w:sz w:val="21"/>
          <w:szCs w:val="21"/>
        </w:rPr>
      </w:pPr>
      <w:r>
        <w:rPr>
          <w:rFonts w:ascii="宋体" w:hAnsi="宋体" w:cs="宋体" w:eastAsia="宋体" w:hint="default"/>
          <w:sz w:val="21"/>
          <w:szCs w:val="21"/>
        </w:rPr>
        <w:t>不可替代的作用。</w:t>
      </w:r>
      <w:r>
        <w:rPr>
          <w:rFonts w:ascii="宋体" w:hAnsi="宋体" w:cs="宋体" w:eastAsia="宋体" w:hint="default"/>
          <w:w w:val="100"/>
          <w:sz w:val="21"/>
          <w:szCs w:val="21"/>
        </w:rPr>
        <w:t> </w:t>
      </w:r>
      <w:bookmarkStart w:name="二、主要资产重大变化情况" w:id="18"/>
      <w:bookmarkEnd w:id="18"/>
      <w:r>
        <w:rPr>
          <w:rFonts w:ascii="宋体" w:hAnsi="宋体" w:cs="宋体" w:eastAsia="宋体" w:hint="default"/>
          <w:w w:val="100"/>
          <w:sz w:val="21"/>
          <w:szCs w:val="21"/>
        </w:rPr>
      </w:r>
      <w:r>
        <w:rPr>
          <w:rFonts w:ascii="宋体" w:hAnsi="宋体" w:cs="宋体" w:eastAsia="宋体" w:hint="default"/>
          <w:b/>
          <w:bCs/>
          <w:sz w:val="24"/>
          <w:szCs w:val="24"/>
        </w:rPr>
        <w:t>二、主要资产重大变化情况</w:t>
      </w:r>
      <w:r>
        <w:rPr>
          <w:rFonts w:ascii="宋体" w:hAnsi="宋体" w:cs="宋体" w:eastAsia="宋体" w:hint="default"/>
          <w:b/>
          <w:bCs/>
          <w:w w:val="99"/>
          <w:sz w:val="24"/>
          <w:szCs w:val="24"/>
        </w:rPr>
        <w:t> </w:t>
      </w:r>
      <w:bookmarkStart w:name="1、主要资产重大变化情况" w:id="19"/>
      <w:bookmarkEnd w:id="1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12"/>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3049"/>
        <w:gridCol w:w="6518"/>
      </w:tblGrid>
      <w:tr>
        <w:trPr>
          <w:trHeight w:val="264" w:hRule="exact"/>
        </w:trPr>
        <w:tc>
          <w:tcPr>
            <w:tcW w:w="3049" w:type="dxa"/>
            <w:tcBorders>
              <w:top w:val="single" w:sz="4" w:space="0" w:color="000000"/>
              <w:left w:val="single" w:sz="4" w:space="0" w:color="000000"/>
              <w:bottom w:val="nil" w:sz="6" w:space="0" w:color="auto"/>
              <w:right w:val="single" w:sz="4" w:space="0" w:color="000000"/>
            </w:tcBorders>
            <w:shd w:val="clear" w:color="auto" w:fill="D4D4D4"/>
          </w:tcPr>
          <w:p>
            <w:pPr/>
          </w:p>
        </w:tc>
        <w:tc>
          <w:tcPr>
            <w:tcW w:w="651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547" w:hRule="exact"/>
        </w:trPr>
        <w:tc>
          <w:tcPr>
            <w:tcW w:w="304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264" w:hRule="exact"/>
        </w:trPr>
        <w:tc>
          <w:tcPr>
            <w:tcW w:w="3049" w:type="dxa"/>
            <w:tcBorders>
              <w:top w:val="nil" w:sz="6" w:space="0" w:color="auto"/>
              <w:left w:val="single" w:sz="4" w:space="0" w:color="000000"/>
              <w:bottom w:val="single" w:sz="4" w:space="0" w:color="000000"/>
              <w:right w:val="single" w:sz="4" w:space="0" w:color="000000"/>
            </w:tcBorders>
            <w:shd w:val="clear" w:color="auto" w:fill="D4D4D4"/>
          </w:tcPr>
          <w:p>
            <w:pPr/>
          </w:p>
        </w:tc>
        <w:tc>
          <w:tcPr>
            <w:tcW w:w="651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559" w:hRule="exact"/>
        </w:trPr>
        <w:tc>
          <w:tcPr>
            <w:tcW w:w="30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30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9" w:hRule="exact"/>
        </w:trPr>
        <w:tc>
          <w:tcPr>
            <w:tcW w:w="30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系公司购买开发平台等软件增加所致。</w:t>
            </w:r>
          </w:p>
        </w:tc>
      </w:tr>
      <w:tr>
        <w:trPr>
          <w:trHeight w:val="557" w:hRule="exact"/>
        </w:trPr>
        <w:tc>
          <w:tcPr>
            <w:tcW w:w="30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b/>
          <w:bCs/>
          <w:sz w:val="25"/>
          <w:szCs w:val="25"/>
        </w:rPr>
      </w:pPr>
    </w:p>
    <w:p>
      <w:pPr>
        <w:pStyle w:val="Heading3"/>
        <w:spacing w:line="240" w:lineRule="auto" w:before="36"/>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3"/>
        <w:ind w:left="572" w:right="0"/>
        <w:jc w:val="left"/>
      </w:pPr>
      <w:r>
        <w:rPr/>
        <w:t>公司的核心竞争力主要体现在以下几个方面：</w:t>
      </w:r>
    </w:p>
    <w:p>
      <w:pPr>
        <w:spacing w:line="240" w:lineRule="auto" w:before="10"/>
        <w:rPr>
          <w:rFonts w:ascii="宋体" w:hAnsi="宋体" w:cs="宋体" w:eastAsia="宋体" w:hint="default"/>
          <w:sz w:val="14"/>
          <w:szCs w:val="14"/>
        </w:rPr>
      </w:pPr>
    </w:p>
    <w:p>
      <w:pPr>
        <w:pStyle w:val="Heading3"/>
        <w:spacing w:line="240" w:lineRule="auto"/>
        <w:ind w:left="575" w:right="0"/>
        <w:jc w:val="left"/>
        <w:rPr>
          <w:b w:val="0"/>
          <w:bCs w:val="0"/>
        </w:rPr>
      </w:pPr>
      <w:r>
        <w:rPr/>
        <w:t>（一）</w:t>
      </w:r>
      <w:r>
        <w:rPr>
          <w:rFonts w:ascii="Times New Roman" w:hAnsi="Times New Roman" w:cs="Times New Roman" w:eastAsia="Times New Roman" w:hint="default"/>
        </w:rPr>
        <w:t>“</w:t>
      </w:r>
      <w:r>
        <w:rPr/>
        <w:t>行业专家</w:t>
      </w:r>
      <w:r>
        <w:rPr>
          <w:rFonts w:ascii="Times New Roman" w:hAnsi="Times New Roman" w:cs="Times New Roman" w:eastAsia="Times New Roman" w:hint="default"/>
        </w:rPr>
        <w:t>”</w:t>
      </w:r>
      <w:r>
        <w:rPr/>
        <w:t>的品牌优势</w:t>
      </w:r>
      <w:r>
        <w:rPr>
          <w:b w:val="0"/>
          <w:bCs w:val="0"/>
        </w:rPr>
      </w:r>
    </w:p>
    <w:p>
      <w:pPr>
        <w:spacing w:line="240" w:lineRule="auto" w:before="3"/>
        <w:rPr>
          <w:rFonts w:ascii="宋体" w:hAnsi="宋体" w:cs="宋体" w:eastAsia="宋体" w:hint="default"/>
          <w:b/>
          <w:bCs/>
          <w:sz w:val="21"/>
          <w:szCs w:val="21"/>
        </w:rPr>
      </w:pPr>
    </w:p>
    <w:p>
      <w:pPr>
        <w:pStyle w:val="BodyText"/>
        <w:spacing w:line="398" w:lineRule="auto"/>
        <w:ind w:right="0" w:firstLine="420"/>
        <w:jc w:val="left"/>
      </w:pPr>
      <w:r>
        <w:rPr>
          <w:rFonts w:ascii="Times New Roman" w:hAnsi="Times New Roman" w:cs="Times New Roman" w:eastAsia="Times New Roman" w:hint="default"/>
        </w:rPr>
        <w:t>“</w:t>
      </w:r>
      <w:r>
        <w:rPr/>
        <w:t>面向行业应用不动摇</w:t>
      </w:r>
      <w:r>
        <w:rPr>
          <w:rFonts w:ascii="Times New Roman" w:hAnsi="Times New Roman" w:cs="Times New Roman" w:eastAsia="Times New Roman" w:hint="default"/>
        </w:rPr>
        <w:t>”</w:t>
      </w:r>
      <w:r>
        <w:rPr/>
        <w:t>是公司的基本经营方针。公司自成立以来，立足于运用信息技术服务国家重大</w:t>
      </w:r>
      <w:r>
        <w:rPr>
          <w:w w:val="100"/>
        </w:rPr>
        <w:t> </w:t>
      </w:r>
      <w:r>
        <w:rPr>
          <w:spacing w:val="-2"/>
        </w:rPr>
        <w:t>需求，为传统行业提质增效，实现产业升级。通过数十年深耕行业，深入研究行业发展趋势，把握行业业</w:t>
      </w:r>
      <w:r>
        <w:rPr>
          <w:spacing w:val="-43"/>
        </w:rPr>
        <w:t> </w:t>
      </w:r>
      <w:r>
        <w:rPr>
          <w:spacing w:val="-43"/>
        </w:rPr>
      </w:r>
      <w:r>
        <w:rPr/>
        <w:t>务需求与规律，积累了丰富的行业经验，成为既懂技术又熟悉行业业务的</w:t>
      </w:r>
      <w:r>
        <w:rPr>
          <w:rFonts w:ascii="Times New Roman" w:hAnsi="Times New Roman" w:cs="Times New Roman" w:eastAsia="Times New Roman" w:hint="default"/>
        </w:rPr>
        <w:t>“</w:t>
      </w:r>
      <w:r>
        <w:rPr/>
        <w:t>行业专家</w:t>
      </w:r>
      <w:r>
        <w:rPr>
          <w:rFonts w:ascii="Times New Roman" w:hAnsi="Times New Roman" w:cs="Times New Roman" w:eastAsia="Times New Roman" w:hint="default"/>
        </w:rPr>
        <w:t>”</w:t>
      </w:r>
      <w:r>
        <w:rPr/>
        <w:t>，实现了与客户需求</w:t>
      </w:r>
      <w:r>
        <w:rPr>
          <w:spacing w:val="-3"/>
          <w:w w:val="100"/>
        </w:rPr>
        <w:t> </w:t>
      </w:r>
      <w:r>
        <w:rPr/>
        <w:t>沟通的</w:t>
      </w:r>
      <w:r>
        <w:rPr>
          <w:rFonts w:ascii="Times New Roman" w:hAnsi="Times New Roman" w:cs="Times New Roman" w:eastAsia="Times New Roman" w:hint="default"/>
        </w:rPr>
        <w:t>“</w:t>
      </w:r>
      <w:r>
        <w:rPr/>
        <w:t>零距离</w:t>
      </w:r>
      <w:r>
        <w:rPr>
          <w:rFonts w:ascii="Times New Roman" w:hAnsi="Times New Roman" w:cs="Times New Roman" w:eastAsia="Times New Roman" w:hint="default"/>
        </w:rPr>
        <w:t>”</w:t>
      </w:r>
      <w:r>
        <w:rPr/>
        <w:t>、信息技术与行业业务融合的</w:t>
      </w:r>
      <w:r>
        <w:rPr>
          <w:rFonts w:ascii="Times New Roman" w:hAnsi="Times New Roman" w:cs="Times New Roman" w:eastAsia="Times New Roman" w:hint="default"/>
        </w:rPr>
        <w:t>“</w:t>
      </w:r>
      <w:r>
        <w:rPr/>
        <w:t>零障碍</w:t>
      </w:r>
      <w:r>
        <w:rPr>
          <w:rFonts w:ascii="Times New Roman" w:hAnsi="Times New Roman" w:cs="Times New Roman" w:eastAsia="Times New Roman" w:hint="default"/>
        </w:rPr>
        <w:t>”</w:t>
      </w:r>
      <w:r>
        <w:rPr/>
        <w:t>。针对行业由电子化、数字化到智能化发展的必然</w:t>
      </w:r>
      <w:r>
        <w:rPr>
          <w:spacing w:val="-3"/>
          <w:w w:val="100"/>
        </w:rPr>
        <w:t> </w:t>
      </w:r>
      <w:r>
        <w:rPr>
          <w:spacing w:val="-5"/>
        </w:rPr>
        <w:t>趋势，公司把智能识别与分析技术充分运用到行业信息化建设中，推出了大批创新性产品与整体解决方案，</w:t>
      </w:r>
      <w:r>
        <w:rPr>
          <w:spacing w:val="-6"/>
        </w:rPr>
        <w:t> </w:t>
      </w:r>
      <w:r>
        <w:rPr>
          <w:spacing w:val="-6"/>
        </w:rPr>
      </w:r>
      <w:r>
        <w:rPr>
          <w:spacing w:val="-5"/>
        </w:rPr>
        <w:t>并在各行业细分领域成功实施，有效帮助客户提高管理水平与经济效益，形成了众多有代表性的示范案例。 </w:t>
      </w:r>
      <w:r>
        <w:rPr>
          <w:spacing w:val="-5"/>
        </w:rPr>
      </w:r>
      <w:r>
        <w:rPr>
          <w:spacing w:val="-2"/>
        </w:rPr>
        <w:t>公司长期专注于做一流的信息化系统服务和整体解决方案提供商，高效务实，知行合一，以优质的产品与</w:t>
      </w:r>
      <w:r>
        <w:rPr>
          <w:spacing w:val="-44"/>
        </w:rPr>
        <w:t> </w:t>
      </w:r>
      <w:r>
        <w:rPr>
          <w:spacing w:val="-44"/>
        </w:rPr>
      </w:r>
      <w:r>
        <w:rPr/>
        <w:t>服务质量赢得行业内优质客户的信赖与尊重，成为共同发展、共存共赢的长期合作伙伴。公司</w:t>
      </w:r>
      <w:r>
        <w:rPr>
          <w:rFonts w:ascii="Times New Roman" w:hAnsi="Times New Roman" w:cs="Times New Roman" w:eastAsia="Times New Roman" w:hint="default"/>
        </w:rPr>
        <w:t>“</w:t>
      </w:r>
      <w:r>
        <w:rPr/>
        <w:t>行业专家</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的形象在行业中日益稳固，较强的品牌影响力已为公司的核心竞争力之一。</w:t>
      </w:r>
    </w:p>
    <w:p>
      <w:pPr>
        <w:pStyle w:val="BodyText"/>
        <w:spacing w:line="240" w:lineRule="auto" w:before="153"/>
        <w:ind w:left="572" w:right="0"/>
        <w:jc w:val="left"/>
      </w:pPr>
      <w:r>
        <w:rPr/>
        <w:t>公司是党和国家重大会议的选举设备和服务提供商、我国数字会议领域的领军企业，中国数字会议一</w:t>
      </w:r>
    </w:p>
    <w:p>
      <w:pPr>
        <w:spacing w:after="0" w:line="240"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386" w:lineRule="auto" w:before="36"/>
        <w:ind w:left="153" w:right="1128" w:hanging="1"/>
        <w:jc w:val="both"/>
      </w:pPr>
      <w:r>
        <w:rPr>
          <w:spacing w:val="-2"/>
        </w:rPr>
        <w:t>流品牌。公司前身成都计算所自</w:t>
      </w:r>
      <w:r>
        <w:rPr>
          <w:rFonts w:ascii="Times New Roman" w:hAnsi="Times New Roman" w:cs="Times New Roman" w:eastAsia="Times New Roman" w:hint="default"/>
          <w:spacing w:val="-2"/>
        </w:rPr>
        <w:t>1977</w:t>
      </w:r>
      <w:r>
        <w:rPr>
          <w:spacing w:val="-2"/>
        </w:rPr>
        <w:t>年就研制出我国第一代电子票箱、电子表决器和报到机，至今已连续</w:t>
      </w:r>
      <w:r>
        <w:rPr>
          <w:spacing w:val="-39"/>
        </w:rPr>
        <w:t> </w:t>
      </w:r>
      <w:r>
        <w:rPr>
          <w:spacing w:val="-39"/>
        </w:rPr>
      </w:r>
      <w:r>
        <w:rPr/>
        <w:t>为党的</w:t>
      </w:r>
      <w:r>
        <w:rPr>
          <w:rFonts w:ascii="Times New Roman" w:hAnsi="Times New Roman" w:cs="Times New Roman" w:eastAsia="Times New Roman" w:hint="default"/>
        </w:rPr>
        <w:t>“</w:t>
      </w:r>
      <w:r>
        <w:rPr/>
        <w:t>十二大</w:t>
      </w:r>
      <w:r>
        <w:rPr>
          <w:rFonts w:ascii="Times New Roman" w:hAnsi="Times New Roman" w:cs="Times New Roman" w:eastAsia="Times New Roman" w:hint="default"/>
        </w:rPr>
        <w:t>”</w:t>
      </w:r>
      <w:r>
        <w:rPr/>
        <w:t>至</w:t>
      </w:r>
      <w:r>
        <w:rPr>
          <w:rFonts w:ascii="Times New Roman" w:hAnsi="Times New Roman" w:cs="Times New Roman" w:eastAsia="Times New Roman" w:hint="default"/>
        </w:rPr>
        <w:t>“</w:t>
      </w:r>
      <w:r>
        <w:rPr/>
        <w:t>十九大</w:t>
      </w:r>
      <w:r>
        <w:rPr>
          <w:rFonts w:ascii="Times New Roman" w:hAnsi="Times New Roman" w:cs="Times New Roman" w:eastAsia="Times New Roman" w:hint="default"/>
        </w:rPr>
        <w:t>”</w:t>
      </w:r>
      <w:r>
        <w:rPr/>
        <w:t>及六届至十三届全国人大、政协会议选举服务，实现了</w:t>
      </w:r>
      <w:r>
        <w:rPr>
          <w:rFonts w:ascii="Times New Roman" w:hAnsi="Times New Roman" w:cs="Times New Roman" w:eastAsia="Times New Roman" w:hint="default"/>
        </w:rPr>
        <w:t>30</w:t>
      </w:r>
      <w:r>
        <w:rPr/>
        <w:t>余年服务零差错。</w:t>
      </w:r>
    </w:p>
    <w:p>
      <w:pPr>
        <w:pStyle w:val="BodyText"/>
        <w:spacing w:line="386" w:lineRule="auto" w:before="35"/>
        <w:ind w:left="153" w:right="1127" w:firstLine="420"/>
        <w:jc w:val="both"/>
      </w:pPr>
      <w:r>
        <w:rPr>
          <w:spacing w:val="-2"/>
        </w:rPr>
        <w:t>公司是中国印钞检测行业最重要的检测设备供应商。公司自</w:t>
      </w:r>
      <w:r>
        <w:rPr>
          <w:rFonts w:ascii="Times New Roman" w:hAnsi="Times New Roman" w:cs="Times New Roman" w:eastAsia="Times New Roman" w:hint="default"/>
          <w:spacing w:val="-2"/>
        </w:rPr>
        <w:t>1997</w:t>
      </w:r>
      <w:r>
        <w:rPr>
          <w:spacing w:val="-2"/>
        </w:rPr>
        <w:t>年率先将高速机器视觉技术应用于印</w:t>
      </w:r>
      <w:r>
        <w:rPr>
          <w:w w:val="100"/>
        </w:rPr>
        <w:t> </w:t>
      </w:r>
      <w:r>
        <w:rPr>
          <w:spacing w:val="-2"/>
        </w:rPr>
        <w:t>钞检测行业，是高速机器视觉技术在印钞行业应用的开创者。拥有</w:t>
      </w:r>
      <w:r>
        <w:rPr>
          <w:rFonts w:ascii="Times New Roman" w:hAnsi="Times New Roman" w:cs="Times New Roman" w:eastAsia="Times New Roman" w:hint="default"/>
          <w:spacing w:val="-2"/>
        </w:rPr>
        <w:t>20</w:t>
      </w:r>
      <w:r>
        <w:rPr>
          <w:spacing w:val="-2"/>
        </w:rPr>
        <w:t>余年的印钞行业信息化经验累积，成</w:t>
      </w:r>
      <w:r>
        <w:rPr>
          <w:spacing w:val="-41"/>
        </w:rPr>
        <w:t> </w:t>
      </w:r>
      <w:r>
        <w:rPr>
          <w:spacing w:val="-41"/>
        </w:rPr>
      </w:r>
      <w:r>
        <w:rPr/>
        <w:t>为国内唯一可提供从钞纸整选到钞票封装全流程质量检测和数据追溯解决方案的供应商。</w:t>
      </w:r>
    </w:p>
    <w:p>
      <w:pPr>
        <w:pStyle w:val="BodyText"/>
        <w:spacing w:line="400" w:lineRule="auto" w:before="65"/>
        <w:ind w:right="1128" w:firstLine="420"/>
        <w:jc w:val="both"/>
      </w:pPr>
      <w:r>
        <w:rPr>
          <w:spacing w:val="-2"/>
        </w:rPr>
        <w:t>公司是国内为数不多能为烟草行业提供烟草农业、烟草工业和烟草商业全产业链信息化建设整体解决</w:t>
      </w:r>
      <w:r>
        <w:rPr>
          <w:w w:val="100"/>
        </w:rPr>
        <w:t> </w:t>
      </w:r>
      <w:r>
        <w:rPr>
          <w:spacing w:val="-2"/>
        </w:rPr>
        <w:t>方案的供应商之一。公司自</w:t>
      </w:r>
      <w:r>
        <w:rPr>
          <w:rFonts w:ascii="Times New Roman" w:hAnsi="Times New Roman" w:cs="Times New Roman" w:eastAsia="Times New Roman" w:hint="default"/>
          <w:spacing w:val="-2"/>
        </w:rPr>
        <w:t>20</w:t>
      </w:r>
      <w:r>
        <w:rPr>
          <w:spacing w:val="-2"/>
        </w:rPr>
        <w:t>世纪</w:t>
      </w:r>
      <w:r>
        <w:rPr>
          <w:rFonts w:ascii="Times New Roman" w:hAnsi="Times New Roman" w:cs="Times New Roman" w:eastAsia="Times New Roman" w:hint="default"/>
          <w:spacing w:val="-2"/>
        </w:rPr>
        <w:t>80</w:t>
      </w:r>
      <w:r>
        <w:rPr>
          <w:spacing w:val="-2"/>
        </w:rPr>
        <w:t>年代起持续为烟草行业提供信息化产品与服务，在助力烟草行业进行</w:t>
      </w:r>
      <w:r>
        <w:rPr>
          <w:spacing w:val="-39"/>
        </w:rPr>
        <w:t> </w:t>
      </w:r>
      <w:r>
        <w:rPr>
          <w:spacing w:val="-39"/>
        </w:rPr>
      </w:r>
      <w:r>
        <w:rPr>
          <w:spacing w:val="-2"/>
        </w:rPr>
        <w:t>信息化规划、信息化基础平台建设、卷烟智能化生产、卷烟物流配送、卷烟生产大数据智能诊断分析等方</w:t>
      </w:r>
      <w:r>
        <w:rPr>
          <w:spacing w:val="-47"/>
        </w:rPr>
        <w:t> </w:t>
      </w:r>
      <w:r>
        <w:rPr>
          <w:spacing w:val="-47"/>
        </w:rPr>
      </w:r>
      <w:r>
        <w:rPr/>
        <w:t>面硕果累累，形成众多优秀案例，在行业形成的示范效应为公司自身树立了优良的品牌形象。</w:t>
      </w:r>
    </w:p>
    <w:p>
      <w:pPr>
        <w:pStyle w:val="BodyText"/>
        <w:spacing w:line="398" w:lineRule="auto" w:before="52"/>
        <w:ind w:right="1132" w:firstLine="420"/>
        <w:jc w:val="both"/>
      </w:pPr>
      <w:r>
        <w:rPr>
          <w:spacing w:val="2"/>
        </w:rPr>
        <w:t>公司是我国油气行业信息化服务与智能化工程建设重要提供商。公司十余年来积极投身数字油田建</w:t>
      </w:r>
      <w:r>
        <w:rPr>
          <w:w w:val="100"/>
        </w:rPr>
        <w:t> </w:t>
      </w:r>
      <w:r>
        <w:rPr>
          <w:spacing w:val="-3"/>
        </w:rPr>
        <w:t>设，为塔里木油田和西南油气田在自动控制系统、地面通讯系统，视频监控系统、处理厂</w:t>
      </w:r>
      <w:r>
        <w:rPr>
          <w:rFonts w:ascii="Times New Roman" w:hAnsi="Times New Roman" w:cs="Times New Roman" w:eastAsia="Times New Roman" w:hint="default"/>
          <w:spacing w:val="-3"/>
        </w:rPr>
        <w:t>/</w:t>
      </w:r>
      <w:r>
        <w:rPr>
          <w:spacing w:val="-3"/>
        </w:rPr>
        <w:t>净化厂</w:t>
      </w:r>
      <w:r>
        <w:rPr>
          <w:rFonts w:ascii="Times New Roman" w:hAnsi="Times New Roman" w:cs="Times New Roman" w:eastAsia="Times New Roman" w:hint="default"/>
          <w:spacing w:val="-3"/>
        </w:rPr>
        <w:t>DCS</w:t>
      </w:r>
      <w:r>
        <w:rPr>
          <w:spacing w:val="-3"/>
        </w:rPr>
        <w:t>系统</w:t>
      </w:r>
      <w:r>
        <w:rPr>
          <w:spacing w:val="-49"/>
        </w:rPr>
        <w:t> </w:t>
      </w:r>
      <w:r>
        <w:rPr/>
        <w:t>等方面完成各类信息化工程项目几十项，为国家数字油田建设作出了积极贡献。</w:t>
      </w:r>
    </w:p>
    <w:p>
      <w:pPr>
        <w:pStyle w:val="BodyText"/>
        <w:spacing w:line="408" w:lineRule="auto" w:before="54"/>
        <w:ind w:right="1106" w:firstLine="420"/>
        <w:jc w:val="both"/>
      </w:pPr>
      <w:r>
        <w:rPr>
          <w:spacing w:val="-2"/>
        </w:rPr>
        <w:t>公司运用云计算、大数据、物联网、移动互联和虚拟仿真技术，为客户提供新型智慧城市关键技术、</w:t>
      </w:r>
      <w:r>
        <w:rPr>
          <w:w w:val="100"/>
        </w:rPr>
        <w:t> </w:t>
      </w:r>
      <w:r>
        <w:rPr>
          <w:spacing w:val="-2"/>
        </w:rPr>
        <w:t>平台系统和运维服务。积极推进政务管理、民生服务、产业升级、智慧医疗等相关领域的业务应用落地和</w:t>
      </w:r>
      <w:r>
        <w:rPr>
          <w:spacing w:val="-48"/>
        </w:rPr>
        <w:t> </w:t>
      </w:r>
      <w:r>
        <w:rPr>
          <w:spacing w:val="-48"/>
        </w:rPr>
      </w:r>
      <w:r>
        <w:rPr/>
        <w:t>推广实施，取得了良好的经济和社会效益，树立了良好的案例示范效应。</w:t>
      </w:r>
    </w:p>
    <w:p>
      <w:pPr>
        <w:pStyle w:val="BodyText"/>
        <w:spacing w:line="400" w:lineRule="auto" w:before="46"/>
        <w:ind w:right="1106" w:firstLine="420"/>
        <w:jc w:val="both"/>
      </w:pPr>
      <w:r>
        <w:rPr>
          <w:spacing w:val="-2"/>
        </w:rPr>
        <w:t>公司还是中国软件行业会员单位、四川省计算机学会挂靠单位和理事长单位、中国科学院人工智能产</w:t>
      </w:r>
      <w:r>
        <w:rPr>
          <w:w w:val="100"/>
        </w:rPr>
        <w:t> </w:t>
      </w:r>
      <w:r>
        <w:rPr>
          <w:spacing w:val="-2"/>
        </w:rPr>
        <w:t>学研创新联盟理事单位、四川省软件行业协会常务理事单位、中国科学院智慧城市产业化联盟理事单位。</w:t>
      </w:r>
      <w:r>
        <w:rPr>
          <w:spacing w:val="-21"/>
        </w:rPr>
        <w:t> </w:t>
      </w:r>
      <w:r>
        <w:rPr>
          <w:spacing w:val="-21"/>
        </w:rPr>
      </w:r>
      <w:r>
        <w:rPr/>
        <w:t>报告期内，公司又成为华为鲲鹏生态</w:t>
      </w:r>
      <w:r>
        <w:rPr>
          <w:rFonts w:ascii="Times New Roman" w:hAnsi="Times New Roman" w:cs="Times New Roman" w:eastAsia="Times New Roman" w:hint="default"/>
        </w:rPr>
        <w:t>ISV</w:t>
      </w:r>
      <w:r>
        <w:rPr/>
        <w:t>认证合作伙伴、四川省人工智能学会副理事长单位、成都市人工</w:t>
      </w:r>
      <w:r>
        <w:rPr>
          <w:spacing w:val="-46"/>
        </w:rPr>
        <w:t> </w:t>
      </w:r>
      <w:r>
        <w:rPr>
          <w:spacing w:val="-46"/>
        </w:rPr>
      </w:r>
      <w:r>
        <w:rPr>
          <w:spacing w:val="-2"/>
        </w:rPr>
        <w:t>智能协会副会长单位、成都市高新区大数据与网络空间安全业界共治理事会常务理事单位、成都市高新区</w:t>
      </w:r>
      <w:r>
        <w:rPr>
          <w:spacing w:val="-42"/>
        </w:rPr>
        <w:t> </w:t>
      </w:r>
      <w:r>
        <w:rPr>
          <w:spacing w:val="-42"/>
        </w:rPr>
      </w:r>
      <w:r>
        <w:rPr>
          <w:rFonts w:ascii="Times New Roman" w:hAnsi="Times New Roman" w:cs="Times New Roman" w:eastAsia="Times New Roman" w:hint="default"/>
          <w:spacing w:val="-3"/>
        </w:rPr>
        <w:t>5G</w:t>
      </w:r>
      <w:r>
        <w:rPr>
          <w:spacing w:val="-3"/>
        </w:rPr>
        <w:t>与人工智能业界共治理事会常务理事单位、成都市第一届物联网智库入选单位、组建中国科学院大学成</w:t>
      </w:r>
      <w:r>
        <w:rPr>
          <w:spacing w:val="-45"/>
        </w:rPr>
        <w:t> </w:t>
      </w:r>
      <w:r>
        <w:rPr>
          <w:spacing w:val="-45"/>
        </w:rPr>
      </w:r>
      <w:r>
        <w:rPr>
          <w:spacing w:val="-2"/>
        </w:rPr>
        <w:t>都学院之人工智能学院的牵头单位、信息技术应用创新工作委员会会员单位。全资子公司成都中科成为成</w:t>
      </w:r>
      <w:r>
        <w:rPr>
          <w:spacing w:val="-42"/>
        </w:rPr>
        <w:t> </w:t>
      </w:r>
      <w:r>
        <w:rPr>
          <w:spacing w:val="-42"/>
        </w:rPr>
      </w:r>
      <w:r>
        <w:rPr/>
        <w:t>都高新区首批</w:t>
      </w:r>
      <w:r>
        <w:rPr>
          <w:rFonts w:ascii="Times New Roman" w:hAnsi="Times New Roman" w:cs="Times New Roman" w:eastAsia="Times New Roman" w:hint="default"/>
        </w:rPr>
        <w:t>“</w:t>
      </w:r>
      <w:r>
        <w:rPr/>
        <w:t>瞪羚企业</w:t>
      </w:r>
      <w:r>
        <w:rPr>
          <w:rFonts w:ascii="Times New Roman" w:hAnsi="Times New Roman" w:cs="Times New Roman" w:eastAsia="Times New Roman" w:hint="default"/>
        </w:rPr>
        <w:t>”</w:t>
      </w:r>
      <w:r>
        <w:rPr/>
        <w:t>。</w:t>
      </w:r>
    </w:p>
    <w:p>
      <w:pPr>
        <w:spacing w:line="386" w:lineRule="auto" w:before="21"/>
        <w:ind w:left="572" w:right="0" w:firstLine="14"/>
        <w:jc w:val="left"/>
        <w:rPr>
          <w:rFonts w:ascii="宋体" w:hAnsi="宋体" w:cs="宋体" w:eastAsia="宋体" w:hint="default"/>
          <w:sz w:val="21"/>
          <w:szCs w:val="21"/>
        </w:rPr>
      </w:pP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自主研发</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的技术优势</w:t>
      </w:r>
      <w:r>
        <w:rPr>
          <w:rFonts w:ascii="宋体" w:hAnsi="宋体" w:cs="宋体" w:eastAsia="宋体" w:hint="default"/>
          <w:b/>
          <w:bCs/>
          <w:w w:val="100"/>
          <w:sz w:val="21"/>
          <w:szCs w:val="21"/>
        </w:rPr>
        <w:t> </w:t>
      </w:r>
      <w:r>
        <w:rPr>
          <w:rFonts w:ascii="宋体" w:hAnsi="宋体" w:cs="宋体" w:eastAsia="宋体" w:hint="default"/>
          <w:spacing w:val="-5"/>
          <w:sz w:val="21"/>
          <w:szCs w:val="21"/>
        </w:rPr>
        <w:t>技术创新是企业发展的灵魂，是企业兴旺发达的源泉和不竭动力。公司前身成都计算所成立于</w:t>
      </w:r>
      <w:r>
        <w:rPr>
          <w:rFonts w:ascii="Times New Roman" w:hAnsi="Times New Roman" w:cs="Times New Roman" w:eastAsia="Times New Roman" w:hint="default"/>
          <w:spacing w:val="-5"/>
          <w:sz w:val="21"/>
          <w:szCs w:val="21"/>
        </w:rPr>
        <w:t>1958</w:t>
      </w:r>
      <w:r>
        <w:rPr>
          <w:rFonts w:ascii="宋体" w:hAnsi="宋体" w:cs="宋体" w:eastAsia="宋体" w:hint="default"/>
          <w:spacing w:val="-5"/>
          <w:sz w:val="21"/>
          <w:szCs w:val="21"/>
        </w:rPr>
        <w:t>年，</w:t>
      </w:r>
      <w:r>
        <w:rPr>
          <w:rFonts w:ascii="宋体" w:hAnsi="宋体" w:cs="宋体" w:eastAsia="宋体" w:hint="default"/>
          <w:sz w:val="21"/>
          <w:szCs w:val="21"/>
        </w:rPr>
      </w:r>
    </w:p>
    <w:p>
      <w:pPr>
        <w:pStyle w:val="BodyText"/>
        <w:spacing w:line="403" w:lineRule="auto" w:before="35"/>
        <w:ind w:right="1106"/>
        <w:jc w:val="both"/>
      </w:pPr>
      <w:r>
        <w:rPr>
          <w:spacing w:val="-2"/>
        </w:rPr>
        <w:t>是中国科学院在西部地区唯一的数学与计算机科学研究基地。拥有包括中科院院士张景中在内的国内一流</w:t>
      </w:r>
      <w:r>
        <w:rPr>
          <w:spacing w:val="-43"/>
        </w:rPr>
        <w:t> </w:t>
      </w:r>
      <w:r>
        <w:rPr>
          <w:spacing w:val="-43"/>
        </w:rPr>
      </w:r>
      <w:r>
        <w:rPr/>
        <w:t>信息技术人才，承担了多项国家 </w:t>
      </w:r>
      <w:r>
        <w:rPr>
          <w:rFonts w:ascii="Times New Roman" w:hAnsi="Times New Roman" w:cs="Times New Roman" w:eastAsia="Times New Roman" w:hint="default"/>
        </w:rPr>
        <w:t>"863"</w:t>
      </w:r>
      <w:r>
        <w:rPr/>
        <w:t>、 </w:t>
      </w:r>
      <w:r>
        <w:rPr>
          <w:rFonts w:ascii="Times New Roman" w:hAnsi="Times New Roman" w:cs="Times New Roman" w:eastAsia="Times New Roman" w:hint="default"/>
        </w:rPr>
        <w:t>"973"</w:t>
      </w:r>
      <w:r>
        <w:rPr/>
        <w:t>、</w:t>
      </w:r>
      <w:r>
        <w:rPr>
          <w:spacing w:val="-61"/>
        </w:rPr>
        <w:t> </w:t>
      </w:r>
      <w:r>
        <w:rPr/>
        <w:t>国家自然科学研究基金等重点科研项目，研发和技术实</w:t>
      </w:r>
      <w:r>
        <w:rPr>
          <w:w w:val="100"/>
        </w:rPr>
        <w:t> </w:t>
      </w:r>
      <w:r>
        <w:rPr>
          <w:spacing w:val="-2"/>
        </w:rPr>
        <w:t>力雄厚，先后获得国家科技进步奖、国家自然科学奖、省部级科技进步奖、中国科学院科技进步奖及地方</w:t>
      </w:r>
      <w:r>
        <w:rPr>
          <w:spacing w:val="-47"/>
        </w:rPr>
        <w:t> </w:t>
      </w:r>
      <w:r>
        <w:rPr>
          <w:spacing w:val="-47"/>
        </w:rPr>
      </w:r>
      <w:r>
        <w:rPr>
          <w:spacing w:val="-2"/>
        </w:rPr>
        <w:t>奖项近百余项，多项成果被列入国家级科技成果重点推广计划。公司自身拥有的人才、技术、文化优势，</w:t>
      </w:r>
      <w:r>
        <w:rPr>
          <w:spacing w:val="-21"/>
        </w:rPr>
        <w:t> </w:t>
      </w:r>
      <w:r>
        <w:rPr>
          <w:spacing w:val="-21"/>
        </w:rPr>
      </w:r>
      <w:r>
        <w:rPr>
          <w:spacing w:val="-2"/>
        </w:rPr>
        <w:t>丰富的行业经验，雄厚的研发实力与成果积累，使自主创新成为公司技术研发的主要方式，令公司在行业</w:t>
      </w:r>
      <w:r>
        <w:rPr>
          <w:spacing w:val="-48"/>
        </w:rPr>
        <w:t> </w:t>
      </w:r>
      <w:r>
        <w:rPr>
          <w:spacing w:val="-48"/>
        </w:rPr>
      </w:r>
      <w:r>
        <w:rPr/>
        <w:t>中保持了国际先进、国内领先的技术水平。</w:t>
      </w:r>
    </w:p>
    <w:p>
      <w:pPr>
        <w:spacing w:after="0" w:line="403" w:lineRule="auto"/>
        <w:jc w:val="both"/>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0" w:firstLine="420"/>
        <w:jc w:val="left"/>
      </w:pPr>
      <w:r>
        <w:rPr/>
        <w:t>多年来，公司应用基础研究团队在张景中院士的带领下，专注于人工智能领域的研究，形成了众多研</w:t>
      </w:r>
      <w:r>
        <w:rPr>
          <w:w w:val="100"/>
        </w:rPr>
        <w:t> </w:t>
      </w:r>
      <w:r>
        <w:rPr>
          <w:spacing w:val="-2"/>
        </w:rPr>
        <w:t>发成果，使公司在计算机应用领域中形成了应用基础理论、关键技术、工程与产品三个层次上的独特综合</w:t>
      </w:r>
      <w:r>
        <w:rPr>
          <w:spacing w:val="-43"/>
        </w:rPr>
        <w:t> </w:t>
      </w:r>
      <w:r>
        <w:rPr>
          <w:spacing w:val="-43"/>
        </w:rPr>
      </w:r>
      <w:r>
        <w:rPr>
          <w:spacing w:val="-5"/>
        </w:rPr>
        <w:t>优势，并在自动推理与定理机器证明领域保持了国际先进水平，在基础算法、智能识别与分析、机器学习、</w:t>
      </w:r>
      <w:r>
        <w:rPr>
          <w:spacing w:val="-10"/>
        </w:rPr>
        <w:t> </w:t>
      </w:r>
      <w:r>
        <w:rPr>
          <w:spacing w:val="-10"/>
        </w:rPr>
      </w:r>
      <w:r>
        <w:rPr/>
        <w:t>软件工程等领域保持了国际先进水平、国内领先水平。公司始终坚持面向行业发展不动摇，在现场会议、</w:t>
      </w:r>
      <w:r>
        <w:rPr>
          <w:w w:val="100"/>
        </w:rPr>
        <w:t> </w:t>
      </w:r>
      <w:r>
        <w:rPr>
          <w:spacing w:val="-2"/>
        </w:rPr>
        <w:t>印钞检测、烟草、石油等领域的信息化业务上持续坚持数十年深耕细作，在积累丰富行业经验的同时，还</w:t>
      </w:r>
      <w:r>
        <w:rPr>
          <w:spacing w:val="-44"/>
        </w:rPr>
        <w:t> </w:t>
      </w:r>
      <w:r>
        <w:rPr>
          <w:spacing w:val="-44"/>
        </w:rPr>
      </w:r>
      <w:r>
        <w:rPr/>
        <w:t>培养出一大批具有很强科研实力和突出技术特长的技术专家，形成了公司行业技术壁垒优势。</w:t>
      </w:r>
    </w:p>
    <w:p>
      <w:pPr>
        <w:pStyle w:val="BodyText"/>
        <w:spacing w:line="408" w:lineRule="auto" w:before="46"/>
        <w:ind w:right="0" w:firstLine="420"/>
        <w:jc w:val="left"/>
      </w:pPr>
      <w:r>
        <w:rPr/>
        <w:t>作为人工智能领域的高科技公司，公司以创新驱动发展，在人工智能领域主要技术研究开发方向主要</w:t>
      </w:r>
      <w:r>
        <w:rPr>
          <w:w w:val="100"/>
        </w:rPr>
        <w:t> </w:t>
      </w:r>
      <w:r>
        <w:rPr>
          <w:spacing w:val="-5"/>
        </w:rPr>
        <w:t>包括：计算机自动推理、深度学习核心算法、高速图像识别与实时处理、群体智能、云计算、大数据技术、</w:t>
      </w:r>
      <w:r>
        <w:rPr>
          <w:spacing w:val="-3"/>
        </w:rPr>
        <w:t> </w:t>
      </w:r>
      <w:r>
        <w:rPr>
          <w:spacing w:val="-3"/>
        </w:rPr>
      </w:r>
      <w:r>
        <w:rPr>
          <w:spacing w:val="-2"/>
        </w:rPr>
        <w:t>虚拟现实，综合运用工业装备智能控制、光机电一体化、嵌入式软件技术等开发出满足客户需求的软硬件</w:t>
      </w:r>
      <w:r>
        <w:rPr>
          <w:spacing w:val="-48"/>
        </w:rPr>
        <w:t> </w:t>
      </w:r>
      <w:r>
        <w:rPr>
          <w:spacing w:val="-48"/>
        </w:rPr>
      </w:r>
      <w:r>
        <w:rPr/>
        <w:t>产品，积极布局对集群无人机协同控制、</w:t>
      </w:r>
      <w:r>
        <w:rPr>
          <w:rFonts w:ascii="Times New Roman" w:hAnsi="Times New Roman" w:cs="Times New Roman" w:eastAsia="Times New Roman" w:hint="default"/>
        </w:rPr>
        <w:t>5G</w:t>
      </w:r>
      <w:r>
        <w:rPr/>
        <w:t>通讯、区块链、智联网技术等方向的前瞻性研究。</w:t>
      </w:r>
    </w:p>
    <w:p>
      <w:pPr>
        <w:pStyle w:val="BodyText"/>
        <w:spacing w:line="408" w:lineRule="auto" w:before="14"/>
        <w:ind w:right="1106" w:firstLine="420"/>
        <w:jc w:val="both"/>
      </w:pPr>
      <w:r>
        <w:rPr>
          <w:spacing w:val="-2"/>
        </w:rPr>
        <w:t>公司始终坚持在核心技术研发上的持续投入，进行自主核心技术及产品研发，不断拓宽产品线和综合</w:t>
      </w:r>
      <w:r>
        <w:rPr>
          <w:w w:val="100"/>
        </w:rPr>
        <w:t> </w:t>
      </w:r>
      <w:r>
        <w:rPr>
          <w:spacing w:val="-2"/>
        </w:rPr>
        <w:t>服务能力。除政府、烟草、印钞、石油行业外，还为医疗、教育、交通、公安等多个行业提供了相关的产</w:t>
      </w:r>
      <w:r>
        <w:rPr>
          <w:spacing w:val="-47"/>
        </w:rPr>
        <w:t> </w:t>
      </w:r>
      <w:r>
        <w:rPr>
          <w:spacing w:val="-47"/>
        </w:rPr>
      </w:r>
      <w:r>
        <w:rPr>
          <w:spacing w:val="-2"/>
        </w:rPr>
        <w:t>品、技术和解决方案。报告期内，公司紧紧把握国家人工智能发展战略，不断加快在人工智能、云计算、</w:t>
      </w:r>
      <w:r>
        <w:rPr>
          <w:spacing w:val="-21"/>
        </w:rPr>
        <w:t> </w:t>
      </w:r>
      <w:r>
        <w:rPr>
          <w:spacing w:val="-21"/>
        </w:rPr>
      </w:r>
      <w:r>
        <w:rPr/>
        <w:t>大数据方面的技术与产品研发步伐。</w:t>
      </w:r>
    </w:p>
    <w:p>
      <w:pPr>
        <w:pStyle w:val="BodyText"/>
        <w:spacing w:line="240" w:lineRule="auto" w:before="46"/>
        <w:ind w:left="572" w:right="0"/>
        <w:jc w:val="left"/>
      </w:pPr>
      <w:r>
        <w:rPr/>
        <w:t>报告期内，公司及全资子公司成都中科共新增专利和软件著作权共</w:t>
      </w:r>
      <w:r>
        <w:rPr>
          <w:rFonts w:ascii="Times New Roman" w:hAnsi="Times New Roman" w:cs="Times New Roman" w:eastAsia="Times New Roman" w:hint="default"/>
        </w:rPr>
        <w:t>27</w:t>
      </w:r>
      <w:r>
        <w:rPr/>
        <w:t>项，具体情况如下：</w:t>
      </w:r>
    </w:p>
    <w:p>
      <w:pPr>
        <w:spacing w:line="240" w:lineRule="auto" w:before="8"/>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396"/>
        <w:gridCol w:w="1392"/>
        <w:gridCol w:w="1613"/>
        <w:gridCol w:w="1277"/>
        <w:gridCol w:w="1277"/>
      </w:tblGrid>
      <w:tr>
        <w:trPr>
          <w:trHeight w:val="511" w:hRule="exact"/>
        </w:trPr>
        <w:tc>
          <w:tcPr>
            <w:tcW w:w="339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4"/>
              <w:ind w:left="11" w:right="0"/>
              <w:jc w:val="center"/>
              <w:rPr>
                <w:rFonts w:ascii="宋体" w:hAnsi="宋体" w:cs="宋体" w:eastAsia="宋体" w:hint="default"/>
                <w:sz w:val="21"/>
                <w:szCs w:val="21"/>
              </w:rPr>
            </w:pPr>
            <w:r>
              <w:rPr>
                <w:rFonts w:ascii="宋体" w:hAnsi="宋体" w:cs="宋体" w:eastAsia="宋体" w:hint="default"/>
                <w:sz w:val="21"/>
                <w:szCs w:val="21"/>
              </w:rPr>
              <w:t>发明名称</w:t>
            </w:r>
          </w:p>
        </w:tc>
        <w:tc>
          <w:tcPr>
            <w:tcW w:w="1392"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74"/>
              <w:ind w:right="2"/>
              <w:jc w:val="center"/>
              <w:rPr>
                <w:rFonts w:ascii="宋体" w:hAnsi="宋体" w:cs="宋体" w:eastAsia="宋体" w:hint="default"/>
                <w:sz w:val="21"/>
                <w:szCs w:val="21"/>
              </w:rPr>
            </w:pPr>
            <w:r>
              <w:rPr>
                <w:rFonts w:ascii="宋体" w:hAnsi="宋体" w:cs="宋体" w:eastAsia="宋体" w:hint="default"/>
                <w:sz w:val="21"/>
                <w:szCs w:val="21"/>
              </w:rPr>
              <w:t>专利类型</w:t>
            </w:r>
          </w:p>
        </w:tc>
        <w:tc>
          <w:tcPr>
            <w:tcW w:w="1613"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74"/>
              <w:ind w:left="472" w:right="0"/>
              <w:jc w:val="left"/>
              <w:rPr>
                <w:rFonts w:ascii="宋体" w:hAnsi="宋体" w:cs="宋体" w:eastAsia="宋体" w:hint="default"/>
                <w:sz w:val="21"/>
                <w:szCs w:val="21"/>
              </w:rPr>
            </w:pPr>
            <w:r>
              <w:rPr>
                <w:rFonts w:ascii="宋体" w:hAnsi="宋体" w:cs="宋体" w:eastAsia="宋体" w:hint="default"/>
                <w:sz w:val="21"/>
                <w:szCs w:val="21"/>
              </w:rPr>
              <w:t>专利号</w:t>
            </w:r>
          </w:p>
        </w:tc>
        <w:tc>
          <w:tcPr>
            <w:tcW w:w="1277"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授权公告日</w:t>
            </w:r>
          </w:p>
        </w:tc>
        <w:tc>
          <w:tcPr>
            <w:tcW w:w="1277"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74"/>
              <w:ind w:right="2"/>
              <w:jc w:val="center"/>
              <w:rPr>
                <w:rFonts w:ascii="宋体" w:hAnsi="宋体" w:cs="宋体" w:eastAsia="宋体" w:hint="default"/>
                <w:sz w:val="21"/>
                <w:szCs w:val="21"/>
              </w:rPr>
            </w:pPr>
            <w:r>
              <w:rPr>
                <w:rFonts w:ascii="宋体" w:hAnsi="宋体" w:cs="宋体" w:eastAsia="宋体" w:hint="default"/>
                <w:sz w:val="21"/>
                <w:szCs w:val="21"/>
              </w:rPr>
              <w:t>证书编号</w:t>
            </w:r>
          </w:p>
        </w:tc>
      </w:tr>
      <w:tr>
        <w:trPr>
          <w:trHeight w:val="506" w:hRule="exact"/>
        </w:trPr>
        <w:tc>
          <w:tcPr>
            <w:tcW w:w="339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64"/>
              <w:ind w:left="4" w:right="0"/>
              <w:jc w:val="left"/>
              <w:rPr>
                <w:rFonts w:ascii="宋体" w:hAnsi="宋体" w:cs="宋体" w:eastAsia="宋体" w:hint="default"/>
                <w:sz w:val="21"/>
                <w:szCs w:val="21"/>
              </w:rPr>
            </w:pPr>
            <w:r>
              <w:rPr>
                <w:rFonts w:ascii="宋体" w:hAnsi="宋体" w:cs="宋体" w:eastAsia="宋体" w:hint="default"/>
                <w:sz w:val="21"/>
                <w:szCs w:val="21"/>
              </w:rPr>
              <w:t>一种无监督抠图方法及装置</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发明</w:t>
            </w:r>
          </w:p>
        </w:tc>
        <w:tc>
          <w:tcPr>
            <w:tcW w:w="16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81"/>
              <w:jc w:val="right"/>
              <w:rPr>
                <w:rFonts w:ascii="Times New Roman" w:hAnsi="Times New Roman" w:cs="Times New Roman" w:eastAsia="Times New Roman" w:hint="default"/>
                <w:sz w:val="21"/>
                <w:szCs w:val="21"/>
              </w:rPr>
            </w:pPr>
            <w:r>
              <w:rPr>
                <w:rFonts w:ascii="Times New Roman"/>
                <w:spacing w:val="-1"/>
                <w:sz w:val="21"/>
              </w:rPr>
              <w:t>201510280974.9</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2"/>
              <w:jc w:val="center"/>
              <w:rPr>
                <w:rFonts w:ascii="Times New Roman" w:hAnsi="Times New Roman" w:cs="Times New Roman" w:eastAsia="Times New Roman" w:hint="default"/>
                <w:sz w:val="21"/>
                <w:szCs w:val="21"/>
              </w:rPr>
            </w:pPr>
            <w:r>
              <w:rPr>
                <w:rFonts w:ascii="Times New Roman"/>
                <w:sz w:val="21"/>
              </w:rPr>
              <w:t>2019-01-22</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3226140</w:t>
            </w:r>
          </w:p>
        </w:tc>
      </w:tr>
      <w:tr>
        <w:trPr>
          <w:trHeight w:val="509" w:hRule="exact"/>
        </w:trPr>
        <w:tc>
          <w:tcPr>
            <w:tcW w:w="339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66"/>
              <w:ind w:left="4" w:right="0"/>
              <w:jc w:val="left"/>
              <w:rPr>
                <w:rFonts w:ascii="宋体" w:hAnsi="宋体" w:cs="宋体" w:eastAsia="宋体" w:hint="default"/>
                <w:sz w:val="21"/>
                <w:szCs w:val="21"/>
              </w:rPr>
            </w:pPr>
            <w:r>
              <w:rPr>
                <w:rFonts w:ascii="宋体" w:hAnsi="宋体" w:cs="宋体" w:eastAsia="宋体" w:hint="default"/>
                <w:sz w:val="21"/>
                <w:szCs w:val="21"/>
              </w:rPr>
              <w:t>监控视频目标搜索方法</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2"/>
              <w:jc w:val="center"/>
              <w:rPr>
                <w:rFonts w:ascii="宋体" w:hAnsi="宋体" w:cs="宋体" w:eastAsia="宋体" w:hint="default"/>
                <w:sz w:val="21"/>
                <w:szCs w:val="21"/>
              </w:rPr>
            </w:pPr>
            <w:r>
              <w:rPr>
                <w:rFonts w:ascii="宋体" w:hAnsi="宋体" w:cs="宋体" w:eastAsia="宋体" w:hint="default"/>
                <w:sz w:val="21"/>
                <w:szCs w:val="21"/>
              </w:rPr>
              <w:t>发明</w:t>
            </w:r>
          </w:p>
        </w:tc>
        <w:tc>
          <w:tcPr>
            <w:tcW w:w="16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6"/>
              <w:ind w:right="81"/>
              <w:jc w:val="right"/>
              <w:rPr>
                <w:rFonts w:ascii="Times New Roman" w:hAnsi="Times New Roman" w:cs="Times New Roman" w:eastAsia="Times New Roman" w:hint="default"/>
                <w:sz w:val="21"/>
                <w:szCs w:val="21"/>
              </w:rPr>
            </w:pPr>
            <w:r>
              <w:rPr>
                <w:rFonts w:ascii="Times New Roman"/>
                <w:spacing w:val="-1"/>
                <w:sz w:val="21"/>
              </w:rPr>
              <w:t>201510307279.2</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sz w:val="21"/>
              </w:rPr>
              <w:t>2019-01-22</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3227584</w:t>
            </w:r>
          </w:p>
        </w:tc>
      </w:tr>
      <w:tr>
        <w:trPr>
          <w:trHeight w:val="509" w:hRule="exact"/>
        </w:trPr>
        <w:tc>
          <w:tcPr>
            <w:tcW w:w="339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64"/>
              <w:ind w:left="4" w:right="0"/>
              <w:jc w:val="left"/>
              <w:rPr>
                <w:rFonts w:ascii="宋体" w:hAnsi="宋体" w:cs="宋体" w:eastAsia="宋体" w:hint="default"/>
                <w:sz w:val="21"/>
                <w:szCs w:val="21"/>
              </w:rPr>
            </w:pPr>
            <w:r>
              <w:rPr>
                <w:rFonts w:ascii="宋体" w:hAnsi="宋体" w:cs="宋体" w:eastAsia="宋体" w:hint="default"/>
                <w:sz w:val="21"/>
                <w:szCs w:val="21"/>
              </w:rPr>
              <w:t>一种</w:t>
            </w:r>
            <w:r>
              <w:rPr>
                <w:rFonts w:ascii="Times New Roman" w:hAnsi="Times New Roman" w:cs="Times New Roman" w:eastAsia="Times New Roman" w:hint="default"/>
                <w:sz w:val="21"/>
                <w:szCs w:val="21"/>
              </w:rPr>
              <w:t>LCD</w:t>
            </w:r>
            <w:r>
              <w:rPr>
                <w:rFonts w:ascii="宋体" w:hAnsi="宋体" w:cs="宋体" w:eastAsia="宋体" w:hint="default"/>
                <w:sz w:val="21"/>
                <w:szCs w:val="21"/>
              </w:rPr>
              <w:t>屏幕亚像素级缺陷检测方法</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发明</w:t>
            </w:r>
          </w:p>
        </w:tc>
        <w:tc>
          <w:tcPr>
            <w:tcW w:w="16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83"/>
              <w:jc w:val="right"/>
              <w:rPr>
                <w:rFonts w:ascii="Times New Roman" w:hAnsi="Times New Roman" w:cs="Times New Roman" w:eastAsia="Times New Roman" w:hint="default"/>
                <w:sz w:val="21"/>
                <w:szCs w:val="21"/>
              </w:rPr>
            </w:pPr>
            <w:r>
              <w:rPr>
                <w:rFonts w:ascii="Times New Roman"/>
                <w:spacing w:val="-1"/>
                <w:sz w:val="21"/>
              </w:rPr>
              <w:t>201610527457.7</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2"/>
              <w:jc w:val="center"/>
              <w:rPr>
                <w:rFonts w:ascii="Times New Roman" w:hAnsi="Times New Roman" w:cs="Times New Roman" w:eastAsia="Times New Roman" w:hint="default"/>
                <w:sz w:val="21"/>
                <w:szCs w:val="21"/>
              </w:rPr>
            </w:pPr>
            <w:r>
              <w:rPr>
                <w:rFonts w:ascii="Times New Roman"/>
                <w:sz w:val="21"/>
              </w:rPr>
              <w:t>2019-02-01</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3241330</w:t>
            </w:r>
          </w:p>
        </w:tc>
      </w:tr>
      <w:tr>
        <w:trPr>
          <w:trHeight w:val="506" w:hRule="exact"/>
        </w:trPr>
        <w:tc>
          <w:tcPr>
            <w:tcW w:w="339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64"/>
              <w:ind w:left="4" w:right="0"/>
              <w:jc w:val="left"/>
              <w:rPr>
                <w:rFonts w:ascii="宋体" w:hAnsi="宋体" w:cs="宋体" w:eastAsia="宋体" w:hint="default"/>
                <w:sz w:val="21"/>
                <w:szCs w:val="21"/>
              </w:rPr>
            </w:pPr>
            <w:r>
              <w:rPr>
                <w:rFonts w:ascii="宋体" w:hAnsi="宋体" w:cs="宋体" w:eastAsia="宋体" w:hint="default"/>
                <w:sz w:val="21"/>
                <w:szCs w:val="21"/>
              </w:rPr>
              <w:t>一种基于存储熵的存储负载均衡方法</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发明</w:t>
            </w:r>
          </w:p>
        </w:tc>
        <w:tc>
          <w:tcPr>
            <w:tcW w:w="16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83"/>
              <w:jc w:val="right"/>
              <w:rPr>
                <w:rFonts w:ascii="Times New Roman" w:hAnsi="Times New Roman" w:cs="Times New Roman" w:eastAsia="Times New Roman" w:hint="default"/>
                <w:sz w:val="21"/>
                <w:szCs w:val="21"/>
              </w:rPr>
            </w:pPr>
            <w:r>
              <w:rPr>
                <w:rFonts w:ascii="Times New Roman"/>
                <w:spacing w:val="-1"/>
                <w:sz w:val="21"/>
              </w:rPr>
              <w:t>201611146671.4</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2"/>
              <w:jc w:val="center"/>
              <w:rPr>
                <w:rFonts w:ascii="Times New Roman" w:hAnsi="Times New Roman" w:cs="Times New Roman" w:eastAsia="Times New Roman" w:hint="default"/>
                <w:sz w:val="21"/>
                <w:szCs w:val="21"/>
              </w:rPr>
            </w:pPr>
            <w:r>
              <w:rPr>
                <w:rFonts w:ascii="Times New Roman"/>
                <w:sz w:val="21"/>
              </w:rPr>
              <w:t>2019-05-14</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3375984</w:t>
            </w:r>
          </w:p>
        </w:tc>
      </w:tr>
      <w:tr>
        <w:trPr>
          <w:trHeight w:val="509" w:hRule="exact"/>
        </w:trPr>
        <w:tc>
          <w:tcPr>
            <w:tcW w:w="339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66"/>
              <w:ind w:left="4" w:right="0"/>
              <w:jc w:val="left"/>
              <w:rPr>
                <w:rFonts w:ascii="宋体" w:hAnsi="宋体" w:cs="宋体" w:eastAsia="宋体" w:hint="default"/>
                <w:sz w:val="21"/>
                <w:szCs w:val="21"/>
              </w:rPr>
            </w:pPr>
            <w:r>
              <w:rPr>
                <w:rFonts w:ascii="宋体" w:hAnsi="宋体" w:cs="宋体" w:eastAsia="宋体" w:hint="default"/>
                <w:sz w:val="21"/>
                <w:szCs w:val="21"/>
              </w:rPr>
              <w:t>一种网口延时接通的装置</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2"/>
              <w:jc w:val="center"/>
              <w:rPr>
                <w:rFonts w:ascii="宋体" w:hAnsi="宋体" w:cs="宋体" w:eastAsia="宋体" w:hint="default"/>
                <w:sz w:val="21"/>
                <w:szCs w:val="21"/>
              </w:rPr>
            </w:pPr>
            <w:r>
              <w:rPr>
                <w:rFonts w:ascii="宋体" w:hAnsi="宋体" w:cs="宋体" w:eastAsia="宋体" w:hint="default"/>
                <w:sz w:val="21"/>
                <w:szCs w:val="21"/>
              </w:rPr>
              <w:t>发明</w:t>
            </w:r>
          </w:p>
        </w:tc>
        <w:tc>
          <w:tcPr>
            <w:tcW w:w="16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6"/>
              <w:ind w:right="81"/>
              <w:jc w:val="right"/>
              <w:rPr>
                <w:rFonts w:ascii="Times New Roman" w:hAnsi="Times New Roman" w:cs="Times New Roman" w:eastAsia="Times New Roman" w:hint="default"/>
                <w:sz w:val="21"/>
                <w:szCs w:val="21"/>
              </w:rPr>
            </w:pPr>
            <w:r>
              <w:rPr>
                <w:rFonts w:ascii="Times New Roman"/>
                <w:spacing w:val="-1"/>
                <w:sz w:val="21"/>
              </w:rPr>
              <w:t>201710575456.4</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sz w:val="21"/>
              </w:rPr>
              <w:t>2019-05-14</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3374242</w:t>
            </w:r>
          </w:p>
        </w:tc>
      </w:tr>
      <w:tr>
        <w:trPr>
          <w:trHeight w:val="509" w:hRule="exact"/>
        </w:trPr>
        <w:tc>
          <w:tcPr>
            <w:tcW w:w="339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64"/>
              <w:ind w:left="4" w:right="0"/>
              <w:jc w:val="left"/>
              <w:rPr>
                <w:rFonts w:ascii="宋体" w:hAnsi="宋体" w:cs="宋体" w:eastAsia="宋体" w:hint="default"/>
                <w:sz w:val="21"/>
                <w:szCs w:val="21"/>
              </w:rPr>
            </w:pPr>
            <w:r>
              <w:rPr>
                <w:rFonts w:ascii="宋体" w:hAnsi="宋体" w:cs="宋体" w:eastAsia="宋体" w:hint="default"/>
                <w:sz w:val="21"/>
                <w:szCs w:val="21"/>
              </w:rPr>
              <w:t>智能计票一体机</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发明</w:t>
            </w:r>
          </w:p>
        </w:tc>
        <w:tc>
          <w:tcPr>
            <w:tcW w:w="16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108"/>
              <w:jc w:val="right"/>
              <w:rPr>
                <w:rFonts w:ascii="Times New Roman" w:hAnsi="Times New Roman" w:cs="Times New Roman" w:eastAsia="Times New Roman" w:hint="default"/>
                <w:sz w:val="21"/>
                <w:szCs w:val="21"/>
              </w:rPr>
            </w:pPr>
            <w:r>
              <w:rPr>
                <w:rFonts w:ascii="Times New Roman"/>
                <w:color w:val="6D6D6D"/>
                <w:w w:val="100"/>
                <w:sz w:val="21"/>
              </w:rPr>
            </w:r>
            <w:r>
              <w:rPr>
                <w:rFonts w:ascii="Times New Roman"/>
                <w:color w:val="6D6D6D"/>
                <w:spacing w:val="-1"/>
                <w:sz w:val="21"/>
                <w:u w:val="single" w:color="6D6D6D"/>
              </w:rPr>
              <w:t>2017101789460</w:t>
            </w:r>
            <w:r>
              <w:rPr>
                <w:rFonts w:ascii="Times New Roman"/>
                <w:color w:val="6D6D6D"/>
                <w:spacing w:val="-1"/>
                <w:sz w:val="21"/>
              </w:rPr>
            </w:r>
            <w:r>
              <w:rPr>
                <w:rFonts w:ascii="Times New Roman"/>
                <w:spacing w:val="-1"/>
                <w:sz w:val="21"/>
              </w:rPr>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2"/>
              <w:jc w:val="center"/>
              <w:rPr>
                <w:rFonts w:ascii="Times New Roman" w:hAnsi="Times New Roman" w:cs="Times New Roman" w:eastAsia="Times New Roman" w:hint="default"/>
                <w:sz w:val="21"/>
                <w:szCs w:val="21"/>
              </w:rPr>
            </w:pPr>
            <w:r>
              <w:rPr>
                <w:rFonts w:ascii="Times New Roman"/>
                <w:sz w:val="21"/>
              </w:rPr>
              <w:t>2019-01-29</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3227588</w:t>
            </w:r>
          </w:p>
        </w:tc>
      </w:tr>
      <w:tr>
        <w:trPr>
          <w:trHeight w:val="974" w:hRule="exact"/>
        </w:trPr>
        <w:tc>
          <w:tcPr>
            <w:tcW w:w="3396" w:type="dxa"/>
            <w:tcBorders>
              <w:top w:val="single" w:sz="12" w:space="0" w:color="000000"/>
              <w:left w:val="single" w:sz="6" w:space="0" w:color="000000"/>
              <w:bottom w:val="single" w:sz="12" w:space="0" w:color="000000"/>
              <w:right w:val="single" w:sz="12" w:space="0" w:color="000000"/>
            </w:tcBorders>
          </w:tcPr>
          <w:p>
            <w:pPr>
              <w:pStyle w:val="TableParagraph"/>
              <w:spacing w:line="408" w:lineRule="auto" w:before="64"/>
              <w:ind w:left="4" w:right="2"/>
              <w:jc w:val="left"/>
              <w:rPr>
                <w:rFonts w:ascii="宋体" w:hAnsi="宋体" w:cs="宋体" w:eastAsia="宋体" w:hint="default"/>
                <w:sz w:val="21"/>
                <w:szCs w:val="21"/>
              </w:rPr>
            </w:pPr>
            <w:r>
              <w:rPr>
                <w:rFonts w:ascii="宋体" w:hAnsi="宋体" w:cs="宋体" w:eastAsia="宋体" w:hint="default"/>
                <w:sz w:val="21"/>
                <w:szCs w:val="21"/>
              </w:rPr>
              <w:t>基于随机矩阵的独立磁盘冗余阵列容</w:t>
            </w:r>
            <w:r>
              <w:rPr>
                <w:rFonts w:ascii="宋体" w:hAnsi="宋体" w:cs="宋体" w:eastAsia="宋体" w:hint="default"/>
                <w:w w:val="100"/>
                <w:sz w:val="21"/>
                <w:szCs w:val="21"/>
              </w:rPr>
              <w:t> </w:t>
            </w:r>
            <w:r>
              <w:rPr>
                <w:rFonts w:ascii="宋体" w:hAnsi="宋体" w:cs="宋体" w:eastAsia="宋体" w:hint="default"/>
                <w:sz w:val="21"/>
                <w:szCs w:val="21"/>
              </w:rPr>
              <w:t>灾存储方法</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103"/>
              <w:jc w:val="center"/>
              <w:rPr>
                <w:rFonts w:ascii="宋体" w:hAnsi="宋体" w:cs="宋体" w:eastAsia="宋体" w:hint="default"/>
                <w:sz w:val="21"/>
                <w:szCs w:val="21"/>
              </w:rPr>
            </w:pPr>
            <w:r>
              <w:rPr>
                <w:rFonts w:ascii="宋体" w:hAnsi="宋体" w:cs="宋体" w:eastAsia="宋体" w:hint="default"/>
                <w:sz w:val="21"/>
                <w:szCs w:val="21"/>
              </w:rPr>
              <w:t>发明</w:t>
            </w:r>
          </w:p>
        </w:tc>
        <w:tc>
          <w:tcPr>
            <w:tcW w:w="16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left="-3" w:right="0"/>
              <w:jc w:val="left"/>
              <w:rPr>
                <w:rFonts w:ascii="Times New Roman" w:hAnsi="Times New Roman" w:cs="Times New Roman" w:eastAsia="Times New Roman" w:hint="default"/>
                <w:sz w:val="21"/>
                <w:szCs w:val="21"/>
              </w:rPr>
            </w:pPr>
            <w:r>
              <w:rPr>
                <w:rFonts w:ascii="Times New Roman"/>
                <w:sz w:val="21"/>
              </w:rPr>
              <w:t>201610089410.7</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2"/>
              <w:jc w:val="center"/>
              <w:rPr>
                <w:rFonts w:ascii="Times New Roman" w:hAnsi="Times New Roman" w:cs="Times New Roman" w:eastAsia="Times New Roman" w:hint="default"/>
                <w:sz w:val="21"/>
                <w:szCs w:val="21"/>
              </w:rPr>
            </w:pPr>
            <w:r>
              <w:rPr>
                <w:rFonts w:ascii="Times New Roman"/>
                <w:sz w:val="21"/>
              </w:rPr>
              <w:t>2019-08-13</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91"/>
              <w:jc w:val="center"/>
              <w:rPr>
                <w:rFonts w:ascii="Times New Roman" w:hAnsi="Times New Roman" w:cs="Times New Roman" w:eastAsia="Times New Roman" w:hint="default"/>
                <w:sz w:val="21"/>
                <w:szCs w:val="21"/>
              </w:rPr>
            </w:pPr>
            <w:r>
              <w:rPr>
                <w:rFonts w:ascii="Times New Roman"/>
                <w:sz w:val="21"/>
              </w:rPr>
              <w:t>3492112</w:t>
            </w:r>
          </w:p>
        </w:tc>
      </w:tr>
      <w:tr>
        <w:trPr>
          <w:trHeight w:val="977" w:hRule="exact"/>
        </w:trPr>
        <w:tc>
          <w:tcPr>
            <w:tcW w:w="3396" w:type="dxa"/>
            <w:tcBorders>
              <w:top w:val="single" w:sz="12" w:space="0" w:color="000000"/>
              <w:left w:val="single" w:sz="6" w:space="0" w:color="000000"/>
              <w:bottom w:val="single" w:sz="12" w:space="0" w:color="000000"/>
              <w:right w:val="single" w:sz="12" w:space="0" w:color="000000"/>
            </w:tcBorders>
          </w:tcPr>
          <w:p>
            <w:pPr>
              <w:pStyle w:val="TableParagraph"/>
              <w:spacing w:line="408" w:lineRule="auto" w:before="66"/>
              <w:ind w:left="4" w:right="2"/>
              <w:jc w:val="left"/>
              <w:rPr>
                <w:rFonts w:ascii="宋体" w:hAnsi="宋体" w:cs="宋体" w:eastAsia="宋体" w:hint="default"/>
                <w:sz w:val="21"/>
                <w:szCs w:val="21"/>
              </w:rPr>
            </w:pPr>
            <w:r>
              <w:rPr>
                <w:rFonts w:ascii="宋体" w:hAnsi="宋体" w:cs="宋体" w:eastAsia="宋体" w:hint="default"/>
                <w:sz w:val="21"/>
                <w:szCs w:val="21"/>
              </w:rPr>
              <w:t>一种采用侧开式走纸通道的选票分拣</w:t>
            </w:r>
            <w:r>
              <w:rPr>
                <w:rFonts w:ascii="宋体" w:hAnsi="宋体" w:cs="宋体" w:eastAsia="宋体" w:hint="default"/>
                <w:w w:val="100"/>
                <w:sz w:val="21"/>
                <w:szCs w:val="21"/>
              </w:rPr>
              <w:t> </w:t>
            </w:r>
            <w:r>
              <w:rPr>
                <w:rFonts w:ascii="宋体" w:hAnsi="宋体" w:cs="宋体" w:eastAsia="宋体" w:hint="default"/>
                <w:sz w:val="21"/>
                <w:szCs w:val="21"/>
              </w:rPr>
              <w:t>模块</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6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6"/>
              <w:ind w:left="-3" w:right="0"/>
              <w:jc w:val="left"/>
              <w:rPr>
                <w:rFonts w:ascii="Times New Roman" w:hAnsi="Times New Roman" w:cs="Times New Roman" w:eastAsia="Times New Roman" w:hint="default"/>
                <w:sz w:val="21"/>
                <w:szCs w:val="21"/>
              </w:rPr>
            </w:pPr>
            <w:r>
              <w:rPr>
                <w:rFonts w:ascii="Times New Roman"/>
                <w:sz w:val="21"/>
              </w:rPr>
              <w:t>201920720032.7</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sz w:val="21"/>
              </w:rPr>
              <w:t>2019-11-12</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6"/>
              <w:ind w:right="1"/>
              <w:jc w:val="center"/>
              <w:rPr>
                <w:rFonts w:ascii="Times New Roman" w:hAnsi="Times New Roman" w:cs="Times New Roman" w:eastAsia="Times New Roman" w:hint="default"/>
                <w:sz w:val="21"/>
                <w:szCs w:val="21"/>
              </w:rPr>
            </w:pPr>
            <w:r>
              <w:rPr>
                <w:rFonts w:ascii="Times New Roman"/>
                <w:sz w:val="21"/>
              </w:rPr>
              <w:t>9612443</w:t>
            </w:r>
          </w:p>
        </w:tc>
      </w:tr>
      <w:tr>
        <w:trPr>
          <w:trHeight w:val="509" w:hRule="exact"/>
        </w:trPr>
        <w:tc>
          <w:tcPr>
            <w:tcW w:w="339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64"/>
              <w:ind w:left="4" w:right="0"/>
              <w:jc w:val="left"/>
              <w:rPr>
                <w:rFonts w:ascii="宋体" w:hAnsi="宋体" w:cs="宋体" w:eastAsia="宋体" w:hint="default"/>
                <w:sz w:val="21"/>
                <w:szCs w:val="21"/>
              </w:rPr>
            </w:pPr>
            <w:r>
              <w:rPr>
                <w:rFonts w:ascii="宋体" w:hAnsi="宋体" w:cs="宋体" w:eastAsia="宋体" w:hint="default"/>
                <w:sz w:val="21"/>
                <w:szCs w:val="21"/>
              </w:rPr>
              <w:t>一种扫描选票分拣模块</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6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left="-3" w:right="0"/>
              <w:jc w:val="left"/>
              <w:rPr>
                <w:rFonts w:ascii="Times New Roman" w:hAnsi="Times New Roman" w:cs="Times New Roman" w:eastAsia="Times New Roman" w:hint="default"/>
                <w:sz w:val="21"/>
                <w:szCs w:val="21"/>
              </w:rPr>
            </w:pPr>
            <w:r>
              <w:rPr>
                <w:rFonts w:ascii="Times New Roman"/>
                <w:sz w:val="21"/>
              </w:rPr>
              <w:t>201920720553.2</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2"/>
              <w:jc w:val="center"/>
              <w:rPr>
                <w:rFonts w:ascii="Times New Roman" w:hAnsi="Times New Roman" w:cs="Times New Roman" w:eastAsia="Times New Roman" w:hint="default"/>
                <w:sz w:val="21"/>
                <w:szCs w:val="21"/>
              </w:rPr>
            </w:pPr>
            <w:r>
              <w:rPr>
                <w:rFonts w:ascii="Times New Roman"/>
                <w:sz w:val="21"/>
              </w:rPr>
              <w:t>2019-11-12</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9603398</w:t>
            </w:r>
          </w:p>
        </w:tc>
      </w:tr>
      <w:tr>
        <w:trPr>
          <w:trHeight w:val="509" w:hRule="exact"/>
        </w:trPr>
        <w:tc>
          <w:tcPr>
            <w:tcW w:w="339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64"/>
              <w:ind w:left="4" w:right="0"/>
              <w:jc w:val="left"/>
              <w:rPr>
                <w:rFonts w:ascii="宋体" w:hAnsi="宋体" w:cs="宋体" w:eastAsia="宋体" w:hint="default"/>
                <w:sz w:val="21"/>
                <w:szCs w:val="21"/>
              </w:rPr>
            </w:pPr>
            <w:r>
              <w:rPr>
                <w:rFonts w:ascii="宋体" w:hAnsi="宋体" w:cs="宋体" w:eastAsia="宋体" w:hint="default"/>
                <w:sz w:val="21"/>
                <w:szCs w:val="21"/>
              </w:rPr>
              <w:t>一种具有折叠接纸盘的选票分拣装置</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发明</w:t>
            </w:r>
          </w:p>
        </w:tc>
        <w:tc>
          <w:tcPr>
            <w:tcW w:w="16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left="-3" w:right="0"/>
              <w:jc w:val="left"/>
              <w:rPr>
                <w:rFonts w:ascii="Times New Roman" w:hAnsi="Times New Roman" w:cs="Times New Roman" w:eastAsia="Times New Roman" w:hint="default"/>
                <w:sz w:val="21"/>
                <w:szCs w:val="21"/>
              </w:rPr>
            </w:pPr>
            <w:r>
              <w:rPr>
                <w:rFonts w:ascii="Times New Roman"/>
                <w:sz w:val="21"/>
              </w:rPr>
              <w:t>201811223363.6</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2"/>
              <w:jc w:val="center"/>
              <w:rPr>
                <w:rFonts w:ascii="Times New Roman" w:hAnsi="Times New Roman" w:cs="Times New Roman" w:eastAsia="Times New Roman" w:hint="default"/>
                <w:sz w:val="21"/>
                <w:szCs w:val="21"/>
              </w:rPr>
            </w:pPr>
            <w:r>
              <w:rPr>
                <w:rFonts w:ascii="Times New Roman"/>
                <w:sz w:val="21"/>
              </w:rPr>
              <w:t>2019-10-25</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3571364</w:t>
            </w:r>
          </w:p>
        </w:tc>
      </w:tr>
    </w:tbl>
    <w:p>
      <w:pPr>
        <w:spacing w:after="0" w:line="240" w:lineRule="auto"/>
        <w:jc w:val="center"/>
        <w:rPr>
          <w:rFonts w:ascii="Times New Roman" w:hAnsi="Times New Roman" w:cs="Times New Roman" w:eastAsia="Times New Roman" w:hint="default"/>
          <w:sz w:val="21"/>
          <w:szCs w:val="21"/>
        </w:rPr>
        <w:sectPr>
          <w:pgSz w:w="11910" w:h="16840"/>
          <w:pgMar w:header="880" w:footer="977" w:top="110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1579"/>
        <w:gridCol w:w="1817"/>
        <w:gridCol w:w="1392"/>
        <w:gridCol w:w="1613"/>
        <w:gridCol w:w="1277"/>
        <w:gridCol w:w="1277"/>
      </w:tblGrid>
      <w:tr>
        <w:trPr>
          <w:trHeight w:val="511" w:hRule="exact"/>
        </w:trPr>
        <w:tc>
          <w:tcPr>
            <w:tcW w:w="3396" w:type="dxa"/>
            <w:gridSpan w:val="2"/>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4"/>
              <w:ind w:left="4" w:right="0"/>
              <w:jc w:val="left"/>
              <w:rPr>
                <w:rFonts w:ascii="宋体" w:hAnsi="宋体" w:cs="宋体" w:eastAsia="宋体" w:hint="default"/>
                <w:sz w:val="21"/>
                <w:szCs w:val="21"/>
              </w:rPr>
            </w:pPr>
            <w:r>
              <w:rPr>
                <w:rFonts w:ascii="宋体" w:hAnsi="宋体" w:cs="宋体" w:eastAsia="宋体" w:hint="default"/>
                <w:sz w:val="21"/>
                <w:szCs w:val="21"/>
              </w:rPr>
              <w:t>一种接纸盘</w:t>
            </w:r>
          </w:p>
        </w:tc>
        <w:tc>
          <w:tcPr>
            <w:tcW w:w="1392"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613"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23"/>
              <w:ind w:left="-3" w:right="0"/>
              <w:jc w:val="left"/>
              <w:rPr>
                <w:rFonts w:ascii="Times New Roman" w:hAnsi="Times New Roman" w:cs="Times New Roman" w:eastAsia="Times New Roman" w:hint="default"/>
                <w:sz w:val="21"/>
                <w:szCs w:val="21"/>
              </w:rPr>
            </w:pPr>
            <w:r>
              <w:rPr>
                <w:rFonts w:ascii="Times New Roman"/>
                <w:sz w:val="21"/>
              </w:rPr>
              <w:t>201821705877.0</w:t>
            </w:r>
          </w:p>
        </w:tc>
        <w:tc>
          <w:tcPr>
            <w:tcW w:w="1277"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23"/>
              <w:ind w:right="2"/>
              <w:jc w:val="center"/>
              <w:rPr>
                <w:rFonts w:ascii="Times New Roman" w:hAnsi="Times New Roman" w:cs="Times New Roman" w:eastAsia="Times New Roman" w:hint="default"/>
                <w:sz w:val="21"/>
                <w:szCs w:val="21"/>
              </w:rPr>
            </w:pPr>
            <w:r>
              <w:rPr>
                <w:rFonts w:ascii="Times New Roman"/>
                <w:sz w:val="21"/>
              </w:rPr>
              <w:t>2019-10-18</w:t>
            </w:r>
          </w:p>
        </w:tc>
        <w:tc>
          <w:tcPr>
            <w:tcW w:w="1277"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23"/>
              <w:ind w:right="1"/>
              <w:jc w:val="center"/>
              <w:rPr>
                <w:rFonts w:ascii="Times New Roman" w:hAnsi="Times New Roman" w:cs="Times New Roman" w:eastAsia="Times New Roman" w:hint="default"/>
                <w:sz w:val="21"/>
                <w:szCs w:val="21"/>
              </w:rPr>
            </w:pPr>
            <w:r>
              <w:rPr>
                <w:rFonts w:ascii="Times New Roman"/>
                <w:sz w:val="21"/>
              </w:rPr>
              <w:t>9498630</w:t>
            </w:r>
          </w:p>
        </w:tc>
      </w:tr>
      <w:tr>
        <w:trPr>
          <w:trHeight w:val="506" w:hRule="exact"/>
        </w:trPr>
        <w:tc>
          <w:tcPr>
            <w:tcW w:w="3396" w:type="dxa"/>
            <w:gridSpan w:val="2"/>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64"/>
              <w:ind w:left="4" w:right="0"/>
              <w:jc w:val="left"/>
              <w:rPr>
                <w:rFonts w:ascii="宋体" w:hAnsi="宋体" w:cs="宋体" w:eastAsia="宋体" w:hint="default"/>
                <w:sz w:val="21"/>
                <w:szCs w:val="21"/>
              </w:rPr>
            </w:pPr>
            <w:r>
              <w:rPr>
                <w:rFonts w:ascii="宋体" w:hAnsi="宋体" w:cs="宋体" w:eastAsia="宋体" w:hint="default"/>
                <w:sz w:val="21"/>
                <w:szCs w:val="21"/>
              </w:rPr>
              <w:t>一种侧开式走纸通道</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6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left="-3" w:right="0"/>
              <w:jc w:val="left"/>
              <w:rPr>
                <w:rFonts w:ascii="Times New Roman" w:hAnsi="Times New Roman" w:cs="Times New Roman" w:eastAsia="Times New Roman" w:hint="default"/>
                <w:sz w:val="21"/>
                <w:szCs w:val="21"/>
              </w:rPr>
            </w:pPr>
            <w:r>
              <w:rPr>
                <w:rFonts w:ascii="Times New Roman"/>
                <w:sz w:val="21"/>
              </w:rPr>
              <w:t>201821706103.X</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2"/>
              <w:jc w:val="center"/>
              <w:rPr>
                <w:rFonts w:ascii="Times New Roman" w:hAnsi="Times New Roman" w:cs="Times New Roman" w:eastAsia="Times New Roman" w:hint="default"/>
                <w:sz w:val="21"/>
                <w:szCs w:val="21"/>
              </w:rPr>
            </w:pPr>
            <w:r>
              <w:rPr>
                <w:rFonts w:ascii="Times New Roman"/>
                <w:sz w:val="21"/>
              </w:rPr>
              <w:t>2019-07-09</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9061565</w:t>
            </w:r>
          </w:p>
        </w:tc>
      </w:tr>
      <w:tr>
        <w:trPr>
          <w:trHeight w:val="509" w:hRule="exact"/>
        </w:trPr>
        <w:tc>
          <w:tcPr>
            <w:tcW w:w="3396" w:type="dxa"/>
            <w:gridSpan w:val="2"/>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66"/>
              <w:ind w:left="4" w:right="0"/>
              <w:jc w:val="left"/>
              <w:rPr>
                <w:rFonts w:ascii="宋体" w:hAnsi="宋体" w:cs="宋体" w:eastAsia="宋体" w:hint="default"/>
                <w:sz w:val="21"/>
                <w:szCs w:val="21"/>
              </w:rPr>
            </w:pPr>
            <w:r>
              <w:rPr>
                <w:rFonts w:ascii="宋体" w:hAnsi="宋体" w:cs="宋体" w:eastAsia="宋体" w:hint="default"/>
                <w:sz w:val="21"/>
                <w:szCs w:val="21"/>
              </w:rPr>
              <w:t>一种选票分拣装置</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6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6"/>
              <w:ind w:left="-3" w:right="0"/>
              <w:jc w:val="left"/>
              <w:rPr>
                <w:rFonts w:ascii="Times New Roman" w:hAnsi="Times New Roman" w:cs="Times New Roman" w:eastAsia="Times New Roman" w:hint="default"/>
                <w:sz w:val="21"/>
                <w:szCs w:val="21"/>
              </w:rPr>
            </w:pPr>
            <w:r>
              <w:rPr>
                <w:rFonts w:ascii="Times New Roman"/>
                <w:sz w:val="21"/>
              </w:rPr>
              <w:t>201821706136.4</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sz w:val="21"/>
              </w:rPr>
              <w:t>2019-10-01</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6"/>
              <w:ind w:right="1"/>
              <w:jc w:val="center"/>
              <w:rPr>
                <w:rFonts w:ascii="Times New Roman" w:hAnsi="Times New Roman" w:cs="Times New Roman" w:eastAsia="Times New Roman" w:hint="default"/>
                <w:sz w:val="21"/>
                <w:szCs w:val="21"/>
              </w:rPr>
            </w:pPr>
            <w:r>
              <w:rPr>
                <w:rFonts w:ascii="Times New Roman"/>
                <w:sz w:val="21"/>
              </w:rPr>
              <w:t>9435158</w:t>
            </w:r>
          </w:p>
        </w:tc>
      </w:tr>
      <w:tr>
        <w:trPr>
          <w:trHeight w:val="509" w:hRule="exact"/>
        </w:trPr>
        <w:tc>
          <w:tcPr>
            <w:tcW w:w="3396" w:type="dxa"/>
            <w:gridSpan w:val="2"/>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64"/>
              <w:ind w:left="4" w:right="0"/>
              <w:jc w:val="left"/>
              <w:rPr>
                <w:rFonts w:ascii="宋体" w:hAnsi="宋体" w:cs="宋体" w:eastAsia="宋体" w:hint="default"/>
                <w:sz w:val="21"/>
                <w:szCs w:val="21"/>
              </w:rPr>
            </w:pPr>
            <w:r>
              <w:rPr>
                <w:rFonts w:ascii="宋体" w:hAnsi="宋体" w:cs="宋体" w:eastAsia="宋体" w:hint="default"/>
                <w:sz w:val="21"/>
                <w:szCs w:val="21"/>
              </w:rPr>
              <w:t>一种接纸延长板</w:t>
            </w:r>
          </w:p>
        </w:tc>
        <w:tc>
          <w:tcPr>
            <w:tcW w:w="13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6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left="-3" w:right="0"/>
              <w:jc w:val="left"/>
              <w:rPr>
                <w:rFonts w:ascii="Times New Roman" w:hAnsi="Times New Roman" w:cs="Times New Roman" w:eastAsia="Times New Roman" w:hint="default"/>
                <w:sz w:val="21"/>
                <w:szCs w:val="21"/>
              </w:rPr>
            </w:pPr>
            <w:r>
              <w:rPr>
                <w:rFonts w:ascii="Times New Roman"/>
                <w:sz w:val="21"/>
              </w:rPr>
              <w:t>201821706140.0</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2"/>
              <w:jc w:val="center"/>
              <w:rPr>
                <w:rFonts w:ascii="Times New Roman" w:hAnsi="Times New Roman" w:cs="Times New Roman" w:eastAsia="Times New Roman" w:hint="default"/>
                <w:sz w:val="21"/>
                <w:szCs w:val="21"/>
              </w:rPr>
            </w:pPr>
            <w:r>
              <w:rPr>
                <w:rFonts w:ascii="Times New Roman"/>
                <w:sz w:val="21"/>
              </w:rPr>
              <w:t>2019-07-09</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9069757</w:t>
            </w:r>
          </w:p>
        </w:tc>
      </w:tr>
      <w:tr>
        <w:trPr>
          <w:trHeight w:val="506" w:hRule="exact"/>
        </w:trPr>
        <w:tc>
          <w:tcPr>
            <w:tcW w:w="157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64"/>
              <w:ind w:left="9" w:right="0"/>
              <w:jc w:val="center"/>
              <w:rPr>
                <w:rFonts w:ascii="宋体" w:hAnsi="宋体" w:cs="宋体" w:eastAsia="宋体" w:hint="default"/>
                <w:sz w:val="21"/>
                <w:szCs w:val="21"/>
              </w:rPr>
            </w:pPr>
            <w:r>
              <w:rPr>
                <w:rFonts w:ascii="宋体" w:hAnsi="宋体" w:cs="宋体" w:eastAsia="宋体" w:hint="default"/>
                <w:sz w:val="21"/>
                <w:szCs w:val="21"/>
              </w:rPr>
              <w:t>证书编号</w:t>
            </w:r>
          </w:p>
        </w:tc>
        <w:tc>
          <w:tcPr>
            <w:tcW w:w="4822"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取得方式</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发证日期</w:t>
            </w:r>
          </w:p>
        </w:tc>
      </w:tr>
      <w:tr>
        <w:trPr>
          <w:trHeight w:val="509" w:hRule="exact"/>
        </w:trPr>
        <w:tc>
          <w:tcPr>
            <w:tcW w:w="157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6"/>
              <w:ind w:left="9" w:right="0"/>
              <w:jc w:val="center"/>
              <w:rPr>
                <w:rFonts w:ascii="Times New Roman" w:hAnsi="Times New Roman" w:cs="Times New Roman" w:eastAsia="Times New Roman" w:hint="default"/>
                <w:sz w:val="21"/>
                <w:szCs w:val="21"/>
              </w:rPr>
            </w:pPr>
            <w:r>
              <w:rPr>
                <w:rFonts w:ascii="Times New Roman"/>
                <w:sz w:val="21"/>
              </w:rPr>
              <w:t>4002668</w:t>
            </w:r>
          </w:p>
        </w:tc>
        <w:tc>
          <w:tcPr>
            <w:tcW w:w="4822"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left="-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统计数据采集处理系统</w:t>
            </w:r>
            <w:r>
              <w:rPr>
                <w:rFonts w:ascii="Times New Roman" w:hAnsi="Times New Roman" w:cs="Times New Roman" w:eastAsia="Times New Roman" w:hint="default"/>
                <w:sz w:val="21"/>
                <w:szCs w:val="21"/>
              </w:rPr>
              <w:t>V1.0</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sz w:val="21"/>
              </w:rPr>
              <w:t>2019-06-06</w:t>
            </w:r>
          </w:p>
        </w:tc>
      </w:tr>
      <w:tr>
        <w:trPr>
          <w:trHeight w:val="509" w:hRule="exact"/>
        </w:trPr>
        <w:tc>
          <w:tcPr>
            <w:tcW w:w="157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3"/>
              <w:ind w:left="9" w:right="0"/>
              <w:jc w:val="center"/>
              <w:rPr>
                <w:rFonts w:ascii="Times New Roman" w:hAnsi="Times New Roman" w:cs="Times New Roman" w:eastAsia="Times New Roman" w:hint="default"/>
                <w:sz w:val="21"/>
                <w:szCs w:val="21"/>
              </w:rPr>
            </w:pPr>
            <w:r>
              <w:rPr>
                <w:rFonts w:ascii="Times New Roman"/>
                <w:sz w:val="21"/>
              </w:rPr>
              <w:t>3919130</w:t>
            </w:r>
          </w:p>
        </w:tc>
        <w:tc>
          <w:tcPr>
            <w:tcW w:w="4822"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left="-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投资项目监测分析平台</w:t>
            </w:r>
            <w:r>
              <w:rPr>
                <w:rFonts w:ascii="Times New Roman" w:hAnsi="Times New Roman" w:cs="Times New Roman" w:eastAsia="Times New Roman" w:hint="default"/>
                <w:sz w:val="21"/>
                <w:szCs w:val="21"/>
              </w:rPr>
              <w:t>V1.0</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2"/>
              <w:jc w:val="center"/>
              <w:rPr>
                <w:rFonts w:ascii="Times New Roman" w:hAnsi="Times New Roman" w:cs="Times New Roman" w:eastAsia="Times New Roman" w:hint="default"/>
                <w:sz w:val="21"/>
                <w:szCs w:val="21"/>
              </w:rPr>
            </w:pPr>
            <w:r>
              <w:rPr>
                <w:rFonts w:ascii="Times New Roman"/>
                <w:sz w:val="21"/>
              </w:rPr>
              <w:t>2019-05-22</w:t>
            </w:r>
          </w:p>
        </w:tc>
      </w:tr>
      <w:tr>
        <w:trPr>
          <w:trHeight w:val="506" w:hRule="exact"/>
        </w:trPr>
        <w:tc>
          <w:tcPr>
            <w:tcW w:w="157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3"/>
              <w:ind w:left="9" w:right="0"/>
              <w:jc w:val="center"/>
              <w:rPr>
                <w:rFonts w:ascii="Times New Roman" w:hAnsi="Times New Roman" w:cs="Times New Roman" w:eastAsia="Times New Roman" w:hint="default"/>
                <w:sz w:val="21"/>
                <w:szCs w:val="21"/>
              </w:rPr>
            </w:pPr>
            <w:r>
              <w:rPr>
                <w:rFonts w:ascii="Times New Roman"/>
                <w:sz w:val="21"/>
              </w:rPr>
              <w:t>3914722</w:t>
            </w:r>
          </w:p>
        </w:tc>
        <w:tc>
          <w:tcPr>
            <w:tcW w:w="4822"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left="-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统计移动服务平台</w:t>
            </w:r>
            <w:r>
              <w:rPr>
                <w:rFonts w:ascii="Times New Roman" w:hAnsi="Times New Roman" w:cs="Times New Roman" w:eastAsia="Times New Roman" w:hint="default"/>
                <w:sz w:val="21"/>
                <w:szCs w:val="21"/>
              </w:rPr>
              <w:t>V1.0</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2"/>
              <w:jc w:val="center"/>
              <w:rPr>
                <w:rFonts w:ascii="Times New Roman" w:hAnsi="Times New Roman" w:cs="Times New Roman" w:eastAsia="Times New Roman" w:hint="default"/>
                <w:sz w:val="21"/>
                <w:szCs w:val="21"/>
              </w:rPr>
            </w:pPr>
            <w:r>
              <w:rPr>
                <w:rFonts w:ascii="Times New Roman"/>
                <w:sz w:val="21"/>
              </w:rPr>
              <w:t>2019-05-21</w:t>
            </w:r>
          </w:p>
        </w:tc>
      </w:tr>
      <w:tr>
        <w:trPr>
          <w:trHeight w:val="509" w:hRule="exact"/>
        </w:trPr>
        <w:tc>
          <w:tcPr>
            <w:tcW w:w="157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6"/>
              <w:ind w:left="9" w:right="0"/>
              <w:jc w:val="center"/>
              <w:rPr>
                <w:rFonts w:ascii="Times New Roman" w:hAnsi="Times New Roman" w:cs="Times New Roman" w:eastAsia="Times New Roman" w:hint="default"/>
                <w:sz w:val="21"/>
                <w:szCs w:val="21"/>
              </w:rPr>
            </w:pPr>
            <w:r>
              <w:rPr>
                <w:rFonts w:ascii="Times New Roman"/>
                <w:sz w:val="21"/>
              </w:rPr>
              <w:t>3589303</w:t>
            </w:r>
          </w:p>
        </w:tc>
        <w:tc>
          <w:tcPr>
            <w:tcW w:w="4822"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left="-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多模态小型临床超声监测系统</w:t>
            </w:r>
            <w:r>
              <w:rPr>
                <w:rFonts w:ascii="Times New Roman" w:hAnsi="Times New Roman" w:cs="Times New Roman" w:eastAsia="Times New Roman" w:hint="default"/>
                <w:sz w:val="21"/>
                <w:szCs w:val="21"/>
              </w:rPr>
              <w:t>1.0.0</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sz w:val="21"/>
              </w:rPr>
              <w:t>2019-02-21</w:t>
            </w:r>
          </w:p>
        </w:tc>
      </w:tr>
      <w:tr>
        <w:trPr>
          <w:trHeight w:val="509" w:hRule="exact"/>
        </w:trPr>
        <w:tc>
          <w:tcPr>
            <w:tcW w:w="157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3"/>
              <w:ind w:left="9" w:right="0"/>
              <w:jc w:val="center"/>
              <w:rPr>
                <w:rFonts w:ascii="Times New Roman" w:hAnsi="Times New Roman" w:cs="Times New Roman" w:eastAsia="Times New Roman" w:hint="default"/>
                <w:sz w:val="21"/>
                <w:szCs w:val="21"/>
              </w:rPr>
            </w:pPr>
            <w:r>
              <w:rPr>
                <w:rFonts w:ascii="Times New Roman"/>
                <w:sz w:val="21"/>
              </w:rPr>
              <w:t>3589314</w:t>
            </w:r>
          </w:p>
        </w:tc>
        <w:tc>
          <w:tcPr>
            <w:tcW w:w="4822"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left="-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中科云超声病例库移动端管理系统</w:t>
            </w:r>
            <w:r>
              <w:rPr>
                <w:rFonts w:ascii="Times New Roman" w:hAnsi="Times New Roman" w:cs="Times New Roman" w:eastAsia="Times New Roman" w:hint="default"/>
                <w:sz w:val="21"/>
                <w:szCs w:val="21"/>
              </w:rPr>
              <w:t>1.1.2</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2"/>
              <w:jc w:val="center"/>
              <w:rPr>
                <w:rFonts w:ascii="Times New Roman" w:hAnsi="Times New Roman" w:cs="Times New Roman" w:eastAsia="Times New Roman" w:hint="default"/>
                <w:sz w:val="21"/>
                <w:szCs w:val="21"/>
              </w:rPr>
            </w:pPr>
            <w:r>
              <w:rPr>
                <w:rFonts w:ascii="Times New Roman"/>
                <w:sz w:val="21"/>
              </w:rPr>
              <w:t>2019-02-21</w:t>
            </w:r>
          </w:p>
        </w:tc>
      </w:tr>
      <w:tr>
        <w:trPr>
          <w:trHeight w:val="506" w:hRule="exact"/>
        </w:trPr>
        <w:tc>
          <w:tcPr>
            <w:tcW w:w="157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3"/>
              <w:ind w:left="9" w:right="0"/>
              <w:jc w:val="center"/>
              <w:rPr>
                <w:rFonts w:ascii="Times New Roman" w:hAnsi="Times New Roman" w:cs="Times New Roman" w:eastAsia="Times New Roman" w:hint="default"/>
                <w:sz w:val="21"/>
                <w:szCs w:val="21"/>
              </w:rPr>
            </w:pPr>
            <w:r>
              <w:rPr>
                <w:rFonts w:ascii="Times New Roman"/>
                <w:sz w:val="21"/>
              </w:rPr>
              <w:t>3630965</w:t>
            </w:r>
          </w:p>
        </w:tc>
        <w:tc>
          <w:tcPr>
            <w:tcW w:w="4822"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left="-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数据资源目录管理平台</w:t>
            </w:r>
            <w:r>
              <w:rPr>
                <w:rFonts w:ascii="Times New Roman" w:hAnsi="Times New Roman" w:cs="Times New Roman" w:eastAsia="Times New Roman" w:hint="default"/>
                <w:sz w:val="21"/>
                <w:szCs w:val="21"/>
              </w:rPr>
              <w:t>V1.0</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2"/>
              <w:jc w:val="center"/>
              <w:rPr>
                <w:rFonts w:ascii="Times New Roman" w:hAnsi="Times New Roman" w:cs="Times New Roman" w:eastAsia="Times New Roman" w:hint="default"/>
                <w:sz w:val="21"/>
                <w:szCs w:val="21"/>
              </w:rPr>
            </w:pPr>
            <w:r>
              <w:rPr>
                <w:rFonts w:ascii="Times New Roman"/>
                <w:sz w:val="21"/>
              </w:rPr>
              <w:t>2019-03-05</w:t>
            </w:r>
          </w:p>
        </w:tc>
      </w:tr>
      <w:tr>
        <w:trPr>
          <w:trHeight w:val="509" w:hRule="exact"/>
        </w:trPr>
        <w:tc>
          <w:tcPr>
            <w:tcW w:w="157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6"/>
              <w:ind w:left="9" w:right="0"/>
              <w:jc w:val="center"/>
              <w:rPr>
                <w:rFonts w:ascii="Times New Roman" w:hAnsi="Times New Roman" w:cs="Times New Roman" w:eastAsia="Times New Roman" w:hint="default"/>
                <w:sz w:val="21"/>
                <w:szCs w:val="21"/>
              </w:rPr>
            </w:pPr>
            <w:r>
              <w:rPr>
                <w:rFonts w:ascii="Times New Roman"/>
                <w:sz w:val="21"/>
              </w:rPr>
              <w:t>4206522</w:t>
            </w:r>
          </w:p>
        </w:tc>
        <w:tc>
          <w:tcPr>
            <w:tcW w:w="4822"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left="-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楼宇经济管理平台</w:t>
            </w:r>
            <w:r>
              <w:rPr>
                <w:rFonts w:ascii="Times New Roman" w:hAnsi="Times New Roman" w:cs="Times New Roman" w:eastAsia="Times New Roman" w:hint="default"/>
                <w:sz w:val="21"/>
                <w:szCs w:val="21"/>
              </w:rPr>
              <w:t>V1.0</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sz w:val="21"/>
              </w:rPr>
              <w:t>2019-07-29</w:t>
            </w:r>
          </w:p>
        </w:tc>
      </w:tr>
      <w:tr>
        <w:trPr>
          <w:trHeight w:val="509" w:hRule="exact"/>
        </w:trPr>
        <w:tc>
          <w:tcPr>
            <w:tcW w:w="157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3"/>
              <w:ind w:left="9" w:right="0"/>
              <w:jc w:val="center"/>
              <w:rPr>
                <w:rFonts w:ascii="Times New Roman" w:hAnsi="Times New Roman" w:cs="Times New Roman" w:eastAsia="Times New Roman" w:hint="default"/>
                <w:sz w:val="21"/>
                <w:szCs w:val="21"/>
              </w:rPr>
            </w:pPr>
            <w:r>
              <w:rPr>
                <w:rFonts w:ascii="Times New Roman"/>
                <w:sz w:val="21"/>
              </w:rPr>
              <w:t>4426998</w:t>
            </w:r>
          </w:p>
        </w:tc>
        <w:tc>
          <w:tcPr>
            <w:tcW w:w="4822"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left="-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卷烟装封箱缺条检测软件</w:t>
            </w:r>
            <w:r>
              <w:rPr>
                <w:rFonts w:ascii="Times New Roman" w:hAnsi="Times New Roman" w:cs="Times New Roman" w:eastAsia="Times New Roman" w:hint="default"/>
                <w:sz w:val="21"/>
                <w:szCs w:val="21"/>
              </w:rPr>
              <w:t>2.0.0</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2"/>
              <w:jc w:val="center"/>
              <w:rPr>
                <w:rFonts w:ascii="Times New Roman" w:hAnsi="Times New Roman" w:cs="Times New Roman" w:eastAsia="Times New Roman" w:hint="default"/>
                <w:sz w:val="21"/>
                <w:szCs w:val="21"/>
              </w:rPr>
            </w:pPr>
            <w:r>
              <w:rPr>
                <w:rFonts w:ascii="Times New Roman"/>
                <w:sz w:val="21"/>
              </w:rPr>
              <w:t>2019-09-29</w:t>
            </w:r>
          </w:p>
        </w:tc>
      </w:tr>
      <w:tr>
        <w:trPr>
          <w:trHeight w:val="506" w:hRule="exact"/>
        </w:trPr>
        <w:tc>
          <w:tcPr>
            <w:tcW w:w="157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3"/>
              <w:ind w:left="9" w:right="0"/>
              <w:jc w:val="center"/>
              <w:rPr>
                <w:rFonts w:ascii="Times New Roman" w:hAnsi="Times New Roman" w:cs="Times New Roman" w:eastAsia="Times New Roman" w:hint="default"/>
                <w:sz w:val="21"/>
                <w:szCs w:val="21"/>
              </w:rPr>
            </w:pPr>
            <w:r>
              <w:rPr>
                <w:rFonts w:ascii="Times New Roman"/>
                <w:sz w:val="21"/>
              </w:rPr>
              <w:t>4374811</w:t>
            </w:r>
          </w:p>
        </w:tc>
        <w:tc>
          <w:tcPr>
            <w:tcW w:w="4822"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left="-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高危作业智能行为识别平台</w:t>
            </w:r>
            <w:r>
              <w:rPr>
                <w:rFonts w:ascii="Times New Roman" w:hAnsi="Times New Roman" w:cs="Times New Roman" w:eastAsia="Times New Roman" w:hint="default"/>
                <w:sz w:val="21"/>
                <w:szCs w:val="21"/>
              </w:rPr>
              <w:t>1.0</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2"/>
              <w:jc w:val="center"/>
              <w:rPr>
                <w:rFonts w:ascii="Times New Roman" w:hAnsi="Times New Roman" w:cs="Times New Roman" w:eastAsia="Times New Roman" w:hint="default"/>
                <w:sz w:val="21"/>
                <w:szCs w:val="21"/>
              </w:rPr>
            </w:pPr>
            <w:r>
              <w:rPr>
                <w:rFonts w:ascii="Times New Roman"/>
                <w:sz w:val="21"/>
              </w:rPr>
              <w:t>2019-09-16</w:t>
            </w:r>
          </w:p>
        </w:tc>
      </w:tr>
      <w:tr>
        <w:trPr>
          <w:trHeight w:val="509" w:hRule="exact"/>
        </w:trPr>
        <w:tc>
          <w:tcPr>
            <w:tcW w:w="157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6"/>
              <w:ind w:left="9" w:right="0"/>
              <w:jc w:val="center"/>
              <w:rPr>
                <w:rFonts w:ascii="Times New Roman" w:hAnsi="Times New Roman" w:cs="Times New Roman" w:eastAsia="Times New Roman" w:hint="default"/>
                <w:sz w:val="21"/>
                <w:szCs w:val="21"/>
              </w:rPr>
            </w:pPr>
            <w:r>
              <w:rPr>
                <w:rFonts w:ascii="Times New Roman"/>
                <w:sz w:val="21"/>
              </w:rPr>
              <w:t>4377968</w:t>
            </w:r>
          </w:p>
        </w:tc>
        <w:tc>
          <w:tcPr>
            <w:tcW w:w="4822"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left="-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高危作业智能分析管控平台</w:t>
            </w:r>
            <w:r>
              <w:rPr>
                <w:rFonts w:ascii="Times New Roman" w:hAnsi="Times New Roman" w:cs="Times New Roman" w:eastAsia="Times New Roman" w:hint="default"/>
                <w:sz w:val="21"/>
                <w:szCs w:val="21"/>
              </w:rPr>
              <w:t>1.0</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sz w:val="21"/>
              </w:rPr>
              <w:t>2019-09-16</w:t>
            </w:r>
          </w:p>
        </w:tc>
      </w:tr>
      <w:tr>
        <w:trPr>
          <w:trHeight w:val="509" w:hRule="exact"/>
        </w:trPr>
        <w:tc>
          <w:tcPr>
            <w:tcW w:w="157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3"/>
              <w:ind w:left="9" w:right="0"/>
              <w:jc w:val="center"/>
              <w:rPr>
                <w:rFonts w:ascii="Times New Roman" w:hAnsi="Times New Roman" w:cs="Times New Roman" w:eastAsia="Times New Roman" w:hint="default"/>
                <w:sz w:val="21"/>
                <w:szCs w:val="21"/>
              </w:rPr>
            </w:pPr>
            <w:r>
              <w:rPr>
                <w:rFonts w:ascii="Times New Roman"/>
                <w:sz w:val="21"/>
              </w:rPr>
              <w:t>4554772</w:t>
            </w:r>
          </w:p>
        </w:tc>
        <w:tc>
          <w:tcPr>
            <w:tcW w:w="4822"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left="-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县乡人大选民在线自助登记软件</w:t>
            </w:r>
            <w:r>
              <w:rPr>
                <w:rFonts w:ascii="Times New Roman" w:hAnsi="Times New Roman" w:cs="Times New Roman" w:eastAsia="Times New Roman" w:hint="default"/>
                <w:sz w:val="21"/>
                <w:szCs w:val="21"/>
              </w:rPr>
              <w:t>V1.0</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2"/>
              <w:jc w:val="center"/>
              <w:rPr>
                <w:rFonts w:ascii="Times New Roman" w:hAnsi="Times New Roman" w:cs="Times New Roman" w:eastAsia="Times New Roman" w:hint="default"/>
                <w:sz w:val="21"/>
                <w:szCs w:val="21"/>
              </w:rPr>
            </w:pPr>
            <w:r>
              <w:rPr>
                <w:rFonts w:ascii="Times New Roman"/>
                <w:sz w:val="21"/>
              </w:rPr>
              <w:t>2019-11-09</w:t>
            </w:r>
          </w:p>
        </w:tc>
      </w:tr>
      <w:tr>
        <w:trPr>
          <w:trHeight w:val="506" w:hRule="exact"/>
        </w:trPr>
        <w:tc>
          <w:tcPr>
            <w:tcW w:w="157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3"/>
              <w:ind w:left="9" w:right="0"/>
              <w:jc w:val="center"/>
              <w:rPr>
                <w:rFonts w:ascii="Times New Roman" w:hAnsi="Times New Roman" w:cs="Times New Roman" w:eastAsia="Times New Roman" w:hint="default"/>
                <w:sz w:val="21"/>
                <w:szCs w:val="21"/>
              </w:rPr>
            </w:pPr>
            <w:r>
              <w:rPr>
                <w:rFonts w:ascii="Times New Roman"/>
                <w:sz w:val="21"/>
              </w:rPr>
              <w:t>4554744</w:t>
            </w:r>
          </w:p>
        </w:tc>
        <w:tc>
          <w:tcPr>
            <w:tcW w:w="4822"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left="-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县乡人大选民登记管理系统</w:t>
            </w:r>
            <w:r>
              <w:rPr>
                <w:rFonts w:ascii="Times New Roman" w:hAnsi="Times New Roman" w:cs="Times New Roman" w:eastAsia="Times New Roman" w:hint="default"/>
                <w:sz w:val="21"/>
                <w:szCs w:val="21"/>
              </w:rPr>
              <w:t>V1.0</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3"/>
              <w:ind w:right="2"/>
              <w:jc w:val="center"/>
              <w:rPr>
                <w:rFonts w:ascii="Times New Roman" w:hAnsi="Times New Roman" w:cs="Times New Roman" w:eastAsia="Times New Roman" w:hint="default"/>
                <w:sz w:val="21"/>
                <w:szCs w:val="21"/>
              </w:rPr>
            </w:pPr>
            <w:r>
              <w:rPr>
                <w:rFonts w:ascii="Times New Roman"/>
                <w:sz w:val="21"/>
              </w:rPr>
              <w:t>2019-11-09</w:t>
            </w:r>
          </w:p>
        </w:tc>
      </w:tr>
      <w:tr>
        <w:trPr>
          <w:trHeight w:val="509" w:hRule="exact"/>
        </w:trPr>
        <w:tc>
          <w:tcPr>
            <w:tcW w:w="157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6"/>
              <w:ind w:left="9" w:right="0"/>
              <w:jc w:val="center"/>
              <w:rPr>
                <w:rFonts w:ascii="Times New Roman" w:hAnsi="Times New Roman" w:cs="Times New Roman" w:eastAsia="Times New Roman" w:hint="default"/>
                <w:sz w:val="21"/>
                <w:szCs w:val="21"/>
              </w:rPr>
            </w:pPr>
            <w:r>
              <w:rPr>
                <w:rFonts w:ascii="Times New Roman"/>
                <w:sz w:val="21"/>
              </w:rPr>
              <w:t>4554779</w:t>
            </w:r>
          </w:p>
        </w:tc>
        <w:tc>
          <w:tcPr>
            <w:tcW w:w="4822"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left="-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县乡人大选民登记查询软件</w:t>
            </w:r>
            <w:r>
              <w:rPr>
                <w:rFonts w:ascii="Times New Roman" w:hAnsi="Times New Roman" w:cs="Times New Roman" w:eastAsia="Times New Roman" w:hint="default"/>
                <w:sz w:val="21"/>
                <w:szCs w:val="21"/>
              </w:rPr>
              <w:t>V1.0</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sz w:val="21"/>
              </w:rPr>
              <w:t>2019-11-09</w:t>
            </w:r>
          </w:p>
        </w:tc>
      </w:tr>
    </w:tbl>
    <w:p>
      <w:pPr>
        <w:pStyle w:val="BodyText"/>
        <w:spacing w:line="393" w:lineRule="auto" w:before="64"/>
        <w:ind w:right="1128" w:firstLine="420"/>
        <w:jc w:val="both"/>
      </w:pPr>
      <w:r>
        <w:rPr/>
        <w:t>公司先后独立或参与建设了</w:t>
      </w:r>
      <w:r>
        <w:rPr>
          <w:rFonts w:ascii="Times New Roman" w:hAnsi="Times New Roman" w:cs="Times New Roman" w:eastAsia="Times New Roman" w:hint="default"/>
        </w:rPr>
        <w:t>“</w:t>
      </w:r>
      <w:r>
        <w:rPr/>
        <w:t>中科信息</w:t>
      </w:r>
      <w:r>
        <w:rPr>
          <w:rFonts w:ascii="Times New Roman" w:hAnsi="Times New Roman" w:cs="Times New Roman" w:eastAsia="Times New Roman" w:hint="default"/>
        </w:rPr>
        <w:t>-</w:t>
      </w:r>
      <w:r>
        <w:rPr/>
        <w:t>成都信息工程大学机器视觉联合实验室</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四川省企业技术中</w:t>
      </w:r>
      <w:r>
        <w:rPr>
          <w:w w:val="100"/>
        </w:rPr>
        <w:t> </w:t>
      </w:r>
      <w:r>
        <w:rPr/>
        <w:t>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成都物联网研发中心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智能医学创新培训中心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四川省计算机学会虚拟仿真专委会</w:t>
      </w:r>
      <w:r>
        <w:rPr>
          <w:rFonts w:ascii="Times New Roman" w:hAnsi="Times New Roman" w:cs="Times New Roman" w:eastAsia="Times New Roman" w:hint="default"/>
        </w:rPr>
        <w:t>”</w:t>
      </w:r>
      <w:r>
        <w:rPr>
          <w:rFonts w:ascii="Times New Roman" w:hAnsi="Times New Roman" w:cs="Times New Roman" w:eastAsia="Times New Roman" w:hint="default"/>
          <w:spacing w:val="21"/>
        </w:rPr>
        <w:t> </w:t>
      </w:r>
      <w:r>
        <w:rPr>
          <w:spacing w:val="-3"/>
        </w:rPr>
        <w:t>、</w:t>
      </w:r>
      <w:r>
        <w:rPr>
          <w:rFonts w:ascii="Times New Roman" w:hAnsi="Times New Roman" w:cs="Times New Roman" w:eastAsia="Times New Roman" w:hint="default"/>
          <w:spacing w:val="-3"/>
        </w:rPr>
        <w:t>“</w:t>
      </w:r>
      <w:r>
        <w:rPr>
          <w:spacing w:val="-3"/>
        </w:rPr>
        <w:t>四川省</w:t>
      </w:r>
      <w:r>
        <w:rPr>
          <w:spacing w:val="-3"/>
          <w:w w:val="100"/>
        </w:rPr>
        <w:t> </w:t>
      </w:r>
      <w:r>
        <w:rPr/>
        <w:t>肿瘤学会人工智能与大数据专委会</w:t>
      </w:r>
      <w:r>
        <w:rPr>
          <w:rFonts w:ascii="Times New Roman" w:hAnsi="Times New Roman" w:cs="Times New Roman" w:eastAsia="Times New Roman" w:hint="default"/>
        </w:rPr>
        <w:t>”</w:t>
      </w:r>
      <w:r>
        <w:rPr/>
        <w:t>等多个创新平台。报告期内，公司与湖北省烟草公司共建了</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智慧鄂烟</w:t>
      </w:r>
      <w:r>
        <w:rPr>
          <w:rFonts w:ascii="Times New Roman" w:hAnsi="Times New Roman" w:cs="Times New Roman" w:eastAsia="Times New Roman" w:hint="default"/>
        </w:rPr>
        <w:t>”</w:t>
      </w:r>
      <w:r>
        <w:rPr/>
        <w:t>联合实验室，推动多方在战略合作中实现新跨越，共同探索以建立良性循环发展机制为保障的</w:t>
      </w:r>
      <w:r>
        <w:rPr>
          <w:spacing w:val="-17"/>
        </w:rPr>
        <w:t> </w:t>
      </w:r>
      <w:r>
        <w:rPr>
          <w:spacing w:val="-17"/>
        </w:rPr>
      </w:r>
      <w:r>
        <w:rPr>
          <w:spacing w:val="-3"/>
        </w:rPr>
        <w:t>联合实验室机制，推动互联网</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5G </w:t>
      </w:r>
      <w:r>
        <w:rPr>
          <w:spacing w:val="-3"/>
        </w:rPr>
        <w:t>技术、大数据移动应用、物联网、人工智能等信息化前沿技术在烟草</w:t>
      </w:r>
      <w:r>
        <w:rPr>
          <w:spacing w:val="-53"/>
        </w:rPr>
        <w:t> </w:t>
      </w:r>
      <w:r>
        <w:rPr>
          <w:spacing w:val="-53"/>
        </w:rPr>
      </w:r>
      <w:r>
        <w:rPr>
          <w:spacing w:val="-2"/>
        </w:rPr>
        <w:t>行业的融合和创新。公司与中国民用航空总局第二研究所签署了智慧民航科技合作协议，在民航信息化和</w:t>
      </w:r>
      <w:r>
        <w:rPr>
          <w:spacing w:val="-42"/>
        </w:rPr>
        <w:t> </w:t>
      </w:r>
      <w:r>
        <w:rPr>
          <w:spacing w:val="-42"/>
        </w:rPr>
      </w:r>
      <w:r>
        <w:rPr>
          <w:spacing w:val="-2"/>
        </w:rPr>
        <w:t>信息安全、机场工程、空中交通管理、机场运行管理、航空公司运营管理等领域开展人工智能、大数据等</w:t>
      </w:r>
      <w:r>
        <w:rPr>
          <w:spacing w:val="-43"/>
        </w:rPr>
        <w:t> </w:t>
      </w:r>
      <w:r>
        <w:rPr>
          <w:spacing w:val="-43"/>
        </w:rPr>
      </w:r>
      <w:r>
        <w:rPr>
          <w:spacing w:val="-2"/>
        </w:rPr>
        <w:t>新一代信息技术的应用研究。公司与华为技术有限公司建立战略合作伙伴关系，联合发布基于国产化的鲲</w:t>
      </w:r>
      <w:r>
        <w:rPr>
          <w:spacing w:val="-42"/>
        </w:rPr>
        <w:t> </w:t>
      </w:r>
      <w:r>
        <w:rPr>
          <w:spacing w:val="-42"/>
        </w:rPr>
      </w:r>
      <w:r>
        <w:rPr/>
        <w:t>鹏计算平台的智慧人大平台解决方案，依托各自优势资源，共同构建鲲鹏计算产业生态。</w:t>
      </w:r>
    </w:p>
    <w:p>
      <w:pPr>
        <w:pStyle w:val="BodyText"/>
        <w:spacing w:line="240" w:lineRule="auto" w:before="59"/>
        <w:ind w:left="572" w:right="0"/>
        <w:jc w:val="left"/>
      </w:pPr>
      <w:r>
        <w:rPr/>
        <w:t>与此同时，公司也在不断为区域人工智能产业发展提供智力支持，为四川、成都人工智能技术与产业</w:t>
      </w:r>
    </w:p>
    <w:p>
      <w:pPr>
        <w:spacing w:after="0" w:line="240"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9"/>
        <w:jc w:val="both"/>
      </w:pPr>
      <w:r>
        <w:rPr>
          <w:spacing w:val="-2"/>
        </w:rPr>
        <w:t>发展提供决策咨询，承担四川省人工智能重大专项项目，受四川省、成都市政府委托，牵头组建人工智能</w:t>
      </w:r>
      <w:r>
        <w:rPr>
          <w:spacing w:val="-47"/>
        </w:rPr>
        <w:t> </w:t>
      </w:r>
      <w:r>
        <w:rPr>
          <w:spacing w:val="-47"/>
        </w:rPr>
      </w:r>
      <w:r>
        <w:rPr/>
        <w:t>相关联盟、协会、理事会等。</w:t>
      </w:r>
    </w:p>
    <w:p>
      <w:pPr>
        <w:spacing w:line="386" w:lineRule="auto" w:before="46"/>
        <w:ind w:left="572" w:right="0" w:firstLine="14"/>
        <w:jc w:val="left"/>
        <w:rPr>
          <w:rFonts w:ascii="宋体" w:hAnsi="宋体" w:cs="宋体" w:eastAsia="宋体" w:hint="default"/>
          <w:sz w:val="21"/>
          <w:szCs w:val="21"/>
        </w:rPr>
      </w:pP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院士领衔</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的人才优势</w:t>
      </w:r>
      <w:r>
        <w:rPr>
          <w:rFonts w:ascii="宋体" w:hAnsi="宋体" w:cs="宋体" w:eastAsia="宋体" w:hint="default"/>
          <w:b/>
          <w:bCs/>
          <w:w w:val="100"/>
          <w:sz w:val="21"/>
          <w:szCs w:val="21"/>
        </w:rPr>
        <w:t> </w:t>
      </w:r>
      <w:r>
        <w:rPr>
          <w:rFonts w:ascii="宋体" w:hAnsi="宋体" w:cs="宋体" w:eastAsia="宋体" w:hint="default"/>
          <w:spacing w:val="-2"/>
          <w:sz w:val="21"/>
          <w:szCs w:val="21"/>
        </w:rPr>
        <w:t>公司承继了中国科学院成都计算机应用研究所深厚的科研积淀和一大批高素质科研人才，拥有张景中</w:t>
      </w:r>
    </w:p>
    <w:p>
      <w:pPr>
        <w:pStyle w:val="BodyText"/>
        <w:spacing w:line="393" w:lineRule="auto" w:before="65"/>
        <w:ind w:right="1128"/>
        <w:jc w:val="both"/>
      </w:pPr>
      <w:r>
        <w:rPr>
          <w:spacing w:val="-2"/>
        </w:rPr>
        <w:t>院士领衔的自动推理实验室。报告期内，中国科学院大学在本公司设有计算机软件与理论、计算机应用技</w:t>
      </w:r>
      <w:r>
        <w:rPr>
          <w:spacing w:val="-44"/>
        </w:rPr>
        <w:t> </w:t>
      </w:r>
      <w:r>
        <w:rPr>
          <w:spacing w:val="-44"/>
        </w:rPr>
      </w:r>
      <w:r>
        <w:rPr>
          <w:spacing w:val="-2"/>
        </w:rPr>
        <w:t>术、计算机技术、软件工程等</w:t>
      </w:r>
      <w:r>
        <w:rPr>
          <w:rFonts w:ascii="Times New Roman" w:hAnsi="Times New Roman" w:cs="Times New Roman" w:eastAsia="Times New Roman" w:hint="default"/>
          <w:spacing w:val="-2"/>
        </w:rPr>
        <w:t>4</w:t>
      </w:r>
      <w:r>
        <w:rPr>
          <w:spacing w:val="-2"/>
        </w:rPr>
        <w:t>个硕士培养点，计算机软件与理论博士点</w:t>
      </w:r>
      <w:r>
        <w:rPr>
          <w:rFonts w:ascii="Times New Roman" w:hAnsi="Times New Roman" w:cs="Times New Roman" w:eastAsia="Times New Roman" w:hint="default"/>
          <w:spacing w:val="-2"/>
        </w:rPr>
        <w:t>1</w:t>
      </w:r>
      <w:r>
        <w:rPr>
          <w:spacing w:val="-2"/>
        </w:rPr>
        <w:t>个，计算机科学与技术博士后科</w:t>
      </w:r>
      <w:r>
        <w:rPr>
          <w:spacing w:val="-49"/>
        </w:rPr>
        <w:t> </w:t>
      </w:r>
      <w:r>
        <w:rPr>
          <w:spacing w:val="-49"/>
        </w:rPr>
      </w:r>
      <w:r>
        <w:rPr>
          <w:spacing w:val="-2"/>
        </w:rPr>
        <w:t>研工作站</w:t>
      </w:r>
      <w:r>
        <w:rPr>
          <w:rFonts w:ascii="Times New Roman" w:hAnsi="Times New Roman" w:cs="Times New Roman" w:eastAsia="Times New Roman" w:hint="default"/>
          <w:spacing w:val="-2"/>
        </w:rPr>
        <w:t>1</w:t>
      </w:r>
      <w:r>
        <w:rPr>
          <w:spacing w:val="-2"/>
        </w:rPr>
        <w:t>个，在读研究生</w:t>
      </w:r>
      <w:r>
        <w:rPr>
          <w:rFonts w:ascii="Times New Roman" w:hAnsi="Times New Roman" w:cs="Times New Roman" w:eastAsia="Times New Roman" w:hint="default"/>
          <w:spacing w:val="-2"/>
        </w:rPr>
        <w:t>120</w:t>
      </w:r>
      <w:r>
        <w:rPr>
          <w:spacing w:val="-2"/>
        </w:rPr>
        <w:t>名，在站博士后</w:t>
      </w:r>
      <w:r>
        <w:rPr>
          <w:rFonts w:ascii="Times New Roman" w:hAnsi="Times New Roman" w:cs="Times New Roman" w:eastAsia="Times New Roman" w:hint="default"/>
          <w:spacing w:val="-2"/>
        </w:rPr>
        <w:t>1</w:t>
      </w:r>
      <w:r>
        <w:rPr>
          <w:spacing w:val="-2"/>
        </w:rPr>
        <w:t>名。公司拥有</w:t>
      </w:r>
      <w:r>
        <w:rPr>
          <w:rFonts w:ascii="Times New Roman" w:hAnsi="Times New Roman" w:cs="Times New Roman" w:eastAsia="Times New Roman" w:hint="default"/>
          <w:spacing w:val="-2"/>
        </w:rPr>
        <w:t>8</w:t>
      </w:r>
      <w:r>
        <w:rPr>
          <w:spacing w:val="-2"/>
        </w:rPr>
        <w:t>名博士生导师，</w:t>
      </w:r>
      <w:r>
        <w:rPr>
          <w:rFonts w:ascii="Times New Roman" w:hAnsi="Times New Roman" w:cs="Times New Roman" w:eastAsia="Times New Roman" w:hint="default"/>
          <w:spacing w:val="-2"/>
        </w:rPr>
        <w:t>13</w:t>
      </w:r>
      <w:r>
        <w:rPr>
          <w:spacing w:val="-2"/>
        </w:rPr>
        <w:t>名硕士生导师，正高级工</w:t>
      </w:r>
      <w:r>
        <w:rPr>
          <w:spacing w:val="-45"/>
        </w:rPr>
        <w:t> </w:t>
      </w:r>
      <w:r>
        <w:rPr>
          <w:spacing w:val="-45"/>
        </w:rPr>
      </w:r>
      <w:r>
        <w:rPr/>
        <w:t>程师</w:t>
      </w:r>
      <w:r>
        <w:rPr>
          <w:rFonts w:ascii="Times New Roman" w:hAnsi="Times New Roman" w:cs="Times New Roman" w:eastAsia="Times New Roman" w:hint="default"/>
        </w:rPr>
        <w:t>13</w:t>
      </w:r>
      <w:r>
        <w:rPr/>
        <w:t>人，高级工程师</w:t>
      </w:r>
      <w:r>
        <w:rPr>
          <w:rFonts w:ascii="Times New Roman" w:hAnsi="Times New Roman" w:cs="Times New Roman" w:eastAsia="Times New Roman" w:hint="default"/>
        </w:rPr>
        <w:t>64</w:t>
      </w:r>
      <w:r>
        <w:rPr/>
        <w:t>人。</w:t>
      </w:r>
    </w:p>
    <w:p>
      <w:pPr>
        <w:pStyle w:val="BodyText"/>
        <w:spacing w:line="408" w:lineRule="auto" w:before="28"/>
        <w:ind w:right="0" w:firstLine="420"/>
        <w:jc w:val="left"/>
      </w:pPr>
      <w:r>
        <w:rPr/>
        <w:t>公司技术与研发人才梯队完整，人才引进、培养、激励、留人机制健全，坚持内部培养与外部引进相</w:t>
      </w:r>
      <w:r>
        <w:rPr>
          <w:w w:val="100"/>
        </w:rPr>
        <w:t> </w:t>
      </w:r>
      <w:r>
        <w:rPr>
          <w:spacing w:val="-5"/>
        </w:rPr>
        <w:t>结合，在业务实践中持续培养了大批既精通专业技术又具备行业经验的复合型人才，并为其打造晋升通道、 </w:t>
      </w:r>
      <w:r>
        <w:rPr>
          <w:spacing w:val="-5"/>
        </w:rPr>
      </w:r>
      <w:r>
        <w:rPr/>
        <w:t>制定职业生涯规划，为人才施展才华提供各种平台和机会，研发动力充足，创新氛围浓厚。</w:t>
      </w:r>
    </w:p>
    <w:p>
      <w:pPr>
        <w:spacing w:line="408" w:lineRule="auto" w:before="46"/>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（四）长期且可持续的政策优势</w:t>
      </w:r>
      <w:r>
        <w:rPr>
          <w:rFonts w:ascii="宋体" w:hAnsi="宋体" w:cs="宋体" w:eastAsia="宋体" w:hint="default"/>
          <w:b/>
          <w:bCs/>
          <w:w w:val="100"/>
          <w:sz w:val="21"/>
          <w:szCs w:val="21"/>
        </w:rPr>
        <w:t> </w:t>
      </w:r>
      <w:r>
        <w:rPr>
          <w:rFonts w:ascii="宋体" w:hAnsi="宋体" w:cs="宋体" w:eastAsia="宋体" w:hint="default"/>
          <w:spacing w:val="-4"/>
          <w:sz w:val="21"/>
          <w:szCs w:val="21"/>
        </w:rPr>
        <w:t>自</w:t>
      </w:r>
      <w:r>
        <w:rPr>
          <w:rFonts w:ascii="Times New Roman" w:hAnsi="Times New Roman" w:cs="Times New Roman" w:eastAsia="Times New Roman" w:hint="default"/>
          <w:spacing w:val="-4"/>
          <w:sz w:val="21"/>
          <w:szCs w:val="21"/>
        </w:rPr>
        <w:t>2017</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月全国</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两会</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上的《政府工作报告》将人工智能上升为国家战略后，国家政策层层推进，自</w:t>
      </w:r>
    </w:p>
    <w:p>
      <w:pPr>
        <w:pStyle w:val="BodyText"/>
        <w:spacing w:line="398" w:lineRule="auto" w:before="14"/>
        <w:ind w:right="1128"/>
        <w:jc w:val="left"/>
      </w:pPr>
      <w:r>
        <w:rPr>
          <w:spacing w:val="-2"/>
        </w:rPr>
        <w:t>上而下逐步落实，产业发展目标明确，整体上形成资金、政策、产业生态全方面支持，推动中国人工智能</w:t>
      </w:r>
      <w:r>
        <w:rPr>
          <w:spacing w:val="-43"/>
        </w:rPr>
        <w:t> </w:t>
      </w:r>
      <w:r>
        <w:rPr>
          <w:spacing w:val="-43"/>
        </w:rPr>
      </w:r>
      <w:r>
        <w:rPr>
          <w:spacing w:val="-2"/>
        </w:rPr>
        <w:t>步入腾飞阶段。国务院印发《新一代人工智能发展规划》后，十九大报告将人工智能正式写进报告，工信</w:t>
      </w:r>
      <w:r>
        <w:rPr>
          <w:spacing w:val="-43"/>
        </w:rPr>
        <w:t> </w:t>
      </w:r>
      <w:r>
        <w:rPr>
          <w:spacing w:val="-43"/>
        </w:rPr>
      </w:r>
      <w:r>
        <w:rPr/>
        <w:t>部印发《促进新一代人工智能产业发展三年行动计划</w:t>
      </w:r>
      <w:r>
        <w:rPr>
          <w:rFonts w:ascii="Times New Roman" w:hAnsi="Times New Roman" w:cs="Times New Roman" w:eastAsia="Times New Roman" w:hint="default"/>
        </w:rPr>
        <w:t>(2018-2020</w:t>
      </w:r>
      <w:r>
        <w:rPr>
          <w:rFonts w:ascii="Times New Roman" w:hAnsi="Times New Roman" w:cs="Times New Roman" w:eastAsia="Times New Roman" w:hint="default"/>
          <w:spacing w:val="16"/>
        </w:rPr>
        <w:t> </w:t>
      </w:r>
      <w:r>
        <w:rPr/>
        <w:t>年</w:t>
      </w:r>
      <w:r>
        <w:rPr>
          <w:rFonts w:ascii="Times New Roman" w:hAnsi="Times New Roman" w:cs="Times New Roman" w:eastAsia="Times New Roman" w:hint="default"/>
        </w:rPr>
        <w:t>)</w:t>
      </w:r>
      <w:r>
        <w:rPr/>
        <w:t>》。《行动计划》落实了未来</w:t>
      </w:r>
      <w:r>
        <w:rPr>
          <w:rFonts w:ascii="Times New Roman" w:hAnsi="Times New Roman" w:cs="Times New Roman" w:eastAsia="Times New Roman" w:hint="default"/>
        </w:rPr>
        <w:t>3</w:t>
      </w:r>
      <w:r>
        <w:rPr/>
        <w:t>年人工</w:t>
      </w:r>
      <w:r>
        <w:rPr>
          <w:spacing w:val="-3"/>
          <w:w w:val="100"/>
        </w:rPr>
        <w:t> </w:t>
      </w:r>
      <w:r>
        <w:rPr>
          <w:spacing w:val="-2"/>
        </w:rPr>
        <w:t>智能产业的具体行动目标、重点突破领域及核心基础及相关支撑体系，新一代人工智能发展规划和重大科</w:t>
      </w:r>
      <w:r>
        <w:rPr>
          <w:spacing w:val="-42"/>
        </w:rPr>
        <w:t> </w:t>
      </w:r>
      <w:r>
        <w:rPr>
          <w:spacing w:val="-42"/>
        </w:rPr>
      </w:r>
      <w:r>
        <w:rPr/>
        <w:t>技项目进入全面启动实施阶段。《行动计划》明确了到</w:t>
      </w:r>
      <w:r>
        <w:rPr>
          <w:rFonts w:ascii="Times New Roman" w:hAnsi="Times New Roman" w:cs="Times New Roman" w:eastAsia="Times New Roman" w:hint="default"/>
        </w:rPr>
        <w:t>2020</w:t>
      </w:r>
      <w:r>
        <w:rPr/>
        <w:t>年的四项重点目标：</w:t>
      </w:r>
      <w:r>
        <w:rPr>
          <w:rFonts w:ascii="Times New Roman" w:hAnsi="Times New Roman" w:cs="Times New Roman" w:eastAsia="Times New Roman" w:hint="default"/>
        </w:rPr>
        <w:t>1</w:t>
      </w:r>
      <w:r>
        <w:rPr/>
        <w:t>、人工智能重点产品规</w:t>
      </w:r>
      <w:r>
        <w:rPr>
          <w:spacing w:val="-3"/>
          <w:w w:val="100"/>
        </w:rPr>
        <w:t> </w:t>
      </w:r>
      <w:r>
        <w:rPr>
          <w:spacing w:val="-4"/>
        </w:rPr>
        <w:t>模化发展</w:t>
      </w:r>
      <w:r>
        <w:rPr>
          <w:rFonts w:ascii="Times New Roman" w:hAnsi="Times New Roman" w:cs="Times New Roman" w:eastAsia="Times New Roman" w:hint="default"/>
          <w:spacing w:val="-4"/>
        </w:rPr>
        <w:t>;2</w:t>
      </w:r>
      <w:r>
        <w:rPr>
          <w:spacing w:val="-4"/>
        </w:rPr>
        <w:t>、人工智能整体核心基础能力显著增强</w:t>
      </w:r>
      <w:r>
        <w:rPr>
          <w:rFonts w:ascii="Times New Roman" w:hAnsi="Times New Roman" w:cs="Times New Roman" w:eastAsia="Times New Roman" w:hint="default"/>
          <w:spacing w:val="-4"/>
        </w:rPr>
        <w:t>;3</w:t>
      </w:r>
      <w:r>
        <w:rPr>
          <w:spacing w:val="-4"/>
        </w:rPr>
        <w:t>、智能制造深化发展</w:t>
      </w:r>
      <w:r>
        <w:rPr>
          <w:rFonts w:ascii="Times New Roman" w:hAnsi="Times New Roman" w:cs="Times New Roman" w:eastAsia="Times New Roman" w:hint="default"/>
          <w:spacing w:val="-4"/>
        </w:rPr>
        <w:t>;4</w:t>
      </w:r>
      <w:r>
        <w:rPr>
          <w:spacing w:val="-4"/>
        </w:rPr>
        <w:t>、人工智能产业支撑体系基本建</w:t>
      </w:r>
      <w:r>
        <w:rPr>
          <w:spacing w:val="-8"/>
        </w:rPr>
        <w:t> </w:t>
      </w:r>
      <w:r>
        <w:rPr>
          <w:spacing w:val="-8"/>
        </w:rPr>
      </w:r>
      <w:r>
        <w:rPr>
          <w:spacing w:val="-2"/>
        </w:rPr>
        <w:t>立。其中以智能网联汽车、智能服务机器人、智能无人机、医疗影像辅助诊断系统、视频图像识别、智能</w:t>
      </w:r>
      <w:r>
        <w:rPr>
          <w:spacing w:val="-42"/>
        </w:rPr>
        <w:t> </w:t>
      </w:r>
      <w:r>
        <w:rPr>
          <w:spacing w:val="-42"/>
        </w:rPr>
      </w:r>
      <w:r>
        <w:rPr/>
        <w:t>语音、智能翻译等重点产品规模化应用是行动计划首要目标。</w:t>
      </w:r>
    </w:p>
    <w:p>
      <w:pPr>
        <w:pStyle w:val="BodyText"/>
        <w:spacing w:line="408" w:lineRule="auto" w:before="54"/>
        <w:ind w:left="153" w:right="1128" w:firstLine="420"/>
        <w:jc w:val="both"/>
      </w:pPr>
      <w:r>
        <w:rPr>
          <w:spacing w:val="-3"/>
        </w:rPr>
        <w:t>自此，从中央落实到地方，各省市相继出台了相关规划和各项政策，积极布局，促进人工智能产业的</w:t>
      </w:r>
      <w:r>
        <w:rPr>
          <w:spacing w:val="-3"/>
          <w:w w:val="100"/>
        </w:rPr>
        <w:t> </w:t>
      </w:r>
      <w:r>
        <w:rPr>
          <w:spacing w:val="-2"/>
        </w:rPr>
        <w:t>发展，从税收到扶持政策，整体上形成资金、政策、产业生态全方面支持，众多因素促使中国成为人工智</w:t>
      </w:r>
      <w:r>
        <w:rPr>
          <w:spacing w:val="-43"/>
        </w:rPr>
        <w:t> </w:t>
      </w:r>
      <w:r>
        <w:rPr>
          <w:spacing w:val="-43"/>
        </w:rPr>
      </w:r>
      <w:r>
        <w:rPr/>
        <w:t>能产业发展的沃土。</w:t>
      </w:r>
    </w:p>
    <w:p>
      <w:pPr>
        <w:spacing w:line="408" w:lineRule="auto" w:before="46"/>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（五）稳定的客户资源支撑优势</w:t>
      </w:r>
      <w:r>
        <w:rPr>
          <w:rFonts w:ascii="宋体" w:hAnsi="宋体" w:cs="宋体" w:eastAsia="宋体" w:hint="default"/>
          <w:b/>
          <w:bCs/>
          <w:w w:val="100"/>
          <w:sz w:val="21"/>
          <w:szCs w:val="21"/>
        </w:rPr>
        <w:t> </w:t>
      </w:r>
      <w:r>
        <w:rPr>
          <w:rFonts w:ascii="宋体" w:hAnsi="宋体" w:cs="宋体" w:eastAsia="宋体" w:hint="default"/>
          <w:spacing w:val="-2"/>
          <w:sz w:val="21"/>
          <w:szCs w:val="21"/>
        </w:rPr>
        <w:t>公司扎根于行业信息化建设，以过硬的专业技术能力和数十年来对行业业务特点的深入理解，为行业</w:t>
      </w:r>
    </w:p>
    <w:p>
      <w:pPr>
        <w:pStyle w:val="BodyText"/>
        <w:spacing w:line="408" w:lineRule="auto" w:before="46"/>
        <w:ind w:right="1106"/>
        <w:jc w:val="both"/>
      </w:pPr>
      <w:r>
        <w:rPr>
          <w:spacing w:val="-2"/>
        </w:rPr>
        <w:t>客户提供满足其特定需求的信息化系统解决方案及相关产品与服务。众多成功应用案例和拳头产品在行业</w:t>
      </w:r>
      <w:r>
        <w:rPr>
          <w:spacing w:val="-42"/>
        </w:rPr>
        <w:t> </w:t>
      </w:r>
      <w:r>
        <w:rPr>
          <w:spacing w:val="-42"/>
        </w:rPr>
      </w:r>
      <w:r>
        <w:rPr>
          <w:spacing w:val="-2"/>
        </w:rPr>
        <w:t>内形成了良好口碑和客户信任度，使公司与业内众多有影响力的客户形成了长期战略合作关系，形成了较</w:t>
      </w:r>
      <w:r>
        <w:rPr>
          <w:spacing w:val="-42"/>
        </w:rPr>
        <w:t> </w:t>
      </w:r>
      <w:r>
        <w:rPr>
          <w:spacing w:val="-42"/>
        </w:rPr>
      </w:r>
      <w:r>
        <w:rPr>
          <w:spacing w:val="-2"/>
        </w:rPr>
        <w:t>强的客户资源优势和用户粘性。公司以成都为研发基地和销售及服务中心，在北京、河南、新疆、深圳、</w:t>
      </w:r>
      <w:r>
        <w:rPr>
          <w:spacing w:val="-21"/>
        </w:rPr>
        <w:t> </w:t>
      </w:r>
      <w:r>
        <w:rPr>
          <w:spacing w:val="-21"/>
        </w:rPr>
      </w:r>
      <w:r>
        <w:rPr>
          <w:spacing w:val="-2"/>
        </w:rPr>
        <w:t>浙江、山西等地设立办事处或分公司，逐渐形成了以四川、新疆、河南、浙江、江苏和广东为核心市场区</w:t>
      </w:r>
    </w:p>
    <w:p>
      <w:pPr>
        <w:spacing w:after="0" w:line="408" w:lineRule="auto"/>
        <w:jc w:val="both"/>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3" w:lineRule="auto" w:before="36"/>
        <w:ind w:left="153" w:right="0" w:hanging="1"/>
        <w:jc w:val="left"/>
      </w:pPr>
      <w:r>
        <w:rPr/>
        <w:t>域</w:t>
      </w:r>
      <w:r>
        <w:rPr>
          <w:spacing w:val="-24"/>
        </w:rPr>
        <w:t> </w:t>
      </w:r>
      <w:r>
        <w:rPr/>
        <w:t>，向上海、天津、山东、西藏、贵州、黑龙江、山西、广西等</w:t>
      </w:r>
      <w:r>
        <w:rPr>
          <w:rFonts w:ascii="Times New Roman" w:hAnsi="Times New Roman" w:cs="Times New Roman" w:eastAsia="Times New Roman" w:hint="default"/>
        </w:rPr>
        <w:t>24</w:t>
      </w:r>
      <w:r>
        <w:rPr/>
        <w:t>个省、直辖市、自治区辐射的国内营</w:t>
      </w:r>
      <w:r>
        <w:rPr>
          <w:w w:val="100"/>
        </w:rPr>
        <w:t> </w:t>
      </w:r>
      <w:r>
        <w:rPr>
          <w:spacing w:val="-2"/>
        </w:rPr>
        <w:t>销及服务网络。公司主要客户覆盖中央及国家机关、各省市党政机关，公检法、部队单位和事业单位，以</w:t>
      </w:r>
      <w:r>
        <w:rPr>
          <w:spacing w:val="-44"/>
        </w:rPr>
        <w:t> </w:t>
      </w:r>
      <w:r>
        <w:rPr>
          <w:spacing w:val="-44"/>
        </w:rPr>
      </w:r>
      <w:r>
        <w:rPr>
          <w:spacing w:val="-2"/>
        </w:rPr>
        <w:t>及国内众多能源、制造、烟草等大中型国有企业，并逐步与泰国、印尼等各国央行及金融机构等形成良好</w:t>
      </w:r>
      <w:r>
        <w:rPr>
          <w:spacing w:val="-48"/>
        </w:rPr>
        <w:t> </w:t>
      </w:r>
      <w:r>
        <w:rPr>
          <w:spacing w:val="-48"/>
        </w:rPr>
      </w:r>
      <w:r>
        <w:rPr>
          <w:spacing w:val="-2"/>
        </w:rPr>
        <w:t>合作关系。通过多年合作，中央两办、中国印钞造币总公司、四川烟草公司、河南中烟公司等单位成为公</w:t>
      </w:r>
      <w:r>
        <w:rPr>
          <w:spacing w:val="-44"/>
        </w:rPr>
        <w:t> </w:t>
      </w:r>
      <w:r>
        <w:rPr>
          <w:spacing w:val="-44"/>
        </w:rPr>
      </w:r>
      <w:r>
        <w:rPr/>
        <w:t>司常年客户，多行业丰富的客户资源保障了公司业务持续、稳健、均衡发展。</w:t>
      </w:r>
    </w:p>
    <w:p>
      <w:pPr>
        <w:spacing w:after="0" w:line="403" w:lineRule="auto"/>
        <w:jc w:val="left"/>
        <w:sectPr>
          <w:pgSz w:w="11910" w:h="16840"/>
          <w:pgMar w:header="880" w:footer="977"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1"/>
        <w:spacing w:line="240" w:lineRule="auto"/>
        <w:ind w:left="3044" w:right="0"/>
        <w:jc w:val="left"/>
        <w:rPr>
          <w:b w:val="0"/>
          <w:bCs w:val="0"/>
        </w:rPr>
      </w:pPr>
      <w:bookmarkStart w:name="_TOC_250008" w:id="22"/>
      <w:bookmarkStart w:name="第四节经营情况讨论与分析" w:id="23"/>
      <w:r>
        <w:rPr>
          <w:b w:val="0"/>
          <w:bCs w:val="0"/>
        </w:rPr>
      </w:r>
      <w:r>
        <w:rPr/>
        <w:t>第四节经营情况讨论与分析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right="1127" w:firstLine="420"/>
        <w:jc w:val="both"/>
      </w:pPr>
      <w:r>
        <w:rPr>
          <w:spacing w:val="-4"/>
        </w:rPr>
        <w:t>公司以</w:t>
      </w:r>
      <w:r>
        <w:rPr>
          <w:rFonts w:ascii="Times New Roman" w:hAnsi="Times New Roman" w:cs="Times New Roman" w:eastAsia="Times New Roman" w:hint="default"/>
          <w:spacing w:val="-4"/>
        </w:rPr>
        <w:t>“</w:t>
      </w:r>
      <w:r>
        <w:rPr>
          <w:spacing w:val="-4"/>
        </w:rPr>
        <w:t>创新、协调、绿色、开放、共享</w:t>
      </w:r>
      <w:r>
        <w:rPr>
          <w:rFonts w:ascii="Times New Roman" w:hAnsi="Times New Roman" w:cs="Times New Roman" w:eastAsia="Times New Roman" w:hint="default"/>
          <w:spacing w:val="-4"/>
        </w:rPr>
        <w:t>”</w:t>
      </w:r>
      <w:r>
        <w:rPr>
          <w:spacing w:val="-4"/>
        </w:rPr>
        <w:t>的新发展理念</w:t>
      </w:r>
      <w:r>
        <w:rPr>
          <w:rFonts w:ascii="Times New Roman" w:hAnsi="Times New Roman" w:cs="Times New Roman" w:eastAsia="Times New Roman" w:hint="default"/>
          <w:spacing w:val="-4"/>
        </w:rPr>
        <w:t>“</w:t>
      </w:r>
      <w:r>
        <w:rPr>
          <w:spacing w:val="-4"/>
        </w:rPr>
        <w:t>为指导思想，通过改革创新实现稳步发展。报</w:t>
      </w:r>
      <w:r>
        <w:rPr>
          <w:w w:val="100"/>
        </w:rPr>
        <w:t> </w:t>
      </w:r>
      <w:r>
        <w:rPr>
          <w:spacing w:val="-2"/>
        </w:rPr>
        <w:t>告期内，公司干部员工凝心聚力，面向行业，走好</w:t>
      </w:r>
      <w:r>
        <w:rPr>
          <w:rFonts w:ascii="Times New Roman" w:hAnsi="Times New Roman" w:cs="Times New Roman" w:eastAsia="Times New Roman" w:hint="default"/>
          <w:spacing w:val="-2"/>
        </w:rPr>
        <w:t>“</w:t>
      </w:r>
      <w:r>
        <w:rPr>
          <w:spacing w:val="-2"/>
        </w:rPr>
        <w:t>定战略、抓管理、拓市场</w:t>
      </w:r>
      <w:r>
        <w:rPr>
          <w:rFonts w:ascii="Times New Roman" w:hAnsi="Times New Roman" w:cs="Times New Roman" w:eastAsia="Times New Roman" w:hint="default"/>
          <w:spacing w:val="-2"/>
        </w:rPr>
        <w:t>”</w:t>
      </w:r>
      <w:r>
        <w:rPr>
          <w:spacing w:val="-2"/>
        </w:rPr>
        <w:t>三步棋，经营管理工作取得</w:t>
      </w:r>
      <w:r>
        <w:rPr>
          <w:spacing w:val="-18"/>
        </w:rPr>
        <w:t> </w:t>
      </w:r>
      <w:r>
        <w:rPr>
          <w:spacing w:val="-18"/>
        </w:rPr>
      </w:r>
      <w:r>
        <w:rPr/>
        <w:t>良好成效，为保持良好基本面、实现持续健康发展奠定了稳固基础。</w:t>
      </w:r>
    </w:p>
    <w:p>
      <w:pPr>
        <w:spacing w:line="408" w:lineRule="auto" w:before="65"/>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（一）战略规划为二次创业开局谋篇</w:t>
      </w:r>
      <w:r>
        <w:rPr>
          <w:rFonts w:ascii="宋体" w:hAnsi="宋体" w:cs="宋体" w:eastAsia="宋体" w:hint="default"/>
          <w:b/>
          <w:bCs/>
          <w:w w:val="100"/>
          <w:sz w:val="21"/>
          <w:szCs w:val="21"/>
        </w:rPr>
        <w:t> </w:t>
      </w:r>
      <w:r>
        <w:rPr>
          <w:rFonts w:ascii="宋体" w:hAnsi="宋体" w:cs="宋体" w:eastAsia="宋体" w:hint="default"/>
          <w:spacing w:val="2"/>
          <w:sz w:val="21"/>
          <w:szCs w:val="21"/>
        </w:rPr>
        <w:t>人工智能产业在国家及地方持续出台的各种支持政策催化下，人工智能技术进入了加速普及的爆发</w:t>
      </w:r>
    </w:p>
    <w:p>
      <w:pPr>
        <w:pStyle w:val="BodyText"/>
        <w:spacing w:line="403" w:lineRule="auto" w:before="46"/>
        <w:ind w:right="1126"/>
        <w:jc w:val="both"/>
      </w:pPr>
      <w:r>
        <w:rPr>
          <w:spacing w:val="-2"/>
        </w:rPr>
        <w:t>期。报告期内，公司在政策与发展环境俱优的产业航道中，紧抓机遇求发展，放眼全局谋未来，在下半年</w:t>
      </w:r>
      <w:r>
        <w:rPr>
          <w:spacing w:val="-43"/>
        </w:rPr>
        <w:t> </w:t>
      </w:r>
      <w:r>
        <w:rPr>
          <w:spacing w:val="-43"/>
        </w:rPr>
      </w:r>
      <w:r>
        <w:rPr>
          <w:spacing w:val="-2"/>
        </w:rPr>
        <w:t>启动了新十年的发展战略拟订工作。公司经营层与各级干部在专业机构协助下，认真总结过去十年的发展</w:t>
      </w:r>
      <w:r>
        <w:rPr>
          <w:spacing w:val="-42"/>
        </w:rPr>
        <w:t> </w:t>
      </w:r>
      <w:r>
        <w:rPr>
          <w:spacing w:val="-42"/>
        </w:rPr>
      </w:r>
      <w:r>
        <w:rPr>
          <w:spacing w:val="-2"/>
        </w:rPr>
        <w:t>经验和存在不足，分析宏观经济形势和技术发展趋势，群策群力研讨符合自身资源禀赋的发展道路和发展</w:t>
      </w:r>
      <w:r>
        <w:rPr>
          <w:spacing w:val="-42"/>
        </w:rPr>
        <w:t> </w:t>
      </w:r>
      <w:r>
        <w:rPr>
          <w:spacing w:val="-42"/>
        </w:rPr>
      </w:r>
      <w:r>
        <w:rPr>
          <w:spacing w:val="-3"/>
        </w:rPr>
        <w:t>目标，凝聚了全体干部员工的集体智慧，董事会将于</w:t>
      </w:r>
      <w:r>
        <w:rPr>
          <w:rFonts w:ascii="Times New Roman" w:hAnsi="Times New Roman" w:cs="Times New Roman" w:eastAsia="Times New Roman" w:hint="default"/>
          <w:spacing w:val="-3"/>
        </w:rPr>
        <w:t>2020</w:t>
      </w:r>
      <w:r>
        <w:rPr>
          <w:spacing w:val="-3"/>
        </w:rPr>
        <w:t>年上半年向股东大会提交《</w:t>
      </w:r>
      <w:r>
        <w:rPr>
          <w:rFonts w:ascii="Times New Roman" w:hAnsi="Times New Roman" w:cs="Times New Roman" w:eastAsia="Times New Roman" w:hint="default"/>
          <w:spacing w:val="-3"/>
        </w:rPr>
        <w:t>2021-2030</w:t>
      </w:r>
      <w:r>
        <w:rPr>
          <w:spacing w:val="-3"/>
        </w:rPr>
        <w:t>年战略发展</w:t>
      </w:r>
      <w:r>
        <w:rPr>
          <w:spacing w:val="-45"/>
        </w:rPr>
        <w:t> </w:t>
      </w:r>
      <w:r>
        <w:rPr>
          <w:spacing w:val="-45"/>
        </w:rPr>
      </w:r>
      <w:r>
        <w:rPr>
          <w:spacing w:val="-2"/>
        </w:rPr>
        <w:t>规划（纲要）》进行审议。全体干部员工在参与研讨和拟订新的十年战略规划过程中统一了思想，明确了</w:t>
      </w:r>
      <w:r>
        <w:rPr>
          <w:spacing w:val="-43"/>
        </w:rPr>
        <w:t> </w:t>
      </w:r>
      <w:r>
        <w:rPr>
          <w:spacing w:val="-43"/>
        </w:rPr>
      </w:r>
      <w:r>
        <w:rPr/>
        <w:t>新方向，树立了新目标，公司将在</w:t>
      </w:r>
      <w:r>
        <w:rPr>
          <w:rFonts w:ascii="Times New Roman" w:hAnsi="Times New Roman" w:cs="Times New Roman" w:eastAsia="Times New Roman" w:hint="default"/>
        </w:rPr>
        <w:t>“</w:t>
      </w:r>
      <w:r>
        <w:rPr/>
        <w:t>二次创业</w:t>
      </w:r>
      <w:r>
        <w:rPr>
          <w:rFonts w:ascii="Times New Roman" w:hAnsi="Times New Roman" w:cs="Times New Roman" w:eastAsia="Times New Roman" w:hint="default"/>
        </w:rPr>
        <w:t>”</w:t>
      </w:r>
      <w:r>
        <w:rPr/>
        <w:t>新征程中获得新发展，取得新业绩。</w:t>
      </w:r>
    </w:p>
    <w:p>
      <w:pPr>
        <w:spacing w:line="408" w:lineRule="auto" w:before="19"/>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（二）深耕主业为长远发展夯实根基</w:t>
      </w:r>
      <w:r>
        <w:rPr>
          <w:rFonts w:ascii="宋体" w:hAnsi="宋体" w:cs="宋体" w:eastAsia="宋体" w:hint="default"/>
          <w:b/>
          <w:bCs/>
          <w:w w:val="100"/>
          <w:sz w:val="21"/>
          <w:szCs w:val="21"/>
        </w:rPr>
        <w:t> </w:t>
      </w:r>
      <w:r>
        <w:rPr>
          <w:rFonts w:ascii="宋体" w:hAnsi="宋体" w:cs="宋体" w:eastAsia="宋体" w:hint="default"/>
          <w:spacing w:val="-2"/>
          <w:sz w:val="21"/>
          <w:szCs w:val="21"/>
        </w:rPr>
        <w:t>公司坚持立足行业，努力践行为客户创造价值的理念，紧紧围绕核心业务持续做好市场开拓、重大专</w:t>
      </w:r>
    </w:p>
    <w:p>
      <w:pPr>
        <w:pStyle w:val="BodyText"/>
        <w:spacing w:line="393" w:lineRule="auto" w:before="46"/>
        <w:ind w:right="0"/>
        <w:jc w:val="left"/>
      </w:pPr>
      <w:r>
        <w:rPr>
          <w:spacing w:val="-2"/>
        </w:rPr>
        <w:t>项任务实施及新行业拓展等重点工作，数字会议业务保持良好发展，油气、政府与其他领域的信息化业务</w:t>
      </w:r>
      <w:r>
        <w:rPr>
          <w:spacing w:val="-43"/>
        </w:rPr>
        <w:t> </w:t>
      </w:r>
      <w:r>
        <w:rPr>
          <w:spacing w:val="-43"/>
        </w:rPr>
      </w:r>
      <w:r>
        <w:rPr/>
        <w:t>高速增长，新业务开拓成效明显，各项经营计划与管理工作同步高效推进。报告期内，公司发挥</w:t>
      </w:r>
      <w:r>
        <w:rPr>
          <w:spacing w:val="-26"/>
        </w:rPr>
        <w:t> </w:t>
      </w:r>
      <w:r>
        <w:rPr>
          <w:rFonts w:ascii="Times New Roman" w:hAnsi="Times New Roman" w:cs="Times New Roman" w:eastAsia="Times New Roman" w:hint="default"/>
        </w:rPr>
        <w:t>“</w:t>
      </w:r>
      <w:r>
        <w:rPr/>
        <w:t>技术专</w:t>
      </w:r>
      <w:r>
        <w:rPr>
          <w:w w:val="100"/>
        </w:rPr>
        <w:t> </w:t>
      </w:r>
      <w:r>
        <w:rPr/>
        <w:t>家</w:t>
      </w:r>
      <w:r>
        <w:rPr>
          <w:rFonts w:ascii="Times New Roman" w:hAnsi="Times New Roman" w:cs="Times New Roman" w:eastAsia="Times New Roman" w:hint="default"/>
        </w:rPr>
        <w:t>+</w:t>
      </w:r>
      <w:r>
        <w:rPr/>
        <w:t>行业专家</w:t>
      </w:r>
      <w:r>
        <w:rPr>
          <w:rFonts w:ascii="Times New Roman" w:hAnsi="Times New Roman" w:cs="Times New Roman" w:eastAsia="Times New Roman" w:hint="default"/>
        </w:rPr>
        <w:t>”</w:t>
      </w:r>
      <w:r>
        <w:rPr/>
        <w:t>以及中科院品牌等综合优势，良好的市场开拓能力得到充分显现，实现新签合同总额</w:t>
      </w:r>
      <w:r>
        <w:rPr>
          <w:rFonts w:ascii="Times New Roman" w:hAnsi="Times New Roman" w:cs="Times New Roman" w:eastAsia="Times New Roman" w:hint="default"/>
        </w:rPr>
        <w:t>5.14</w:t>
      </w:r>
      <w:r>
        <w:rPr/>
        <w:t>亿</w:t>
      </w:r>
      <w:r>
        <w:rPr>
          <w:w w:val="100"/>
        </w:rPr>
        <w:t> </w:t>
      </w:r>
      <w:r>
        <w:rPr>
          <w:spacing w:val="-5"/>
        </w:rPr>
        <w:t>元，较去年同期增长</w:t>
      </w:r>
      <w:r>
        <w:rPr>
          <w:rFonts w:ascii="Times New Roman" w:hAnsi="Times New Roman" w:cs="Times New Roman" w:eastAsia="Times New Roman" w:hint="default"/>
          <w:spacing w:val="-5"/>
        </w:rPr>
        <w:t>39.30%</w:t>
      </w:r>
      <w:r>
        <w:rPr>
          <w:spacing w:val="-5"/>
        </w:rPr>
        <w:t>，再创历史新高；实现营业收入</w:t>
      </w:r>
      <w:r>
        <w:rPr>
          <w:rFonts w:ascii="Times New Roman" w:hAnsi="Times New Roman" w:cs="Times New Roman" w:eastAsia="Times New Roman" w:hint="default"/>
          <w:spacing w:val="-5"/>
        </w:rPr>
        <w:t>36441</w:t>
      </w:r>
      <w:r>
        <w:rPr>
          <w:spacing w:val="-5"/>
        </w:rPr>
        <w:t>万元，比去年同期增长</w:t>
      </w:r>
      <w:r>
        <w:rPr>
          <w:rFonts w:ascii="Times New Roman" w:hAnsi="Times New Roman" w:cs="Times New Roman" w:eastAsia="Times New Roman" w:hint="default"/>
          <w:spacing w:val="-5"/>
        </w:rPr>
        <w:t>5.79%</w:t>
      </w:r>
      <w:r>
        <w:rPr>
          <w:spacing w:val="-5"/>
        </w:rPr>
        <w:t>。报告期内，</w:t>
      </w:r>
      <w:r>
        <w:rPr>
          <w:spacing w:val="-12"/>
        </w:rPr>
        <w:t> </w:t>
      </w:r>
      <w:r>
        <w:rPr>
          <w:spacing w:val="-12"/>
        </w:rPr>
      </w:r>
      <w:r>
        <w:rPr>
          <w:spacing w:val="-2"/>
        </w:rPr>
        <w:t>公司所处行业领域市场机会增多，市场竞争也更为激烈，毛利率相对较低的信息化解决方案类项目在全年</w:t>
      </w:r>
      <w:r>
        <w:rPr>
          <w:spacing w:val="-42"/>
        </w:rPr>
        <w:t> </w:t>
      </w:r>
      <w:r>
        <w:rPr>
          <w:spacing w:val="-42"/>
        </w:rPr>
      </w:r>
      <w:r>
        <w:rPr/>
        <w:t>项目数量中占比增加，导致公司整体毛利率及利润水平较去年同期有所下降。报告期营业利润为</w:t>
      </w:r>
      <w:r>
        <w:rPr>
          <w:rFonts w:ascii="Times New Roman" w:hAnsi="Times New Roman" w:cs="Times New Roman" w:eastAsia="Times New Roman" w:hint="default"/>
        </w:rPr>
        <w:t>3962.71</w:t>
      </w:r>
      <w:r>
        <w:rPr>
          <w:rFonts w:ascii="Times New Roman" w:hAnsi="Times New Roman" w:cs="Times New Roman" w:eastAsia="Times New Roman" w:hint="default"/>
          <w:w w:val="100"/>
        </w:rPr>
        <w:t> </w:t>
      </w:r>
      <w:r>
        <w:rPr/>
        <w:t>万元，比去年同期减少</w:t>
      </w:r>
      <w:r>
        <w:rPr>
          <w:rFonts w:ascii="Times New Roman" w:hAnsi="Times New Roman" w:cs="Times New Roman" w:eastAsia="Times New Roman" w:hint="default"/>
        </w:rPr>
        <w:t>24.08%</w:t>
      </w:r>
      <w:r>
        <w:rPr/>
        <w:t>；利润总额为</w:t>
      </w:r>
      <w:r>
        <w:rPr>
          <w:rFonts w:ascii="宋体" w:hAnsi="宋体" w:cs="宋体" w:eastAsia="宋体" w:hint="default"/>
        </w:rPr>
        <w:t>3911.71</w:t>
      </w:r>
      <w:r>
        <w:rPr/>
        <w:t>万元，比去年同期减少</w:t>
      </w:r>
      <w:r>
        <w:rPr>
          <w:rFonts w:ascii="Times New Roman" w:hAnsi="Times New Roman" w:cs="Times New Roman" w:eastAsia="Times New Roman" w:hint="default"/>
        </w:rPr>
        <w:t>25.13</w:t>
      </w:r>
      <w:r>
        <w:rPr>
          <w:rFonts w:ascii="Times New Roman" w:hAnsi="Times New Roman" w:cs="Times New Roman" w:eastAsia="Times New Roman" w:hint="default"/>
          <w:spacing w:val="-10"/>
        </w:rPr>
        <w:t> </w:t>
      </w:r>
      <w:r>
        <w:rPr>
          <w:rFonts w:ascii="Times New Roman" w:hAnsi="Times New Roman" w:cs="Times New Roman" w:eastAsia="Times New Roman" w:hint="default"/>
        </w:rPr>
        <w:t>%</w:t>
      </w:r>
      <w:r>
        <w:rPr/>
        <w:t>；归属于上市公司股东</w:t>
      </w:r>
      <w:r>
        <w:rPr>
          <w:spacing w:val="-3"/>
          <w:w w:val="100"/>
        </w:rPr>
        <w:t> </w:t>
      </w:r>
      <w:r>
        <w:rPr/>
        <w:t>的净利润为</w:t>
      </w:r>
      <w:r>
        <w:rPr>
          <w:rFonts w:ascii="Times New Roman" w:hAnsi="Times New Roman" w:cs="Times New Roman" w:eastAsia="Times New Roman" w:hint="default"/>
        </w:rPr>
        <w:t>3528.90</w:t>
      </w:r>
      <w:r>
        <w:rPr/>
        <w:t>万元，比去年同期减少</w:t>
      </w:r>
      <w:r>
        <w:rPr>
          <w:rFonts w:ascii="Times New Roman" w:hAnsi="Times New Roman" w:cs="Times New Roman" w:eastAsia="Times New Roman" w:hint="default"/>
        </w:rPr>
        <w:t>24.61%</w:t>
      </w:r>
      <w:r>
        <w:rPr/>
        <w:t>。公司主要经营情况回顾如下：</w:t>
      </w:r>
    </w:p>
    <w:p>
      <w:pPr>
        <w:pStyle w:val="BodyText"/>
        <w:spacing w:line="386" w:lineRule="auto" w:before="28"/>
        <w:ind w:left="573" w:right="0"/>
        <w:jc w:val="left"/>
      </w:pPr>
      <w:r>
        <w:rPr>
          <w:rFonts w:ascii="Times New Roman" w:hAnsi="Times New Roman" w:cs="Times New Roman" w:eastAsia="Times New Roman" w:hint="default"/>
        </w:rPr>
        <w:t>1.</w:t>
      </w:r>
      <w:r>
        <w:rPr/>
        <w:t>圆满完成第十三届全国</w:t>
      </w:r>
      <w:r>
        <w:rPr>
          <w:rFonts w:ascii="Times New Roman" w:hAnsi="Times New Roman" w:cs="Times New Roman" w:eastAsia="Times New Roman" w:hint="default"/>
        </w:rPr>
        <w:t>“</w:t>
      </w:r>
      <w:r>
        <w:rPr/>
        <w:t>两会</w:t>
      </w:r>
      <w:r>
        <w:rPr>
          <w:rFonts w:ascii="Times New Roman" w:hAnsi="Times New Roman" w:cs="Times New Roman" w:eastAsia="Times New Roman" w:hint="default"/>
        </w:rPr>
        <w:t>”</w:t>
      </w:r>
      <w:r>
        <w:rPr/>
        <w:t>技术保障任务</w:t>
      </w:r>
      <w:r>
        <w:rPr>
          <w:w w:val="100"/>
        </w:rPr>
        <w:t> </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月圆满完成十三届全国人大二次会议、全国政协十三届二次会议，以及全年</w:t>
      </w:r>
      <w:r>
        <w:rPr>
          <w:rFonts w:ascii="Times New Roman" w:hAnsi="Times New Roman" w:cs="Times New Roman" w:eastAsia="Times New Roman" w:hint="default"/>
          <w:spacing w:val="-2"/>
        </w:rPr>
        <w:t>8</w:t>
      </w:r>
      <w:r>
        <w:rPr>
          <w:spacing w:val="-2"/>
        </w:rPr>
        <w:t>次全国人</w:t>
      </w:r>
      <w:r>
        <w:rPr/>
      </w:r>
    </w:p>
    <w:p>
      <w:pPr>
        <w:pStyle w:val="BodyText"/>
        <w:spacing w:line="408" w:lineRule="auto" w:before="35"/>
        <w:ind w:left="153" w:right="0"/>
        <w:jc w:val="left"/>
      </w:pPr>
      <w:r>
        <w:rPr>
          <w:spacing w:val="-5"/>
        </w:rPr>
        <w:t>大常委会会议的现场技术保障和服务任务。公司自主研发的新型电子选举、电子表决系统在大会召开期间，</w:t>
      </w:r>
      <w:r>
        <w:rPr>
          <w:spacing w:val="-4"/>
        </w:rPr>
        <w:t> </w:t>
      </w:r>
      <w:r>
        <w:rPr>
          <w:spacing w:val="-4"/>
        </w:rPr>
      </w:r>
      <w:r>
        <w:rPr>
          <w:spacing w:val="-2"/>
        </w:rPr>
        <w:t>实现表决、信息发布、大屏显示等各个子系统运行稳定，数据处理精准无误，人机配合简便流畅，为大会</w:t>
      </w:r>
    </w:p>
    <w:p>
      <w:pPr>
        <w:spacing w:after="0" w:line="408"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30"/>
        <w:jc w:val="both"/>
      </w:pPr>
      <w:r>
        <w:rPr>
          <w:spacing w:val="-2"/>
        </w:rPr>
        <w:t>的顺利召开发挥了关键的技术支撑作用，赢得了中央领导同志、与会代表、委员的广泛好评，再次向全国</w:t>
      </w:r>
      <w:r>
        <w:rPr>
          <w:spacing w:val="-47"/>
        </w:rPr>
        <w:t> </w:t>
      </w:r>
      <w:r>
        <w:rPr>
          <w:spacing w:val="-47"/>
        </w:rPr>
      </w:r>
      <w:r>
        <w:rPr/>
        <w:t>展示了中科信息数字会议一流品牌的良好形象。</w:t>
      </w:r>
    </w:p>
    <w:p>
      <w:pPr>
        <w:pStyle w:val="BodyText"/>
        <w:spacing w:line="240" w:lineRule="auto" w:before="46"/>
        <w:ind w:left="572" w:right="0"/>
        <w:jc w:val="left"/>
      </w:pPr>
      <w:r>
        <w:rPr>
          <w:rFonts w:ascii="Times New Roman" w:hAnsi="Times New Roman" w:cs="Times New Roman" w:eastAsia="Times New Roman" w:hint="default"/>
        </w:rPr>
        <w:t>2.</w:t>
      </w:r>
      <w:r>
        <w:rPr/>
        <w:t>核心业务持续发展</w:t>
      </w:r>
    </w:p>
    <w:p>
      <w:pPr>
        <w:pStyle w:val="BodyText"/>
        <w:spacing w:line="386" w:lineRule="auto" w:before="177"/>
        <w:ind w:left="572" w:right="0"/>
        <w:jc w:val="left"/>
      </w:pPr>
      <w:r>
        <w:rPr/>
        <w:t>（</w:t>
      </w:r>
      <w:r>
        <w:rPr>
          <w:rFonts w:ascii="Times New Roman" w:hAnsi="Times New Roman" w:cs="Times New Roman" w:eastAsia="Times New Roman" w:hint="default"/>
        </w:rPr>
        <w:t>1</w:t>
      </w:r>
      <w:r>
        <w:rPr/>
        <w:t>）数字会议领域</w:t>
      </w:r>
      <w:r>
        <w:rPr>
          <w:w w:val="100"/>
        </w:rPr>
        <w:t> </w:t>
      </w:r>
      <w:r>
        <w:rPr>
          <w:spacing w:val="-1"/>
        </w:rPr>
        <w:t>数字会议系统产业化推进工作成效显著。经过多年的市场深耕，并借助</w:t>
      </w:r>
      <w:r>
        <w:rPr>
          <w:rFonts w:ascii="Times New Roman" w:hAnsi="Times New Roman" w:cs="Times New Roman" w:eastAsia="Times New Roman" w:hint="default"/>
          <w:spacing w:val="-1"/>
        </w:rPr>
        <w:t>“</w:t>
      </w:r>
      <w:r>
        <w:rPr>
          <w:spacing w:val="-1"/>
        </w:rPr>
        <w:t>十九大</w:t>
      </w:r>
      <w:r>
        <w:rPr>
          <w:rFonts w:ascii="Times New Roman" w:hAnsi="Times New Roman" w:cs="Times New Roman" w:eastAsia="Times New Roman" w:hint="default"/>
          <w:spacing w:val="-1"/>
        </w:rPr>
        <w:t>”</w:t>
      </w:r>
      <w:r>
        <w:rPr>
          <w:spacing w:val="-1"/>
        </w:rPr>
        <w:t>选举和全国</w:t>
      </w:r>
      <w:r>
        <w:rPr>
          <w:rFonts w:ascii="Times New Roman" w:hAnsi="Times New Roman" w:cs="Times New Roman" w:eastAsia="Times New Roman" w:hint="default"/>
          <w:spacing w:val="-1"/>
        </w:rPr>
        <w:t>“</w:t>
      </w:r>
      <w:r>
        <w:rPr>
          <w:spacing w:val="-1"/>
        </w:rPr>
        <w:t>两会</w:t>
      </w:r>
      <w:r>
        <w:rPr>
          <w:rFonts w:ascii="Times New Roman" w:hAnsi="Times New Roman" w:cs="Times New Roman" w:eastAsia="Times New Roman" w:hint="default"/>
          <w:spacing w:val="-1"/>
        </w:rPr>
        <w:t>”</w:t>
      </w:r>
      <w:r>
        <w:rPr>
          <w:spacing w:val="-1"/>
        </w:rPr>
        <w:t>选</w:t>
      </w:r>
    </w:p>
    <w:p>
      <w:pPr>
        <w:pStyle w:val="BodyText"/>
        <w:spacing w:line="400" w:lineRule="auto" w:before="35"/>
        <w:ind w:right="1127"/>
        <w:jc w:val="both"/>
      </w:pPr>
      <w:r>
        <w:rPr>
          <w:spacing w:val="-2"/>
        </w:rPr>
        <w:t>举表决系统的成功应用，公司数字会议业务产品线更加丰富。选举、表决、信息化已成为数字会议系统三</w:t>
      </w:r>
      <w:r>
        <w:rPr>
          <w:spacing w:val="-44"/>
        </w:rPr>
        <w:t> </w:t>
      </w:r>
      <w:r>
        <w:rPr>
          <w:spacing w:val="-44"/>
        </w:rPr>
      </w:r>
      <w:r>
        <w:rPr>
          <w:spacing w:val="-2"/>
        </w:rPr>
        <w:t>大核心业务，面向基层选举的计票通产品前景广阔，信创类业务发展基础正在夯实。电子表决系统市场拓</w:t>
      </w:r>
      <w:r>
        <w:rPr>
          <w:spacing w:val="-43"/>
        </w:rPr>
        <w:t> </w:t>
      </w:r>
      <w:r>
        <w:rPr>
          <w:spacing w:val="-43"/>
        </w:rPr>
      </w:r>
      <w:r>
        <w:rPr/>
        <w:t>展取得重大进展，市场份额已达全国省级市场的</w:t>
      </w:r>
      <w:r>
        <w:rPr>
          <w:rFonts w:ascii="Times New Roman" w:hAnsi="Times New Roman" w:cs="Times New Roman" w:eastAsia="Times New Roman" w:hint="default"/>
        </w:rPr>
        <w:t>1/3</w:t>
      </w:r>
      <w:r>
        <w:rPr/>
        <w:t>。报告期内，数字会议领域业务实现营业收入</w:t>
      </w:r>
      <w:r>
        <w:rPr>
          <w:rFonts w:ascii="Times New Roman" w:hAnsi="Times New Roman" w:cs="Times New Roman" w:eastAsia="Times New Roman" w:hint="default"/>
        </w:rPr>
        <w:t>7890.05</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万元，较去年同期增长</w:t>
      </w:r>
      <w:r>
        <w:rPr>
          <w:rFonts w:ascii="Times New Roman" w:hAnsi="Times New Roman" w:cs="Times New Roman" w:eastAsia="Times New Roman" w:hint="default"/>
        </w:rPr>
        <w:t>3.98%</w:t>
      </w:r>
      <w:r>
        <w:rPr/>
        <w:t>，实现毛利</w:t>
      </w:r>
      <w:r>
        <w:rPr>
          <w:rFonts w:ascii="Times New Roman" w:hAnsi="Times New Roman" w:cs="Times New Roman" w:eastAsia="Times New Roman" w:hint="default"/>
        </w:rPr>
        <w:t>2926.04</w:t>
      </w:r>
      <w:r>
        <w:rPr/>
        <w:t>万元。</w:t>
      </w:r>
    </w:p>
    <w:p>
      <w:pPr>
        <w:pStyle w:val="BodyText"/>
        <w:spacing w:line="386" w:lineRule="auto" w:before="21"/>
        <w:ind w:left="572" w:right="0"/>
        <w:jc w:val="left"/>
      </w:pPr>
      <w:r>
        <w:rPr/>
        <w:t>（</w:t>
      </w:r>
      <w:r>
        <w:rPr>
          <w:rFonts w:ascii="Times New Roman" w:hAnsi="Times New Roman" w:cs="Times New Roman" w:eastAsia="Times New Roman" w:hint="default"/>
        </w:rPr>
        <w:t>2</w:t>
      </w:r>
      <w:r>
        <w:rPr/>
        <w:t>）政府及事业单位领域</w:t>
      </w:r>
      <w:r>
        <w:rPr>
          <w:spacing w:val="-3"/>
          <w:w w:val="100"/>
        </w:rPr>
        <w:t> </w:t>
      </w:r>
      <w:r>
        <w:rPr>
          <w:spacing w:val="-2"/>
        </w:rPr>
        <w:t>公司凭借在人工智能、大数据等技术领域的深厚积累，先后在智慧统计、智慧民生和区域经济大数据</w:t>
      </w:r>
    </w:p>
    <w:p>
      <w:pPr>
        <w:pStyle w:val="BodyText"/>
        <w:spacing w:line="408" w:lineRule="auto" w:before="65"/>
        <w:ind w:right="1128"/>
        <w:jc w:val="both"/>
      </w:pPr>
      <w:r>
        <w:rPr>
          <w:spacing w:val="-2"/>
        </w:rPr>
        <w:t>分析等多个领域取得成功实践，公司运用大数据统计与智能分析技术积极开拓智慧统计业务，取得可喜成</w:t>
      </w:r>
      <w:r>
        <w:rPr>
          <w:spacing w:val="-42"/>
        </w:rPr>
        <w:t> </w:t>
      </w:r>
      <w:r>
        <w:rPr>
          <w:spacing w:val="-42"/>
        </w:rPr>
      </w:r>
      <w:r>
        <w:rPr>
          <w:spacing w:val="-2"/>
        </w:rPr>
        <w:t>效。推出的统计信息化、区域经济数据分析系统得到用户高度评价，成功交付的锦江区经济大数据平台项</w:t>
      </w:r>
      <w:r>
        <w:rPr>
          <w:spacing w:val="-43"/>
        </w:rPr>
        <w:t> </w:t>
      </w:r>
      <w:r>
        <w:rPr>
          <w:spacing w:val="-43"/>
        </w:rPr>
      </w:r>
      <w:r>
        <w:rPr>
          <w:spacing w:val="-2"/>
        </w:rPr>
        <w:t>目作为四川省第一个政府经济大数据管理的先进案例。国家及各地的政府部门代表先后调研考察了相关产</w:t>
      </w:r>
      <w:r>
        <w:rPr>
          <w:spacing w:val="-42"/>
        </w:rPr>
        <w:t> </w:t>
      </w:r>
      <w:r>
        <w:rPr>
          <w:spacing w:val="-42"/>
        </w:rPr>
      </w:r>
      <w:r>
        <w:rPr>
          <w:spacing w:val="-3"/>
        </w:rPr>
        <w:t>品，公司在政务大数据领域的品牌形象不断提升。报告期内，政府及事业单位领域业务（含相关信息化基</w:t>
      </w:r>
      <w:r>
        <w:rPr>
          <w:spacing w:val="-5"/>
        </w:rPr>
        <w:t> </w:t>
      </w:r>
      <w:r>
        <w:rPr>
          <w:spacing w:val="-5"/>
        </w:rPr>
      </w:r>
      <w:r>
        <w:rPr/>
        <w:t>础设施建设）实现营业收入</w:t>
      </w:r>
      <w:r>
        <w:rPr>
          <w:rFonts w:ascii="Times New Roman" w:hAnsi="Times New Roman" w:cs="Times New Roman" w:eastAsia="Times New Roman" w:hint="default"/>
        </w:rPr>
        <w:t>10383.22</w:t>
      </w:r>
      <w:r>
        <w:rPr/>
        <w:t>万元，较去年同期减少</w:t>
      </w:r>
      <w:r>
        <w:rPr>
          <w:rFonts w:ascii="Times New Roman" w:hAnsi="Times New Roman" w:cs="Times New Roman" w:eastAsia="Times New Roman" w:hint="default"/>
        </w:rPr>
        <w:t>6.94%</w:t>
      </w:r>
      <w:r>
        <w:rPr/>
        <w:t>，实现毛利</w:t>
      </w:r>
      <w:r>
        <w:rPr>
          <w:rFonts w:ascii="Times New Roman" w:hAnsi="Times New Roman" w:cs="Times New Roman" w:eastAsia="Times New Roman" w:hint="default"/>
        </w:rPr>
        <w:t>1756.18</w:t>
      </w:r>
      <w:r>
        <w:rPr/>
        <w:t>万元。</w:t>
      </w:r>
    </w:p>
    <w:p>
      <w:pPr>
        <w:pStyle w:val="BodyText"/>
        <w:spacing w:line="386" w:lineRule="auto" w:before="14"/>
        <w:ind w:left="572" w:right="0"/>
        <w:jc w:val="left"/>
      </w:pPr>
      <w:r>
        <w:rPr/>
        <w:t>（</w:t>
      </w:r>
      <w:r>
        <w:rPr>
          <w:rFonts w:ascii="Times New Roman" w:hAnsi="Times New Roman" w:cs="Times New Roman" w:eastAsia="Times New Roman" w:hint="default"/>
        </w:rPr>
        <w:t>3</w:t>
      </w:r>
      <w:r>
        <w:rPr/>
        <w:t>）烟草领域</w:t>
      </w:r>
      <w:r>
        <w:rPr>
          <w:w w:val="100"/>
        </w:rPr>
        <w:t> </w:t>
      </w:r>
      <w:r>
        <w:rPr>
          <w:spacing w:val="-2"/>
        </w:rPr>
        <w:t>烟草行业业务整体发展态势良好，公司在四川、浙江、河南、西藏等市场成功取得多个重大项目。面</w:t>
      </w:r>
    </w:p>
    <w:p>
      <w:pPr>
        <w:pStyle w:val="BodyText"/>
        <w:spacing w:line="386" w:lineRule="auto" w:before="65"/>
        <w:ind w:right="1131"/>
        <w:jc w:val="both"/>
      </w:pPr>
      <w:r>
        <w:rPr>
          <w:spacing w:val="-2"/>
        </w:rPr>
        <w:t>向工业智能制造推出的创新产品</w:t>
      </w:r>
      <w:r>
        <w:rPr>
          <w:rFonts w:ascii="Times New Roman" w:hAnsi="Times New Roman" w:cs="Times New Roman" w:eastAsia="Times New Roman" w:hint="default"/>
          <w:spacing w:val="-2"/>
        </w:rPr>
        <w:t>—</w:t>
      </w:r>
      <w:r>
        <w:rPr>
          <w:spacing w:val="-2"/>
        </w:rPr>
        <w:t>卷烟厂智慧设备管理系统成为杭州卷烟厂</w:t>
      </w:r>
      <w:r>
        <w:rPr>
          <w:rFonts w:ascii="Times New Roman" w:hAnsi="Times New Roman" w:cs="Times New Roman" w:eastAsia="Times New Roman" w:hint="default"/>
          <w:spacing w:val="-2"/>
        </w:rPr>
        <w:t>“</w:t>
      </w:r>
      <w:r>
        <w:rPr>
          <w:spacing w:val="-2"/>
        </w:rPr>
        <w:t>智能工厂</w:t>
      </w:r>
      <w:r>
        <w:rPr>
          <w:rFonts w:ascii="Times New Roman" w:hAnsi="Times New Roman" w:cs="Times New Roman" w:eastAsia="Times New Roman" w:hint="default"/>
          <w:spacing w:val="-2"/>
        </w:rPr>
        <w:t>”</w:t>
      </w:r>
      <w:r>
        <w:rPr>
          <w:spacing w:val="-2"/>
        </w:rPr>
        <w:t>示范项目，为公司</w:t>
      </w:r>
      <w:r>
        <w:rPr>
          <w:spacing w:val="-19"/>
        </w:rPr>
        <w:t> </w:t>
      </w:r>
      <w:r>
        <w:rPr>
          <w:spacing w:val="-19"/>
        </w:rPr>
      </w:r>
      <w:r>
        <w:rPr/>
        <w:t>主营业务市场的稳固与扩大打下良好基础。报告期内，烟草领域业务实现营业收入</w:t>
      </w:r>
      <w:r>
        <w:rPr>
          <w:rFonts w:ascii="Times New Roman" w:hAnsi="Times New Roman" w:cs="Times New Roman" w:eastAsia="Times New Roman" w:hint="default"/>
        </w:rPr>
        <w:t>8135.81</w:t>
      </w:r>
      <w:r>
        <w:rPr>
          <w:rFonts w:ascii="Times New Roman" w:hAnsi="Times New Roman" w:cs="Times New Roman" w:eastAsia="Times New Roman" w:hint="default"/>
          <w:spacing w:val="26"/>
        </w:rPr>
        <w:t> </w:t>
      </w:r>
      <w:r>
        <w:rPr/>
        <w:t>万元，较去年</w:t>
      </w:r>
      <w:r>
        <w:rPr>
          <w:spacing w:val="-101"/>
        </w:rPr>
        <w:t> </w:t>
      </w:r>
      <w:r>
        <w:rPr>
          <w:spacing w:val="-101"/>
        </w:rPr>
      </w:r>
      <w:r>
        <w:rPr/>
        <w:t>同期增长</w:t>
      </w:r>
      <w:r>
        <w:rPr>
          <w:rFonts w:ascii="Times New Roman" w:hAnsi="Times New Roman" w:cs="Times New Roman" w:eastAsia="Times New Roman" w:hint="default"/>
        </w:rPr>
        <w:t>32.98%</w:t>
      </w:r>
      <w:r>
        <w:rPr/>
        <w:t>，实现毛利</w:t>
      </w:r>
      <w:r>
        <w:rPr>
          <w:rFonts w:ascii="Times New Roman" w:hAnsi="Times New Roman" w:cs="Times New Roman" w:eastAsia="Times New Roman" w:hint="default"/>
        </w:rPr>
        <w:t>1291.12</w:t>
      </w:r>
      <w:r>
        <w:rPr/>
        <w:t>万元。</w:t>
      </w:r>
    </w:p>
    <w:p>
      <w:pPr>
        <w:pStyle w:val="BodyText"/>
        <w:spacing w:line="386" w:lineRule="auto" w:before="35"/>
        <w:ind w:left="572" w:right="0"/>
        <w:jc w:val="left"/>
      </w:pPr>
      <w:r>
        <w:rPr/>
        <w:t>（</w:t>
      </w:r>
      <w:r>
        <w:rPr>
          <w:rFonts w:ascii="Times New Roman" w:hAnsi="Times New Roman" w:cs="Times New Roman" w:eastAsia="Times New Roman" w:hint="default"/>
        </w:rPr>
        <w:t>4</w:t>
      </w:r>
      <w:r>
        <w:rPr/>
        <w:t>）印钞检测领域</w:t>
      </w:r>
      <w:r>
        <w:rPr>
          <w:w w:val="100"/>
        </w:rPr>
        <w:t> </w:t>
      </w:r>
      <w:r>
        <w:rPr>
          <w:spacing w:val="-2"/>
        </w:rPr>
        <w:t>印钞检测新技术新产品快速产出，取得了技术研发和市场开拓双突破。研发团队着力开拓了防伪线机</w:t>
      </w:r>
    </w:p>
    <w:p>
      <w:pPr>
        <w:pStyle w:val="BodyText"/>
        <w:spacing w:line="386" w:lineRule="auto" w:before="65"/>
        <w:ind w:left="151" w:right="1131"/>
        <w:jc w:val="both"/>
      </w:pPr>
      <w:r>
        <w:rPr>
          <w:spacing w:val="-2"/>
        </w:rPr>
        <w:t>检系统的新阵地，西班牙、捷克、印度等海外市场已陆续实现卡清分机销售</w:t>
      </w:r>
      <w:r>
        <w:rPr>
          <w:rFonts w:ascii="Times New Roman" w:hAnsi="Times New Roman" w:cs="Times New Roman" w:eastAsia="Times New Roman" w:hint="default"/>
          <w:spacing w:val="-2"/>
        </w:rPr>
        <w:t>“</w:t>
      </w:r>
      <w:r>
        <w:rPr>
          <w:spacing w:val="-2"/>
        </w:rPr>
        <w:t>零突破</w:t>
      </w:r>
      <w:r>
        <w:rPr>
          <w:rFonts w:ascii="Times New Roman" w:hAnsi="Times New Roman" w:cs="Times New Roman" w:eastAsia="Times New Roman" w:hint="default"/>
          <w:spacing w:val="-2"/>
        </w:rPr>
        <w:t>”</w:t>
      </w:r>
      <w:r>
        <w:rPr>
          <w:spacing w:val="-2"/>
        </w:rPr>
        <w:t>。报告期内，新签合</w:t>
      </w:r>
      <w:r>
        <w:rPr>
          <w:spacing w:val="-19"/>
        </w:rPr>
        <w:t> </w:t>
      </w:r>
      <w:r>
        <w:rPr>
          <w:spacing w:val="-19"/>
        </w:rPr>
      </w:r>
      <w:r>
        <w:rPr/>
        <w:t>同额增长迅速，中钞科信印钞检测领域业务实现营业收入</w:t>
      </w:r>
      <w:r>
        <w:rPr>
          <w:rFonts w:ascii="Times New Roman" w:hAnsi="Times New Roman" w:cs="Times New Roman" w:eastAsia="Times New Roman" w:hint="default"/>
        </w:rPr>
        <w:t>11310.51</w:t>
      </w:r>
      <w:r>
        <w:rPr/>
        <w:t>万元，净利润</w:t>
      </w:r>
      <w:r>
        <w:rPr>
          <w:rFonts w:ascii="Times New Roman" w:hAnsi="Times New Roman" w:cs="Times New Roman" w:eastAsia="Times New Roman" w:hint="default"/>
        </w:rPr>
        <w:t>2129.86</w:t>
      </w:r>
      <w:r>
        <w:rPr/>
        <w:t>万元。</w:t>
      </w:r>
    </w:p>
    <w:p>
      <w:pPr>
        <w:pStyle w:val="BodyText"/>
        <w:spacing w:line="386" w:lineRule="auto" w:before="35"/>
        <w:ind w:left="571" w:right="0"/>
        <w:jc w:val="left"/>
      </w:pPr>
      <w:r>
        <w:rPr/>
        <w:t>（</w:t>
      </w:r>
      <w:r>
        <w:rPr>
          <w:rFonts w:ascii="Times New Roman" w:hAnsi="Times New Roman" w:cs="Times New Roman" w:eastAsia="Times New Roman" w:hint="default"/>
        </w:rPr>
        <w:t>5</w:t>
      </w:r>
      <w:r>
        <w:rPr/>
        <w:t>）油气领域</w:t>
      </w:r>
      <w:r>
        <w:rPr>
          <w:w w:val="100"/>
        </w:rPr>
        <w:t> </w:t>
      </w:r>
      <w:r>
        <w:rPr>
          <w:spacing w:val="-2"/>
        </w:rPr>
        <w:t>公司油气信息化业务市场占有率稳步提升，市场地位更加稳固。运用多年来在油气领域建立的品牌形</w:t>
      </w:r>
    </w:p>
    <w:p>
      <w:pPr>
        <w:pStyle w:val="BodyText"/>
        <w:spacing w:line="386" w:lineRule="auto" w:before="65"/>
        <w:ind w:left="151" w:right="1132"/>
        <w:jc w:val="both"/>
      </w:pPr>
      <w:r>
        <w:rPr>
          <w:spacing w:val="-4"/>
          <w:w w:val="100"/>
        </w:rPr>
        <w:t>象，成功争取到</w:t>
      </w:r>
      <w:r>
        <w:rPr>
          <w:rFonts w:ascii="Times New Roman" w:hAnsi="Times New Roman" w:cs="Times New Roman" w:eastAsia="Times New Roman" w:hint="default"/>
          <w:spacing w:val="-4"/>
          <w:w w:val="100"/>
        </w:rPr>
        <w:t>“</w:t>
      </w:r>
      <w:r>
        <w:rPr>
          <w:spacing w:val="-4"/>
          <w:w w:val="100"/>
        </w:rPr>
        <w:t>塔里木盆地喀什北区块阿克莫木气田总体开发工程</w:t>
      </w:r>
      <w:r>
        <w:rPr>
          <w:rFonts w:ascii="Times New Roman" w:hAnsi="Times New Roman" w:cs="Times New Roman" w:eastAsia="Times New Roman" w:hint="default"/>
          <w:spacing w:val="-4"/>
          <w:w w:val="100"/>
        </w:rPr>
        <w:t>”</w:t>
      </w:r>
      <w:r>
        <w:rPr>
          <w:spacing w:val="-4"/>
          <w:w w:val="100"/>
        </w:rPr>
        <w:t>重大项目和</w:t>
      </w:r>
      <w:r>
        <w:rPr>
          <w:rFonts w:ascii="Times New Roman" w:hAnsi="Times New Roman" w:cs="Times New Roman" w:eastAsia="Times New Roman" w:hint="default"/>
          <w:spacing w:val="-4"/>
          <w:w w:val="100"/>
        </w:rPr>
        <w:t>“</w:t>
      </w:r>
      <w:r>
        <w:rPr>
          <w:spacing w:val="-4"/>
          <w:w w:val="100"/>
        </w:rPr>
        <w:t>基于油气作业场所特征的</w:t>
      </w:r>
      <w:r>
        <w:rPr>
          <w:spacing w:val="-81"/>
          <w:w w:val="100"/>
        </w:rPr>
        <w:t> </w:t>
      </w:r>
      <w:r>
        <w:rPr>
          <w:spacing w:val="-81"/>
          <w:w w:val="100"/>
        </w:rPr>
      </w:r>
      <w:r>
        <w:rPr/>
        <w:t>视频不安全行为识别和预警技术研究</w:t>
      </w:r>
      <w:r>
        <w:rPr>
          <w:rFonts w:ascii="Times New Roman" w:hAnsi="Times New Roman" w:cs="Times New Roman" w:eastAsia="Times New Roman" w:hint="default"/>
        </w:rPr>
        <w:t>”</w:t>
      </w:r>
      <w:r>
        <w:rPr/>
        <w:t>应用创新类项目。公司将运用智能识别与分析技术着力提升油气信</w:t>
      </w:r>
      <w:r>
        <w:rPr>
          <w:spacing w:val="-18"/>
        </w:rPr>
        <w:t> </w:t>
      </w:r>
      <w:r>
        <w:rPr>
          <w:spacing w:val="-18"/>
        </w:rPr>
      </w:r>
      <w:r>
        <w:rPr>
          <w:spacing w:val="-1"/>
        </w:rPr>
        <w:t>息化产品的整体技术含量。报告期内，油气领域业务实现营业收入</w:t>
      </w:r>
      <w:r>
        <w:rPr>
          <w:rFonts w:ascii="Times New Roman" w:hAnsi="Times New Roman" w:cs="Times New Roman" w:eastAsia="Times New Roman" w:hint="default"/>
          <w:spacing w:val="-1"/>
        </w:rPr>
        <w:t>6490.51</w:t>
      </w:r>
      <w:r>
        <w:rPr>
          <w:spacing w:val="-1"/>
        </w:rPr>
        <w:t>万元，较去年同期增长</w:t>
      </w:r>
      <w:r>
        <w:rPr>
          <w:rFonts w:ascii="Times New Roman" w:hAnsi="Times New Roman" w:cs="Times New Roman" w:eastAsia="Times New Roman" w:hint="default"/>
          <w:spacing w:val="-1"/>
        </w:rPr>
        <w:t>7.80%</w:t>
      </w:r>
      <w:r>
        <w:rPr>
          <w:spacing w:val="-1"/>
        </w:rPr>
        <w:t>，</w:t>
      </w:r>
    </w:p>
    <w:p>
      <w:pPr>
        <w:spacing w:after="0" w:line="386" w:lineRule="auto"/>
        <w:jc w:val="both"/>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right="0"/>
        <w:jc w:val="left"/>
      </w:pPr>
      <w:r>
        <w:rPr/>
        <w:t>实现毛利</w:t>
      </w:r>
      <w:r>
        <w:rPr>
          <w:rFonts w:ascii="Times New Roman" w:hAnsi="Times New Roman" w:cs="Times New Roman" w:eastAsia="Times New Roman" w:hint="default"/>
        </w:rPr>
        <w:t>1485.78</w:t>
      </w:r>
      <w:r>
        <w:rPr/>
        <w:t>万元。</w:t>
      </w:r>
    </w:p>
    <w:p>
      <w:pPr>
        <w:pStyle w:val="BodyText"/>
        <w:spacing w:line="388" w:lineRule="auto" w:before="167"/>
        <w:ind w:left="573" w:right="0" w:firstLine="83"/>
        <w:jc w:val="left"/>
      </w:pPr>
      <w:r>
        <w:rPr/>
        <w:t>（</w:t>
      </w:r>
      <w:r>
        <w:rPr>
          <w:rFonts w:ascii="等线" w:hAnsi="等线" w:cs="等线" w:eastAsia="等线" w:hint="default"/>
        </w:rPr>
        <w:t>6</w:t>
      </w:r>
      <w:r>
        <w:rPr/>
        <w:t>）其他行业领域</w:t>
      </w:r>
      <w:r>
        <w:rPr>
          <w:spacing w:val="-3"/>
          <w:w w:val="100"/>
        </w:rPr>
        <w:t> </w:t>
      </w:r>
      <w:r>
        <w:rPr>
          <w:spacing w:val="-2"/>
        </w:rPr>
        <w:t>公司继续深度参与</w:t>
      </w:r>
      <w:r>
        <w:rPr>
          <w:rFonts w:ascii="Times New Roman" w:hAnsi="Times New Roman" w:cs="Times New Roman" w:eastAsia="Times New Roman" w:hint="default"/>
          <w:spacing w:val="-2"/>
        </w:rPr>
        <w:t>“</w:t>
      </w:r>
      <w:r>
        <w:rPr>
          <w:spacing w:val="-2"/>
        </w:rPr>
        <w:t>数字中国</w:t>
      </w:r>
      <w:r>
        <w:rPr>
          <w:rFonts w:ascii="Times New Roman" w:hAnsi="Times New Roman" w:cs="Times New Roman" w:eastAsia="Times New Roman" w:hint="default"/>
          <w:spacing w:val="-2"/>
        </w:rPr>
        <w:t>”</w:t>
      </w:r>
      <w:r>
        <w:rPr>
          <w:spacing w:val="-2"/>
        </w:rPr>
        <w:t>建设，积极推进智慧城市业务拓展，年度新签合同额不断增长。报告期</w:t>
      </w:r>
      <w:r>
        <w:rPr/>
      </w:r>
    </w:p>
    <w:p>
      <w:pPr>
        <w:pStyle w:val="BodyText"/>
        <w:spacing w:line="386" w:lineRule="auto" w:before="33"/>
        <w:ind w:left="572" w:right="0" w:hanging="420"/>
        <w:jc w:val="left"/>
      </w:pPr>
      <w:r>
        <w:rPr/>
        <w:t>内，在其他行业领域业务实现营业收入</w:t>
      </w:r>
      <w:r>
        <w:rPr>
          <w:rFonts w:ascii="Times New Roman" w:hAnsi="Times New Roman" w:cs="Times New Roman" w:eastAsia="Times New Roman" w:hint="default"/>
        </w:rPr>
        <w:t>3541.74</w:t>
      </w:r>
      <w:r>
        <w:rPr/>
        <w:t>万元，较去年同期下降</w:t>
      </w:r>
      <w:r>
        <w:rPr>
          <w:rFonts w:ascii="Times New Roman" w:hAnsi="Times New Roman" w:cs="Times New Roman" w:eastAsia="Times New Roman" w:hint="default"/>
        </w:rPr>
        <w:t>0.58%</w:t>
      </w:r>
      <w:r>
        <w:rPr/>
        <w:t>，实现毛利</w:t>
      </w:r>
      <w:r>
        <w:rPr>
          <w:rFonts w:ascii="Times New Roman" w:hAnsi="Times New Roman" w:cs="Times New Roman" w:eastAsia="Times New Roman" w:hint="default"/>
        </w:rPr>
        <w:t>753.57</w:t>
      </w:r>
      <w:r>
        <w:rPr/>
        <w:t>万元。</w:t>
      </w:r>
      <w:r>
        <w:rPr>
          <w:spacing w:val="-3"/>
          <w:w w:val="100"/>
        </w:rPr>
        <w:t> </w:t>
      </w:r>
      <w:r>
        <w:rPr>
          <w:rFonts w:ascii="Times New Roman" w:hAnsi="Times New Roman" w:cs="Times New Roman" w:eastAsia="Times New Roman" w:hint="default"/>
        </w:rPr>
        <w:t>3.</w:t>
      </w:r>
      <w:r>
        <w:rPr/>
        <w:t>聚焦智慧医疗培育新业务</w:t>
      </w:r>
      <w:r>
        <w:rPr>
          <w:spacing w:val="-3"/>
          <w:w w:val="100"/>
        </w:rPr>
        <w:t> </w:t>
      </w:r>
      <w:r>
        <w:rPr/>
        <w:t>公司聚焦智慧医疗，加大新业务培育力度，在市场培育与拓展方面取得良好成效。公司</w:t>
      </w:r>
      <w:r>
        <w:rPr>
          <w:rFonts w:ascii="Times New Roman" w:hAnsi="Times New Roman" w:cs="Times New Roman" w:eastAsia="Times New Roman" w:hint="default"/>
        </w:rPr>
        <w:t>“</w:t>
      </w:r>
      <w:r>
        <w:rPr/>
        <w:t>医疗装备物</w:t>
      </w:r>
    </w:p>
    <w:p>
      <w:pPr>
        <w:pStyle w:val="BodyText"/>
        <w:spacing w:line="386" w:lineRule="auto" w:before="35"/>
        <w:ind w:left="153" w:right="1132" w:hanging="1"/>
        <w:jc w:val="both"/>
      </w:pPr>
      <w:r>
        <w:rPr/>
        <w:t>联网项目</w:t>
      </w:r>
      <w:r>
        <w:rPr>
          <w:rFonts w:ascii="Times New Roman" w:hAnsi="Times New Roman" w:cs="Times New Roman" w:eastAsia="Times New Roman" w:hint="default"/>
        </w:rPr>
        <w:t>”</w:t>
      </w:r>
      <w:r>
        <w:rPr/>
        <w:t>在四川大学华西医院全面部署，并成功示范应用，项目已具备市场推广应用基础。人体基本生</w:t>
      </w:r>
      <w:r>
        <w:rPr>
          <w:spacing w:val="-17"/>
        </w:rPr>
        <w:t> </w:t>
      </w:r>
      <w:r>
        <w:rPr>
          <w:spacing w:val="-17"/>
        </w:rPr>
      </w:r>
      <w:r>
        <w:rPr/>
        <w:t>命功能监测与调控系统、临床超声教学系统等新产品已准备进入市场推广阶段。</w:t>
      </w:r>
    </w:p>
    <w:p>
      <w:pPr>
        <w:pStyle w:val="Heading3"/>
        <w:spacing w:line="240" w:lineRule="auto" w:before="65"/>
        <w:ind w:left="404" w:right="0"/>
        <w:jc w:val="left"/>
        <w:rPr>
          <w:b w:val="0"/>
          <w:bCs w:val="0"/>
        </w:rPr>
      </w:pPr>
      <w:r>
        <w:rPr/>
        <w:t>（三）苦练内功管理水平上台阶</w:t>
      </w:r>
      <w:r>
        <w:rPr>
          <w:b w:val="0"/>
          <w:bCs w:val="0"/>
        </w:rPr>
      </w:r>
    </w:p>
    <w:p>
      <w:pPr>
        <w:spacing w:line="240" w:lineRule="auto" w:before="10"/>
        <w:rPr>
          <w:rFonts w:ascii="宋体" w:hAnsi="宋体" w:cs="宋体" w:eastAsia="宋体" w:hint="default"/>
          <w:b/>
          <w:bCs/>
          <w:sz w:val="14"/>
          <w:szCs w:val="14"/>
        </w:rPr>
      </w:pPr>
    </w:p>
    <w:p>
      <w:pPr>
        <w:pStyle w:val="BodyText"/>
        <w:spacing w:line="386" w:lineRule="auto"/>
        <w:ind w:left="572" w:right="0"/>
        <w:jc w:val="left"/>
      </w:pPr>
      <w:r>
        <w:rPr>
          <w:rFonts w:ascii="Times New Roman" w:hAnsi="Times New Roman" w:cs="Times New Roman" w:eastAsia="Times New Roman" w:hint="default"/>
        </w:rPr>
        <w:t>1.</w:t>
      </w:r>
      <w:r>
        <w:rPr/>
        <w:t>以奋斗者为本，加强人才队伍建设</w:t>
      </w:r>
      <w:r>
        <w:rPr>
          <w:w w:val="100"/>
        </w:rPr>
        <w:t> </w:t>
      </w:r>
      <w:r>
        <w:rPr>
          <w:spacing w:val="-2"/>
        </w:rPr>
        <w:t>公司坚持</w:t>
      </w:r>
      <w:r>
        <w:rPr>
          <w:rFonts w:ascii="Times New Roman" w:hAnsi="Times New Roman" w:cs="Times New Roman" w:eastAsia="Times New Roman" w:hint="default"/>
          <w:spacing w:val="-2"/>
        </w:rPr>
        <w:t>“</w:t>
      </w:r>
      <w:r>
        <w:rPr>
          <w:spacing w:val="-2"/>
        </w:rPr>
        <w:t>市场为先、创新为魂、以人为本</w:t>
      </w:r>
      <w:r>
        <w:rPr>
          <w:rFonts w:ascii="Times New Roman" w:hAnsi="Times New Roman" w:cs="Times New Roman" w:eastAsia="Times New Roman" w:hint="default"/>
          <w:spacing w:val="-2"/>
        </w:rPr>
        <w:t>”</w:t>
      </w:r>
      <w:r>
        <w:rPr>
          <w:spacing w:val="-2"/>
        </w:rPr>
        <w:t>的核心理念，高度重视团队及人才队伍建设，保持核心人</w:t>
      </w:r>
    </w:p>
    <w:p>
      <w:pPr>
        <w:pStyle w:val="BodyText"/>
        <w:spacing w:line="398" w:lineRule="auto" w:before="35"/>
        <w:ind w:right="1128"/>
        <w:jc w:val="both"/>
      </w:pPr>
      <w:r>
        <w:rPr>
          <w:spacing w:val="-2"/>
        </w:rPr>
        <w:t>才队伍稳定，持续招聘各类人才，做好人才储备。投入专项资金开展员工业务技能培训，不断提升员工综</w:t>
      </w:r>
      <w:r>
        <w:rPr>
          <w:spacing w:val="-47"/>
        </w:rPr>
        <w:t> </w:t>
      </w:r>
      <w:r>
        <w:rPr>
          <w:spacing w:val="-47"/>
        </w:rPr>
      </w:r>
      <w:r>
        <w:rPr>
          <w:spacing w:val="-2"/>
        </w:rPr>
        <w:t>合素质。进一步优化技术序列发展通道，大力培养具有发展潜力的年轻人才。</w:t>
      </w:r>
      <w:r>
        <w:rPr>
          <w:rFonts w:ascii="Times New Roman" w:hAnsi="Times New Roman" w:cs="Times New Roman" w:eastAsia="Times New Roman" w:hint="default"/>
          <w:spacing w:val="-2"/>
        </w:rPr>
        <w:t>2019</w:t>
      </w:r>
      <w:r>
        <w:rPr>
          <w:spacing w:val="-2"/>
        </w:rPr>
        <w:t>年下半年，公司高中层</w:t>
      </w:r>
      <w:r>
        <w:rPr>
          <w:spacing w:val="-44"/>
        </w:rPr>
        <w:t> </w:t>
      </w:r>
      <w:r>
        <w:rPr>
          <w:spacing w:val="-44"/>
        </w:rPr>
      </w:r>
      <w:r>
        <w:rPr>
          <w:spacing w:val="-2"/>
        </w:rPr>
        <w:t>干部顺利完成换届，一批德才兼备的年轻骨干充实到新一届中层干部队伍，公司干部队伍年龄结构和知识</w:t>
      </w:r>
      <w:r>
        <w:rPr>
          <w:spacing w:val="-42"/>
        </w:rPr>
        <w:t> </w:t>
      </w:r>
      <w:r>
        <w:rPr>
          <w:spacing w:val="-42"/>
        </w:rPr>
      </w:r>
      <w:r>
        <w:rPr>
          <w:spacing w:val="-2"/>
        </w:rPr>
        <w:t>结构得到进一步优化。公司大力构建以</w:t>
      </w:r>
      <w:r>
        <w:rPr>
          <w:rFonts w:ascii="Times New Roman" w:hAnsi="Times New Roman" w:cs="Times New Roman" w:eastAsia="Times New Roman" w:hint="default"/>
          <w:spacing w:val="-2"/>
        </w:rPr>
        <w:t>“</w:t>
      </w:r>
      <w:r>
        <w:rPr>
          <w:spacing w:val="-2"/>
        </w:rPr>
        <w:t>价值创造、价值评价、价值分配</w:t>
      </w:r>
      <w:r>
        <w:rPr>
          <w:rFonts w:ascii="Times New Roman" w:hAnsi="Times New Roman" w:cs="Times New Roman" w:eastAsia="Times New Roman" w:hint="default"/>
          <w:spacing w:val="-2"/>
        </w:rPr>
        <w:t>”</w:t>
      </w:r>
      <w:r>
        <w:rPr>
          <w:spacing w:val="-2"/>
        </w:rPr>
        <w:t>为重点的绩效管理体系建设，将</w:t>
      </w:r>
      <w:r>
        <w:rPr>
          <w:spacing w:val="-19"/>
        </w:rPr>
        <w:t> </w:t>
      </w:r>
      <w:r>
        <w:rPr>
          <w:spacing w:val="-19"/>
        </w:rPr>
      </w:r>
      <w:r>
        <w:rPr/>
        <w:t>业绩考核与薪酬紧密挂钩，激励优秀的奋斗者不断涌现，营造拼搏向上的实干氛围。</w:t>
      </w:r>
    </w:p>
    <w:p>
      <w:pPr>
        <w:pStyle w:val="BodyText"/>
        <w:spacing w:line="386" w:lineRule="auto" w:before="54"/>
        <w:ind w:left="573" w:right="0"/>
        <w:jc w:val="left"/>
      </w:pPr>
      <w:r>
        <w:rPr>
          <w:rFonts w:ascii="Times New Roman" w:hAnsi="Times New Roman" w:cs="Times New Roman" w:eastAsia="Times New Roman" w:hint="default"/>
        </w:rPr>
        <w:t>2.</w:t>
      </w:r>
      <w:r>
        <w:rPr/>
        <w:t>以制度为纲，规范内部运营</w:t>
      </w:r>
      <w:r>
        <w:rPr>
          <w:w w:val="100"/>
        </w:rPr>
        <w:t> </w:t>
      </w:r>
      <w:r>
        <w:rPr>
          <w:spacing w:val="-2"/>
        </w:rPr>
        <w:t>公司制度建设长抓不懈，修订和制定了公司治理方面的系列新制度，对完善公司治理和规范经营，有</w:t>
      </w:r>
    </w:p>
    <w:p>
      <w:pPr>
        <w:pStyle w:val="BodyText"/>
        <w:spacing w:line="403" w:lineRule="auto" w:before="65"/>
        <w:ind w:right="0"/>
        <w:jc w:val="left"/>
      </w:pPr>
      <w:r>
        <w:rPr>
          <w:spacing w:val="-2"/>
        </w:rPr>
        <w:t>效防控经营风险提供了制度保障。启动了公司业务管理制度修订工作，对公司成立以来颁布的所有制度进</w:t>
      </w:r>
      <w:r>
        <w:rPr>
          <w:spacing w:val="-42"/>
        </w:rPr>
        <w:t> </w:t>
      </w:r>
      <w:r>
        <w:rPr>
          <w:spacing w:val="-42"/>
        </w:rPr>
      </w:r>
      <w:r>
        <w:rPr>
          <w:spacing w:val="-5"/>
        </w:rPr>
        <w:t>行全面梳理，用更科学、更完善的制度、更优化、更高效的流程促进公司整体业务管理水平与效率的提升。 </w:t>
      </w:r>
      <w:r>
        <w:rPr>
          <w:spacing w:val="-5"/>
        </w:rPr>
      </w:r>
      <w:r>
        <w:rPr>
          <w:spacing w:val="-2"/>
        </w:rPr>
        <w:t>纪检、监察、审计工作常抓不懈，积极落实党风廉政建设和反腐败工作责任制，制定《党风廉政建设责任</w:t>
      </w:r>
      <w:r>
        <w:rPr>
          <w:spacing w:val="-43"/>
        </w:rPr>
        <w:t> </w:t>
      </w:r>
      <w:r>
        <w:rPr>
          <w:spacing w:val="-43"/>
        </w:rPr>
      </w:r>
      <w:r>
        <w:rPr/>
        <w:t>制实施细则》，切实履行</w:t>
      </w:r>
      <w:r>
        <w:rPr>
          <w:rFonts w:ascii="Times New Roman" w:hAnsi="Times New Roman" w:cs="Times New Roman" w:eastAsia="Times New Roman" w:hint="default"/>
        </w:rPr>
        <w:t>“</w:t>
      </w:r>
      <w:r>
        <w:rPr/>
        <w:t>一岗双责</w:t>
      </w:r>
      <w:r>
        <w:rPr>
          <w:rFonts w:ascii="Times New Roman" w:hAnsi="Times New Roman" w:cs="Times New Roman" w:eastAsia="Times New Roman" w:hint="default"/>
        </w:rPr>
        <w:t>”</w:t>
      </w:r>
      <w:r>
        <w:rPr/>
        <w:t>；积极开展</w:t>
      </w:r>
      <w:r>
        <w:rPr>
          <w:rFonts w:ascii="Times New Roman" w:hAnsi="Times New Roman" w:cs="Times New Roman" w:eastAsia="Times New Roman" w:hint="default"/>
        </w:rPr>
        <w:t>“</w:t>
      </w:r>
      <w:r>
        <w:rPr/>
        <w:t>四好一强班子</w:t>
      </w:r>
      <w:r>
        <w:rPr>
          <w:rFonts w:ascii="Times New Roman" w:hAnsi="Times New Roman" w:cs="Times New Roman" w:eastAsia="Times New Roman" w:hint="default"/>
        </w:rPr>
        <w:t>”</w:t>
      </w:r>
      <w:r>
        <w:rPr/>
        <w:t>创建和</w:t>
      </w:r>
      <w:r>
        <w:rPr>
          <w:rFonts w:ascii="Times New Roman" w:hAnsi="Times New Roman" w:cs="Times New Roman" w:eastAsia="Times New Roman" w:hint="default"/>
        </w:rPr>
        <w:t>“</w:t>
      </w:r>
      <w:r>
        <w:rPr/>
        <w:t>学习型领导班子</w:t>
      </w:r>
      <w:r>
        <w:rPr>
          <w:rFonts w:ascii="Times New Roman" w:hAnsi="Times New Roman" w:cs="Times New Roman" w:eastAsia="Times New Roman" w:hint="default"/>
        </w:rPr>
        <w:t>”</w:t>
      </w:r>
      <w:r>
        <w:rPr/>
        <w:t>建设，为公司内</w:t>
      </w:r>
      <w:r>
        <w:rPr>
          <w:spacing w:val="-62"/>
        </w:rPr>
        <w:t> </w:t>
      </w:r>
      <w:r>
        <w:rPr>
          <w:spacing w:val="-62"/>
        </w:rPr>
      </w:r>
      <w:r>
        <w:rPr/>
        <w:t>部管理的进一步规范起到有力保障作用。</w:t>
      </w:r>
    </w:p>
    <w:p>
      <w:pPr>
        <w:pStyle w:val="BodyText"/>
        <w:spacing w:line="386" w:lineRule="auto" w:before="50"/>
        <w:ind w:left="572" w:right="0"/>
        <w:jc w:val="left"/>
      </w:pPr>
      <w:r>
        <w:rPr>
          <w:rFonts w:ascii="Times New Roman" w:hAnsi="Times New Roman" w:cs="Times New Roman" w:eastAsia="Times New Roman" w:hint="default"/>
        </w:rPr>
        <w:t>3.</w:t>
      </w:r>
      <w:r>
        <w:rPr/>
        <w:t>以创新为魂，增强发展新动能</w:t>
      </w:r>
      <w:r>
        <w:rPr>
          <w:w w:val="100"/>
        </w:rPr>
        <w:t> </w:t>
      </w:r>
      <w:r>
        <w:rPr>
          <w:spacing w:val="-2"/>
        </w:rPr>
        <w:t>公司继续在智能制造、智慧政务、智慧医疗、智慧城市领域的新产品与技术研发方面持续投入，在工</w:t>
      </w:r>
    </w:p>
    <w:p>
      <w:pPr>
        <w:pStyle w:val="BodyText"/>
        <w:spacing w:line="408" w:lineRule="auto" w:before="65"/>
        <w:ind w:right="1128"/>
        <w:jc w:val="both"/>
      </w:pPr>
      <w:r>
        <w:rPr>
          <w:spacing w:val="-2"/>
        </w:rPr>
        <w:t>业视觉检测、生产大数据分析、设备智慧管理、基于深度学习的心脏超声图像分割、经食道超声检测、政</w:t>
      </w:r>
      <w:r>
        <w:rPr>
          <w:spacing w:val="-43"/>
        </w:rPr>
        <w:t> </w:t>
      </w:r>
      <w:r>
        <w:rPr>
          <w:spacing w:val="-43"/>
        </w:rPr>
      </w:r>
      <w:r>
        <w:rPr>
          <w:spacing w:val="-2"/>
        </w:rPr>
        <w:t>务大数据监测与区域经济分析等方面均开展深入研究，并取得预期成效。公司继续对智能会议新技术、下</w:t>
      </w:r>
      <w:r>
        <w:rPr>
          <w:spacing w:val="-43"/>
        </w:rPr>
        <w:t> </w:t>
      </w:r>
      <w:r>
        <w:rPr>
          <w:spacing w:val="-43"/>
        </w:rPr>
      </w:r>
      <w:r>
        <w:rPr>
          <w:spacing w:val="-2"/>
        </w:rPr>
        <w:t>一代电子票箱和安全可靠选举应用软件、新型手持无线表决系统和国产化相关产品、印钞检测技术，在高</w:t>
      </w:r>
      <w:r>
        <w:rPr>
          <w:spacing w:val="-43"/>
        </w:rPr>
        <w:t> </w:t>
      </w:r>
      <w:r>
        <w:rPr>
          <w:spacing w:val="-43"/>
        </w:rPr>
      </w:r>
      <w:r>
        <w:rPr>
          <w:spacing w:val="-2"/>
        </w:rPr>
        <w:t>速图像精准识别与检测、公共行为识别等进行了进一步研究并取得大的进展。创新研发成果的不断推出为</w:t>
      </w:r>
      <w:r>
        <w:rPr>
          <w:spacing w:val="-42"/>
        </w:rPr>
        <w:t> </w:t>
      </w:r>
      <w:r>
        <w:rPr>
          <w:spacing w:val="-42"/>
        </w:rPr>
      </w:r>
      <w:r>
        <w:rPr/>
        <w:t>增强公司发展后劲以及竞争力提供了有力支撑。</w:t>
      </w:r>
    </w:p>
    <w:p>
      <w:pPr>
        <w:spacing w:after="0" w:line="408" w:lineRule="auto"/>
        <w:jc w:val="both"/>
        <w:sectPr>
          <w:pgSz w:w="11910" w:h="16840"/>
          <w:pgMar w:header="880" w:footer="977" w:top="1100" w:bottom="1160" w:left="980" w:right="0"/>
        </w:sectPr>
      </w:pPr>
    </w:p>
    <w:p>
      <w:pPr>
        <w:spacing w:line="240" w:lineRule="auto" w:before="12"/>
        <w:rPr>
          <w:rFonts w:ascii="宋体" w:hAnsi="宋体" w:cs="宋体" w:eastAsia="宋体" w:hint="default"/>
          <w:sz w:val="19"/>
          <w:szCs w:val="19"/>
        </w:rPr>
      </w:pPr>
    </w:p>
    <w:p>
      <w:pPr>
        <w:pStyle w:val="Heading2"/>
        <w:spacing w:line="240" w:lineRule="auto" w:before="26"/>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7"/>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4D4D4"/>
          </w:tcPr>
          <w:p>
            <w:pP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4D4D4"/>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364,413,271.82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344,467,451.37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5.79%</w:t>
            </w:r>
          </w:p>
        </w:tc>
      </w:tr>
      <w:tr>
        <w:trPr>
          <w:trHeight w:val="396"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数字会议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78,900,471.69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75,880,006.06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-0.38%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烟草行业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81,358,145.56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61,180,106.36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油气行业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64,905,063.01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60,211,036.60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0.33%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政府及事业单位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103,832,212.55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111,572,032.76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35,417,379.01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9.72%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35,624,269.59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-0.62%</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信息化解决方案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265,760,703.57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221,744,486.31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8.56%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技术服务与开发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94,829,261.09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118,718,159.06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-8.44%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3,823,307.16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4,004,806.00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w w:val="95"/>
                <w:sz w:val="18"/>
              </w:rPr>
              <w:t>-0.11%</w:t>
            </w:r>
            <w:r>
              <w:rPr>
                <w:rFonts w:ascii="Times New Roman"/>
                <w:sz w:val="18"/>
              </w:rPr>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2,938,938.11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4,699,003.14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-0.55%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32,656,833.33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33,945,483.41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-0.89%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35,588,920.29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9.77%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27,024,026.27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7.85%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1.92%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13,492,297.98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6,762,018.04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1.74%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41,580,989.80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7,927,764.92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9.11%</w:t>
            </w:r>
            <w:r>
              <w:rPr>
                <w:rFonts w:ascii="Times New Roman"/>
                <w:sz w:val="18"/>
              </w:rPr>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49,404,571.60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59,900,439.96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188,750,720.71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204,208,715.63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-7.48%</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before="101"/>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18"/>
        <w:gridCol w:w="1008"/>
        <w:gridCol w:w="1008"/>
        <w:gridCol w:w="1013"/>
        <w:gridCol w:w="1010"/>
        <w:gridCol w:w="1003"/>
        <w:gridCol w:w="1006"/>
        <w:gridCol w:w="1001"/>
        <w:gridCol w:w="1006"/>
      </w:tblGrid>
      <w:tr>
        <w:trPr>
          <w:trHeight w:val="403" w:hRule="exact"/>
        </w:trPr>
        <w:tc>
          <w:tcPr>
            <w:tcW w:w="1518" w:type="dxa"/>
            <w:vMerge w:val="restart"/>
            <w:tcBorders>
              <w:top w:val="single" w:sz="4" w:space="0" w:color="000000"/>
              <w:left w:val="single" w:sz="4" w:space="0" w:color="000000"/>
              <w:right w:val="single" w:sz="4" w:space="0" w:color="000000"/>
            </w:tcBorders>
            <w:shd w:val="clear" w:color="auto" w:fill="D4D4D4"/>
          </w:tcPr>
          <w:p>
            <w:pPr/>
          </w:p>
        </w:tc>
        <w:tc>
          <w:tcPr>
            <w:tcW w:w="403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1" w:hRule="exact"/>
        </w:trPr>
        <w:tc>
          <w:tcPr>
            <w:tcW w:w="1518" w:type="dxa"/>
            <w:vMerge/>
            <w:tcBorders>
              <w:left w:val="single" w:sz="4" w:space="0" w:color="000000"/>
              <w:bottom w:val="single" w:sz="4" w:space="0" w:color="000000"/>
              <w:right w:val="single" w:sz="4" w:space="0" w:color="000000"/>
            </w:tcBorders>
            <w:shd w:val="clear" w:color="auto" w:fill="D4D4D4"/>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spacing w:after="0" w:line="240" w:lineRule="auto"/>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18"/>
        <w:gridCol w:w="1008"/>
        <w:gridCol w:w="1008"/>
        <w:gridCol w:w="1013"/>
        <w:gridCol w:w="1010"/>
        <w:gridCol w:w="1003"/>
        <w:gridCol w:w="1006"/>
        <w:gridCol w:w="1001"/>
        <w:gridCol w:w="1003"/>
      </w:tblGrid>
      <w:tr>
        <w:trPr>
          <w:trHeight w:val="713" w:hRule="exact"/>
        </w:trPr>
        <w:tc>
          <w:tcPr>
            <w:tcW w:w="15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36,244,312.3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64,180,833.0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47,680,464.0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216,307,662.</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43,903,521.6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47,395,935.0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58,645,918.4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194,522,076.</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r>
      <w:tr>
        <w:trPr>
          <w:trHeight w:val="715" w:hRule="exact"/>
        </w:trPr>
        <w:tc>
          <w:tcPr>
            <w:tcW w:w="15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2" w:right="43"/>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615,940.92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10,447,283.7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1,201,507.40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23024235.16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563,291.64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11,994,617.4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689,248.00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33,498,325.8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说明经营季节性（或周期性）发生的原因及波动风险</w:t>
      </w:r>
    </w:p>
    <w:p>
      <w:pPr>
        <w:spacing w:line="240" w:lineRule="auto" w:before="12"/>
        <w:rPr>
          <w:rFonts w:ascii="宋体" w:hAnsi="宋体" w:cs="宋体" w:eastAsia="宋体" w:hint="default"/>
          <w:sz w:val="12"/>
          <w:szCs w:val="12"/>
        </w:rPr>
      </w:pPr>
    </w:p>
    <w:p>
      <w:pPr>
        <w:pStyle w:val="BodyText"/>
        <w:spacing w:line="408" w:lineRule="auto"/>
        <w:ind w:right="1128" w:firstLine="420"/>
        <w:jc w:val="both"/>
      </w:pPr>
      <w:r>
        <w:rPr>
          <w:spacing w:val="-2"/>
        </w:rPr>
        <w:t>公司所处行业具有一定的季节性，下游政府、石油、烟草等行业客户以国家机关或大型国有企事业单</w:t>
      </w:r>
      <w:r>
        <w:rPr>
          <w:w w:val="100"/>
        </w:rPr>
        <w:t> </w:t>
      </w:r>
      <w:r>
        <w:rPr>
          <w:spacing w:val="-2"/>
        </w:rPr>
        <w:t>位为主，其信息化采购具有较为规范的采购机制和采购流程，按预算决算体制执行，通常在上半年对全年</w:t>
      </w:r>
      <w:r>
        <w:rPr>
          <w:spacing w:val="-43"/>
        </w:rPr>
        <w:t> </w:t>
      </w:r>
      <w:r>
        <w:rPr>
          <w:spacing w:val="-43"/>
        </w:rPr>
      </w:r>
      <w:r>
        <w:rPr>
          <w:spacing w:val="-2"/>
        </w:rPr>
        <w:t>具体实施的信息化应用系统进行立项、采购和实施，项目验收和结款一般集中在第四季度，公司收入通常</w:t>
      </w:r>
      <w:r>
        <w:rPr>
          <w:spacing w:val="-44"/>
        </w:rPr>
        <w:t> </w:t>
      </w:r>
      <w:r>
        <w:rPr>
          <w:spacing w:val="-44"/>
        </w:rPr>
      </w:r>
      <w:r>
        <w:rPr/>
        <w:t>在一个完整会计年度内存在季节性波动风险。</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0" w:footer="977" w:top="1100" w:bottom="1160" w:left="980" w:right="0"/>
        </w:sectPr>
      </w:pPr>
    </w:p>
    <w:p>
      <w:pPr>
        <w:spacing w:before="44"/>
        <w:ind w:left="15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280" w:left="980" w:right="0"/>
          <w:cols w:num="2" w:equalWidth="0">
            <w:col w:w="9065" w:space="40"/>
            <w:col w:w="1825"/>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数字会议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78,900,471.69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49,640,115.85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烟草行业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81,358,145.56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68,446,929.01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-12.85%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油气行业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64,905,063.01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50,047,257.98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政府及事业单位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103,832,212.55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86,270,419.37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35,417,379.01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27,881,704.18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32.12%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-19.48%</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信息化解决方案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265,760,703.57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213,509,460.02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-9.33%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技术服务与开发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94,829,261.09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68,574,963.29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-2.77%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3,823,307.16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202,003.08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2,938,938.11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2,652,806.51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8.45%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32,656,833.33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24,091,617.67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35,588,920.29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26,847,065.35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-13.56%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13,492,297.97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5,146,081.91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61.86%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80.37%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4.05%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41,580,989.80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35,344,897.11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424.50%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651.52%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-25.68%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49,404,571.60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39,645,639.30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37.56%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188,750,720.71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148,558,318.54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-1.59%</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after="0"/>
        <w:jc w:val="left"/>
        <w:rPr>
          <w:rFonts w:ascii="宋体" w:hAnsi="宋体" w:cs="宋体" w:eastAsia="宋体" w:hint="default"/>
          <w:sz w:val="18"/>
          <w:szCs w:val="18"/>
        </w:rPr>
        <w:sectPr>
          <w:type w:val="continuous"/>
          <w:pgSz w:w="11910" w:h="16840"/>
          <w:pgMar w:top="1580" w:bottom="280" w:left="980" w:right="0"/>
        </w:sectPr>
      </w:pPr>
    </w:p>
    <w:p>
      <w:pPr>
        <w:spacing w:line="240" w:lineRule="auto" w:before="9"/>
        <w:rPr>
          <w:rFonts w:ascii="宋体" w:hAnsi="宋体" w:cs="宋体" w:eastAsia="宋体" w:hint="default"/>
          <w:sz w:val="26"/>
          <w:szCs w:val="26"/>
        </w:rPr>
      </w:pPr>
    </w:p>
    <w:p>
      <w:pPr>
        <w:pStyle w:val="BodyText"/>
        <w:spacing w:line="405" w:lineRule="auto" w:before="36"/>
        <w:ind w:right="1120" w:firstLine="420"/>
        <w:jc w:val="left"/>
        <w:rPr>
          <w:sz w:val="18"/>
          <w:szCs w:val="18"/>
        </w:rPr>
      </w:pPr>
      <w:r>
        <w:rPr>
          <w:spacing w:val="-5"/>
          <w:w w:val="100"/>
        </w:rPr>
        <w:t>报告期内公司整体毛利率水平有所下降的主要有如下原因：（</w:t>
      </w:r>
      <w:r>
        <w:rPr>
          <w:rFonts w:ascii="宋体" w:hAnsi="宋体" w:cs="宋体" w:eastAsia="宋体" w:hint="default"/>
          <w:spacing w:val="-5"/>
          <w:w w:val="100"/>
        </w:rPr>
        <w:t>1</w:t>
      </w:r>
      <w:r>
        <w:rPr>
          <w:spacing w:val="-5"/>
          <w:w w:val="100"/>
        </w:rPr>
        <w:t>）随着近年宏观经济状况不佳，行业市</w:t>
      </w:r>
      <w:r>
        <w:rPr>
          <w:w w:val="100"/>
        </w:rPr>
        <w:t> </w:t>
      </w:r>
      <w:r>
        <w:rPr>
          <w:spacing w:val="-2"/>
        </w:rPr>
        <w:t>场竞争异常激烈，为巩固和扩大市场份额，公司较多的采取了低价竞标的策略，中标项目的总体毛利率偏</w:t>
      </w:r>
      <w:r>
        <w:rPr>
          <w:spacing w:val="-44"/>
        </w:rPr>
        <w:t> </w:t>
      </w:r>
      <w:r>
        <w:rPr>
          <w:spacing w:val="-44"/>
        </w:rPr>
      </w:r>
      <w:r>
        <w:rPr>
          <w:spacing w:val="-2"/>
          <w:w w:val="100"/>
        </w:rPr>
        <w:t>低，造成</w:t>
      </w:r>
      <w:r>
        <w:rPr>
          <w:spacing w:val="-52"/>
          <w:w w:val="100"/>
        </w:rPr>
        <w:t> </w:t>
      </w:r>
      <w:r>
        <w:rPr>
          <w:rFonts w:ascii="宋体" w:hAnsi="宋体" w:cs="宋体" w:eastAsia="宋体" w:hint="default"/>
          <w:w w:val="100"/>
        </w:rPr>
        <w:t>2019</w:t>
      </w:r>
      <w:r>
        <w:rPr>
          <w:rFonts w:ascii="宋体" w:hAnsi="宋体" w:cs="宋体" w:eastAsia="宋体" w:hint="default"/>
          <w:spacing w:val="-52"/>
          <w:w w:val="100"/>
        </w:rPr>
        <w:t> </w:t>
      </w:r>
      <w:r>
        <w:rPr>
          <w:spacing w:val="-11"/>
          <w:w w:val="100"/>
        </w:rPr>
        <w:t>年度毛利率下降；（</w:t>
      </w:r>
      <w:r>
        <w:rPr>
          <w:rFonts w:ascii="宋体" w:hAnsi="宋体" w:cs="宋体" w:eastAsia="宋体" w:hint="default"/>
          <w:spacing w:val="-11"/>
          <w:w w:val="100"/>
        </w:rPr>
        <w:t>2</w:t>
      </w:r>
      <w:r>
        <w:rPr>
          <w:spacing w:val="-11"/>
          <w:w w:val="100"/>
        </w:rPr>
        <w:t>）公司</w:t>
      </w:r>
      <w:r>
        <w:rPr>
          <w:spacing w:val="-50"/>
          <w:w w:val="100"/>
        </w:rPr>
        <w:t> </w:t>
      </w:r>
      <w:r>
        <w:rPr>
          <w:rFonts w:ascii="宋体" w:hAnsi="宋体" w:cs="宋体" w:eastAsia="宋体" w:hint="default"/>
          <w:spacing w:val="-1"/>
          <w:w w:val="100"/>
        </w:rPr>
        <w:t>2019</w:t>
      </w:r>
      <w:r>
        <w:rPr>
          <w:rFonts w:ascii="宋体" w:hAnsi="宋体" w:cs="宋体" w:eastAsia="宋体" w:hint="default"/>
          <w:spacing w:val="-52"/>
          <w:w w:val="100"/>
        </w:rPr>
        <w:t> </w:t>
      </w:r>
      <w:r>
        <w:rPr>
          <w:spacing w:val="-2"/>
          <w:w w:val="100"/>
        </w:rPr>
        <w:t>年度的业务构成中，低毛利水平的信息化解决方案类项目</w:t>
      </w:r>
      <w:r>
        <w:rPr>
          <w:spacing w:val="-104"/>
          <w:w w:val="100"/>
        </w:rPr>
        <w:t> </w:t>
      </w:r>
      <w:r>
        <w:rPr>
          <w:spacing w:val="-104"/>
          <w:w w:val="100"/>
        </w:rPr>
      </w:r>
      <w:r>
        <w:rPr/>
        <w:t>较多，占营业收入比达</w:t>
      </w:r>
      <w:r>
        <w:rPr>
          <w:spacing w:val="-59"/>
        </w:rPr>
        <w:t> </w:t>
      </w:r>
      <w:r>
        <w:rPr>
          <w:rFonts w:ascii="宋体" w:hAnsi="宋体" w:cs="宋体" w:eastAsia="宋体" w:hint="default"/>
        </w:rPr>
        <w:t>72.93%</w:t>
      </w:r>
      <w:r>
        <w:rPr/>
        <w:t>，较</w:t>
      </w:r>
      <w:r>
        <w:rPr>
          <w:spacing w:val="-59"/>
        </w:rPr>
        <w:t> </w:t>
      </w:r>
      <w:r>
        <w:rPr>
          <w:rFonts w:ascii="宋体" w:hAnsi="宋体" w:cs="宋体" w:eastAsia="宋体" w:hint="default"/>
        </w:rPr>
        <w:t>2018</w:t>
      </w:r>
      <w:r>
        <w:rPr>
          <w:rFonts w:ascii="宋体" w:hAnsi="宋体" w:cs="宋体" w:eastAsia="宋体" w:hint="default"/>
          <w:spacing w:val="-59"/>
        </w:rPr>
        <w:t> </w:t>
      </w:r>
      <w:r>
        <w:rPr/>
        <w:t>年度增长了</w:t>
      </w:r>
      <w:r>
        <w:rPr>
          <w:spacing w:val="-58"/>
        </w:rPr>
        <w:t> </w:t>
      </w:r>
      <w:r>
        <w:rPr>
          <w:rFonts w:ascii="宋体" w:hAnsi="宋体" w:cs="宋体" w:eastAsia="宋体" w:hint="default"/>
        </w:rPr>
        <w:t>8</w:t>
      </w:r>
      <w:r>
        <w:rPr>
          <w:rFonts w:ascii="宋体" w:hAnsi="宋体" w:cs="宋体" w:eastAsia="宋体" w:hint="default"/>
          <w:spacing w:val="-58"/>
        </w:rPr>
        <w:t> </w:t>
      </w:r>
      <w:r>
        <w:rPr/>
        <w:t>个百分点，平均毛利率仅实现</w:t>
      </w:r>
      <w:r>
        <w:rPr>
          <w:spacing w:val="-58"/>
        </w:rPr>
        <w:t> </w:t>
      </w:r>
      <w:r>
        <w:rPr>
          <w:rFonts w:ascii="宋体" w:hAnsi="宋体" w:cs="宋体" w:eastAsia="宋体" w:hint="default"/>
        </w:rPr>
        <w:t>19.66%</w:t>
      </w:r>
      <w:r>
        <w:rPr/>
        <w:t>，一定程度上</w:t>
      </w:r>
      <w:r>
        <w:rPr>
          <w:w w:val="100"/>
        </w:rPr>
        <w:t> </w:t>
      </w:r>
      <w:r>
        <w:rPr>
          <w:spacing w:val="-5"/>
          <w:w w:val="100"/>
        </w:rPr>
        <w:t>拉低了整体毛利率水平；（</w:t>
      </w:r>
      <w:r>
        <w:rPr>
          <w:rFonts w:ascii="宋体" w:hAnsi="宋体" w:cs="宋体" w:eastAsia="宋体" w:hint="default"/>
          <w:spacing w:val="-5"/>
          <w:w w:val="100"/>
        </w:rPr>
        <w:t>3</w:t>
      </w:r>
      <w:r>
        <w:rPr>
          <w:spacing w:val="-5"/>
          <w:w w:val="100"/>
        </w:rPr>
        <w:t>）公司成本控制的能力还有一定提升空间。</w:t>
      </w:r>
      <w:r>
        <w:rPr>
          <w:spacing w:val="-99"/>
          <w:w w:val="100"/>
        </w:rPr>
        <w:t> </w:t>
      </w:r>
      <w:r>
        <w:rPr>
          <w:rFonts w:ascii="宋体" w:hAnsi="宋体" w:cs="宋体" w:eastAsia="宋体" w:hint="default"/>
          <w:spacing w:val="-99"/>
          <w:w w:val="100"/>
        </w:rPr>
      </w:r>
      <w:r>
        <w:rPr>
          <w:sz w:val="18"/>
          <w:szCs w:val="18"/>
        </w:rPr>
        <w:t>公司主营业务数据统计口径在报告期发生调整的情况下，公司最近</w:t>
      </w:r>
      <w:r>
        <w:rPr>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sz w:val="18"/>
          <w:szCs w:val="18"/>
        </w:rPr>
        <w:t>年按报告期末口径调整后的主营业务数据</w:t>
      </w:r>
    </w:p>
    <w:p>
      <w:pPr>
        <w:spacing w:line="213" w:lineRule="exact"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0" w:footer="977" w:top="1100" w:bottom="1160" w:left="980" w:right="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280" w:left="980" w:right="0"/>
          <w:cols w:num="2" w:equalWidth="0">
            <w:col w:w="873" w:space="8045"/>
            <w:col w:w="2012"/>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557"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559"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8"/>
              <w:jc w:val="center"/>
              <w:rPr>
                <w:rFonts w:ascii="宋体" w:hAnsi="宋体" w:cs="宋体" w:eastAsia="宋体" w:hint="default"/>
                <w:sz w:val="18"/>
                <w:szCs w:val="18"/>
              </w:rPr>
            </w:pPr>
            <w:r>
              <w:rPr>
                <w:rFonts w:ascii="宋体" w:hAnsi="宋体" w:cs="宋体" w:eastAsia="宋体" w:hint="default"/>
                <w:sz w:val="18"/>
                <w:szCs w:val="18"/>
              </w:rPr>
              <w:t>信息化解决方案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17,080,409.65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7,262,495.86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8"/>
              <w:jc w:val="center"/>
              <w:rPr>
                <w:rFonts w:ascii="宋体" w:hAnsi="宋体" w:cs="宋体" w:eastAsia="宋体" w:hint="default"/>
                <w:sz w:val="18"/>
                <w:szCs w:val="18"/>
              </w:rPr>
            </w:pPr>
            <w:r>
              <w:rPr>
                <w:rFonts w:ascii="宋体" w:hAnsi="宋体" w:cs="宋体" w:eastAsia="宋体" w:hint="default"/>
                <w:sz w:val="18"/>
                <w:szCs w:val="18"/>
              </w:rPr>
              <w:t>信息化解决方案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3"/>
              <w:ind w:left="26" w:right="71"/>
              <w:jc w:val="left"/>
              <w:rPr>
                <w:rFonts w:ascii="宋体" w:hAnsi="宋体" w:cs="宋体" w:eastAsia="宋体" w:hint="default"/>
                <w:sz w:val="18"/>
                <w:szCs w:val="18"/>
              </w:rPr>
            </w:pPr>
            <w:r>
              <w:rPr>
                <w:rFonts w:ascii="宋体" w:hAnsi="宋体" w:cs="宋体" w:eastAsia="宋体" w:hint="default"/>
                <w:sz w:val="18"/>
                <w:szCs w:val="18"/>
              </w:rPr>
              <w:t>外购材料及服务 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196,429,050.37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147,502,341.91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8.20%</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8"/>
              <w:jc w:val="center"/>
              <w:rPr>
                <w:rFonts w:ascii="宋体" w:hAnsi="宋体" w:cs="宋体" w:eastAsia="宋体" w:hint="default"/>
                <w:sz w:val="18"/>
                <w:szCs w:val="18"/>
              </w:rPr>
            </w:pPr>
            <w:r>
              <w:rPr>
                <w:rFonts w:ascii="宋体" w:hAnsi="宋体" w:cs="宋体" w:eastAsia="宋体" w:hint="default"/>
                <w:sz w:val="18"/>
                <w:szCs w:val="18"/>
              </w:rPr>
              <w:t>技术服务与开发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22,586,988.66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24,728,400.00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-2.29%</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8"/>
              <w:jc w:val="center"/>
              <w:rPr>
                <w:rFonts w:ascii="宋体" w:hAnsi="宋体" w:cs="宋体" w:eastAsia="宋体" w:hint="default"/>
                <w:sz w:val="18"/>
                <w:szCs w:val="18"/>
              </w:rPr>
            </w:pPr>
            <w:r>
              <w:rPr>
                <w:rFonts w:ascii="宋体" w:hAnsi="宋体" w:cs="宋体" w:eastAsia="宋体" w:hint="default"/>
                <w:sz w:val="18"/>
                <w:szCs w:val="18"/>
              </w:rPr>
              <w:t>技术服务与开发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3"/>
              <w:ind w:left="26" w:right="71"/>
              <w:jc w:val="left"/>
              <w:rPr>
                <w:rFonts w:ascii="宋体" w:hAnsi="宋体" w:cs="宋体" w:eastAsia="宋体" w:hint="default"/>
                <w:sz w:val="18"/>
                <w:szCs w:val="18"/>
              </w:rPr>
            </w:pPr>
            <w:r>
              <w:rPr>
                <w:rFonts w:ascii="宋体" w:hAnsi="宋体" w:cs="宋体" w:eastAsia="宋体" w:hint="default"/>
                <w:sz w:val="18"/>
                <w:szCs w:val="18"/>
              </w:rPr>
              <w:t>外购材料及服务 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46,189,977.71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60,792,400.59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280" w:left="980" w:right="0"/>
        </w:sectPr>
      </w:pPr>
    </w:p>
    <w:p>
      <w:pPr>
        <w:spacing w:line="357" w:lineRule="auto" w:before="51"/>
        <w:ind w:left="152" w:right="8532" w:firstLine="0"/>
        <w:jc w:val="left"/>
        <w:rPr>
          <w:rFonts w:ascii="宋体" w:hAnsi="宋体" w:cs="宋体" w:eastAsia="宋体" w:hint="default"/>
          <w:sz w:val="18"/>
          <w:szCs w:val="18"/>
        </w:rPr>
      </w:pPr>
      <w:r>
        <w:rPr>
          <w:rFonts w:ascii="宋体" w:hAnsi="宋体" w:cs="宋体" w:eastAsia="宋体" w:hint="default"/>
          <w:sz w:val="18"/>
          <w:szCs w:val="18"/>
        </w:rPr>
        <w:t>说明 无</w:t>
      </w:r>
    </w:p>
    <w:p>
      <w:pPr>
        <w:spacing w:line="340" w:lineRule="auto" w:before="29"/>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280" w:left="980" w:right="0"/>
          <w:cols w:num="2" w:equalWidth="0">
            <w:col w:w="9065" w:space="40"/>
            <w:col w:w="1825"/>
          </w:cols>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外购材料及服务成 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242,417,025.00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208,043,164.32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-0.71%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39,667,398.31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31,990,895.86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0.74%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6"/>
        <w:gridCol w:w="5311"/>
      </w:tblGrid>
      <w:tr>
        <w:trPr>
          <w:trHeight w:val="403" w:hRule="exact"/>
        </w:trPr>
        <w:tc>
          <w:tcPr>
            <w:tcW w:w="4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119,379,295.35</w:t>
            </w:r>
          </w:p>
        </w:tc>
      </w:tr>
      <w:tr>
        <w:trPr>
          <w:trHeight w:val="402" w:hRule="exact"/>
        </w:trPr>
        <w:tc>
          <w:tcPr>
            <w:tcW w:w="4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32.76%</w:t>
            </w:r>
          </w:p>
        </w:tc>
      </w:tr>
      <w:tr>
        <w:trPr>
          <w:trHeight w:val="714" w:hRule="exact"/>
        </w:trPr>
        <w:tc>
          <w:tcPr>
            <w:tcW w:w="4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2"/>
        <w:gridCol w:w="2321"/>
        <w:gridCol w:w="3144"/>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35,072,472.15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9.62%</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30,069,423.91</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8.25%</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26,301,018.57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7.22%</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15,035,152.26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4.13%</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12,901,228.46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3.54%</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119,379,295.35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32.76%</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5"/>
        <w:ind w:left="152" w:right="913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6"/>
        <w:gridCol w:w="5311"/>
      </w:tblGrid>
      <w:tr>
        <w:trPr>
          <w:trHeight w:val="401" w:hRule="exact"/>
        </w:trPr>
        <w:tc>
          <w:tcPr>
            <w:tcW w:w="4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33,673,507.90</w:t>
            </w:r>
          </w:p>
        </w:tc>
      </w:tr>
      <w:tr>
        <w:trPr>
          <w:trHeight w:val="403" w:hRule="exact"/>
        </w:trPr>
        <w:tc>
          <w:tcPr>
            <w:tcW w:w="4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10.52%</w:t>
            </w:r>
          </w:p>
        </w:tc>
      </w:tr>
      <w:tr>
        <w:trPr>
          <w:trHeight w:val="713" w:hRule="exact"/>
        </w:trPr>
        <w:tc>
          <w:tcPr>
            <w:tcW w:w="4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1"/>
        <w:gridCol w:w="3144"/>
      </w:tblGrid>
      <w:tr>
        <w:trPr>
          <w:trHeight w:val="401" w:hRule="exact"/>
        </w:trPr>
        <w:tc>
          <w:tcPr>
            <w:tcW w:w="9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bl>
    <w:p>
      <w:pPr>
        <w:spacing w:after="0" w:line="240" w:lineRule="auto"/>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936"/>
        <w:gridCol w:w="3168"/>
        <w:gridCol w:w="2321"/>
        <w:gridCol w:w="3144"/>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10,821,398.00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3.38%</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7,628,806.90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2.38%</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5,475,980.00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1.71%</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4,917,323.00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1.54%</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4,830,000.00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1.51%</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33,673,507.90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10.52%</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637"/>
        <w:gridCol w:w="1637"/>
        <w:gridCol w:w="1462"/>
        <w:gridCol w:w="2918"/>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3" w:right="0"/>
              <w:jc w:val="left"/>
              <w:rPr>
                <w:rFonts w:ascii="Times New Roman" w:hAnsi="Times New Roman" w:cs="Times New Roman" w:eastAsia="Times New Roman" w:hint="default"/>
                <w:sz w:val="18"/>
                <w:szCs w:val="18"/>
              </w:rPr>
            </w:pPr>
            <w:r>
              <w:rPr>
                <w:rFonts w:ascii="Times New Roman"/>
                <w:sz w:val="18"/>
              </w:rPr>
              <w:t>25,911,911.39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26,935,419.00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1" w:right="0"/>
              <w:jc w:val="left"/>
              <w:rPr>
                <w:rFonts w:ascii="Times New Roman" w:hAnsi="Times New Roman" w:cs="Times New Roman" w:eastAsia="Times New Roman" w:hint="default"/>
                <w:sz w:val="18"/>
                <w:szCs w:val="18"/>
              </w:rPr>
            </w:pPr>
            <w:r>
              <w:rPr>
                <w:rFonts w:ascii="Times New Roman"/>
                <w:sz w:val="18"/>
              </w:rPr>
              <w:t>21,861,958.38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21,417,556.65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-2,625,829.40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-4,542,056.87</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年公司流动资金较为紧张，减少</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了定期存款，因此利息收入较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年显著减少。</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1" w:right="0"/>
              <w:jc w:val="left"/>
              <w:rPr>
                <w:rFonts w:ascii="Times New Roman" w:hAnsi="Times New Roman" w:cs="Times New Roman" w:eastAsia="Times New Roman" w:hint="default"/>
                <w:sz w:val="18"/>
                <w:szCs w:val="18"/>
              </w:rPr>
            </w:pPr>
            <w:r>
              <w:rPr>
                <w:rFonts w:ascii="Times New Roman"/>
                <w:sz w:val="18"/>
              </w:rPr>
              <w:t>14,563,032.78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17,515,831.67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-16.86%</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0" w:lineRule="auto" w:before="157"/>
        <w:ind w:right="1129" w:firstLine="420"/>
        <w:jc w:val="left"/>
        <w:rPr>
          <w:sz w:val="18"/>
          <w:szCs w:val="18"/>
        </w:rPr>
      </w:pPr>
      <w:r>
        <w:rPr>
          <w:spacing w:val="-2"/>
        </w:rPr>
        <w:t>公司持续推进</w:t>
      </w:r>
      <w:r>
        <w:rPr>
          <w:rFonts w:ascii="Times New Roman" w:hAnsi="Times New Roman" w:cs="Times New Roman" w:eastAsia="Times New Roman" w:hint="default"/>
          <w:spacing w:val="-2"/>
        </w:rPr>
        <w:t>“</w:t>
      </w:r>
      <w:r>
        <w:rPr>
          <w:spacing w:val="-2"/>
        </w:rPr>
        <w:t>创新驱动发展</w:t>
      </w:r>
      <w:r>
        <w:rPr>
          <w:rFonts w:ascii="Times New Roman" w:hAnsi="Times New Roman" w:cs="Times New Roman" w:eastAsia="Times New Roman" w:hint="default"/>
          <w:spacing w:val="-2"/>
        </w:rPr>
        <w:t>”</w:t>
      </w:r>
      <w:r>
        <w:rPr>
          <w:spacing w:val="-2"/>
        </w:rPr>
        <w:t>战略，持续投入自主核心技术研发，在国内同行业中保持了在智能识别</w:t>
      </w:r>
      <w:r>
        <w:rPr>
          <w:spacing w:val="-3"/>
          <w:w w:val="100"/>
        </w:rPr>
        <w:t> </w:t>
      </w:r>
      <w:r>
        <w:rPr>
          <w:spacing w:val="-2"/>
        </w:rPr>
        <w:t>与分析技术上的领先地位。公司面向行业，围绕客户需求，紧跟新一代信息技术与行业发展趋势，找准人</w:t>
      </w:r>
      <w:r>
        <w:rPr>
          <w:spacing w:val="-47"/>
        </w:rPr>
        <w:t> </w:t>
      </w:r>
      <w:r>
        <w:rPr>
          <w:spacing w:val="-47"/>
        </w:rPr>
      </w:r>
      <w:r>
        <w:rPr>
          <w:spacing w:val="-2"/>
        </w:rPr>
        <w:t>工智能技术与行业业务的结合点，加快研发速度，不断拓宽产品线，为政府、烟草、印钞、石油、医疗、</w:t>
      </w:r>
      <w:r>
        <w:rPr>
          <w:spacing w:val="-24"/>
        </w:rPr>
        <w:t> </w:t>
      </w:r>
      <w:r>
        <w:rPr>
          <w:spacing w:val="-24"/>
        </w:rPr>
      </w:r>
      <w:r>
        <w:rPr>
          <w:spacing w:val="-2"/>
        </w:rPr>
        <w:t>教育、交通、公安等多个行业及领域提供了具有领先性的产品、技术和解决方案。报告期内，公司进行了</w:t>
      </w:r>
      <w:r>
        <w:rPr>
          <w:spacing w:val="-43"/>
        </w:rPr>
        <w:t> </w:t>
      </w:r>
      <w:r>
        <w:rPr>
          <w:spacing w:val="-43"/>
        </w:rPr>
      </w:r>
      <w:r>
        <w:rPr>
          <w:spacing w:val="-2"/>
        </w:rPr>
        <w:t>下一代电子票箱和电子表决系统的开发，在关键技术研究方面均已取得阶段性成果；新型手持无线表决系</w:t>
      </w:r>
      <w:r>
        <w:rPr>
          <w:spacing w:val="-42"/>
        </w:rPr>
        <w:t> </w:t>
      </w:r>
      <w:r>
        <w:rPr>
          <w:spacing w:val="-42"/>
        </w:rPr>
      </w:r>
      <w:r>
        <w:rPr>
          <w:spacing w:val="-2"/>
        </w:rPr>
        <w:t>统和国产化相关产品的研制进展顺利；继医疗装备物联网项目顺利推广后，智慧病房系统、人体基本生命</w:t>
      </w:r>
      <w:r>
        <w:rPr>
          <w:spacing w:val="-43"/>
        </w:rPr>
        <w:t> </w:t>
      </w:r>
      <w:r>
        <w:rPr>
          <w:spacing w:val="-43"/>
        </w:rPr>
      </w:r>
      <w:r>
        <w:rPr>
          <w:spacing w:val="-2"/>
        </w:rPr>
        <w:t>功能监测与调控系统、临床超声教学系统等一批智慧医疗新成果将陆续在</w:t>
      </w:r>
      <w:r>
        <w:rPr>
          <w:rFonts w:ascii="Times New Roman" w:hAnsi="Times New Roman" w:cs="Times New Roman" w:eastAsia="Times New Roman" w:hint="default"/>
          <w:spacing w:val="-2"/>
        </w:rPr>
        <w:t>2020</w:t>
      </w:r>
      <w:r>
        <w:rPr>
          <w:spacing w:val="-2"/>
        </w:rPr>
        <w:t>年进入市场推广；运用高速</w:t>
      </w:r>
      <w:r>
        <w:rPr>
          <w:spacing w:val="-45"/>
        </w:rPr>
        <w:t> </w:t>
      </w:r>
      <w:r>
        <w:rPr>
          <w:spacing w:val="-45"/>
        </w:rPr>
      </w:r>
      <w:r>
        <w:rPr>
          <w:spacing w:val="-2"/>
        </w:rPr>
        <w:t>机器视觉检测技术的烟箱缺条检测、烟用胶囊检测系统以及印钞、防伪、清分机产品线的多个系统实现不</w:t>
      </w:r>
      <w:r>
        <w:rPr>
          <w:spacing w:val="-44"/>
        </w:rPr>
        <w:t> </w:t>
      </w:r>
      <w:r>
        <w:rPr>
          <w:spacing w:val="-44"/>
        </w:rPr>
      </w:r>
      <w:r>
        <w:rPr>
          <w:spacing w:val="-2"/>
        </w:rPr>
        <w:t>断优化升级；创新产品</w:t>
      </w:r>
      <w:r>
        <w:rPr>
          <w:rFonts w:ascii="Times New Roman" w:hAnsi="Times New Roman" w:cs="Times New Roman" w:eastAsia="Times New Roman" w:hint="default"/>
          <w:spacing w:val="-2"/>
        </w:rPr>
        <w:t>——</w:t>
      </w:r>
      <w:r>
        <w:rPr>
          <w:spacing w:val="-2"/>
        </w:rPr>
        <w:t>油气田人员公共行为识别系统、景区人流监测系统即将推广应用；统计大数据</w:t>
      </w:r>
      <w:r>
        <w:rPr>
          <w:spacing w:val="-47"/>
        </w:rPr>
        <w:t> </w:t>
      </w:r>
      <w:r>
        <w:rPr>
          <w:spacing w:val="-47"/>
        </w:rPr>
      </w:r>
      <w:r>
        <w:rPr>
          <w:spacing w:val="-2"/>
        </w:rPr>
        <w:t>分析及经济运行大数据分析技术已处于行业领先地位，智慧校园综合管理平台开发取得重要突破。系列创</w:t>
      </w:r>
      <w:r>
        <w:rPr>
          <w:spacing w:val="-42"/>
        </w:rPr>
        <w:t> </w:t>
      </w:r>
      <w:r>
        <w:rPr>
          <w:spacing w:val="-42"/>
        </w:rPr>
      </w:r>
      <w:r>
        <w:rPr/>
        <w:t>新成果的成功应用将为公司业务持续良好发展发挥有效支撑作用。</w:t>
      </w:r>
      <w:r>
        <w:rPr>
          <w:w w:val="100"/>
        </w:rPr>
        <w:t> </w:t>
      </w:r>
      <w:r>
        <w:rPr>
          <w:sz w:val="18"/>
          <w:szCs w:val="18"/>
        </w:rPr>
        <w:t>近三年公司研发投入金额及占营业收入的比例</w:t>
      </w:r>
    </w:p>
    <w:p>
      <w:pPr>
        <w:spacing w:after="0" w:line="400" w:lineRule="auto"/>
        <w:jc w:val="left"/>
        <w:rPr>
          <w:sz w:val="18"/>
          <w:szCs w:val="18"/>
        </w:rPr>
        <w:sectPr>
          <w:pgSz w:w="11910" w:h="16840"/>
          <w:pgMar w:header="880" w:footer="977"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115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14,563,032.78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17,515,831.67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12,946,436.26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7" w:top="1100" w:bottom="1160" w:left="980" w:right="0"/>
        </w:sectPr>
      </w:pPr>
    </w:p>
    <w:p>
      <w:pPr>
        <w:spacing w:before="51"/>
        <w:ind w:left="152" w:right="-18"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5"/>
        <w:ind w:left="152" w:right="4932"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41"/>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3" w:right="-18"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2"/>
        <w:ind w:left="-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280" w:left="980" w:right="0"/>
          <w:cols w:num="2" w:equalWidth="0">
            <w:col w:w="9065" w:space="40"/>
            <w:col w:w="1825"/>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实施进度</w:t>
            </w:r>
          </w:p>
        </w:tc>
      </w:tr>
    </w:tbl>
    <w:p>
      <w:pPr>
        <w:spacing w:before="1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422,741,306.62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349,302,229.80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427,712,908.81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362,035,155.19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18.14%</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-4,971,602.19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-12,732,925.39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60.95%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155,884,976.05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134,051,674.88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5,110,536.90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131,815,690.24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-96.12%</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150,774,439.15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2,235,984.64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6,643.09%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9,157,110.91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4,999,621.17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83.16%</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20,842,889.09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-4,999,621.17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516.89%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166,645,726.05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-15,496,561.92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1,175.37%</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after="0"/>
        <w:jc w:val="left"/>
        <w:rPr>
          <w:rFonts w:ascii="宋体" w:hAnsi="宋体" w:cs="宋体" w:eastAsia="宋体" w:hint="default"/>
          <w:sz w:val="18"/>
          <w:szCs w:val="18"/>
        </w:rPr>
        <w:sectPr>
          <w:type w:val="continuous"/>
          <w:pgSz w:w="11910" w:h="16840"/>
          <w:pgMar w:top="1580" w:bottom="280" w:left="980" w:right="0"/>
        </w:sectPr>
      </w:pPr>
    </w:p>
    <w:p>
      <w:pPr>
        <w:spacing w:line="240" w:lineRule="auto" w:before="13"/>
        <w:rPr>
          <w:rFonts w:ascii="宋体" w:hAnsi="宋体" w:cs="宋体" w:eastAsia="宋体" w:hint="default"/>
          <w:sz w:val="21"/>
          <w:szCs w:val="21"/>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393" w:lineRule="auto" w:before="157"/>
        <w:ind w:right="1129" w:firstLine="419"/>
        <w:jc w:val="left"/>
      </w:pPr>
      <w:r>
        <w:rPr>
          <w:spacing w:val="-3"/>
        </w:rPr>
        <w:t>本报告期内，经营活动现金流入小计同比增长</w:t>
      </w:r>
      <w:r>
        <w:rPr>
          <w:rFonts w:ascii="Times New Roman" w:hAnsi="Times New Roman" w:cs="Times New Roman" w:eastAsia="Times New Roman" w:hint="default"/>
          <w:spacing w:val="-3"/>
        </w:rPr>
        <w:t>21.02%</w:t>
      </w:r>
      <w:r>
        <w:rPr>
          <w:spacing w:val="-3"/>
        </w:rPr>
        <w:t>，系公司加大项目合同款、投标保证金等款项催</w:t>
      </w:r>
      <w:r>
        <w:rPr>
          <w:spacing w:val="-3"/>
          <w:w w:val="100"/>
        </w:rPr>
        <w:t> </w:t>
      </w:r>
      <w:r>
        <w:rPr>
          <w:spacing w:val="-2"/>
        </w:rPr>
        <w:t>收力度，收款状况良好所致。经营活动现金流出小计同比增长</w:t>
      </w:r>
      <w:r>
        <w:rPr>
          <w:rFonts w:ascii="Times New Roman" w:hAnsi="Times New Roman" w:cs="Times New Roman" w:eastAsia="Times New Roman" w:hint="default"/>
          <w:spacing w:val="-2"/>
        </w:rPr>
        <w:t>18.14%</w:t>
      </w:r>
      <w:r>
        <w:rPr>
          <w:spacing w:val="-2"/>
        </w:rPr>
        <w:t>的主要原因是：随着公司订单增加，</w:t>
      </w:r>
      <w:r>
        <w:rPr>
          <w:spacing w:val="-19"/>
        </w:rPr>
        <w:t> </w:t>
      </w:r>
      <w:r>
        <w:rPr>
          <w:spacing w:val="-19"/>
        </w:rPr>
      </w:r>
      <w:r>
        <w:rPr/>
        <w:t>且大部分新订单需要前期垫付成本实施所致。综合上述原因也导致经营活动现金流量净额同比增长</w:t>
      </w:r>
      <w:r>
        <w:rPr>
          <w:w w:val="100"/>
        </w:rPr>
        <w:t> </w:t>
      </w:r>
      <w:r>
        <w:rPr>
          <w:rFonts w:ascii="Times New Roman" w:hAnsi="Times New Roman" w:cs="Times New Roman" w:eastAsia="Times New Roman" w:hint="default"/>
        </w:rPr>
        <w:t>60.95%</w:t>
      </w:r>
      <w:r>
        <w:rPr/>
        <w:t>。</w:t>
      </w:r>
    </w:p>
    <w:p>
      <w:pPr>
        <w:pStyle w:val="BodyText"/>
        <w:spacing w:line="386" w:lineRule="auto" w:before="28"/>
        <w:ind w:right="0" w:firstLine="420"/>
        <w:jc w:val="left"/>
      </w:pPr>
      <w:r>
        <w:rPr>
          <w:spacing w:val="-3"/>
        </w:rPr>
        <w:t>投资活动现金流出小计同比减少</w:t>
      </w:r>
      <w:r>
        <w:rPr>
          <w:rFonts w:ascii="Times New Roman" w:hAnsi="Times New Roman" w:cs="Times New Roman" w:eastAsia="Times New Roman" w:hint="default"/>
          <w:spacing w:val="-3"/>
        </w:rPr>
        <w:t>96.12%</w:t>
      </w:r>
      <w:r>
        <w:rPr>
          <w:spacing w:val="-3"/>
        </w:rPr>
        <w:t>，系定期存款净额减少所致，从而导致投资活动现金流量净额</w:t>
      </w:r>
      <w:r>
        <w:rPr>
          <w:w w:val="100"/>
        </w:rPr>
        <w:t> </w:t>
      </w:r>
      <w:r>
        <w:rPr/>
        <w:t>同比增长</w:t>
      </w:r>
      <w:r>
        <w:rPr>
          <w:rFonts w:ascii="Times New Roman" w:hAnsi="Times New Roman" w:cs="Times New Roman" w:eastAsia="Times New Roman" w:hint="default"/>
        </w:rPr>
        <w:t>6643.09%</w:t>
      </w:r>
      <w:r>
        <w:rPr/>
        <w:t>。</w:t>
      </w:r>
    </w:p>
    <w:p>
      <w:pPr>
        <w:pStyle w:val="BodyText"/>
        <w:spacing w:line="386" w:lineRule="auto" w:before="35"/>
        <w:ind w:right="0" w:firstLine="420"/>
        <w:jc w:val="left"/>
      </w:pPr>
      <w:r>
        <w:rPr>
          <w:spacing w:val="-3"/>
        </w:rPr>
        <w:t>筹资活动现金流入小计本年增加，系向银行贷款所致。筹资活动现金流出小计同比增长</w:t>
      </w:r>
      <w:r>
        <w:rPr>
          <w:rFonts w:ascii="Times New Roman" w:hAnsi="Times New Roman" w:cs="Times New Roman" w:eastAsia="Times New Roman" w:hint="default"/>
          <w:spacing w:val="-3"/>
        </w:rPr>
        <w:t>83.16%</w:t>
      </w:r>
      <w:r>
        <w:rPr>
          <w:spacing w:val="-3"/>
        </w:rPr>
        <w:t>，系现</w:t>
      </w:r>
      <w:r>
        <w:rPr>
          <w:w w:val="100"/>
        </w:rPr>
        <w:t> </w:t>
      </w:r>
      <w:r>
        <w:rPr>
          <w:spacing w:val="-2"/>
        </w:rPr>
        <w:t>金股利分配及贷款利息增加所致。综合上述原因，导致筹资活动产生的现金流量净额同比增长</w:t>
      </w:r>
      <w:r>
        <w:rPr>
          <w:rFonts w:ascii="Times New Roman" w:hAnsi="Times New Roman" w:cs="Times New Roman" w:eastAsia="Times New Roman" w:hint="default"/>
          <w:spacing w:val="-2"/>
        </w:rPr>
        <w:t>516.89%</w:t>
      </w:r>
      <w:r>
        <w:rPr>
          <w:spacing w:val="-2"/>
        </w:rPr>
        <w:t>。</w:t>
      </w:r>
    </w:p>
    <w:p>
      <w:pPr>
        <w:pStyle w:val="BodyText"/>
        <w:spacing w:line="240" w:lineRule="auto" w:before="35"/>
        <w:ind w:left="572" w:right="0"/>
        <w:jc w:val="left"/>
      </w:pPr>
      <w:r>
        <w:rPr/>
        <w:t>基于上述情况，本公司报告期内现金及现金等价物净增加额同比增长</w:t>
      </w:r>
      <w:r>
        <w:rPr>
          <w:rFonts w:ascii="Times New Roman" w:hAnsi="Times New Roman" w:cs="Times New Roman" w:eastAsia="Times New Roman" w:hint="default"/>
        </w:rPr>
        <w:t>1175.37%</w:t>
      </w:r>
      <w:r>
        <w:rPr/>
        <w:t>。</w:t>
      </w:r>
    </w:p>
    <w:p>
      <w:pPr>
        <w:spacing w:line="240" w:lineRule="auto" w:before="0"/>
        <w:rPr>
          <w:rFonts w:ascii="宋体" w:hAnsi="宋体" w:cs="宋体" w:eastAsia="宋体" w:hint="default"/>
          <w:sz w:val="22"/>
          <w:szCs w:val="22"/>
        </w:rPr>
      </w:pPr>
    </w:p>
    <w:p>
      <w:pPr>
        <w:spacing w:before="188"/>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8" w:lineRule="auto" w:before="157"/>
        <w:ind w:right="0" w:firstLine="420"/>
        <w:jc w:val="left"/>
      </w:pPr>
      <w:r>
        <w:rPr>
          <w:spacing w:val="-2"/>
        </w:rPr>
        <w:t>报告期内公司经营活动产生的现金净流量与本年度净利润存在重大差异，是经营活动购买商品、接受</w:t>
      </w:r>
      <w:r>
        <w:rPr>
          <w:w w:val="100"/>
        </w:rPr>
        <w:t> </w:t>
      </w:r>
      <w:r>
        <w:rPr/>
        <w:t>劳务支付的现金增加所致。</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5"/>
        <w:gridCol w:w="1622"/>
        <w:gridCol w:w="2167"/>
        <w:gridCol w:w="2340"/>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025" w:hRule="exact"/>
        </w:trPr>
        <w:tc>
          <w:tcPr>
            <w:tcW w:w="1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8,918,351.44</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22.80%</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1"/>
              <w:jc w:val="both"/>
              <w:rPr>
                <w:rFonts w:ascii="宋体" w:hAnsi="宋体" w:cs="宋体" w:eastAsia="宋体" w:hint="default"/>
                <w:sz w:val="18"/>
                <w:szCs w:val="18"/>
              </w:rPr>
            </w:pPr>
            <w:r>
              <w:rPr>
                <w:rFonts w:ascii="宋体" w:hAnsi="宋体" w:cs="宋体" w:eastAsia="宋体" w:hint="default"/>
                <w:sz w:val="18"/>
                <w:szCs w:val="18"/>
              </w:rPr>
              <w:t>主要来源于对联营企业中 钞科信本期净利润按照权 益法核算的报表合并</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6,782,594.45</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17.34%</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存货计提的减值准备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510,000.00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1.30%</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政府补助退回</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11,031,632.81</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28.20%</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由本期政府补助形成</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80" w:footer="977" w:top="1100" w:bottom="1160" w:left="980" w:right="0"/>
        </w:sectPr>
      </w:pPr>
    </w:p>
    <w:p>
      <w:pPr>
        <w:spacing w:before="44"/>
        <w:ind w:left="152" w:right="-15"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年起首次执行新金融工具准则、新收入准则或新租赁准则且调整执行当年年初财务报表相关项目</w:t>
      </w:r>
    </w:p>
    <w:p>
      <w:pPr>
        <w:spacing w:before="103"/>
        <w:ind w:left="152" w:right="-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280" w:left="980" w:right="0"/>
          <w:cols w:num="2" w:equalWidth="0">
            <w:col w:w="8525" w:space="394"/>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2227"/>
        <w:gridCol w:w="2258"/>
        <w:gridCol w:w="797"/>
        <w:gridCol w:w="291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2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type w:val="continuous"/>
          <w:pgSz w:w="11910" w:h="16840"/>
          <w:pgMar w:top="1580" w:bottom="2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3"/>
        <w:gridCol w:w="1195"/>
        <w:gridCol w:w="1063"/>
        <w:gridCol w:w="797"/>
        <w:gridCol w:w="291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282,924,331.0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229,472,552.41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245,016,362.4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198,011,739.45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115,707,924.0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72,177,940.37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107,125,640.1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100,606,192.81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19,897,186.21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20,418,580.19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-0.47%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 w:right="0"/>
              <w:jc w:val="center"/>
              <w:rPr>
                <w:rFonts w:ascii="Times New Roman" w:hAnsi="Times New Roman" w:cs="Times New Roman" w:eastAsia="Times New Roman" w:hint="default"/>
                <w:sz w:val="18"/>
                <w:szCs w:val="18"/>
              </w:rPr>
            </w:pPr>
            <w:r>
              <w:rPr>
                <w:rFonts w:ascii="Times New Roman"/>
                <w:sz w:val="18"/>
              </w:rPr>
              <w:t>30,000,000.00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3.49%</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本公司截至报告期末履约保证金存款</w:t>
      </w:r>
      <w:r>
        <w:rPr>
          <w:rFonts w:ascii="Times New Roman" w:hAnsi="Times New Roman" w:cs="Times New Roman" w:eastAsia="Times New Roman" w:hint="default"/>
          <w:sz w:val="21"/>
          <w:szCs w:val="21"/>
        </w:rPr>
        <w:t>7,688,716.63</w:t>
      </w:r>
      <w:r>
        <w:rPr>
          <w:rFonts w:ascii="宋体" w:hAnsi="宋体" w:cs="宋体" w:eastAsia="宋体" w:hint="default"/>
          <w:sz w:val="18"/>
          <w:szCs w:val="18"/>
        </w:rPr>
        <w:t>元，</w:t>
      </w:r>
      <w:r>
        <w:rPr>
          <w:rFonts w:ascii="宋体" w:hAnsi="宋体" w:cs="宋体" w:eastAsia="宋体" w:hint="default"/>
          <w:sz w:val="21"/>
          <w:szCs w:val="21"/>
        </w:rPr>
        <w:t>农民工保证金</w:t>
      </w:r>
      <w:r>
        <w:rPr>
          <w:rFonts w:ascii="Times New Roman" w:hAnsi="Times New Roman" w:cs="Times New Roman" w:eastAsia="Times New Roman" w:hint="default"/>
          <w:sz w:val="21"/>
          <w:szCs w:val="21"/>
        </w:rPr>
        <w:t>224,000.00</w:t>
      </w:r>
      <w:r>
        <w:rPr>
          <w:rFonts w:ascii="宋体" w:hAnsi="宋体" w:cs="宋体" w:eastAsia="宋体" w:hint="default"/>
          <w:sz w:val="21"/>
          <w:szCs w:val="21"/>
        </w:rPr>
        <w:t>元，</w:t>
      </w:r>
      <w:r>
        <w:rPr>
          <w:rFonts w:ascii="宋体" w:hAnsi="宋体" w:cs="宋体" w:eastAsia="宋体" w:hint="default"/>
          <w:sz w:val="18"/>
          <w:szCs w:val="18"/>
        </w:rPr>
        <w:t>其使用受到限制。</w:t>
      </w:r>
    </w:p>
    <w:p>
      <w:pPr>
        <w:spacing w:line="240" w:lineRule="auto" w:before="10"/>
        <w:rPr>
          <w:rFonts w:ascii="宋体" w:hAnsi="宋体" w:cs="宋体" w:eastAsia="宋体" w:hint="default"/>
          <w:sz w:val="22"/>
          <w:szCs w:val="22"/>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1"/>
        <w:gridCol w:w="869"/>
        <w:gridCol w:w="871"/>
        <w:gridCol w:w="869"/>
        <w:gridCol w:w="871"/>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71"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2017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6"/>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15,755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4,315.25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4,394.32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w w:val="95"/>
                <w:sz w:val="18"/>
              </w:rPr>
              <w:t>11,360.68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1"/>
              <w:jc w:val="center"/>
              <w:rPr>
                <w:rFonts w:ascii="宋体" w:hAnsi="宋体" w:cs="宋体" w:eastAsia="宋体" w:hint="default"/>
                <w:sz w:val="18"/>
                <w:szCs w:val="18"/>
              </w:rPr>
            </w:pPr>
            <w:r>
              <w:rPr>
                <w:rFonts w:ascii="宋体" w:hAnsi="宋体" w:cs="宋体" w:eastAsia="宋体" w:hint="default"/>
                <w:sz w:val="18"/>
                <w:szCs w:val="18"/>
              </w:rPr>
              <w:t>银行存款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15,755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4,315.25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4,394.32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w w:val="95"/>
                <w:sz w:val="18"/>
              </w:rPr>
              <w:t>11,360.68</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634"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477" w:lineRule="auto" w:before="130"/>
              <w:ind w:left="24" w:right="17" w:firstLine="360"/>
              <w:jc w:val="left"/>
              <w:rPr>
                <w:rFonts w:ascii="宋体" w:hAnsi="宋体" w:cs="宋体" w:eastAsia="宋体" w:hint="default"/>
                <w:sz w:val="18"/>
                <w:szCs w:val="18"/>
              </w:rPr>
            </w:pPr>
            <w:r>
              <w:rPr>
                <w:rFonts w:ascii="宋体" w:hAnsi="宋体" w:cs="宋体" w:eastAsia="宋体" w:hint="default"/>
                <w:spacing w:val="-2"/>
                <w:sz w:val="18"/>
                <w:szCs w:val="18"/>
              </w:rPr>
              <w:t>一、经中国证券监督管理委员会《关于核准中科院成都信息技术股份有限公司首次公开发行公司股票的批复》（证监</w:t>
            </w:r>
            <w:r>
              <w:rPr>
                <w:rFonts w:ascii="宋体" w:hAnsi="宋体" w:cs="宋体" w:eastAsia="宋体" w:hint="default"/>
                <w:sz w:val="18"/>
                <w:szCs w:val="18"/>
              </w:rPr>
              <w:t> 许可</w:t>
            </w:r>
            <w:r>
              <w:rPr>
                <w:rFonts w:ascii="Times New Roman" w:hAnsi="Times New Roman" w:cs="Times New Roman" w:eastAsia="Times New Roman" w:hint="default"/>
                <w:sz w:val="18"/>
                <w:szCs w:val="18"/>
              </w:rPr>
              <w:t>[2017]949 </w:t>
            </w:r>
            <w:r>
              <w:rPr>
                <w:rFonts w:ascii="宋体" w:hAnsi="宋体" w:cs="宋体" w:eastAsia="宋体" w:hint="default"/>
                <w:spacing w:val="-9"/>
                <w:sz w:val="18"/>
                <w:szCs w:val="18"/>
              </w:rPr>
              <w:t>号）核准，公司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月于深圳证券交易所向社会公众公开发行人民币普通股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2,500 </w:t>
            </w:r>
            <w:r>
              <w:rPr>
                <w:rFonts w:ascii="宋体" w:hAnsi="宋体" w:cs="宋体" w:eastAsia="宋体" w:hint="default"/>
                <w:spacing w:val="-5"/>
                <w:sz w:val="18"/>
                <w:szCs w:val="18"/>
              </w:rPr>
              <w:t>万股，发行价</w:t>
            </w:r>
          </w:p>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股，募集资金总额为人民币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196,250,000.00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元，扣除发行费用人民币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38,700,000.00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元，实际募集资金净额为人</w:t>
            </w:r>
          </w:p>
          <w:p>
            <w:pPr>
              <w:pStyle w:val="TableParagraph"/>
              <w:spacing w:line="240" w:lineRule="auto" w:before="9"/>
              <w:ind w:right="0"/>
              <w:jc w:val="left"/>
              <w:rPr>
                <w:rFonts w:ascii="宋体" w:hAnsi="宋体" w:cs="宋体" w:eastAsia="宋体" w:hint="default"/>
                <w:sz w:val="16"/>
                <w:szCs w:val="16"/>
              </w:rPr>
            </w:pPr>
          </w:p>
          <w:p>
            <w:pPr>
              <w:pStyle w:val="TableParagraph"/>
              <w:spacing w:line="451" w:lineRule="auto"/>
              <w:ind w:left="24" w:right="31"/>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157,550,000.00 </w:t>
            </w:r>
            <w:r>
              <w:rPr>
                <w:rFonts w:ascii="宋体" w:hAnsi="宋体" w:cs="宋体" w:eastAsia="宋体" w:hint="default"/>
                <w:sz w:val="18"/>
                <w:szCs w:val="18"/>
              </w:rPr>
              <w:t>元。该次募集资金到账时间为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日，本次募集资金到位情况已经信永中和会计师事务所 验证并出具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XYZH/2017CDA10397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验资报告。</w:t>
            </w:r>
          </w:p>
          <w:p>
            <w:pPr>
              <w:pStyle w:val="TableParagraph"/>
              <w:spacing w:line="240" w:lineRule="auto" w:before="82"/>
              <w:ind w:left="384" w:right="0"/>
              <w:jc w:val="left"/>
              <w:rPr>
                <w:rFonts w:ascii="宋体" w:hAnsi="宋体" w:cs="宋体" w:eastAsia="宋体" w:hint="default"/>
                <w:sz w:val="18"/>
                <w:szCs w:val="18"/>
              </w:rPr>
            </w:pPr>
            <w:r>
              <w:rPr>
                <w:rFonts w:ascii="宋体" w:hAnsi="宋体" w:cs="宋体" w:eastAsia="宋体" w:hint="default"/>
                <w:sz w:val="18"/>
                <w:szCs w:val="18"/>
              </w:rPr>
              <w:t>二、截至</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日，本公司累计使用募集资金人民币</w:t>
            </w:r>
            <w:r>
              <w:rPr>
                <w:rFonts w:ascii="宋体" w:hAnsi="宋体" w:cs="宋体" w:eastAsia="宋体" w:hint="default"/>
                <w:spacing w:val="-47"/>
                <w:sz w:val="18"/>
                <w:szCs w:val="18"/>
              </w:rPr>
              <w:t> </w:t>
            </w:r>
            <w:r>
              <w:rPr>
                <w:rFonts w:ascii="宋体" w:hAnsi="宋体" w:cs="宋体" w:eastAsia="宋体" w:hint="default"/>
                <w:sz w:val="18"/>
                <w:szCs w:val="18"/>
              </w:rPr>
              <w:t>43,943,189.35</w:t>
            </w:r>
            <w:r>
              <w:rPr>
                <w:rFonts w:ascii="宋体" w:hAnsi="宋体" w:cs="宋体" w:eastAsia="宋体" w:hint="default"/>
                <w:spacing w:val="-45"/>
                <w:sz w:val="18"/>
                <w:szCs w:val="18"/>
              </w:rPr>
              <w:t> </w:t>
            </w:r>
            <w:r>
              <w:rPr>
                <w:rFonts w:ascii="宋体" w:hAnsi="宋体" w:cs="宋体" w:eastAsia="宋体" w:hint="default"/>
                <w:sz w:val="18"/>
                <w:szCs w:val="18"/>
              </w:rPr>
              <w:t>元，其中：以前年度使用</w:t>
            </w:r>
            <w:r>
              <w:rPr>
                <w:rFonts w:ascii="宋体" w:hAnsi="宋体" w:cs="宋体" w:eastAsia="宋体" w:hint="default"/>
                <w:spacing w:val="-47"/>
                <w:sz w:val="18"/>
                <w:szCs w:val="18"/>
              </w:rPr>
              <w:t> </w:t>
            </w:r>
            <w:r>
              <w:rPr>
                <w:rFonts w:ascii="宋体" w:hAnsi="宋体" w:cs="宋体" w:eastAsia="宋体" w:hint="default"/>
                <w:sz w:val="18"/>
                <w:szCs w:val="18"/>
              </w:rPr>
              <w:t>790,660.02</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元，本年度使用</w:t>
            </w:r>
            <w:r>
              <w:rPr>
                <w:rFonts w:ascii="宋体" w:hAnsi="宋体" w:cs="宋体" w:eastAsia="宋体" w:hint="default"/>
                <w:spacing w:val="-48"/>
                <w:sz w:val="18"/>
                <w:szCs w:val="18"/>
              </w:rPr>
              <w:t> </w:t>
            </w:r>
            <w:r>
              <w:rPr>
                <w:rFonts w:ascii="宋体" w:hAnsi="宋体" w:cs="宋体" w:eastAsia="宋体" w:hint="default"/>
                <w:sz w:val="18"/>
                <w:szCs w:val="18"/>
              </w:rPr>
              <w:t>3,152,529.33</w:t>
            </w:r>
            <w:r>
              <w:rPr>
                <w:rFonts w:ascii="宋体" w:hAnsi="宋体" w:cs="宋体" w:eastAsia="宋体" w:hint="default"/>
                <w:spacing w:val="-50"/>
                <w:sz w:val="18"/>
                <w:szCs w:val="18"/>
              </w:rPr>
              <w:t> </w:t>
            </w:r>
            <w:r>
              <w:rPr>
                <w:rFonts w:ascii="宋体" w:hAnsi="宋体" w:cs="宋体" w:eastAsia="宋体" w:hint="default"/>
                <w:sz w:val="18"/>
                <w:szCs w:val="18"/>
              </w:rPr>
              <w:t>元投入募集资金项目，另闲置募集资金暂时补充流动资金</w:t>
            </w:r>
            <w:r>
              <w:rPr>
                <w:rFonts w:ascii="宋体" w:hAnsi="宋体" w:cs="宋体" w:eastAsia="宋体" w:hint="default"/>
                <w:spacing w:val="-48"/>
                <w:sz w:val="18"/>
                <w:szCs w:val="18"/>
              </w:rPr>
              <w:t> </w:t>
            </w:r>
            <w:r>
              <w:rPr>
                <w:rFonts w:ascii="宋体" w:hAnsi="宋体" w:cs="宋体" w:eastAsia="宋体" w:hint="default"/>
                <w:sz w:val="18"/>
                <w:szCs w:val="18"/>
              </w:rPr>
              <w:t>40,000,000.00</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尚未使用募集资金余额为人民币</w:t>
            </w:r>
            <w:r>
              <w:rPr>
                <w:rFonts w:ascii="宋体" w:hAnsi="宋体" w:cs="宋体" w:eastAsia="宋体" w:hint="default"/>
                <w:spacing w:val="-51"/>
                <w:sz w:val="18"/>
                <w:szCs w:val="18"/>
              </w:rPr>
              <w:t> </w:t>
            </w:r>
            <w:r>
              <w:rPr>
                <w:rFonts w:ascii="宋体" w:hAnsi="宋体" w:cs="宋体" w:eastAsia="宋体" w:hint="default"/>
                <w:sz w:val="18"/>
                <w:szCs w:val="18"/>
              </w:rPr>
              <w:t>113,606,810.65</w:t>
            </w:r>
            <w:r>
              <w:rPr>
                <w:rFonts w:ascii="宋体" w:hAnsi="宋体" w:cs="宋体" w:eastAsia="宋体" w:hint="default"/>
                <w:spacing w:val="-50"/>
                <w:sz w:val="18"/>
                <w:szCs w:val="18"/>
              </w:rPr>
              <w:t> </w:t>
            </w:r>
            <w:r>
              <w:rPr>
                <w:rFonts w:ascii="宋体" w:hAnsi="宋体" w:cs="宋体" w:eastAsia="宋体" w:hint="default"/>
                <w:sz w:val="18"/>
                <w:szCs w:val="18"/>
              </w:rPr>
              <w:t>元，募集资金专户余额为人民币</w:t>
            </w:r>
            <w:r>
              <w:rPr>
                <w:rFonts w:ascii="宋体" w:hAnsi="宋体" w:cs="宋体" w:eastAsia="宋体" w:hint="default"/>
                <w:spacing w:val="-51"/>
                <w:sz w:val="18"/>
                <w:szCs w:val="18"/>
              </w:rPr>
              <w:t> </w:t>
            </w:r>
            <w:r>
              <w:rPr>
                <w:rFonts w:ascii="宋体" w:hAnsi="宋体" w:cs="宋体" w:eastAsia="宋体" w:hint="default"/>
                <w:sz w:val="18"/>
                <w:szCs w:val="18"/>
              </w:rPr>
              <w:t>121,340,824.13</w:t>
            </w:r>
            <w:r>
              <w:rPr>
                <w:rFonts w:ascii="宋体" w:hAnsi="宋体" w:cs="宋体" w:eastAsia="宋体" w:hint="default"/>
                <w:spacing w:val="-50"/>
                <w:sz w:val="18"/>
                <w:szCs w:val="18"/>
              </w:rPr>
              <w:t> </w:t>
            </w:r>
            <w:r>
              <w:rPr>
                <w:rFonts w:ascii="宋体" w:hAnsi="宋体" w:cs="宋体" w:eastAsia="宋体" w:hint="default"/>
                <w:spacing w:val="-3"/>
                <w:sz w:val="18"/>
                <w:szCs w:val="18"/>
              </w:rPr>
              <w:t>元，差异金额为人</w:t>
            </w: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9"/>
                <w:sz w:val="18"/>
                <w:szCs w:val="18"/>
              </w:rPr>
              <w:t> </w:t>
            </w:r>
            <w:r>
              <w:rPr>
                <w:rFonts w:ascii="宋体" w:hAnsi="宋体" w:cs="宋体" w:eastAsia="宋体" w:hint="default"/>
                <w:sz w:val="18"/>
                <w:szCs w:val="18"/>
              </w:rPr>
              <w:t>7,734,013.48</w:t>
            </w:r>
            <w:r>
              <w:rPr>
                <w:rFonts w:ascii="宋体" w:hAnsi="宋体" w:cs="宋体" w:eastAsia="宋体" w:hint="default"/>
                <w:spacing w:val="-48"/>
                <w:sz w:val="18"/>
                <w:szCs w:val="18"/>
              </w:rPr>
              <w:t> </w:t>
            </w:r>
            <w:r>
              <w:rPr>
                <w:rFonts w:ascii="宋体" w:hAnsi="宋体" w:cs="宋体" w:eastAsia="宋体" w:hint="default"/>
                <w:sz w:val="18"/>
                <w:szCs w:val="18"/>
              </w:rPr>
              <w:t>元，系募集资金累计利息收入扣除银行手续费支出后的净额。</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22"/>
        <w:gridCol w:w="725"/>
        <w:gridCol w:w="898"/>
        <w:gridCol w:w="895"/>
        <w:gridCol w:w="727"/>
        <w:gridCol w:w="898"/>
        <w:gridCol w:w="898"/>
        <w:gridCol w:w="727"/>
        <w:gridCol w:w="727"/>
        <w:gridCol w:w="898"/>
        <w:gridCol w:w="727"/>
        <w:gridCol w:w="727"/>
      </w:tblGrid>
      <w:tr>
        <w:trPr>
          <w:trHeight w:val="1649" w:hRule="exact"/>
        </w:trPr>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86" w:right="84"/>
              <w:jc w:val="center"/>
              <w:rPr>
                <w:rFonts w:ascii="宋体" w:hAnsi="宋体" w:cs="宋体" w:eastAsia="宋体" w:hint="default"/>
                <w:sz w:val="18"/>
                <w:szCs w:val="18"/>
              </w:rPr>
            </w:pPr>
            <w:r>
              <w:rPr>
                <w:rFonts w:ascii="宋体" w:hAnsi="宋体" w:cs="宋体" w:eastAsia="宋体" w:hint="default"/>
                <w:sz w:val="18"/>
                <w:szCs w:val="18"/>
              </w:rPr>
              <w:t>承诺投 资项目 和超募 资金投 向</w:t>
            </w:r>
          </w:p>
        </w:tc>
        <w:tc>
          <w:tcPr>
            <w:tcW w:w="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57" w:right="55"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3" w:right="8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9" w:right="62"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8"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3"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26" w:lineRule="auto"/>
              <w:ind w:left="83" w:right="8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8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8" w:right="8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3" w:right="83"/>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8"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88" w:right="8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610"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6"/>
              <w:jc w:val="both"/>
              <w:rPr>
                <w:rFonts w:ascii="宋体" w:hAnsi="宋体" w:cs="宋体" w:eastAsia="宋体" w:hint="default"/>
                <w:sz w:val="18"/>
                <w:szCs w:val="18"/>
              </w:rPr>
            </w:pPr>
            <w:r>
              <w:rPr>
                <w:rFonts w:ascii="宋体" w:hAnsi="宋体" w:cs="宋体" w:eastAsia="宋体" w:hint="default"/>
                <w:sz w:val="18"/>
                <w:szCs w:val="18"/>
              </w:rPr>
              <w:t>数字会 议系列 产品升 级及产 业化项</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5,536</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2,888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118.49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118.49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4.10%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93pt;margin-top:606.359985pt;width:442pt;height:54.6pt;mso-position-horizontal-relative:page;mso-position-vertical-relative:page;z-index:-986704" coordorigin="1860,12127" coordsize="8840,1092">
            <v:shape style="position:absolute;left:1860;top:12127;width:8840;height:1092" coordorigin="1860,12127" coordsize="8840,1092" path="m1860,13219l10699,13219,10699,12127,1860,12127,1860,13219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722"/>
        <w:gridCol w:w="725"/>
        <w:gridCol w:w="898"/>
        <w:gridCol w:w="895"/>
        <w:gridCol w:w="727"/>
        <w:gridCol w:w="898"/>
        <w:gridCol w:w="898"/>
        <w:gridCol w:w="727"/>
        <w:gridCol w:w="727"/>
        <w:gridCol w:w="898"/>
        <w:gridCol w:w="727"/>
        <w:gridCol w:w="727"/>
      </w:tblGrid>
      <w:tr>
        <w:trPr>
          <w:trHeight w:val="362"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2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6"/>
              <w:jc w:val="both"/>
              <w:rPr>
                <w:rFonts w:ascii="宋体" w:hAnsi="宋体" w:cs="宋体" w:eastAsia="宋体" w:hint="default"/>
                <w:sz w:val="18"/>
                <w:szCs w:val="18"/>
              </w:rPr>
            </w:pPr>
            <w:r>
              <w:rPr>
                <w:rFonts w:ascii="宋体" w:hAnsi="宋体" w:cs="宋体" w:eastAsia="宋体" w:hint="default"/>
                <w:sz w:val="18"/>
                <w:szCs w:val="18"/>
              </w:rPr>
              <w:t>烟草智 能物流 应用系 统升级 开发及 产业化 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4,090</w:t>
            </w:r>
          </w:p>
        </w:tc>
        <w:tc>
          <w:tcPr>
            <w:tcW w:w="89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3"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6"/>
              <w:jc w:val="both"/>
              <w:rPr>
                <w:rFonts w:ascii="宋体" w:hAnsi="宋体" w:cs="宋体" w:eastAsia="宋体" w:hint="default"/>
                <w:sz w:val="18"/>
                <w:szCs w:val="18"/>
              </w:rPr>
            </w:pPr>
            <w:r>
              <w:rPr>
                <w:rFonts w:ascii="宋体" w:hAnsi="宋体" w:cs="宋体" w:eastAsia="宋体" w:hint="default"/>
                <w:sz w:val="18"/>
                <w:szCs w:val="18"/>
              </w:rPr>
              <w:t>高速机 器视觉 技术研 发中心 升级改 造项目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3,662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6"/>
              <w:jc w:val="both"/>
              <w:rPr>
                <w:rFonts w:ascii="宋体" w:hAnsi="宋体" w:cs="宋体" w:eastAsia="宋体" w:hint="default"/>
                <w:sz w:val="18"/>
                <w:szCs w:val="18"/>
              </w:rPr>
            </w:pPr>
            <w:r>
              <w:rPr>
                <w:rFonts w:ascii="宋体" w:hAnsi="宋体" w:cs="宋体" w:eastAsia="宋体" w:hint="default"/>
                <w:sz w:val="18"/>
                <w:szCs w:val="18"/>
              </w:rPr>
              <w:t>营销服 务网络 建设项 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2,467</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1,680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169.66</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248.73</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14.81%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6"/>
              <w:jc w:val="both"/>
              <w:rPr>
                <w:rFonts w:ascii="宋体" w:hAnsi="宋体" w:cs="宋体" w:eastAsia="宋体" w:hint="default"/>
                <w:sz w:val="18"/>
                <w:szCs w:val="18"/>
              </w:rPr>
            </w:pPr>
            <w:r>
              <w:rPr>
                <w:rFonts w:ascii="宋体" w:hAnsi="宋体" w:cs="宋体" w:eastAsia="宋体" w:hint="default"/>
                <w:sz w:val="18"/>
                <w:szCs w:val="18"/>
              </w:rPr>
              <w:t>冗余闲 置募集 资金</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9,187</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0" w:hRule="exact"/>
        </w:trPr>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46"/>
              <w:jc w:val="both"/>
              <w:rPr>
                <w:rFonts w:ascii="宋体" w:hAnsi="宋体" w:cs="宋体" w:eastAsia="宋体" w:hint="default"/>
                <w:sz w:val="18"/>
                <w:szCs w:val="18"/>
              </w:rPr>
            </w:pPr>
            <w:r>
              <w:rPr>
                <w:rFonts w:ascii="宋体" w:hAnsi="宋体" w:cs="宋体" w:eastAsia="宋体" w:hint="default"/>
                <w:sz w:val="18"/>
                <w:szCs w:val="18"/>
              </w:rPr>
              <w:t>承诺投 资项目 小计</w:t>
            </w:r>
          </w:p>
        </w:tc>
        <w:tc>
          <w:tcPr>
            <w:tcW w:w="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15,755</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15,755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315.25</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394.32</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295"/>
              <w:jc w:val="right"/>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15,755</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15,755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315.25</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394.32</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295"/>
              <w:jc w:val="right"/>
              <w:rPr>
                <w:rFonts w:ascii="Times New Roman" w:hAnsi="Times New Roman" w:cs="Times New Roman" w:eastAsia="Times New Roman" w:hint="default"/>
                <w:sz w:val="18"/>
                <w:szCs w:val="18"/>
              </w:rPr>
            </w:pPr>
            <w:r>
              <w:rPr>
                <w:rFonts w:ascii="Times New Roman"/>
                <w:sz w:val="18"/>
              </w:rPr>
              <w:t>--</w:t>
            </w:r>
          </w:p>
        </w:tc>
      </w:tr>
      <w:tr>
        <w:trPr>
          <w:trHeight w:val="2585" w:hRule="exact"/>
        </w:trPr>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46"/>
              <w:jc w:val="both"/>
              <w:rPr>
                <w:rFonts w:ascii="宋体" w:hAnsi="宋体" w:cs="宋体" w:eastAsia="宋体" w:hint="default"/>
                <w:sz w:val="18"/>
                <w:szCs w:val="18"/>
              </w:rPr>
            </w:pPr>
            <w:r>
              <w:rPr>
                <w:rFonts w:ascii="宋体" w:hAnsi="宋体" w:cs="宋体" w:eastAsia="宋体" w:hint="default"/>
                <w:sz w:val="18"/>
                <w:szCs w:val="18"/>
              </w:rPr>
              <w:t>未达到 计划进 度或预 计收益 的情况 和原因</w:t>
            </w:r>
          </w:p>
          <w:p>
            <w:pPr>
              <w:pStyle w:val="TableParagraph"/>
              <w:spacing w:line="316" w:lineRule="auto" w:before="19"/>
              <w:ind w:left="24" w:right="-32"/>
              <w:jc w:val="left"/>
              <w:rPr>
                <w:rFonts w:ascii="宋体" w:hAnsi="宋体" w:cs="宋体" w:eastAsia="宋体" w:hint="default"/>
                <w:sz w:val="18"/>
                <w:szCs w:val="18"/>
              </w:rPr>
            </w:pPr>
            <w:r>
              <w:rPr>
                <w:rFonts w:ascii="宋体" w:hAnsi="宋体" w:cs="宋体" w:eastAsia="宋体" w:hint="default"/>
                <w:sz w:val="18"/>
                <w:szCs w:val="18"/>
              </w:rPr>
              <w:t>（分具 体项目）</w:t>
            </w:r>
          </w:p>
        </w:tc>
        <w:tc>
          <w:tcPr>
            <w:tcW w:w="8846" w:type="dxa"/>
            <w:gridSpan w:val="11"/>
            <w:tcBorders>
              <w:top w:val="single" w:sz="4" w:space="0" w:color="000000"/>
              <w:left w:val="single" w:sz="4" w:space="0" w:color="000000"/>
              <w:bottom w:val="single" w:sz="4" w:space="0" w:color="000000"/>
              <w:right w:val="single" w:sz="4" w:space="0" w:color="000000"/>
            </w:tcBorders>
          </w:tcPr>
          <w:p>
            <w:pPr>
              <w:pStyle w:val="TableParagraph"/>
              <w:spacing w:line="1092" w:lineRule="exact"/>
              <w:ind w:right="-5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442pt;height:54.6pt;mso-position-horizontal-relative:char;mso-position-vertical-relative:line" coordorigin="0,0" coordsize="8840,1092">
                  <v:group style="position:absolute;left:0;top:0;width:8840;height:1092" coordorigin="0,0" coordsize="8840,1092">
                    <v:shape style="position:absolute;left:0;top:0;width:8840;height:1092" coordorigin="0,0" coordsize="8840,1092" path="m0,1092l8839,1092,8839,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63" w:hRule="exact"/>
        </w:trPr>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46"/>
              <w:jc w:val="both"/>
              <w:rPr>
                <w:rFonts w:ascii="宋体" w:hAnsi="宋体" w:cs="宋体" w:eastAsia="宋体" w:hint="default"/>
                <w:sz w:val="18"/>
                <w:szCs w:val="18"/>
              </w:rPr>
            </w:pPr>
            <w:r>
              <w:rPr>
                <w:rFonts w:ascii="宋体" w:hAnsi="宋体" w:cs="宋体" w:eastAsia="宋体" w:hint="default"/>
                <w:sz w:val="18"/>
                <w:szCs w:val="18"/>
              </w:rPr>
              <w:t>项目可 行性发 生重大 变化的 情况说 明</w:t>
            </w:r>
          </w:p>
        </w:tc>
        <w:tc>
          <w:tcPr>
            <w:tcW w:w="884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烟草智能物流应用系统升级开发及产业化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项目原投资额度为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4,090</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万元，截止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年一季度，累计投入募集资</w:t>
            </w:r>
          </w:p>
          <w:p>
            <w:pPr>
              <w:pStyle w:val="TableParagraph"/>
              <w:spacing w:line="309" w:lineRule="auto" w:before="63"/>
              <w:ind w:left="24" w:right="19"/>
              <w:jc w:val="both"/>
              <w:rPr>
                <w:rFonts w:ascii="宋体" w:hAnsi="宋体" w:cs="宋体" w:eastAsia="宋体" w:hint="default"/>
                <w:sz w:val="18"/>
                <w:szCs w:val="18"/>
              </w:rPr>
            </w:pPr>
            <w:r>
              <w:rPr>
                <w:rFonts w:ascii="宋体" w:hAnsi="宋体" w:cs="宋体" w:eastAsia="宋体" w:hint="default"/>
                <w:sz w:val="18"/>
                <w:szCs w:val="18"/>
              </w:rPr>
              <w:t>金金额为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元。经公司对该项目投资额度和工作内容进行专项论证，认为烟草行业物流领域经过近五年的快速发 </w:t>
            </w:r>
            <w:r>
              <w:rPr>
                <w:rFonts w:ascii="宋体" w:hAnsi="宋体" w:cs="宋体" w:eastAsia="宋体" w:hint="default"/>
                <w:spacing w:val="-1"/>
                <w:sz w:val="18"/>
                <w:szCs w:val="18"/>
              </w:rPr>
              <w:t>展，业务体系已基本建立，行业已基本形成了涵盖原辅料和卷烟成品，涉及仓储、养护、运输、分拣、配送等环</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节物流业务体系和信息化支撑平台，也涌现了具有一定市场占有率的公司和产品，该项目不再具有较好的市场前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景和盈利能力。经公司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年第一次临时股东大会审议批准，已将该项目终止。详见《关于变更部分募集资金 </w:t>
            </w:r>
            <w:r>
              <w:rPr>
                <w:rFonts w:ascii="宋体" w:hAnsi="宋体" w:cs="宋体" w:eastAsia="宋体" w:hint="default"/>
                <w:spacing w:val="-7"/>
                <w:sz w:val="18"/>
                <w:szCs w:val="18"/>
              </w:rPr>
              <w:t>用途和募投项目实施主体、调整募投项目投资额度及适当延期的公告》（</w:t>
            </w:r>
            <w:r>
              <w:rPr>
                <w:rFonts w:ascii="Times New Roman" w:hAnsi="Times New Roman" w:cs="Times New Roman" w:eastAsia="Times New Roman" w:hint="default"/>
                <w:spacing w:val="-7"/>
                <w:sz w:val="18"/>
                <w:szCs w:val="18"/>
              </w:rPr>
              <w:t>2019-053</w:t>
            </w:r>
            <w:r>
              <w:rPr>
                <w:rFonts w:ascii="宋体" w:hAnsi="宋体" w:cs="宋体" w:eastAsia="宋体" w:hint="default"/>
                <w:spacing w:val="-7"/>
                <w:sz w:val="18"/>
                <w:szCs w:val="18"/>
              </w:rPr>
              <w:t>）。</w:t>
            </w:r>
            <w:r>
              <w:rPr>
                <w:rFonts w:ascii="宋体" w:hAnsi="宋体" w:cs="宋体" w:eastAsia="宋体" w:hint="default"/>
                <w:sz w:val="18"/>
                <w:szCs w:val="18"/>
              </w:rPr>
            </w:r>
          </w:p>
        </w:tc>
      </w:tr>
    </w:tbl>
    <w:p>
      <w:pPr>
        <w:spacing w:after="0" w:line="309" w:lineRule="auto"/>
        <w:jc w:val="both"/>
        <w:rPr>
          <w:rFonts w:ascii="宋体" w:hAnsi="宋体" w:cs="宋体" w:eastAsia="宋体" w:hint="default"/>
          <w:sz w:val="18"/>
          <w:szCs w:val="18"/>
        </w:rPr>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21"/>
        <w:gridCol w:w="8846"/>
      </w:tblGrid>
      <w:tr>
        <w:trPr>
          <w:trHeight w:val="401" w:hRule="exact"/>
        </w:trPr>
        <w:tc>
          <w:tcPr>
            <w:tcW w:w="72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超募资 金的金 </w:t>
            </w:r>
            <w:r>
              <w:rPr>
                <w:rFonts w:ascii="宋体" w:hAnsi="宋体" w:cs="宋体" w:eastAsia="宋体" w:hint="default"/>
                <w:spacing w:val="-14"/>
                <w:sz w:val="18"/>
                <w:szCs w:val="18"/>
              </w:rPr>
              <w:t>额、用途</w:t>
            </w:r>
            <w:r>
              <w:rPr>
                <w:rFonts w:ascii="宋体" w:hAnsi="宋体" w:cs="宋体" w:eastAsia="宋体" w:hint="default"/>
                <w:sz w:val="18"/>
                <w:szCs w:val="18"/>
              </w:rPr>
              <w:t> 及使用 进展情 况</w:t>
            </w:r>
          </w:p>
        </w:tc>
        <w:tc>
          <w:tcPr>
            <w:tcW w:w="8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0" w:hRule="exact"/>
        </w:trPr>
        <w:tc>
          <w:tcPr>
            <w:tcW w:w="721" w:type="dxa"/>
            <w:vMerge/>
            <w:tcBorders>
              <w:left w:val="single" w:sz="4" w:space="0" w:color="000000"/>
              <w:bottom w:val="single" w:sz="4" w:space="0" w:color="000000"/>
              <w:right w:val="single" w:sz="4" w:space="0" w:color="000000"/>
            </w:tcBorders>
            <w:shd w:val="clear" w:color="auto" w:fill="D4D4D4"/>
          </w:tcPr>
          <w:p>
            <w:pPr/>
          </w:p>
        </w:tc>
        <w:tc>
          <w:tcPr>
            <w:tcW w:w="88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22" w:right="146"/>
              <w:jc w:val="both"/>
              <w:rPr>
                <w:rFonts w:ascii="宋体" w:hAnsi="宋体" w:cs="宋体" w:eastAsia="宋体" w:hint="default"/>
                <w:sz w:val="18"/>
                <w:szCs w:val="18"/>
              </w:rPr>
            </w:pPr>
            <w:r>
              <w:rPr>
                <w:rFonts w:ascii="宋体" w:hAnsi="宋体" w:cs="宋体" w:eastAsia="宋体" w:hint="default"/>
                <w:sz w:val="18"/>
                <w:szCs w:val="18"/>
              </w:rPr>
              <w:t>募集资 金投资 项目实 施地点 变更情 况</w:t>
            </w:r>
          </w:p>
        </w:tc>
        <w:tc>
          <w:tcPr>
            <w:tcW w:w="8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721" w:type="dxa"/>
            <w:vMerge/>
            <w:tcBorders>
              <w:left w:val="single" w:sz="4" w:space="0" w:color="000000"/>
              <w:right w:val="single" w:sz="4" w:space="0" w:color="000000"/>
            </w:tcBorders>
            <w:shd w:val="clear" w:color="auto" w:fill="D4D4D4"/>
          </w:tcPr>
          <w:p>
            <w:pPr/>
          </w:p>
        </w:tc>
        <w:tc>
          <w:tcPr>
            <w:tcW w:w="8846" w:type="dxa"/>
            <w:tcBorders>
              <w:top w:val="single" w:sz="4" w:space="0" w:color="000000"/>
              <w:left w:val="single" w:sz="4" w:space="0" w:color="000000"/>
              <w:bottom w:val="single" w:sz="4" w:space="0" w:color="000000"/>
              <w:right w:val="single" w:sz="4" w:space="0" w:color="000000"/>
            </w:tcBorders>
          </w:tcPr>
          <w:p>
            <w:pPr/>
          </w:p>
        </w:tc>
      </w:tr>
      <w:tr>
        <w:trPr>
          <w:trHeight w:val="1159" w:hRule="exact"/>
        </w:trPr>
        <w:tc>
          <w:tcPr>
            <w:tcW w:w="721" w:type="dxa"/>
            <w:vMerge/>
            <w:tcBorders>
              <w:left w:val="single" w:sz="4" w:space="0" w:color="000000"/>
              <w:bottom w:val="single" w:sz="4" w:space="0" w:color="000000"/>
              <w:right w:val="single" w:sz="4" w:space="0" w:color="000000"/>
            </w:tcBorders>
            <w:shd w:val="clear" w:color="auto" w:fill="D4D4D4"/>
          </w:tcPr>
          <w:p>
            <w:pPr/>
          </w:p>
        </w:tc>
        <w:tc>
          <w:tcPr>
            <w:tcW w:w="88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6" w:lineRule="auto"/>
              <w:ind w:left="22" w:right="146"/>
              <w:jc w:val="both"/>
              <w:rPr>
                <w:rFonts w:ascii="宋体" w:hAnsi="宋体" w:cs="宋体" w:eastAsia="宋体" w:hint="default"/>
                <w:sz w:val="18"/>
                <w:szCs w:val="18"/>
              </w:rPr>
            </w:pPr>
            <w:r>
              <w:rPr>
                <w:rFonts w:ascii="宋体" w:hAnsi="宋体" w:cs="宋体" w:eastAsia="宋体" w:hint="default"/>
                <w:sz w:val="18"/>
                <w:szCs w:val="18"/>
              </w:rPr>
              <w:t>募集资 金投资 项目实 施方式 调整情 况</w:t>
            </w:r>
          </w:p>
        </w:tc>
        <w:tc>
          <w:tcPr>
            <w:tcW w:w="8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721" w:type="dxa"/>
            <w:vMerge/>
            <w:tcBorders>
              <w:left w:val="single" w:sz="4" w:space="0" w:color="000000"/>
              <w:right w:val="single" w:sz="4" w:space="0" w:color="000000"/>
            </w:tcBorders>
            <w:shd w:val="clear" w:color="auto" w:fill="D4D4D4"/>
          </w:tcPr>
          <w:p>
            <w:pPr/>
          </w:p>
        </w:tc>
        <w:tc>
          <w:tcPr>
            <w:tcW w:w="8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961" w:hRule="exact"/>
        </w:trPr>
        <w:tc>
          <w:tcPr>
            <w:tcW w:w="721" w:type="dxa"/>
            <w:vMerge/>
            <w:tcBorders>
              <w:left w:val="single" w:sz="4" w:space="0" w:color="000000"/>
              <w:bottom w:val="single" w:sz="4" w:space="0" w:color="000000"/>
              <w:right w:val="single" w:sz="4" w:space="0" w:color="000000"/>
            </w:tcBorders>
            <w:shd w:val="clear" w:color="auto" w:fill="D4D4D4"/>
          </w:tcPr>
          <w:p>
            <w:pPr/>
          </w:p>
        </w:tc>
        <w:tc>
          <w:tcPr>
            <w:tcW w:w="88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数字会议系列产品升级及产业化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项目原计划实施主体为中科院成都信息技术股份有限公司，实施地点为本公司 办公地点</w:t>
            </w:r>
            <w:r>
              <w:rPr>
                <w:rFonts w:ascii="Times New Roman" w:hAnsi="Times New Roman" w:cs="Times New Roman" w:eastAsia="Times New Roman" w:hint="default"/>
                <w:sz w:val="18"/>
                <w:szCs w:val="18"/>
              </w:rPr>
              <w:t>“</w:t>
            </w:r>
            <w:r>
              <w:rPr>
                <w:rFonts w:ascii="宋体" w:hAnsi="宋体" w:cs="宋体" w:eastAsia="宋体" w:hint="default"/>
                <w:sz w:val="18"/>
                <w:szCs w:val="18"/>
              </w:rPr>
              <w:t>成都市人民南路四段</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号中科院成都信息技术股份有限公司综合科技楼</w:t>
            </w:r>
            <w:r>
              <w:rPr>
                <w:rFonts w:ascii="Times New Roman" w:hAnsi="Times New Roman" w:cs="Times New Roman" w:eastAsia="Times New Roman" w:hint="default"/>
                <w:sz w:val="18"/>
                <w:szCs w:val="18"/>
              </w:rPr>
              <w:t>”</w:t>
            </w:r>
            <w:r>
              <w:rPr>
                <w:rFonts w:ascii="宋体" w:hAnsi="宋体" w:cs="宋体" w:eastAsia="宋体" w:hint="default"/>
                <w:sz w:val="18"/>
                <w:szCs w:val="18"/>
              </w:rPr>
              <w:t>。现将该项目的实施主体变更 </w:t>
            </w:r>
            <w:r>
              <w:rPr>
                <w:rFonts w:ascii="宋体" w:hAnsi="宋体" w:cs="宋体" w:eastAsia="宋体" w:hint="default"/>
                <w:spacing w:val="-2"/>
                <w:sz w:val="18"/>
                <w:szCs w:val="18"/>
              </w:rPr>
              <w:t>为本公司全资子公司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成都中科信息技术有限公司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，实施地点不做变更。同时，将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数字会议系列产品升级及产业</w:t>
            </w:r>
            <w:r>
              <w:rPr>
                <w:rFonts w:ascii="宋体" w:hAnsi="宋体" w:cs="宋体" w:eastAsia="宋体" w:hint="default"/>
                <w:spacing w:val="-78"/>
                <w:sz w:val="18"/>
                <w:szCs w:val="18"/>
              </w:rPr>
              <w:t> </w:t>
            </w:r>
            <w:r>
              <w:rPr>
                <w:rFonts w:ascii="宋体" w:hAnsi="宋体" w:cs="宋体" w:eastAsia="宋体" w:hint="default"/>
                <w:sz w:val="18"/>
                <w:szCs w:val="18"/>
              </w:rPr>
              <w:t>化</w:t>
            </w:r>
            <w:r>
              <w:rPr>
                <w:rFonts w:ascii="Times New Roman" w:hAnsi="Times New Roman" w:cs="Times New Roman" w:eastAsia="Times New Roman" w:hint="default"/>
                <w:sz w:val="18"/>
                <w:szCs w:val="18"/>
              </w:rPr>
              <w:t>”</w:t>
            </w:r>
            <w:r>
              <w:rPr>
                <w:rFonts w:ascii="宋体" w:hAnsi="宋体" w:cs="宋体" w:eastAsia="宋体" w:hint="default"/>
                <w:sz w:val="18"/>
                <w:szCs w:val="18"/>
              </w:rPr>
              <w:t>项目的投资额度由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536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2888 </w:t>
            </w:r>
            <w:r>
              <w:rPr>
                <w:rFonts w:ascii="宋体" w:hAnsi="宋体" w:cs="宋体" w:eastAsia="宋体" w:hint="default"/>
                <w:sz w:val="18"/>
                <w:szCs w:val="18"/>
              </w:rPr>
              <w:t>万元，并将该项目实施周期延长三年，即项目实施期由两年变更 为五年，延长至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月结束。上述事项已经公司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年第一次临时股东大会审议批准，详见《关于变更部 </w:t>
            </w:r>
            <w:r>
              <w:rPr>
                <w:rFonts w:ascii="宋体" w:hAnsi="宋体" w:cs="宋体" w:eastAsia="宋体" w:hint="default"/>
                <w:spacing w:val="-6"/>
                <w:sz w:val="18"/>
                <w:szCs w:val="18"/>
              </w:rPr>
              <w:t>分募集资金用途和募投项目实施主体、调整募投项目投资额度及适当延期的公告》（</w:t>
            </w:r>
            <w:r>
              <w:rPr>
                <w:rFonts w:ascii="Times New Roman" w:hAnsi="Times New Roman" w:cs="Times New Roman" w:eastAsia="Times New Roman" w:hint="default"/>
                <w:spacing w:val="-6"/>
                <w:sz w:val="18"/>
                <w:szCs w:val="18"/>
              </w:rPr>
              <w:t>2019-053</w:t>
            </w:r>
            <w:r>
              <w:rPr>
                <w:rFonts w:ascii="宋体" w:hAnsi="宋体" w:cs="宋体" w:eastAsia="宋体" w:hint="default"/>
                <w:spacing w:val="-6"/>
                <w:sz w:val="18"/>
                <w:szCs w:val="18"/>
              </w:rPr>
              <w:t>）。</w:t>
            </w:r>
            <w:r>
              <w:rPr>
                <w:rFonts w:ascii="宋体" w:hAnsi="宋体" w:cs="宋体" w:eastAsia="宋体" w:hint="default"/>
                <w:sz w:val="18"/>
                <w:szCs w:val="18"/>
              </w:rPr>
            </w:r>
          </w:p>
        </w:tc>
      </w:tr>
      <w:tr>
        <w:trPr>
          <w:trHeight w:val="403" w:hRule="exact"/>
        </w:trPr>
        <w:tc>
          <w:tcPr>
            <w:tcW w:w="72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22" w:right="146"/>
              <w:jc w:val="both"/>
              <w:rPr>
                <w:rFonts w:ascii="宋体" w:hAnsi="宋体" w:cs="宋体" w:eastAsia="宋体" w:hint="default"/>
                <w:sz w:val="18"/>
                <w:szCs w:val="18"/>
              </w:rPr>
            </w:pPr>
            <w:r>
              <w:rPr>
                <w:rFonts w:ascii="宋体" w:hAnsi="宋体" w:cs="宋体" w:eastAsia="宋体" w:hint="default"/>
                <w:sz w:val="18"/>
                <w:szCs w:val="18"/>
              </w:rPr>
              <w:t>募集资 金投资 项目先 期投入 及置换 情况</w:t>
            </w:r>
          </w:p>
        </w:tc>
        <w:tc>
          <w:tcPr>
            <w:tcW w:w="8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0" w:hRule="exact"/>
        </w:trPr>
        <w:tc>
          <w:tcPr>
            <w:tcW w:w="721" w:type="dxa"/>
            <w:vMerge/>
            <w:tcBorders>
              <w:left w:val="single" w:sz="4" w:space="0" w:color="000000"/>
              <w:bottom w:val="single" w:sz="4" w:space="0" w:color="000000"/>
              <w:right w:val="single" w:sz="4" w:space="0" w:color="000000"/>
            </w:tcBorders>
            <w:shd w:val="clear" w:color="auto" w:fill="D4D4D4"/>
          </w:tcPr>
          <w:p>
            <w:pPr/>
          </w:p>
        </w:tc>
        <w:tc>
          <w:tcPr>
            <w:tcW w:w="88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22" w:right="146"/>
              <w:jc w:val="both"/>
              <w:rPr>
                <w:rFonts w:ascii="宋体" w:hAnsi="宋体" w:cs="宋体" w:eastAsia="宋体" w:hint="default"/>
                <w:sz w:val="18"/>
                <w:szCs w:val="18"/>
              </w:rPr>
            </w:pPr>
            <w:r>
              <w:rPr>
                <w:rFonts w:ascii="宋体" w:hAnsi="宋体" w:cs="宋体" w:eastAsia="宋体" w:hint="default"/>
                <w:sz w:val="18"/>
                <w:szCs w:val="18"/>
              </w:rPr>
              <w:t>用闲置 募集资 金暂时 补充流 动资金 情况</w:t>
            </w:r>
          </w:p>
        </w:tc>
        <w:tc>
          <w:tcPr>
            <w:tcW w:w="8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560" w:hRule="exact"/>
        </w:trPr>
        <w:tc>
          <w:tcPr>
            <w:tcW w:w="721" w:type="dxa"/>
            <w:vMerge/>
            <w:tcBorders>
              <w:left w:val="single" w:sz="4" w:space="0" w:color="000000"/>
              <w:bottom w:val="single" w:sz="4" w:space="0" w:color="000000"/>
              <w:right w:val="single" w:sz="4" w:space="0" w:color="000000"/>
            </w:tcBorders>
            <w:shd w:val="clear" w:color="auto" w:fill="D4D4D4"/>
          </w:tcPr>
          <w:p>
            <w:pPr/>
          </w:p>
        </w:tc>
        <w:tc>
          <w:tcPr>
            <w:tcW w:w="8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日，公司第二届董事会第二十次会议审议并通过了《关于使用部分闲置募集资金暂时补充流动资</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金的议案</w:t>
            </w:r>
            <w:r>
              <w:rPr>
                <w:rFonts w:ascii="宋体" w:hAnsi="宋体" w:cs="宋体" w:eastAsia="宋体" w:hint="default"/>
                <w:spacing w:val="-92"/>
                <w:sz w:val="18"/>
                <w:szCs w:val="18"/>
              </w:rPr>
              <w:t>》</w:t>
            </w:r>
            <w:r>
              <w:rPr>
                <w:rFonts w:ascii="宋体" w:hAnsi="宋体" w:cs="宋体" w:eastAsia="宋体" w:hint="default"/>
                <w:sz w:val="18"/>
                <w:szCs w:val="18"/>
              </w:rPr>
              <w:t>。根据该议案，公</w:t>
            </w:r>
            <w:r>
              <w:rPr>
                <w:rFonts w:ascii="宋体" w:hAnsi="宋体" w:cs="宋体" w:eastAsia="宋体" w:hint="default"/>
                <w:spacing w:val="2"/>
                <w:sz w:val="18"/>
                <w:szCs w:val="18"/>
              </w:rPr>
              <w:t>司</w:t>
            </w:r>
            <w:r>
              <w:rPr>
                <w:rFonts w:ascii="宋体" w:hAnsi="宋体" w:cs="宋体" w:eastAsia="宋体" w:hint="default"/>
                <w:sz w:val="18"/>
                <w:szCs w:val="18"/>
              </w:rPr>
              <w:t>以不超过人民币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万元）的闲置</w:t>
            </w:r>
            <w:r>
              <w:rPr>
                <w:rFonts w:ascii="宋体" w:hAnsi="宋体" w:cs="宋体" w:eastAsia="宋体" w:hint="default"/>
                <w:spacing w:val="-3"/>
                <w:sz w:val="18"/>
                <w:szCs w:val="18"/>
              </w:rPr>
              <w:t>募</w:t>
            </w:r>
            <w:r>
              <w:rPr>
                <w:rFonts w:ascii="宋体" w:hAnsi="宋体" w:cs="宋体" w:eastAsia="宋体" w:hint="default"/>
                <w:sz w:val="18"/>
                <w:szCs w:val="18"/>
              </w:rPr>
              <w:t>集资金暂时补充流动</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资金，使用期限自董事会审议通过之日起不超过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403" w:hRule="exact"/>
        </w:trPr>
        <w:tc>
          <w:tcPr>
            <w:tcW w:w="72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22" w:right="146"/>
              <w:jc w:val="both"/>
              <w:rPr>
                <w:rFonts w:ascii="宋体" w:hAnsi="宋体" w:cs="宋体" w:eastAsia="宋体" w:hint="default"/>
                <w:sz w:val="18"/>
                <w:szCs w:val="18"/>
              </w:rPr>
            </w:pPr>
            <w:r>
              <w:rPr>
                <w:rFonts w:ascii="宋体" w:hAnsi="宋体" w:cs="宋体" w:eastAsia="宋体" w:hint="default"/>
                <w:sz w:val="18"/>
                <w:szCs w:val="18"/>
              </w:rPr>
              <w:t>项目实 施出现 募集资 金结余 的金额 及原因</w:t>
            </w:r>
          </w:p>
        </w:tc>
        <w:tc>
          <w:tcPr>
            <w:tcW w:w="8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0" w:hRule="exact"/>
        </w:trPr>
        <w:tc>
          <w:tcPr>
            <w:tcW w:w="721" w:type="dxa"/>
            <w:vMerge/>
            <w:tcBorders>
              <w:left w:val="single" w:sz="4" w:space="0" w:color="000000"/>
              <w:bottom w:val="single" w:sz="4" w:space="0" w:color="000000"/>
              <w:right w:val="single" w:sz="4" w:space="0" w:color="000000"/>
            </w:tcBorders>
            <w:shd w:val="clear" w:color="auto" w:fill="D4D4D4"/>
          </w:tcPr>
          <w:p>
            <w:pPr/>
          </w:p>
        </w:tc>
        <w:tc>
          <w:tcPr>
            <w:tcW w:w="8846"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7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46"/>
              <w:jc w:val="both"/>
              <w:rPr>
                <w:rFonts w:ascii="宋体" w:hAnsi="宋体" w:cs="宋体" w:eastAsia="宋体" w:hint="default"/>
                <w:sz w:val="18"/>
                <w:szCs w:val="18"/>
              </w:rPr>
            </w:pPr>
            <w:r>
              <w:rPr>
                <w:rFonts w:ascii="宋体" w:hAnsi="宋体" w:cs="宋体" w:eastAsia="宋体" w:hint="default"/>
                <w:sz w:val="18"/>
                <w:szCs w:val="18"/>
              </w:rPr>
              <w:t>尚未使 用的募 集资金 用途及</w:t>
            </w:r>
          </w:p>
        </w:tc>
        <w:tc>
          <w:tcPr>
            <w:tcW w:w="8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存放于募集资金专项账户</w:t>
            </w:r>
          </w:p>
        </w:tc>
      </w:tr>
    </w:tbl>
    <w:p>
      <w:pPr>
        <w:spacing w:after="0" w:line="240" w:lineRule="auto"/>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21"/>
        <w:gridCol w:w="8846"/>
      </w:tblGrid>
      <w:tr>
        <w:trPr>
          <w:trHeight w:val="362" w:hRule="exact"/>
        </w:trPr>
        <w:tc>
          <w:tcPr>
            <w:tcW w:w="7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去向</w:t>
            </w:r>
          </w:p>
        </w:tc>
        <w:tc>
          <w:tcPr>
            <w:tcW w:w="8846"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7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46"/>
              <w:jc w:val="both"/>
              <w:rPr>
                <w:rFonts w:ascii="宋体" w:hAnsi="宋体" w:cs="宋体" w:eastAsia="宋体" w:hint="default"/>
                <w:sz w:val="18"/>
                <w:szCs w:val="18"/>
              </w:rPr>
            </w:pPr>
            <w:r>
              <w:rPr>
                <w:rFonts w:ascii="宋体" w:hAnsi="宋体" w:cs="宋体" w:eastAsia="宋体" w:hint="default"/>
                <w:sz w:val="18"/>
                <w:szCs w:val="18"/>
              </w:rPr>
              <w:t>募集资 金使用 及披露 中存在 的问题 或其他 情况</w:t>
            </w:r>
          </w:p>
        </w:tc>
        <w:tc>
          <w:tcPr>
            <w:tcW w:w="8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2" w:right="733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0" w:footer="977" w:top="1100" w:bottom="1160" w:left="980" w:right="0"/>
        </w:sectPr>
      </w:pPr>
    </w:p>
    <w:p>
      <w:pPr>
        <w:spacing w:before="44"/>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280" w:left="980" w:right="0"/>
          <w:cols w:num="2" w:equalWidth="0">
            <w:col w:w="4850" w:space="4068"/>
            <w:col w:w="2012"/>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19"/>
              <w:jc w:val="both"/>
              <w:rPr>
                <w:rFonts w:ascii="宋体" w:hAnsi="宋体" w:cs="宋体" w:eastAsia="宋体" w:hint="default"/>
                <w:sz w:val="18"/>
                <w:szCs w:val="18"/>
              </w:rPr>
            </w:pPr>
            <w:r>
              <w:rPr>
                <w:rFonts w:ascii="宋体" w:hAnsi="宋体" w:cs="宋体" w:eastAsia="宋体" w:hint="default"/>
                <w:sz w:val="18"/>
                <w:szCs w:val="18"/>
              </w:rPr>
              <w:t>成都中科信 息技术有限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8"/>
              <w:jc w:val="both"/>
              <w:rPr>
                <w:rFonts w:ascii="宋体" w:hAnsi="宋体" w:cs="宋体" w:eastAsia="宋体" w:hint="default"/>
                <w:sz w:val="18"/>
                <w:szCs w:val="18"/>
              </w:rPr>
            </w:pPr>
            <w:r>
              <w:rPr>
                <w:rFonts w:ascii="宋体" w:hAnsi="宋体" w:cs="宋体" w:eastAsia="宋体" w:hint="default"/>
                <w:sz w:val="18"/>
                <w:szCs w:val="18"/>
              </w:rPr>
              <w:t>信息系统集 成，技术开 发及技术服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112,505,794.</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88,285,652.8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49,574,945.9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13,709,498.3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11,977,245.5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r>
      <w:tr>
        <w:trPr>
          <w:trHeight w:val="164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19"/>
              <w:jc w:val="both"/>
              <w:rPr>
                <w:rFonts w:ascii="宋体" w:hAnsi="宋体" w:cs="宋体" w:eastAsia="宋体" w:hint="default"/>
                <w:sz w:val="18"/>
                <w:szCs w:val="18"/>
              </w:rPr>
            </w:pPr>
            <w:r>
              <w:rPr>
                <w:rFonts w:ascii="宋体" w:hAnsi="宋体" w:cs="宋体" w:eastAsia="宋体" w:hint="default"/>
                <w:sz w:val="18"/>
                <w:szCs w:val="18"/>
              </w:rPr>
              <w:t>深圳市中钞 科信金融科 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金融领域信 息系统集 成，技术开 发及技术服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384,531,491.</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267,814,100.</w:t>
            </w:r>
            <w:r>
              <w:rPr>
                <w:rFonts w:ascii="Times New Roman"/>
                <w:sz w:val="18"/>
              </w:rPr>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113,105,065.</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24,004,943.7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21,298,618.3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580" w:bottom="280" w:left="980" w:right="0"/>
        </w:sectPr>
      </w:pPr>
    </w:p>
    <w:p>
      <w:pPr>
        <w:spacing w:line="240" w:lineRule="auto" w:before="13"/>
        <w:rPr>
          <w:rFonts w:ascii="宋体" w:hAnsi="宋体" w:cs="宋体" w:eastAsia="宋体" w:hint="default"/>
          <w:sz w:val="21"/>
          <w:szCs w:val="21"/>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
        <w:rPr>
          <w:rFonts w:ascii="宋体" w:hAnsi="宋体" w:cs="宋体" w:eastAsia="宋体" w:hint="default"/>
          <w:sz w:val="13"/>
          <w:szCs w:val="13"/>
        </w:rPr>
      </w:pPr>
    </w:p>
    <w:p>
      <w:pPr>
        <w:pStyle w:val="BodyText"/>
        <w:spacing w:line="398" w:lineRule="auto"/>
        <w:ind w:right="1126" w:firstLine="420"/>
        <w:jc w:val="both"/>
      </w:pPr>
      <w:r>
        <w:rPr>
          <w:spacing w:val="-2"/>
        </w:rPr>
        <w:t>成都中科信息技术有限公司成立于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月，主要目的是承接母公司剥离的涉密类行业信息化解决</w:t>
      </w:r>
      <w:r>
        <w:rPr>
          <w:w w:val="100"/>
        </w:rPr>
        <w:t> </w:t>
      </w:r>
      <w:r>
        <w:rPr>
          <w:spacing w:val="-2"/>
        </w:rPr>
        <w:t>方案业务。报告期内，随着国家涉密信息化业务的投入持续加大，公司也实现了营业收入的高速增长，营</w:t>
      </w:r>
      <w:r>
        <w:rPr>
          <w:spacing w:val="-44"/>
        </w:rPr>
        <w:t> </w:t>
      </w:r>
      <w:r>
        <w:rPr>
          <w:spacing w:val="-44"/>
        </w:rPr>
      </w:r>
      <w:r>
        <w:rPr/>
        <w:t>业收入较上年同期增长</w:t>
      </w:r>
      <w:r>
        <w:rPr>
          <w:rFonts w:ascii="Times New Roman" w:hAnsi="Times New Roman" w:cs="Times New Roman" w:eastAsia="Times New Roman" w:hint="default"/>
        </w:rPr>
        <w:t>50.65%</w:t>
      </w:r>
      <w:r>
        <w:rPr/>
        <w:t>，净利润较上年同期增长</w:t>
      </w:r>
      <w:r>
        <w:rPr>
          <w:rFonts w:ascii="Times New Roman" w:hAnsi="Times New Roman" w:cs="Times New Roman" w:eastAsia="Times New Roman" w:hint="default"/>
        </w:rPr>
        <w:t>64.02%</w:t>
      </w:r>
      <w:r>
        <w:rPr/>
        <w:t>。</w:t>
      </w:r>
    </w:p>
    <w:p>
      <w:pPr>
        <w:pStyle w:val="BodyText"/>
        <w:spacing w:line="379" w:lineRule="auto" w:before="24"/>
        <w:ind w:right="1024" w:firstLine="420"/>
        <w:jc w:val="both"/>
      </w:pPr>
      <w:r>
        <w:rPr>
          <w:spacing w:val="-2"/>
        </w:rPr>
        <w:t>深圳市中钞科信金融科技有限公司成立于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w:t>
      </w:r>
      <w:r>
        <w:rPr>
          <w:spacing w:val="-2"/>
        </w:rPr>
        <w:t>月。主要承揽各大印钞厂印钞检测业务，报告期内，</w:t>
      </w:r>
      <w:r>
        <w:rPr>
          <w:w w:val="100"/>
        </w:rPr>
        <w:t> </w:t>
      </w:r>
      <w:r>
        <w:rPr/>
        <w:t>中钞科信净利润较上期增长</w:t>
      </w:r>
      <w:r>
        <w:rPr>
          <w:rFonts w:ascii="Times New Roman" w:hAnsi="Times New Roman" w:cs="Times New Roman" w:eastAsia="Times New Roman" w:hint="default"/>
        </w:rPr>
        <w:t>52.89%</w:t>
      </w:r>
      <w:r>
        <w:rPr/>
        <w:t>，公司对中钞科信投资收益占当期利润总额的比例为</w:t>
      </w:r>
      <w:r>
        <w:rPr>
          <w:rFonts w:ascii="Times New Roman" w:hAnsi="Times New Roman" w:cs="Times New Roman" w:eastAsia="Times New Roman" w:hint="default"/>
        </w:rPr>
        <w:t>21.</w:t>
      </w:r>
      <w:r>
        <w:rPr>
          <w:rFonts w:ascii="等线" w:hAnsi="等线" w:cs="等线" w:eastAsia="等线" w:hint="default"/>
        </w:rPr>
        <w:t>78</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572" w:right="0"/>
        <w:jc w:val="left"/>
      </w:pPr>
      <w:r>
        <w:rPr/>
        <w:t>（一）公司所处行业竞争格局和趋势</w:t>
      </w:r>
      <w:r>
        <w:rPr>
          <w:w w:val="100"/>
        </w:rPr>
        <w:t> </w:t>
      </w:r>
      <w:r>
        <w:rPr>
          <w:spacing w:val="-2"/>
        </w:rPr>
        <w:t>根据中国证监会发布的《上市公司行业分类指引（</w:t>
      </w:r>
      <w:r>
        <w:rPr>
          <w:rFonts w:ascii="Times New Roman" w:hAnsi="Times New Roman" w:cs="Times New Roman" w:eastAsia="Times New Roman" w:hint="default"/>
          <w:spacing w:val="-2"/>
        </w:rPr>
        <w:t>2012</w:t>
      </w:r>
      <w:r>
        <w:rPr>
          <w:spacing w:val="-2"/>
        </w:rPr>
        <w:t>年修订）》，公司主营业务属于</w:t>
      </w:r>
      <w:r>
        <w:rPr>
          <w:rFonts w:ascii="Times New Roman" w:hAnsi="Times New Roman" w:cs="Times New Roman" w:eastAsia="Times New Roman" w:hint="default"/>
          <w:spacing w:val="-2"/>
        </w:rPr>
        <w:t>“</w:t>
      </w:r>
      <w:r>
        <w:rPr>
          <w:spacing w:val="-2"/>
        </w:rPr>
        <w:t>软件与信息</w:t>
      </w:r>
      <w:r>
        <w:rPr/>
      </w:r>
    </w:p>
    <w:p>
      <w:pPr>
        <w:pStyle w:val="BodyText"/>
        <w:spacing w:line="386" w:lineRule="auto" w:before="14"/>
        <w:ind w:right="0"/>
        <w:jc w:val="left"/>
      </w:pPr>
      <w:r>
        <w:rPr>
          <w:spacing w:val="-2"/>
        </w:rPr>
        <w:t>技术服务业</w:t>
      </w:r>
      <w:r>
        <w:rPr>
          <w:rFonts w:ascii="Times New Roman" w:hAnsi="Times New Roman" w:cs="Times New Roman" w:eastAsia="Times New Roman" w:hint="default"/>
          <w:spacing w:val="-2"/>
        </w:rPr>
        <w:t>”</w:t>
      </w:r>
      <w:r>
        <w:rPr>
          <w:spacing w:val="-2"/>
        </w:rPr>
        <w:t>（分类代码：</w:t>
      </w:r>
      <w:r>
        <w:rPr>
          <w:rFonts w:ascii="Times New Roman" w:hAnsi="Times New Roman" w:cs="Times New Roman" w:eastAsia="Times New Roman" w:hint="default"/>
          <w:spacing w:val="-2"/>
        </w:rPr>
        <w:t>I65</w:t>
      </w:r>
      <w:r>
        <w:rPr>
          <w:spacing w:val="-2"/>
        </w:rPr>
        <w:t>），面向现场会议领域、烟草领域、印钞检测领域、油气领域、政府及其他</w:t>
      </w:r>
      <w:r>
        <w:rPr>
          <w:spacing w:val="-20"/>
        </w:rPr>
        <w:t> </w:t>
      </w:r>
      <w:r>
        <w:rPr>
          <w:spacing w:val="-20"/>
        </w:rPr>
      </w:r>
      <w:r>
        <w:rPr/>
        <w:t>领域的行业客户提供信息化解决方案（包括软件及硬件）及相关服务。</w:t>
      </w:r>
    </w:p>
    <w:p>
      <w:pPr>
        <w:pStyle w:val="BodyText"/>
        <w:spacing w:line="386" w:lineRule="auto" w:before="65"/>
        <w:ind w:left="572"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行业整体竞争状况</w:t>
      </w:r>
      <w:r>
        <w:rPr>
          <w:w w:val="100"/>
        </w:rPr>
        <w:t> </w:t>
      </w:r>
      <w:r>
        <w:rPr>
          <w:spacing w:val="-6"/>
        </w:rPr>
        <w:t>根据国家工信部发布的《</w:t>
      </w:r>
      <w:r>
        <w:rPr>
          <w:rFonts w:ascii="Times New Roman" w:hAnsi="Times New Roman" w:cs="Times New Roman" w:eastAsia="Times New Roman" w:hint="default"/>
          <w:spacing w:val="-6"/>
        </w:rPr>
        <w:t>2019</w:t>
      </w:r>
      <w:r>
        <w:rPr>
          <w:spacing w:val="-6"/>
        </w:rPr>
        <w:t>年软件和信息技术服务业统计公报》，我国软件和信息技术服务业在</w:t>
      </w:r>
      <w:r>
        <w:rPr>
          <w:rFonts w:ascii="Times New Roman" w:hAnsi="Times New Roman" w:cs="Times New Roman" w:eastAsia="Times New Roman" w:hint="default"/>
          <w:spacing w:val="-6"/>
        </w:rPr>
        <w:t>2019</w:t>
      </w:r>
    </w:p>
    <w:p>
      <w:pPr>
        <w:pStyle w:val="BodyText"/>
        <w:spacing w:line="386" w:lineRule="auto" w:before="35"/>
        <w:ind w:right="0"/>
        <w:jc w:val="left"/>
      </w:pPr>
      <w:r>
        <w:rPr>
          <w:spacing w:val="-2"/>
        </w:rPr>
        <w:t>年呈现平稳向好发展态势，收入和利润均保持较快增长，从业人数稳步增加</w:t>
      </w:r>
      <w:r>
        <w:rPr>
          <w:rFonts w:ascii="Times New Roman" w:hAnsi="Times New Roman" w:cs="Times New Roman" w:eastAsia="Times New Roman" w:hint="default"/>
          <w:spacing w:val="-2"/>
        </w:rPr>
        <w:t>;</w:t>
      </w:r>
      <w:r>
        <w:rPr>
          <w:spacing w:val="-2"/>
        </w:rPr>
        <w:t>信息技术服务加快云化发展，</w:t>
      </w:r>
      <w:r>
        <w:rPr>
          <w:spacing w:val="-23"/>
        </w:rPr>
        <w:t> </w:t>
      </w:r>
      <w:r>
        <w:rPr>
          <w:spacing w:val="-23"/>
        </w:rPr>
      </w:r>
      <w:r>
        <w:rPr/>
        <w:t>软件应用服务化、平台化趋势明显</w:t>
      </w:r>
      <w:r>
        <w:rPr>
          <w:rFonts w:ascii="Times New Roman" w:hAnsi="Times New Roman" w:cs="Times New Roman" w:eastAsia="Times New Roman" w:hint="default"/>
        </w:rPr>
        <w:t>;</w:t>
      </w:r>
      <w:r>
        <w:rPr/>
        <w:t>中部地区软件业增速较快，东部地区保持集聚发展态势。</w:t>
      </w:r>
    </w:p>
    <w:p>
      <w:pPr>
        <w:pStyle w:val="BodyText"/>
        <w:spacing w:line="240" w:lineRule="auto" w:before="155"/>
        <w:ind w:left="572" w:right="0"/>
        <w:jc w:val="left"/>
      </w:pPr>
      <w:r>
        <w:rPr/>
        <w:t>（</w:t>
      </w:r>
      <w:r>
        <w:rPr>
          <w:rFonts w:ascii="Times New Roman" w:hAnsi="Times New Roman" w:cs="Times New Roman" w:eastAsia="Times New Roman" w:hint="default"/>
        </w:rPr>
        <w:t>1</w:t>
      </w:r>
      <w:r>
        <w:rPr/>
        <w:t>）从各细分领域看</w:t>
      </w:r>
    </w:p>
    <w:p>
      <w:pPr>
        <w:spacing w:line="240" w:lineRule="auto" w:before="9"/>
        <w:rPr>
          <w:rFonts w:ascii="宋体" w:hAnsi="宋体" w:cs="宋体" w:eastAsia="宋体" w:hint="default"/>
          <w:sz w:val="22"/>
          <w:szCs w:val="22"/>
        </w:rPr>
      </w:pPr>
    </w:p>
    <w:p>
      <w:pPr>
        <w:pStyle w:val="BodyText"/>
        <w:spacing w:line="386" w:lineRule="auto"/>
        <w:ind w:right="1094" w:firstLine="420"/>
        <w:jc w:val="both"/>
      </w:pPr>
      <w:r>
        <w:rPr>
          <w:spacing w:val="-2"/>
        </w:rPr>
        <w:t>软件产品收入实现较快增长。</w:t>
      </w:r>
      <w:r>
        <w:rPr>
          <w:rFonts w:ascii="Times New Roman" w:hAnsi="Times New Roman" w:cs="Times New Roman" w:eastAsia="Times New Roman" w:hint="default"/>
          <w:spacing w:val="-2"/>
        </w:rPr>
        <w:t>2019</w:t>
      </w:r>
      <w:r>
        <w:rPr>
          <w:spacing w:val="-2"/>
        </w:rPr>
        <w:t>年，软件产品实现收入</w:t>
      </w:r>
      <w:r>
        <w:rPr>
          <w:rFonts w:ascii="Times New Roman" w:hAnsi="Times New Roman" w:cs="Times New Roman" w:eastAsia="Times New Roman" w:hint="default"/>
          <w:spacing w:val="-2"/>
        </w:rPr>
        <w:t>20067</w:t>
      </w:r>
      <w:r>
        <w:rPr>
          <w:spacing w:val="-2"/>
        </w:rPr>
        <w:t>亿元，同比增长</w:t>
      </w:r>
      <w:r>
        <w:rPr>
          <w:rFonts w:ascii="Times New Roman" w:hAnsi="Times New Roman" w:cs="Times New Roman" w:eastAsia="Times New Roman" w:hint="default"/>
          <w:spacing w:val="-2"/>
        </w:rPr>
        <w:t>12.5%</w:t>
      </w:r>
      <w:r>
        <w:rPr>
          <w:spacing w:val="-2"/>
        </w:rPr>
        <w:t>，占全行业比重</w:t>
      </w:r>
      <w:r>
        <w:rPr>
          <w:w w:val="100"/>
        </w:rPr>
        <w:t> </w:t>
      </w:r>
      <w:r>
        <w:rPr>
          <w:spacing w:val="-3"/>
        </w:rPr>
        <w:t>为</w:t>
      </w:r>
      <w:r>
        <w:rPr>
          <w:rFonts w:ascii="Times New Roman" w:hAnsi="Times New Roman" w:cs="Times New Roman" w:eastAsia="Times New Roman" w:hint="default"/>
          <w:spacing w:val="-3"/>
        </w:rPr>
        <w:t>28.0%</w:t>
      </w:r>
      <w:r>
        <w:rPr>
          <w:spacing w:val="-3"/>
        </w:rPr>
        <w:t>。其中，工业软件产品实现收入</w:t>
      </w:r>
      <w:r>
        <w:rPr>
          <w:rFonts w:ascii="Times New Roman" w:hAnsi="Times New Roman" w:cs="Times New Roman" w:eastAsia="Times New Roman" w:hint="default"/>
          <w:spacing w:val="-3"/>
        </w:rPr>
        <w:t>1720</w:t>
      </w:r>
      <w:r>
        <w:rPr>
          <w:spacing w:val="-3"/>
        </w:rPr>
        <w:t>亿元，增长</w:t>
      </w:r>
      <w:r>
        <w:rPr>
          <w:rFonts w:ascii="Times New Roman" w:hAnsi="Times New Roman" w:cs="Times New Roman" w:eastAsia="Times New Roman" w:hint="default"/>
          <w:spacing w:val="-3"/>
        </w:rPr>
        <w:t>14.6%</w:t>
      </w:r>
      <w:r>
        <w:rPr>
          <w:spacing w:val="-3"/>
        </w:rPr>
        <w:t>，为支撑工业领域的自主可控发展发挥重要</w:t>
      </w:r>
      <w:r>
        <w:rPr>
          <w:spacing w:val="-12"/>
        </w:rPr>
        <w:t> </w:t>
      </w:r>
      <w:r>
        <w:rPr>
          <w:spacing w:val="-12"/>
        </w:rPr>
      </w:r>
      <w:r>
        <w:rPr>
          <w:spacing w:val="-3"/>
        </w:rPr>
        <w:t>作用。信息技术服务加快云化发展。</w:t>
      </w:r>
      <w:r>
        <w:rPr>
          <w:rFonts w:ascii="Times New Roman" w:hAnsi="Times New Roman" w:cs="Times New Roman" w:eastAsia="Times New Roman" w:hint="default"/>
          <w:spacing w:val="-3"/>
        </w:rPr>
        <w:t>2019</w:t>
      </w:r>
      <w:r>
        <w:rPr>
          <w:spacing w:val="-3"/>
        </w:rPr>
        <w:t>年，信息技术服务实现收入</w:t>
      </w:r>
      <w:r>
        <w:rPr>
          <w:rFonts w:ascii="Times New Roman" w:hAnsi="Times New Roman" w:cs="Times New Roman" w:eastAsia="Times New Roman" w:hint="default"/>
          <w:spacing w:val="-3"/>
        </w:rPr>
        <w:t>42574</w:t>
      </w:r>
      <w:r>
        <w:rPr>
          <w:spacing w:val="-3"/>
        </w:rPr>
        <w:t>亿元，同比增长</w:t>
      </w:r>
      <w:r>
        <w:rPr>
          <w:rFonts w:ascii="Times New Roman" w:hAnsi="Times New Roman" w:cs="Times New Roman" w:eastAsia="Times New Roman" w:hint="default"/>
          <w:spacing w:val="-3"/>
        </w:rPr>
        <w:t>18.4%</w:t>
      </w:r>
      <w:r>
        <w:rPr>
          <w:spacing w:val="-3"/>
        </w:rPr>
        <w:t>，增速高</w:t>
      </w:r>
      <w:r>
        <w:rPr>
          <w:spacing w:val="-6"/>
        </w:rPr>
        <w:t> </w:t>
      </w:r>
      <w:r>
        <w:rPr>
          <w:spacing w:val="-6"/>
        </w:rPr>
      </w:r>
      <w:r>
        <w:rPr>
          <w:spacing w:val="-2"/>
        </w:rPr>
        <w:t>出全行业平均水平</w:t>
      </w:r>
      <w:r>
        <w:rPr>
          <w:rFonts w:ascii="Times New Roman" w:hAnsi="Times New Roman" w:cs="Times New Roman" w:eastAsia="Times New Roman" w:hint="default"/>
          <w:spacing w:val="-2"/>
        </w:rPr>
        <w:t>3</w:t>
      </w:r>
      <w:r>
        <w:rPr>
          <w:spacing w:val="-2"/>
        </w:rPr>
        <w:t>个百分点，占全行业收入比重为</w:t>
      </w:r>
      <w:r>
        <w:rPr>
          <w:rFonts w:ascii="Times New Roman" w:hAnsi="Times New Roman" w:cs="Times New Roman" w:eastAsia="Times New Roman" w:hint="default"/>
          <w:spacing w:val="-2"/>
        </w:rPr>
        <w:t>59.3%</w:t>
      </w:r>
      <w:r>
        <w:rPr>
          <w:spacing w:val="-2"/>
        </w:rPr>
        <w:t>。其中，电子商务平台技术服务收入</w:t>
      </w:r>
      <w:r>
        <w:rPr>
          <w:rFonts w:ascii="Times New Roman" w:hAnsi="Times New Roman" w:cs="Times New Roman" w:eastAsia="Times New Roman" w:hint="default"/>
          <w:spacing w:val="-2"/>
        </w:rPr>
        <w:t>7905</w:t>
      </w:r>
      <w:r>
        <w:rPr>
          <w:spacing w:val="-2"/>
        </w:rPr>
        <w:t>亿元，</w:t>
      </w:r>
      <w:r>
        <w:rPr>
          <w:spacing w:val="-18"/>
        </w:rPr>
        <w:t> </w:t>
      </w:r>
      <w:r>
        <w:rPr>
          <w:spacing w:val="-18"/>
        </w:rPr>
      </w:r>
      <w:r>
        <w:rPr>
          <w:spacing w:val="-3"/>
        </w:rPr>
        <w:t>同比增长</w:t>
      </w:r>
      <w:r>
        <w:rPr>
          <w:rFonts w:ascii="Times New Roman" w:hAnsi="Times New Roman" w:cs="Times New Roman" w:eastAsia="Times New Roman" w:hint="default"/>
          <w:spacing w:val="-3"/>
        </w:rPr>
        <w:t>28.1%</w:t>
      </w:r>
      <w:r>
        <w:rPr>
          <w:spacing w:val="-3"/>
        </w:rPr>
        <w:t>；云服务、大数据服务共实现收入</w:t>
      </w:r>
      <w:r>
        <w:rPr>
          <w:rFonts w:ascii="Times New Roman" w:hAnsi="Times New Roman" w:cs="Times New Roman" w:eastAsia="Times New Roman" w:hint="default"/>
          <w:spacing w:val="-3"/>
        </w:rPr>
        <w:t>3460</w:t>
      </w:r>
      <w:r>
        <w:rPr>
          <w:spacing w:val="-3"/>
        </w:rPr>
        <w:t>亿元，同比增长</w:t>
      </w:r>
      <w:r>
        <w:rPr>
          <w:rFonts w:ascii="Times New Roman" w:hAnsi="Times New Roman" w:cs="Times New Roman" w:eastAsia="Times New Roman" w:hint="default"/>
          <w:spacing w:val="-3"/>
        </w:rPr>
        <w:t>17.6%</w:t>
      </w:r>
      <w:r>
        <w:rPr>
          <w:spacing w:val="-3"/>
        </w:rPr>
        <w:t>。信息安全产品和服务收入稳</w:t>
      </w:r>
      <w:r>
        <w:rPr>
          <w:spacing w:val="-15"/>
        </w:rPr>
        <w:t> </w:t>
      </w:r>
      <w:r>
        <w:rPr>
          <w:spacing w:val="-15"/>
        </w:rPr>
      </w:r>
      <w:r>
        <w:rPr/>
        <w:t>步增加。</w:t>
      </w:r>
      <w:r>
        <w:rPr>
          <w:rFonts w:ascii="Times New Roman" w:hAnsi="Times New Roman" w:cs="Times New Roman" w:eastAsia="Times New Roman" w:hint="default"/>
        </w:rPr>
        <w:t>2019</w:t>
      </w:r>
      <w:r>
        <w:rPr/>
        <w:t>年，信息安全产品和服务实现收入</w:t>
      </w:r>
      <w:r>
        <w:rPr>
          <w:rFonts w:ascii="Times New Roman" w:hAnsi="Times New Roman" w:cs="Times New Roman" w:eastAsia="Times New Roman" w:hint="default"/>
        </w:rPr>
        <w:t>1308</w:t>
      </w:r>
      <w:r>
        <w:rPr/>
        <w:t>亿元，同比增长</w:t>
      </w:r>
      <w:r>
        <w:rPr>
          <w:rFonts w:ascii="Times New Roman" w:hAnsi="Times New Roman" w:cs="Times New Roman" w:eastAsia="Times New Roman" w:hint="default"/>
        </w:rPr>
        <w:t>12.4%</w:t>
      </w:r>
      <w:r>
        <w:rPr/>
        <w:t>。嵌入式系统软件收入平稳增</w:t>
      </w:r>
      <w:r>
        <w:rPr>
          <w:spacing w:val="-45"/>
        </w:rPr>
        <w:t> </w:t>
      </w:r>
      <w:r>
        <w:rPr>
          <w:spacing w:val="-45"/>
        </w:rPr>
      </w:r>
      <w:r>
        <w:rPr/>
        <w:t>长。</w:t>
      </w:r>
      <w:r>
        <w:rPr>
          <w:rFonts w:ascii="Times New Roman" w:hAnsi="Times New Roman" w:cs="Times New Roman" w:eastAsia="Times New Roman" w:hint="default"/>
        </w:rPr>
        <w:t>2019</w:t>
      </w:r>
      <w:r>
        <w:rPr/>
        <w:t>年嵌入式系统软件实现收入</w:t>
      </w:r>
      <w:r>
        <w:rPr>
          <w:rFonts w:ascii="Times New Roman" w:hAnsi="Times New Roman" w:cs="Times New Roman" w:eastAsia="Times New Roman" w:hint="default"/>
        </w:rPr>
        <w:t>7820</w:t>
      </w:r>
      <w:r>
        <w:rPr/>
        <w:t>亿元，同比增长</w:t>
      </w:r>
      <w:r>
        <w:rPr>
          <w:rFonts w:ascii="Times New Roman" w:hAnsi="Times New Roman" w:cs="Times New Roman" w:eastAsia="Times New Roman" w:hint="default"/>
        </w:rPr>
        <w:t>7.8%</w:t>
      </w:r>
      <w:r>
        <w:rPr/>
        <w:t>，占全行业收入比重为</w:t>
      </w:r>
      <w:r>
        <w:rPr>
          <w:rFonts w:ascii="Times New Roman" w:hAnsi="Times New Roman" w:cs="Times New Roman" w:eastAsia="Times New Roman" w:hint="default"/>
        </w:rPr>
        <w:t>10.9%</w:t>
      </w:r>
      <w:r>
        <w:rPr/>
        <w:t>。嵌入式系统</w:t>
      </w:r>
      <w:r>
        <w:rPr>
          <w:spacing w:val="-60"/>
        </w:rPr>
        <w:t> </w:t>
      </w:r>
      <w:r>
        <w:rPr>
          <w:spacing w:val="-60"/>
        </w:rPr>
      </w:r>
      <w:r>
        <w:rPr/>
        <w:t>软件已成为产品和装备数字化改造、各领域智能化增值的关键性带动技术。</w:t>
      </w:r>
    </w:p>
    <w:p>
      <w:pPr>
        <w:spacing w:line="240" w:lineRule="auto" w:before="2"/>
        <w:rPr>
          <w:rFonts w:ascii="宋体" w:hAnsi="宋体" w:cs="宋体" w:eastAsia="宋体" w:hint="default"/>
          <w:sz w:val="14"/>
          <w:szCs w:val="14"/>
        </w:rPr>
      </w:pPr>
    </w:p>
    <w:p>
      <w:pPr>
        <w:pStyle w:val="BodyText"/>
        <w:spacing w:line="240" w:lineRule="auto"/>
        <w:ind w:left="572" w:right="0"/>
        <w:jc w:val="left"/>
      </w:pPr>
      <w:r>
        <w:rPr/>
        <w:t>（</w:t>
      </w:r>
      <w:r>
        <w:rPr>
          <w:rFonts w:ascii="Times New Roman" w:hAnsi="Times New Roman" w:cs="Times New Roman" w:eastAsia="Times New Roman" w:hint="default"/>
        </w:rPr>
        <w:t>2</w:t>
      </w:r>
      <w:r>
        <w:rPr/>
        <w:t>）从地区分布看</w:t>
      </w:r>
    </w:p>
    <w:p>
      <w:pPr>
        <w:spacing w:after="0" w:line="240"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386" w:lineRule="auto" w:before="36"/>
        <w:ind w:right="1130" w:firstLine="420"/>
        <w:jc w:val="both"/>
      </w:pPr>
      <w:r>
        <w:rPr/>
        <w:t>东部地区稳步发展，中西部地区软件业加快增长。</w:t>
      </w:r>
      <w:r>
        <w:rPr>
          <w:rFonts w:ascii="Times New Roman" w:hAnsi="Times New Roman" w:cs="Times New Roman" w:eastAsia="Times New Roman" w:hint="default"/>
        </w:rPr>
        <w:t>2019</w:t>
      </w:r>
      <w:r>
        <w:rPr/>
        <w:t>年，东部地区完成软件业务收入</w:t>
      </w:r>
      <w:r>
        <w:rPr>
          <w:rFonts w:ascii="Times New Roman" w:hAnsi="Times New Roman" w:cs="Times New Roman" w:eastAsia="Times New Roman" w:hint="default"/>
        </w:rPr>
        <w:t>57157</w:t>
      </w:r>
      <w:r>
        <w:rPr/>
        <w:t>亿元，</w:t>
      </w:r>
      <w:r>
        <w:rPr>
          <w:w w:val="100"/>
        </w:rPr>
        <w:t> </w:t>
      </w:r>
      <w:r>
        <w:rPr>
          <w:spacing w:val="-3"/>
        </w:rPr>
        <w:t>同比增长</w:t>
      </w:r>
      <w:r>
        <w:rPr>
          <w:rFonts w:ascii="Times New Roman" w:hAnsi="Times New Roman" w:cs="Times New Roman" w:eastAsia="Times New Roman" w:hint="default"/>
          <w:spacing w:val="-3"/>
        </w:rPr>
        <w:t>15.0%</w:t>
      </w:r>
      <w:r>
        <w:rPr>
          <w:spacing w:val="-3"/>
        </w:rPr>
        <w:t>，占全国软件业的比重为</w:t>
      </w:r>
      <w:r>
        <w:rPr>
          <w:rFonts w:ascii="Times New Roman" w:hAnsi="Times New Roman" w:cs="Times New Roman" w:eastAsia="Times New Roman" w:hint="default"/>
          <w:spacing w:val="-3"/>
        </w:rPr>
        <w:t>79.6%</w:t>
      </w:r>
      <w:r>
        <w:rPr>
          <w:spacing w:val="-3"/>
        </w:rPr>
        <w:t>。中部和西部地区完成软件业务收入分别为</w:t>
      </w:r>
      <w:r>
        <w:rPr>
          <w:rFonts w:ascii="Times New Roman" w:hAnsi="Times New Roman" w:cs="Times New Roman" w:eastAsia="Times New Roman" w:hint="default"/>
          <w:spacing w:val="-3"/>
        </w:rPr>
        <w:t>3655</w:t>
      </w:r>
      <w:r>
        <w:rPr>
          <w:spacing w:val="-3"/>
        </w:rPr>
        <w:t>亿元和</w:t>
      </w:r>
      <w:r>
        <w:rPr>
          <w:rFonts w:ascii="Times New Roman" w:hAnsi="Times New Roman" w:cs="Times New Roman" w:eastAsia="Times New Roman" w:hint="default"/>
          <w:spacing w:val="-3"/>
        </w:rPr>
        <w:t>8607</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spacing w:val="-3"/>
        </w:rPr>
        <w:t>亿元，同比增长</w:t>
      </w:r>
      <w:r>
        <w:rPr>
          <w:rFonts w:ascii="Times New Roman" w:hAnsi="Times New Roman" w:cs="Times New Roman" w:eastAsia="Times New Roman" w:hint="default"/>
          <w:spacing w:val="-3"/>
        </w:rPr>
        <w:t>22.2%</w:t>
      </w:r>
      <w:r>
        <w:rPr>
          <w:spacing w:val="-3"/>
        </w:rPr>
        <w:t>和</w:t>
      </w:r>
      <w:r>
        <w:rPr>
          <w:rFonts w:ascii="Times New Roman" w:hAnsi="Times New Roman" w:cs="Times New Roman" w:eastAsia="Times New Roman" w:hint="default"/>
          <w:spacing w:val="-3"/>
        </w:rPr>
        <w:t>18.1%</w:t>
      </w:r>
      <w:r>
        <w:rPr>
          <w:spacing w:val="-3"/>
        </w:rPr>
        <w:t>；占全国软件业的比重为</w:t>
      </w:r>
      <w:r>
        <w:rPr>
          <w:rFonts w:ascii="Times New Roman" w:hAnsi="Times New Roman" w:cs="Times New Roman" w:eastAsia="Times New Roman" w:hint="default"/>
          <w:spacing w:val="-3"/>
        </w:rPr>
        <w:t>5.1%</w:t>
      </w:r>
      <w:r>
        <w:rPr>
          <w:spacing w:val="-3"/>
        </w:rPr>
        <w:t>和</w:t>
      </w:r>
      <w:r>
        <w:rPr>
          <w:rFonts w:ascii="Times New Roman" w:hAnsi="Times New Roman" w:cs="Times New Roman" w:eastAsia="Times New Roman" w:hint="default"/>
          <w:spacing w:val="-3"/>
        </w:rPr>
        <w:t>12.0%</w:t>
      </w:r>
      <w:r>
        <w:rPr>
          <w:spacing w:val="-3"/>
        </w:rPr>
        <w:t>，比上年提高</w:t>
      </w:r>
      <w:r>
        <w:rPr>
          <w:rFonts w:ascii="Times New Roman" w:hAnsi="Times New Roman" w:cs="Times New Roman" w:eastAsia="Times New Roman" w:hint="default"/>
          <w:spacing w:val="-3"/>
        </w:rPr>
        <w:t>0.1</w:t>
      </w:r>
      <w:r>
        <w:rPr>
          <w:spacing w:val="-3"/>
        </w:rPr>
        <w:t>个和</w:t>
      </w:r>
      <w:r>
        <w:rPr>
          <w:rFonts w:ascii="Times New Roman" w:hAnsi="Times New Roman" w:cs="Times New Roman" w:eastAsia="Times New Roman" w:hint="default"/>
          <w:spacing w:val="-3"/>
        </w:rPr>
        <w:t>0.6</w:t>
      </w:r>
      <w:r>
        <w:rPr>
          <w:spacing w:val="-3"/>
        </w:rPr>
        <w:t>个百分点。东</w:t>
      </w:r>
      <w:r>
        <w:rPr>
          <w:spacing w:val="-32"/>
        </w:rPr>
        <w:t> </w:t>
      </w:r>
      <w:r>
        <w:rPr>
          <w:spacing w:val="-32"/>
        </w:rPr>
      </w:r>
      <w:r>
        <w:rPr>
          <w:spacing w:val="-4"/>
        </w:rPr>
        <w:t>北地区完成软件业务收入</w:t>
      </w:r>
      <w:r>
        <w:rPr>
          <w:rFonts w:ascii="Times New Roman" w:hAnsi="Times New Roman" w:cs="Times New Roman" w:eastAsia="Times New Roman" w:hint="default"/>
          <w:spacing w:val="-4"/>
        </w:rPr>
        <w:t>2350</w:t>
      </w:r>
      <w:r>
        <w:rPr>
          <w:spacing w:val="-4"/>
        </w:rPr>
        <w:t>亿元，同比增长</w:t>
      </w:r>
      <w:r>
        <w:rPr>
          <w:rFonts w:ascii="Times New Roman" w:hAnsi="Times New Roman" w:cs="Times New Roman" w:eastAsia="Times New Roman" w:hint="default"/>
          <w:spacing w:val="-4"/>
        </w:rPr>
        <w:t>5.5</w:t>
      </w:r>
      <w:r>
        <w:rPr>
          <w:spacing w:val="-4"/>
        </w:rPr>
        <w:t>个百分点，占全国软件业的比重为</w:t>
      </w:r>
      <w:r>
        <w:rPr>
          <w:rFonts w:ascii="Times New Roman" w:hAnsi="Times New Roman" w:cs="Times New Roman" w:eastAsia="Times New Roman" w:hint="default"/>
          <w:spacing w:val="-4"/>
        </w:rPr>
        <w:t>3.3%</w:t>
      </w:r>
      <w:r>
        <w:rPr>
          <w:spacing w:val="-4"/>
        </w:rPr>
        <w:t>。主要软件大省保</w:t>
      </w:r>
      <w:r>
        <w:rPr>
          <w:spacing w:val="-8"/>
        </w:rPr>
        <w:t> </w:t>
      </w:r>
      <w:r>
        <w:rPr>
          <w:spacing w:val="-8"/>
        </w:rPr>
      </w:r>
      <w:r>
        <w:rPr/>
        <w:t>持稳中向好态势，部分中西部省市快速增长。软件业务收入居前</w:t>
      </w:r>
      <w:r>
        <w:rPr>
          <w:rFonts w:ascii="Times New Roman" w:hAnsi="Times New Roman" w:cs="Times New Roman" w:eastAsia="Times New Roman" w:hint="default"/>
        </w:rPr>
        <w:t>5</w:t>
      </w:r>
      <w:r>
        <w:rPr/>
        <w:t>名的广东、北京、江苏、浙江、上海共</w:t>
      </w:r>
      <w:r>
        <w:rPr>
          <w:spacing w:val="-25"/>
        </w:rPr>
        <w:t> </w:t>
      </w:r>
      <w:r>
        <w:rPr>
          <w:spacing w:val="-25"/>
        </w:rPr>
      </w:r>
      <w:r>
        <w:rPr>
          <w:spacing w:val="-3"/>
        </w:rPr>
        <w:t>完成收入</w:t>
      </w:r>
      <w:r>
        <w:rPr>
          <w:rFonts w:ascii="Times New Roman" w:hAnsi="Times New Roman" w:cs="Times New Roman" w:eastAsia="Times New Roman" w:hint="default"/>
          <w:spacing w:val="-3"/>
        </w:rPr>
        <w:t>45623</w:t>
      </w:r>
      <w:r>
        <w:rPr>
          <w:spacing w:val="-3"/>
        </w:rPr>
        <w:t>亿元，占全国软件业比重的</w:t>
      </w:r>
      <w:r>
        <w:rPr>
          <w:rFonts w:ascii="Times New Roman" w:hAnsi="Times New Roman" w:cs="Times New Roman" w:eastAsia="Times New Roman" w:hint="default"/>
          <w:spacing w:val="-3"/>
        </w:rPr>
        <w:t>63.6%</w:t>
      </w:r>
      <w:r>
        <w:rPr>
          <w:spacing w:val="-3"/>
        </w:rPr>
        <w:t>。软件业务收入增速高于全国平均水平的省市有</w:t>
      </w:r>
      <w:r>
        <w:rPr>
          <w:rFonts w:ascii="Times New Roman" w:hAnsi="Times New Roman" w:cs="Times New Roman" w:eastAsia="Times New Roman" w:hint="default"/>
          <w:spacing w:val="-3"/>
        </w:rPr>
        <w:t>16</w:t>
      </w:r>
      <w:r>
        <w:rPr>
          <w:spacing w:val="-3"/>
        </w:rPr>
        <w:t>个，其</w:t>
      </w:r>
      <w:r>
        <w:rPr>
          <w:spacing w:val="-15"/>
        </w:rPr>
        <w:t> </w:t>
      </w:r>
      <w:r>
        <w:rPr>
          <w:spacing w:val="-15"/>
        </w:rPr>
      </w:r>
      <w:r>
        <w:rPr>
          <w:spacing w:val="-2"/>
        </w:rPr>
        <w:t>中增速高于</w:t>
      </w:r>
      <w:r>
        <w:rPr>
          <w:rFonts w:ascii="Times New Roman" w:hAnsi="Times New Roman" w:cs="Times New Roman" w:eastAsia="Times New Roman" w:hint="default"/>
          <w:spacing w:val="-2"/>
        </w:rPr>
        <w:t>20%</w:t>
      </w:r>
      <w:r>
        <w:rPr>
          <w:spacing w:val="-2"/>
        </w:rPr>
        <w:t>的省份集中在中西部地区，包括广西、云南、贵州、宁夏、安徽、江西、湖南等省份。重</w:t>
      </w:r>
      <w:r>
        <w:rPr>
          <w:spacing w:val="-5"/>
        </w:rPr>
        <w:t> </w:t>
      </w:r>
      <w:r>
        <w:rPr>
          <w:spacing w:val="-5"/>
        </w:rPr>
      </w:r>
      <w:r>
        <w:rPr/>
        <w:t>点城市软件业集聚发展态势更加明显。</w:t>
      </w:r>
      <w:r>
        <w:rPr>
          <w:rFonts w:ascii="Times New Roman" w:hAnsi="Times New Roman" w:cs="Times New Roman" w:eastAsia="Times New Roman" w:hint="default"/>
        </w:rPr>
        <w:t>2019</w:t>
      </w:r>
      <w:r>
        <w:rPr/>
        <w:t>年，全国</w:t>
      </w:r>
      <w:r>
        <w:rPr>
          <w:rFonts w:ascii="Times New Roman" w:hAnsi="Times New Roman" w:cs="Times New Roman" w:eastAsia="Times New Roman" w:hint="default"/>
        </w:rPr>
        <w:t>4</w:t>
      </w:r>
      <w:r>
        <w:rPr/>
        <w:t>个直辖市和</w:t>
      </w:r>
      <w:r>
        <w:rPr>
          <w:rFonts w:ascii="Times New Roman" w:hAnsi="Times New Roman" w:cs="Times New Roman" w:eastAsia="Times New Roman" w:hint="default"/>
        </w:rPr>
        <w:t>15</w:t>
      </w:r>
      <w:r>
        <w:rPr/>
        <w:t>个副省级中心城市实现软件业务收入</w:t>
      </w:r>
      <w:r>
        <w:rPr>
          <w:spacing w:val="-28"/>
        </w:rPr>
        <w:t> </w:t>
      </w:r>
      <w:r>
        <w:rPr>
          <w:spacing w:val="-28"/>
        </w:rPr>
      </w:r>
      <w:r>
        <w:rPr>
          <w:rFonts w:ascii="Times New Roman" w:hAnsi="Times New Roman" w:cs="Times New Roman" w:eastAsia="Times New Roman" w:hint="default"/>
        </w:rPr>
        <w:t>59636</w:t>
      </w:r>
      <w:r>
        <w:rPr/>
        <w:t>亿元，同比增长</w:t>
      </w:r>
      <w:r>
        <w:rPr>
          <w:rFonts w:ascii="Times New Roman" w:hAnsi="Times New Roman" w:cs="Times New Roman" w:eastAsia="Times New Roman" w:hint="default"/>
        </w:rPr>
        <w:t>16.4%</w:t>
      </w:r>
      <w:r>
        <w:rPr/>
        <w:t>，占全国软件业的比重为</w:t>
      </w:r>
      <w:r>
        <w:rPr>
          <w:rFonts w:ascii="Times New Roman" w:hAnsi="Times New Roman" w:cs="Times New Roman" w:eastAsia="Times New Roman" w:hint="default"/>
        </w:rPr>
        <w:t>83.1%</w:t>
      </w:r>
      <w:r>
        <w:rPr/>
        <w:t>。其中，副省级城市实现软件业务收入</w:t>
      </w:r>
      <w:r>
        <w:rPr>
          <w:rFonts w:ascii="Times New Roman" w:hAnsi="Times New Roman" w:cs="Times New Roman" w:eastAsia="Times New Roman" w:hint="default"/>
        </w:rPr>
        <w:t>38640</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亿元，同比增长</w:t>
      </w:r>
      <w:r>
        <w:rPr>
          <w:rFonts w:ascii="Times New Roman" w:hAnsi="Times New Roman" w:cs="Times New Roman" w:eastAsia="Times New Roman" w:hint="default"/>
        </w:rPr>
        <w:t>14.6%</w:t>
      </w:r>
      <w:r>
        <w:rPr/>
        <w:t>，占全国软件业的比重为</w:t>
      </w:r>
      <w:r>
        <w:rPr>
          <w:rFonts w:ascii="Times New Roman" w:hAnsi="Times New Roman" w:cs="Times New Roman" w:eastAsia="Times New Roman" w:hint="default"/>
        </w:rPr>
        <w:t>53.8%</w:t>
      </w:r>
      <w:r>
        <w:rPr/>
        <w:t>。</w:t>
      </w:r>
    </w:p>
    <w:p>
      <w:pPr>
        <w:pStyle w:val="BodyText"/>
        <w:spacing w:line="386" w:lineRule="auto" w:before="155"/>
        <w:ind w:left="573" w:right="0"/>
        <w:jc w:val="left"/>
      </w:pPr>
      <w:r>
        <w:rPr>
          <w:rFonts w:ascii="Times New Roman" w:hAnsi="Times New Roman" w:cs="Times New Roman" w:eastAsia="Times New Roman" w:hint="default"/>
        </w:rPr>
        <w:t>2.</w:t>
      </w:r>
      <w:r>
        <w:rPr/>
        <w:t>行业整体运行情况</w:t>
      </w:r>
      <w:r>
        <w:rPr>
          <w:w w:val="100"/>
        </w:rPr>
        <w:t> </w:t>
      </w:r>
      <w:r>
        <w:rPr>
          <w:spacing w:val="-2"/>
        </w:rPr>
        <w:t>软件和信息技术服务业运行态势良好，收入保持较快增长，产业向高质量方向发展步伐加快，但行业</w:t>
      </w:r>
    </w:p>
    <w:p>
      <w:pPr>
        <w:pStyle w:val="BodyText"/>
        <w:spacing w:line="386" w:lineRule="auto" w:before="65"/>
        <w:ind w:left="153" w:right="1129"/>
        <w:jc w:val="left"/>
      </w:pPr>
      <w:r>
        <w:rPr>
          <w:spacing w:val="-2"/>
        </w:rPr>
        <w:t>整体出口增幅有所减缓。根据国家工信部公开数据显示，</w:t>
      </w:r>
      <w:r>
        <w:rPr>
          <w:rFonts w:ascii="Times New Roman" w:hAnsi="Times New Roman" w:cs="Times New Roman" w:eastAsia="Times New Roman" w:hint="default"/>
          <w:spacing w:val="-2"/>
        </w:rPr>
        <w:t>2019</w:t>
      </w:r>
      <w:r>
        <w:rPr>
          <w:spacing w:val="-2"/>
        </w:rPr>
        <w:t>年全国软件和信息技术服务业规模以上企业</w:t>
      </w:r>
      <w:r>
        <w:rPr>
          <w:spacing w:val="-38"/>
        </w:rPr>
        <w:t> </w:t>
      </w:r>
      <w:r>
        <w:rPr>
          <w:spacing w:val="-38"/>
        </w:rPr>
      </w:r>
      <w:r>
        <w:rPr>
          <w:spacing w:val="-2"/>
        </w:rPr>
        <w:t>超</w:t>
      </w:r>
      <w:r>
        <w:rPr>
          <w:rFonts w:ascii="Times New Roman" w:hAnsi="Times New Roman" w:cs="Times New Roman" w:eastAsia="Times New Roman" w:hint="default"/>
          <w:spacing w:val="-2"/>
        </w:rPr>
        <w:t>4</w:t>
      </w:r>
      <w:r>
        <w:rPr>
          <w:spacing w:val="-2"/>
        </w:rPr>
        <w:t>万家，累计完成软件业务收入</w:t>
      </w:r>
      <w:r>
        <w:rPr>
          <w:rFonts w:ascii="Times New Roman" w:hAnsi="Times New Roman" w:cs="Times New Roman" w:eastAsia="Times New Roman" w:hint="default"/>
          <w:spacing w:val="-2"/>
        </w:rPr>
        <w:t>71768</w:t>
      </w:r>
      <w:r>
        <w:rPr>
          <w:spacing w:val="-2"/>
        </w:rPr>
        <w:t>亿元，同比增长</w:t>
      </w:r>
      <w:r>
        <w:rPr>
          <w:rFonts w:ascii="Times New Roman" w:hAnsi="Times New Roman" w:cs="Times New Roman" w:eastAsia="Times New Roman" w:hint="default"/>
          <w:spacing w:val="-2"/>
        </w:rPr>
        <w:t>15.4%</w:t>
      </w:r>
      <w:r>
        <w:rPr>
          <w:spacing w:val="-2"/>
        </w:rPr>
        <w:t>。盈利能力稳步提升。</w:t>
      </w:r>
      <w:r>
        <w:rPr>
          <w:rFonts w:ascii="Times New Roman" w:hAnsi="Times New Roman" w:cs="Times New Roman" w:eastAsia="Times New Roman" w:hint="default"/>
          <w:spacing w:val="-2"/>
        </w:rPr>
        <w:t>2019</w:t>
      </w:r>
      <w:r>
        <w:rPr>
          <w:spacing w:val="-2"/>
        </w:rPr>
        <w:t>年软件和信息技</w:t>
      </w:r>
      <w:r>
        <w:rPr>
          <w:spacing w:val="-10"/>
        </w:rPr>
        <w:t> </w:t>
      </w:r>
      <w:r>
        <w:rPr>
          <w:spacing w:val="-10"/>
        </w:rPr>
      </w:r>
      <w:r>
        <w:rPr/>
        <w:t>术服务业实现利润总额</w:t>
      </w:r>
      <w:r>
        <w:rPr>
          <w:rFonts w:ascii="Times New Roman" w:hAnsi="Times New Roman" w:cs="Times New Roman" w:eastAsia="Times New Roman" w:hint="default"/>
        </w:rPr>
        <w:t>9362</w:t>
      </w:r>
      <w:r>
        <w:rPr/>
        <w:t>亿元，同比增长</w:t>
      </w:r>
      <w:r>
        <w:rPr>
          <w:rFonts w:ascii="Times New Roman" w:hAnsi="Times New Roman" w:cs="Times New Roman" w:eastAsia="Times New Roman" w:hint="default"/>
        </w:rPr>
        <w:t>9.9%</w:t>
      </w:r>
      <w:r>
        <w:rPr/>
        <w:t>；人均实现业务收入</w:t>
      </w:r>
      <w:r>
        <w:rPr>
          <w:rFonts w:ascii="Times New Roman" w:hAnsi="Times New Roman" w:cs="Times New Roman" w:eastAsia="Times New Roman" w:hint="default"/>
        </w:rPr>
        <w:t>106.6</w:t>
      </w:r>
      <w:r>
        <w:rPr/>
        <w:t>万元，同比增长</w:t>
      </w:r>
      <w:r>
        <w:rPr>
          <w:rFonts w:ascii="Times New Roman" w:hAnsi="Times New Roman" w:cs="Times New Roman" w:eastAsia="Times New Roman" w:hint="default"/>
        </w:rPr>
        <w:t>8.7%</w:t>
      </w:r>
      <w:r>
        <w:rPr/>
        <w:t>。软件出</w:t>
      </w:r>
      <w:r>
        <w:rPr>
          <w:w w:val="100"/>
        </w:rPr>
        <w:t> </w:t>
      </w:r>
      <w:r>
        <w:rPr>
          <w:spacing w:val="-3"/>
        </w:rPr>
        <w:t>口形势低迷。</w:t>
      </w:r>
      <w:r>
        <w:rPr>
          <w:rFonts w:ascii="Times New Roman" w:hAnsi="Times New Roman" w:cs="Times New Roman" w:eastAsia="Times New Roman" w:hint="default"/>
          <w:spacing w:val="-3"/>
        </w:rPr>
        <w:t>2019</w:t>
      </w:r>
      <w:r>
        <w:rPr>
          <w:spacing w:val="-3"/>
        </w:rPr>
        <w:t>年，全国软件和信息技术服务业实现出口</w:t>
      </w:r>
      <w:r>
        <w:rPr>
          <w:rFonts w:ascii="Times New Roman" w:hAnsi="Times New Roman" w:cs="Times New Roman" w:eastAsia="Times New Roman" w:hint="default"/>
          <w:spacing w:val="-3"/>
        </w:rPr>
        <w:t>505.3</w:t>
      </w:r>
      <w:r>
        <w:rPr>
          <w:spacing w:val="-3"/>
        </w:rPr>
        <w:t>亿美元，同比下降</w:t>
      </w:r>
      <w:r>
        <w:rPr>
          <w:rFonts w:ascii="Times New Roman" w:hAnsi="Times New Roman" w:cs="Times New Roman" w:eastAsia="Times New Roman" w:hint="default"/>
          <w:spacing w:val="-3"/>
        </w:rPr>
        <w:t>1.1%</w:t>
      </w:r>
      <w:r>
        <w:rPr>
          <w:spacing w:val="-3"/>
        </w:rPr>
        <w:t>。从业人数稳步增</w:t>
      </w:r>
      <w:r>
        <w:rPr>
          <w:spacing w:val="-48"/>
        </w:rPr>
        <w:t> </w:t>
      </w:r>
      <w:r>
        <w:rPr>
          <w:spacing w:val="-48"/>
        </w:rPr>
      </w:r>
      <w:r>
        <w:rPr/>
        <w:t>加，工资总额保持较快增长。</w:t>
      </w:r>
      <w:r>
        <w:rPr>
          <w:rFonts w:ascii="Times New Roman" w:hAnsi="Times New Roman" w:cs="Times New Roman" w:eastAsia="Times New Roman" w:hint="default"/>
        </w:rPr>
        <w:t>2019</w:t>
      </w:r>
      <w:r>
        <w:rPr/>
        <w:t>年末，全国软件和信息技术服务业从业人数</w:t>
      </w:r>
      <w:r>
        <w:rPr>
          <w:rFonts w:ascii="Times New Roman" w:hAnsi="Times New Roman" w:cs="Times New Roman" w:eastAsia="Times New Roman" w:hint="default"/>
        </w:rPr>
        <w:t>673</w:t>
      </w:r>
      <w:r>
        <w:rPr/>
        <w:t>万人，比上年末增加</w:t>
      </w:r>
      <w:r>
        <w:rPr>
          <w:rFonts w:ascii="Times New Roman" w:hAnsi="Times New Roman" w:cs="Times New Roman" w:eastAsia="Times New Roman" w:hint="default"/>
        </w:rPr>
        <w:t>28</w:t>
      </w:r>
      <w:r>
        <w:rPr>
          <w:rFonts w:ascii="Times New Roman" w:hAnsi="Times New Roman" w:cs="Times New Roman" w:eastAsia="Times New Roman" w:hint="default"/>
          <w:w w:val="100"/>
        </w:rPr>
        <w:t> </w:t>
      </w:r>
      <w:r>
        <w:rPr>
          <w:spacing w:val="-2"/>
        </w:rPr>
        <w:t>万人，同比增长</w:t>
      </w:r>
      <w:r>
        <w:rPr>
          <w:rFonts w:ascii="Times New Roman" w:hAnsi="Times New Roman" w:cs="Times New Roman" w:eastAsia="Times New Roman" w:hint="default"/>
          <w:spacing w:val="-2"/>
        </w:rPr>
        <w:t>4.7%</w:t>
      </w:r>
      <w:r>
        <w:rPr>
          <w:spacing w:val="-2"/>
        </w:rPr>
        <w:t>。从业人员工资总额</w:t>
      </w:r>
      <w:r>
        <w:rPr>
          <w:rFonts w:ascii="Times New Roman" w:hAnsi="Times New Roman" w:cs="Times New Roman" w:eastAsia="Times New Roman" w:hint="default"/>
          <w:spacing w:val="-2"/>
        </w:rPr>
        <w:t>9086</w:t>
      </w:r>
      <w:r>
        <w:rPr>
          <w:spacing w:val="-2"/>
        </w:rPr>
        <w:t>亿元，同比增长</w:t>
      </w:r>
      <w:r>
        <w:rPr>
          <w:rFonts w:ascii="Times New Roman" w:hAnsi="Times New Roman" w:cs="Times New Roman" w:eastAsia="Times New Roman" w:hint="default"/>
          <w:spacing w:val="-2"/>
        </w:rPr>
        <w:t>11.8%</w:t>
      </w:r>
      <w:r>
        <w:rPr>
          <w:spacing w:val="-2"/>
        </w:rPr>
        <w:t>，低于上年平均增速；人均工资增长</w:t>
      </w:r>
      <w:r>
        <w:rPr>
          <w:spacing w:val="-8"/>
        </w:rPr>
        <w:t> </w:t>
      </w:r>
      <w:r>
        <w:rPr>
          <w:spacing w:val="-8"/>
        </w:rPr>
      </w:r>
      <w:r>
        <w:rPr>
          <w:rFonts w:ascii="Times New Roman" w:hAnsi="Times New Roman" w:cs="Times New Roman" w:eastAsia="Times New Roman" w:hint="default"/>
        </w:rPr>
        <w:t>6.8%</w:t>
      </w:r>
      <w:r>
        <w:rPr/>
        <w:t>。</w:t>
      </w:r>
    </w:p>
    <w:p>
      <w:pPr>
        <w:pStyle w:val="BodyText"/>
        <w:spacing w:line="386" w:lineRule="auto" w:before="35"/>
        <w:ind w:left="573" w:right="0"/>
        <w:jc w:val="left"/>
      </w:pPr>
      <w:r>
        <w:rPr>
          <w:rFonts w:ascii="Times New Roman" w:hAnsi="Times New Roman" w:cs="Times New Roman" w:eastAsia="Times New Roman" w:hint="default"/>
        </w:rPr>
        <w:t>3</w:t>
      </w:r>
      <w:r>
        <w:rPr/>
        <w:t>．行业发展趋势</w:t>
      </w:r>
      <w:r>
        <w:rPr>
          <w:spacing w:val="-3"/>
          <w:w w:val="100"/>
        </w:rPr>
        <w:t> </w:t>
      </w:r>
      <w:r>
        <w:rPr>
          <w:spacing w:val="-2"/>
        </w:rPr>
        <w:t>新一代信息产业的发展速度每年都以惊人的速度攀升，在全球范围内，信息技术的快速发展正在改变</w:t>
      </w:r>
    </w:p>
    <w:p>
      <w:pPr>
        <w:pStyle w:val="BodyText"/>
        <w:spacing w:line="398" w:lineRule="auto" w:before="65"/>
        <w:ind w:left="153" w:right="0"/>
        <w:jc w:val="left"/>
      </w:pPr>
      <w:r>
        <w:rPr>
          <w:spacing w:val="-2"/>
        </w:rPr>
        <w:t>这个世界，从产业模式和运营模式，到消费结构和思维方式，信息技术对城市地区、甚至对国家的发展进</w:t>
      </w:r>
      <w:r>
        <w:rPr>
          <w:spacing w:val="-50"/>
        </w:rPr>
        <w:t> </w:t>
      </w:r>
      <w:r>
        <w:rPr>
          <w:spacing w:val="-50"/>
        </w:rPr>
      </w:r>
      <w:r>
        <w:rPr>
          <w:spacing w:val="-3"/>
        </w:rPr>
        <w:t>程的影响程度将会越来越深。而它自身的发展趋势也会根据</w:t>
      </w:r>
      <w:r>
        <w:rPr>
          <w:rFonts w:ascii="Times New Roman" w:hAnsi="Times New Roman" w:cs="Times New Roman" w:eastAsia="Times New Roman" w:hint="default"/>
          <w:spacing w:val="-3"/>
        </w:rPr>
        <w:t>“</w:t>
      </w:r>
      <w:r>
        <w:rPr>
          <w:spacing w:val="-3"/>
        </w:rPr>
        <w:t>科研技术进展</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市场热度</w:t>
      </w:r>
      <w:r>
        <w:rPr>
          <w:rFonts w:ascii="Times New Roman" w:hAnsi="Times New Roman" w:cs="Times New Roman" w:eastAsia="Times New Roman" w:hint="default"/>
          <w:spacing w:val="-3"/>
        </w:rPr>
        <w:t>”</w:t>
      </w:r>
      <w:r>
        <w:rPr>
          <w:spacing w:val="-3"/>
        </w:rPr>
        <w:t>不断变化，如今，</w:t>
      </w:r>
      <w:r>
        <w:rPr>
          <w:spacing w:val="-47"/>
        </w:rPr>
        <w:t> </w:t>
      </w:r>
      <w:r>
        <w:rPr>
          <w:spacing w:val="-47"/>
        </w:rPr>
      </w:r>
      <w:r>
        <w:rPr>
          <w:rFonts w:ascii="Times New Roman" w:hAnsi="Times New Roman" w:cs="Times New Roman" w:eastAsia="Times New Roman" w:hint="default"/>
        </w:rPr>
        <w:t>“</w:t>
      </w:r>
      <w:r>
        <w:rPr/>
        <w:t>数字经济</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跨界融合</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大工程、大平台模式</w:t>
      </w:r>
      <w:r>
        <w:rPr>
          <w:rFonts w:ascii="Times New Roman" w:hAnsi="Times New Roman" w:cs="Times New Roman" w:eastAsia="Times New Roman" w:hint="default"/>
        </w:rPr>
        <w:t>”</w:t>
      </w:r>
      <w:r>
        <w:rPr/>
        <w:t>已成为新一代信息产业发展的新趋势。</w:t>
      </w:r>
    </w:p>
    <w:p>
      <w:pPr>
        <w:pStyle w:val="BodyText"/>
        <w:spacing w:line="420" w:lineRule="auto" w:before="24"/>
        <w:ind w:left="573"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w:t>
      </w:r>
      <w:r>
        <w:rPr/>
        <w:t>数字经济</w:t>
      </w:r>
      <w:r>
        <w:rPr>
          <w:rFonts w:ascii="Times New Roman" w:hAnsi="Times New Roman" w:cs="Times New Roman" w:eastAsia="Times New Roman" w:hint="default"/>
        </w:rPr>
        <w:t>”</w:t>
      </w:r>
      <w:r>
        <w:rPr/>
        <w:t>将成为新一代信息技术产业的创新引擎</w:t>
      </w:r>
      <w:r>
        <w:rPr>
          <w:w w:val="100"/>
        </w:rPr>
        <w:t> </w:t>
      </w:r>
      <w:r>
        <w:rPr>
          <w:spacing w:val="-2"/>
        </w:rPr>
        <w:t>在过去的</w:t>
      </w:r>
      <w:r>
        <w:rPr>
          <w:rFonts w:ascii="Times New Roman" w:hAnsi="Times New Roman" w:cs="Times New Roman" w:eastAsia="Times New Roman" w:hint="default"/>
          <w:spacing w:val="-2"/>
        </w:rPr>
        <w:t>10</w:t>
      </w:r>
      <w:r>
        <w:rPr>
          <w:spacing w:val="-2"/>
        </w:rPr>
        <w:t>年中，移动互联网的成熟发展奠定了数字经济蓬勃发展的基础。在未来的</w:t>
      </w:r>
      <w:r>
        <w:rPr>
          <w:rFonts w:ascii="Times New Roman" w:hAnsi="Times New Roman" w:cs="Times New Roman" w:eastAsia="Times New Roman" w:hint="default"/>
          <w:spacing w:val="-2"/>
        </w:rPr>
        <w:t>10</w:t>
      </w:r>
      <w:r>
        <w:rPr>
          <w:spacing w:val="-2"/>
        </w:rPr>
        <w:t>年中，新一代</w:t>
      </w:r>
      <w:r>
        <w:rPr/>
      </w:r>
    </w:p>
    <w:p>
      <w:pPr>
        <w:pStyle w:val="BodyText"/>
        <w:spacing w:line="398" w:lineRule="auto" w:before="3"/>
        <w:ind w:left="153" w:right="1127"/>
        <w:jc w:val="both"/>
      </w:pPr>
      <w:r>
        <w:rPr>
          <w:spacing w:val="-2"/>
        </w:rPr>
        <w:t>信息技术产业的发展会使数字经济进入了一个新的发展平台，即一个由</w:t>
      </w:r>
      <w:r>
        <w:rPr>
          <w:rFonts w:ascii="Times New Roman" w:hAnsi="Times New Roman" w:cs="Times New Roman" w:eastAsia="Times New Roman" w:hint="default"/>
          <w:spacing w:val="-2"/>
        </w:rPr>
        <w:t>“</w:t>
      </w:r>
      <w:r>
        <w:rPr>
          <w:spacing w:val="-2"/>
        </w:rPr>
        <w:t>云</w:t>
      </w:r>
      <w:r>
        <w:rPr>
          <w:rFonts w:ascii="Times New Roman" w:hAnsi="Times New Roman" w:cs="Times New Roman" w:eastAsia="Times New Roman" w:hint="default"/>
          <w:spacing w:val="-2"/>
        </w:rPr>
        <w:t>+</w:t>
      </w:r>
      <w:r>
        <w:rPr>
          <w:spacing w:val="-2"/>
        </w:rPr>
        <w:t>数据</w:t>
      </w:r>
      <w:r>
        <w:rPr>
          <w:rFonts w:ascii="Times New Roman" w:hAnsi="Times New Roman" w:cs="Times New Roman" w:eastAsia="Times New Roman" w:hint="default"/>
          <w:spacing w:val="-2"/>
        </w:rPr>
        <w:t>+</w:t>
      </w:r>
      <w:r>
        <w:rPr>
          <w:spacing w:val="-2"/>
        </w:rPr>
        <w:t>人工智能</w:t>
      </w:r>
      <w:r>
        <w:rPr>
          <w:rFonts w:ascii="Times New Roman" w:hAnsi="Times New Roman" w:cs="Times New Roman" w:eastAsia="Times New Roman" w:hint="default"/>
          <w:spacing w:val="-2"/>
        </w:rPr>
        <w:t>”</w:t>
      </w:r>
      <w:r>
        <w:rPr>
          <w:spacing w:val="-2"/>
        </w:rPr>
        <w:t>结合的广义数</w:t>
      </w:r>
      <w:r>
        <w:rPr>
          <w:spacing w:val="-46"/>
        </w:rPr>
        <w:t> </w:t>
      </w:r>
      <w:r>
        <w:rPr>
          <w:spacing w:val="-46"/>
        </w:rPr>
      </w:r>
      <w:r>
        <w:rPr>
          <w:spacing w:val="-2"/>
        </w:rPr>
        <w:t>字经济正在浮现：公共云变成基础设施，数据变成生产资料，人工智能变成新的创新引擎，物联网成为互</w:t>
      </w:r>
      <w:r>
        <w:rPr>
          <w:spacing w:val="-50"/>
        </w:rPr>
        <w:t> </w:t>
      </w:r>
      <w:r>
        <w:rPr>
          <w:spacing w:val="-50"/>
        </w:rPr>
      </w:r>
      <w:r>
        <w:rPr/>
        <w:t>联网智能化技术与实体经济的粘合剂。</w:t>
      </w:r>
    </w:p>
    <w:p>
      <w:pPr>
        <w:spacing w:after="0" w:line="398" w:lineRule="auto"/>
        <w:jc w:val="both"/>
        <w:sectPr>
          <w:pgSz w:w="11910" w:h="16840"/>
          <w:pgMar w:header="880" w:footer="977" w:top="1100" w:bottom="1160" w:left="980" w:right="0"/>
        </w:sectPr>
      </w:pPr>
    </w:p>
    <w:p>
      <w:pPr>
        <w:spacing w:line="240" w:lineRule="auto" w:before="12"/>
        <w:rPr>
          <w:rFonts w:ascii="宋体" w:hAnsi="宋体" w:cs="宋体" w:eastAsia="宋体" w:hint="default"/>
          <w:sz w:val="26"/>
          <w:szCs w:val="26"/>
        </w:rPr>
      </w:pPr>
    </w:p>
    <w:p>
      <w:pPr>
        <w:pStyle w:val="BodyText"/>
        <w:spacing w:line="417" w:lineRule="auto" w:before="36"/>
        <w:ind w:left="572" w:right="0"/>
        <w:jc w:val="left"/>
      </w:pPr>
      <w:r>
        <w:rPr/>
        <w:t>（</w:t>
      </w:r>
      <w:r>
        <w:rPr>
          <w:rFonts w:ascii="Times New Roman" w:hAnsi="Times New Roman" w:cs="Times New Roman" w:eastAsia="Times New Roman" w:hint="default"/>
        </w:rPr>
        <w:t>2</w:t>
      </w:r>
      <w:r>
        <w:rPr/>
        <w:t>）人工智能将成为新一代信息产业的主战场</w:t>
      </w:r>
      <w:r>
        <w:rPr>
          <w:w w:val="100"/>
        </w:rPr>
        <w:t> </w:t>
      </w:r>
      <w:r>
        <w:rPr>
          <w:spacing w:val="-2"/>
        </w:rPr>
        <w:t>新一代的信息技术是以人工智能为代表的泛技术，人工智能已经变成全球高科技企业之间最重要的新</w:t>
      </w:r>
    </w:p>
    <w:p>
      <w:pPr>
        <w:pStyle w:val="BodyText"/>
        <w:spacing w:line="398" w:lineRule="auto" w:before="38"/>
        <w:ind w:right="1024"/>
        <w:jc w:val="left"/>
      </w:pPr>
      <w:r>
        <w:rPr>
          <w:spacing w:val="-5"/>
        </w:rPr>
        <w:t>战场，竞争程度将会非常激烈。在新一轮的竞争中，中国的挑战是如何从以市场规模领先转变为技术领先。</w:t>
      </w:r>
      <w:r>
        <w:rPr>
          <w:spacing w:val="-3"/>
        </w:rPr>
        <w:t> </w:t>
      </w:r>
      <w:r>
        <w:rPr>
          <w:spacing w:val="-3"/>
        </w:rPr>
      </w:r>
      <w:r>
        <w:rPr/>
        <w:t>全球市场里面有非常多的机遇，尤其是中国的互联网科技和人工智能，很有可能在</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国家获得巨</w:t>
      </w:r>
      <w:r>
        <w:rPr>
          <w:w w:val="100"/>
        </w:rPr>
        <w:t> </w:t>
      </w:r>
      <w:r>
        <w:rPr/>
        <w:t>大的成功。</w:t>
      </w:r>
    </w:p>
    <w:p>
      <w:pPr>
        <w:pStyle w:val="BodyText"/>
        <w:spacing w:line="417" w:lineRule="auto" w:before="93"/>
        <w:ind w:left="572" w:right="0" w:hanging="1"/>
        <w:jc w:val="left"/>
      </w:pPr>
      <w:r>
        <w:rPr/>
        <w:t>（</w:t>
      </w:r>
      <w:r>
        <w:rPr>
          <w:rFonts w:ascii="Times New Roman" w:hAnsi="Times New Roman" w:cs="Times New Roman" w:eastAsia="Times New Roman" w:hint="default"/>
        </w:rPr>
        <w:t>3</w:t>
      </w:r>
      <w:r>
        <w:rPr/>
        <w:t>）产业经济载体向大工程与大平台升级迈进</w:t>
      </w:r>
      <w:r>
        <w:rPr>
          <w:w w:val="100"/>
        </w:rPr>
        <w:t> </w:t>
      </w:r>
      <w:r>
        <w:rPr>
          <w:spacing w:val="-2"/>
        </w:rPr>
        <w:t>在人工智能与物联网引领发展的趋势里，产生了智能化技术的集聚爆发和各行各业的场景革命两个趋</w:t>
      </w:r>
    </w:p>
    <w:p>
      <w:pPr>
        <w:pStyle w:val="BodyText"/>
        <w:spacing w:line="386" w:lineRule="auto" w:before="38"/>
        <w:ind w:right="1128"/>
        <w:jc w:val="both"/>
      </w:pPr>
      <w:r>
        <w:rPr>
          <w:spacing w:val="-1"/>
        </w:rPr>
        <w:t>势。在人工智能与相关芯片、物联网技术等方面，需要</w:t>
      </w:r>
      <w:r>
        <w:rPr>
          <w:rFonts w:ascii="Times New Roman" w:hAnsi="Times New Roman" w:cs="Times New Roman" w:eastAsia="Times New Roman" w:hint="default"/>
          <w:spacing w:val="-1"/>
        </w:rPr>
        <w:t>“</w:t>
      </w:r>
      <w:r>
        <w:rPr>
          <w:spacing w:val="-1"/>
        </w:rPr>
        <w:t>产、学、研</w:t>
      </w:r>
      <w:r>
        <w:rPr>
          <w:rFonts w:ascii="Times New Roman" w:hAnsi="Times New Roman" w:cs="Times New Roman" w:eastAsia="Times New Roman" w:hint="default"/>
          <w:spacing w:val="-1"/>
        </w:rPr>
        <w:t>”</w:t>
      </w:r>
      <w:r>
        <w:rPr>
          <w:spacing w:val="-1"/>
        </w:rPr>
        <w:t>联动的一体化</w:t>
      </w:r>
      <w:r>
        <w:rPr>
          <w:rFonts w:ascii="Times New Roman" w:hAnsi="Times New Roman" w:cs="Times New Roman" w:eastAsia="Times New Roman" w:hint="default"/>
          <w:spacing w:val="-1"/>
        </w:rPr>
        <w:t>“</w:t>
      </w:r>
      <w:r>
        <w:rPr>
          <w:spacing w:val="-1"/>
        </w:rPr>
        <w:t>大工程</w:t>
      </w:r>
      <w:r>
        <w:rPr>
          <w:rFonts w:ascii="Times New Roman" w:hAnsi="Times New Roman" w:cs="Times New Roman" w:eastAsia="Times New Roman" w:hint="default"/>
          <w:spacing w:val="-1"/>
        </w:rPr>
        <w:t>”</w:t>
      </w:r>
      <w:r>
        <w:rPr>
          <w:spacing w:val="-1"/>
        </w:rPr>
        <w:t>模式，而在智</w:t>
      </w:r>
      <w:r>
        <w:rPr>
          <w:spacing w:val="-42"/>
        </w:rPr>
        <w:t> </w:t>
      </w:r>
      <w:r>
        <w:rPr>
          <w:spacing w:val="-42"/>
        </w:rPr>
      </w:r>
      <w:r>
        <w:rPr>
          <w:spacing w:val="-2"/>
        </w:rPr>
        <w:t>能化技术与各行各业融合方面，需要一种开放的平台模式做</w:t>
      </w:r>
      <w:r>
        <w:rPr>
          <w:rFonts w:ascii="Times New Roman" w:hAnsi="Times New Roman" w:cs="Times New Roman" w:eastAsia="Times New Roman" w:hint="default"/>
          <w:spacing w:val="-2"/>
        </w:rPr>
        <w:t>“</w:t>
      </w:r>
      <w:r>
        <w:rPr>
          <w:spacing w:val="-2"/>
        </w:rPr>
        <w:t>场景化创新</w:t>
      </w:r>
      <w:r>
        <w:rPr>
          <w:rFonts w:ascii="Times New Roman" w:hAnsi="Times New Roman" w:cs="Times New Roman" w:eastAsia="Times New Roman" w:hint="default"/>
          <w:spacing w:val="-2"/>
        </w:rPr>
        <w:t>”</w:t>
      </w:r>
      <w:r>
        <w:rPr>
          <w:spacing w:val="-2"/>
        </w:rPr>
        <w:t>。实体经济与互联网、大数据、</w:t>
      </w:r>
      <w:r>
        <w:rPr>
          <w:spacing w:val="-17"/>
        </w:rPr>
        <w:t> </w:t>
      </w:r>
      <w:r>
        <w:rPr>
          <w:spacing w:val="-17"/>
        </w:rPr>
      </w:r>
      <w:r>
        <w:rPr/>
        <w:t>人工智能融合，需要广义的公共云服务才能承载这个</w:t>
      </w:r>
      <w:r>
        <w:rPr>
          <w:rFonts w:ascii="Times New Roman" w:hAnsi="Times New Roman" w:cs="Times New Roman" w:eastAsia="Times New Roman" w:hint="default"/>
        </w:rPr>
        <w:t>“</w:t>
      </w:r>
      <w:r>
        <w:rPr/>
        <w:t>大工程</w:t>
      </w:r>
      <w:r>
        <w:rPr>
          <w:rFonts w:ascii="Times New Roman" w:hAnsi="Times New Roman" w:cs="Times New Roman" w:eastAsia="Times New Roman" w:hint="default"/>
        </w:rPr>
        <w:t>+</w:t>
      </w:r>
      <w:r>
        <w:rPr/>
        <w:t>大平台</w:t>
      </w:r>
      <w:r>
        <w:rPr>
          <w:rFonts w:ascii="Times New Roman" w:hAnsi="Times New Roman" w:cs="Times New Roman" w:eastAsia="Times New Roman" w:hint="default"/>
        </w:rPr>
        <w:t>”</w:t>
      </w:r>
      <w:r>
        <w:rPr/>
        <w:t>模式，人工智能等新一代信息技术</w:t>
      </w:r>
      <w:r>
        <w:rPr>
          <w:spacing w:val="-18"/>
        </w:rPr>
        <w:t> </w:t>
      </w:r>
      <w:r>
        <w:rPr>
          <w:spacing w:val="-18"/>
        </w:rPr>
      </w:r>
      <w:r>
        <w:rPr/>
        <w:t>才能最终兑现它的价值。</w:t>
      </w:r>
    </w:p>
    <w:p>
      <w:pPr>
        <w:pStyle w:val="BodyText"/>
        <w:spacing w:line="415" w:lineRule="auto" w:before="106"/>
        <w:ind w:left="572" w:right="0"/>
        <w:jc w:val="left"/>
      </w:pPr>
      <w:r>
        <w:rPr/>
        <w:t>（</w:t>
      </w:r>
      <w:r>
        <w:rPr>
          <w:rFonts w:ascii="Times New Roman" w:hAnsi="Times New Roman" w:cs="Times New Roman" w:eastAsia="Times New Roman" w:hint="default"/>
        </w:rPr>
        <w:t>4</w:t>
      </w:r>
      <w:r>
        <w:rPr/>
        <w:t>）信息技术服务业业务向细分化、多样化方向发展</w:t>
      </w:r>
      <w:r>
        <w:rPr>
          <w:spacing w:val="-3"/>
          <w:w w:val="100"/>
        </w:rPr>
        <w:t> </w:t>
      </w:r>
      <w:r>
        <w:rPr>
          <w:spacing w:val="-2"/>
        </w:rPr>
        <w:t>信息技术的高速发展，不断推动着信息技术服务业业务向细分化、多样化方向发展，促使新产品、新</w:t>
      </w:r>
    </w:p>
    <w:p>
      <w:pPr>
        <w:pStyle w:val="BodyText"/>
        <w:spacing w:line="400" w:lineRule="auto" w:before="40"/>
        <w:ind w:right="1129"/>
        <w:jc w:val="both"/>
      </w:pPr>
      <w:r>
        <w:rPr>
          <w:spacing w:val="-2"/>
        </w:rPr>
        <w:t>业态大量涌现，进而创造新的市场空间，带动产业升级优化。大数据产业化进程加速，信息技术服务业由</w:t>
      </w:r>
      <w:r>
        <w:rPr>
          <w:spacing w:val="-50"/>
        </w:rPr>
        <w:t> </w:t>
      </w:r>
      <w:r>
        <w:rPr>
          <w:spacing w:val="-50"/>
        </w:rPr>
      </w:r>
      <w:r>
        <w:rPr>
          <w:spacing w:val="-3"/>
        </w:rPr>
        <w:t>传统</w:t>
      </w:r>
      <w:r>
        <w:rPr>
          <w:rFonts w:ascii="Times New Roman" w:hAnsi="Times New Roman" w:cs="Times New Roman" w:eastAsia="Times New Roman" w:hint="default"/>
          <w:spacing w:val="-3"/>
        </w:rPr>
        <w:t>PC</w:t>
      </w:r>
      <w:r>
        <w:rPr>
          <w:spacing w:val="-3"/>
        </w:rPr>
        <w:t>时代向新兴技术转移的节奏开始加速。业内企业不仅要专注自身优势领域，还需结合新兴技术支撑</w:t>
      </w:r>
      <w:r>
        <w:rPr>
          <w:spacing w:val="-46"/>
        </w:rPr>
        <w:t> </w:t>
      </w:r>
      <w:r>
        <w:rPr>
          <w:spacing w:val="-46"/>
        </w:rPr>
      </w:r>
      <w:r>
        <w:rPr>
          <w:spacing w:val="-2"/>
        </w:rPr>
        <w:t>自身发展，开放合作成为产业主要趋势。信息技术产业的竞争正从单一企业竞争演进到以聚合生态圈协同</w:t>
      </w:r>
      <w:r>
        <w:rPr>
          <w:spacing w:val="-42"/>
        </w:rPr>
        <w:t> </w:t>
      </w:r>
      <w:r>
        <w:rPr>
          <w:spacing w:val="-42"/>
        </w:rPr>
      </w:r>
      <w:r>
        <w:rPr/>
        <w:t>效应的全产业链竞争，生态圈建设的重要性凸显。</w:t>
      </w:r>
    </w:p>
    <w:p>
      <w:pPr>
        <w:pStyle w:val="BodyText"/>
        <w:spacing w:line="417" w:lineRule="auto" w:before="93"/>
        <w:ind w:left="571" w:right="0"/>
        <w:jc w:val="left"/>
      </w:pPr>
      <w:r>
        <w:rPr/>
        <w:t>（</w:t>
      </w:r>
      <w:r>
        <w:rPr>
          <w:rFonts w:ascii="Times New Roman" w:hAnsi="Times New Roman" w:cs="Times New Roman" w:eastAsia="Times New Roman" w:hint="default"/>
        </w:rPr>
        <w:t>5</w:t>
      </w:r>
      <w:r>
        <w:rPr/>
        <w:t>）新兴信息技术与传统产业融合加深，为经济发展注入新动能。</w:t>
      </w:r>
      <w:r>
        <w:rPr>
          <w:w w:val="100"/>
        </w:rPr>
        <w:t> </w:t>
      </w:r>
      <w:r>
        <w:rPr>
          <w:spacing w:val="-2"/>
        </w:rPr>
        <w:t>新一代信息技术在经济社会各领域开展广泛应用和模式创新，支撑制造业、农业、金融、能源、物流</w:t>
      </w:r>
    </w:p>
    <w:p>
      <w:pPr>
        <w:pStyle w:val="BodyText"/>
        <w:spacing w:line="393" w:lineRule="auto" w:before="38"/>
        <w:ind w:left="151" w:right="1129"/>
        <w:jc w:val="both"/>
      </w:pPr>
      <w:r>
        <w:rPr>
          <w:spacing w:val="-2"/>
        </w:rPr>
        <w:t>等传统产业优化升级，为传统产业</w:t>
      </w:r>
      <w:r>
        <w:rPr>
          <w:rFonts w:ascii="Times New Roman" w:hAnsi="Times New Roman" w:cs="Times New Roman" w:eastAsia="Times New Roman" w:hint="default"/>
          <w:spacing w:val="-2"/>
        </w:rPr>
        <w:t>“</w:t>
      </w:r>
      <w:r>
        <w:rPr>
          <w:spacing w:val="-2"/>
        </w:rPr>
        <w:t>赋智赋能</w:t>
      </w:r>
      <w:r>
        <w:rPr>
          <w:rFonts w:ascii="Times New Roman" w:hAnsi="Times New Roman" w:cs="Times New Roman" w:eastAsia="Times New Roman" w:hint="default"/>
          <w:spacing w:val="-2"/>
        </w:rPr>
        <w:t>”</w:t>
      </w:r>
      <w:r>
        <w:rPr>
          <w:spacing w:val="-2"/>
        </w:rPr>
        <w:t>，出现越来越多的典型应用案例；特别是在工业领域的应用</w:t>
      </w:r>
      <w:r>
        <w:rPr>
          <w:spacing w:val="-16"/>
        </w:rPr>
        <w:t> </w:t>
      </w:r>
      <w:r>
        <w:rPr>
          <w:spacing w:val="-16"/>
        </w:rPr>
      </w:r>
      <w:r>
        <w:rPr/>
        <w:t>加快，</w:t>
      </w:r>
      <w:r>
        <w:rPr>
          <w:rFonts w:ascii="Times New Roman" w:hAnsi="Times New Roman" w:cs="Times New Roman" w:eastAsia="Times New Roman" w:hint="default"/>
        </w:rPr>
        <w:t>2019</w:t>
      </w:r>
      <w:r>
        <w:rPr/>
        <w:t>年工业软件收入增长</w:t>
      </w:r>
      <w:r>
        <w:rPr>
          <w:rFonts w:ascii="Times New Roman" w:hAnsi="Times New Roman" w:cs="Times New Roman" w:eastAsia="Times New Roman" w:hint="default"/>
        </w:rPr>
        <w:t>14.6%</w:t>
      </w:r>
      <w:r>
        <w:rPr/>
        <w:t>，工业互联网正在成为新一轮工业革命和产业变革的焦点；支持智</w:t>
      </w:r>
      <w:r>
        <w:rPr>
          <w:spacing w:val="-42"/>
        </w:rPr>
        <w:t> </w:t>
      </w:r>
      <w:r>
        <w:rPr>
          <w:spacing w:val="-42"/>
        </w:rPr>
      </w:r>
      <w:r>
        <w:rPr>
          <w:spacing w:val="-2"/>
        </w:rPr>
        <w:t>慧城市、智慧交通、智慧社区、智慧医疗等建设，帮助解决社会管理和民生问题的同时，创造出新的市场</w:t>
      </w:r>
      <w:r>
        <w:rPr>
          <w:spacing w:val="-43"/>
        </w:rPr>
        <w:t> </w:t>
      </w:r>
      <w:r>
        <w:rPr>
          <w:spacing w:val="-43"/>
        </w:rPr>
      </w:r>
      <w:r>
        <w:rPr/>
        <w:t>需求，据对重点龙头软件企业的监测显示，交通、安防领域的信息技术需求增长明显。</w:t>
      </w:r>
    </w:p>
    <w:p>
      <w:pPr>
        <w:pStyle w:val="BodyText"/>
        <w:spacing w:line="240" w:lineRule="auto" w:before="59"/>
        <w:ind w:left="571" w:right="0"/>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w:t>
      </w:r>
      <w:r>
        <w:rPr/>
        <w:t>新基建</w:t>
      </w:r>
      <w:r>
        <w:rPr>
          <w:rFonts w:ascii="Times New Roman" w:hAnsi="Times New Roman" w:cs="Times New Roman" w:eastAsia="Times New Roman" w:hint="default"/>
        </w:rPr>
        <w:t>”</w:t>
      </w:r>
      <w:r>
        <w:rPr/>
        <w:t>带来新机遇</w:t>
      </w:r>
    </w:p>
    <w:p>
      <w:pPr>
        <w:pStyle w:val="BodyText"/>
        <w:spacing w:line="391" w:lineRule="auto" w:before="177"/>
        <w:ind w:left="151" w:right="1024" w:firstLine="419"/>
        <w:jc w:val="left"/>
      </w:pPr>
      <w:r>
        <w:rPr/>
        <w:t>新型基础设施建设是指发力于科技端的基础设施建设，主要包含 </w:t>
      </w:r>
      <w:r>
        <w:rPr>
          <w:rFonts w:ascii="Times New Roman" w:hAnsi="Times New Roman" w:cs="Times New Roman" w:eastAsia="Times New Roman" w:hint="default"/>
        </w:rPr>
        <w:t>5G</w:t>
      </w:r>
      <w:r>
        <w:rPr>
          <w:rFonts w:ascii="Times New Roman" w:hAnsi="Times New Roman" w:cs="Times New Roman" w:eastAsia="Times New Roman" w:hint="default"/>
          <w:spacing w:val="16"/>
        </w:rPr>
        <w:t> </w:t>
      </w:r>
      <w:r>
        <w:rPr>
          <w:spacing w:val="-3"/>
        </w:rPr>
        <w:t>基建、特高压、城际高速铁路和</w:t>
      </w:r>
      <w:r>
        <w:rPr>
          <w:w w:val="100"/>
        </w:rPr>
        <w:t> </w:t>
      </w:r>
      <w:r>
        <w:rPr>
          <w:spacing w:val="-4"/>
        </w:rPr>
        <w:t>城际轨道交通、新能源汽车充电桩、大数据中心、人工智能、工业互联网等七大领域，涉及到通信、电力、</w:t>
      </w:r>
      <w:r>
        <w:rPr>
          <w:spacing w:val="-47"/>
        </w:rPr>
        <w:t> </w:t>
      </w:r>
      <w:r>
        <w:rPr>
          <w:spacing w:val="-47"/>
        </w:rPr>
      </w:r>
      <w:r>
        <w:rPr>
          <w:spacing w:val="-3"/>
        </w:rPr>
        <w:t>交通、数字等多个社会民生重点行业。在</w:t>
      </w:r>
      <w:r>
        <w:rPr>
          <w:rFonts w:ascii="Times New Roman" w:hAnsi="Times New Roman" w:cs="Times New Roman" w:eastAsia="Times New Roman" w:hint="default"/>
          <w:spacing w:val="-3"/>
        </w:rPr>
        <w:t>2018 </w:t>
      </w:r>
      <w:r>
        <w:rPr/>
        <w:t>年 </w:t>
      </w:r>
      <w:r>
        <w:rPr>
          <w:rFonts w:ascii="Times New Roman" w:hAnsi="Times New Roman" w:cs="Times New Roman" w:eastAsia="Times New Roman" w:hint="default"/>
        </w:rPr>
        <w:t>12 </w:t>
      </w:r>
      <w:r>
        <w:rPr>
          <w:spacing w:val="-3"/>
        </w:rPr>
        <w:t>月召开的中央经济工作会议上，决策层强调，要加快</w:t>
      </w:r>
      <w:r>
        <w:rPr>
          <w:spacing w:val="-50"/>
        </w:rPr>
        <w:t> </w:t>
      </w:r>
      <w:r>
        <w:rPr>
          <w:spacing w:val="-50"/>
        </w:rPr>
      </w:r>
      <w:r>
        <w:rPr>
          <w:rFonts w:ascii="Times New Roman" w:hAnsi="Times New Roman" w:cs="Times New Roman" w:eastAsia="Times New Roman" w:hint="default"/>
        </w:rPr>
        <w:t>5G </w:t>
      </w:r>
      <w:r>
        <w:rPr>
          <w:spacing w:val="-3"/>
        </w:rPr>
        <w:t>商用步伐，加强人工智能、工业互联网、物联网等新型基础设施建设。人工智能、工业互联网作为</w:t>
      </w:r>
      <w:r>
        <w:rPr>
          <w:rFonts w:ascii="Times New Roman" w:hAnsi="Times New Roman" w:cs="Times New Roman" w:eastAsia="Times New Roman" w:hint="default"/>
          <w:spacing w:val="-3"/>
        </w:rPr>
        <w:t>“</w:t>
      </w:r>
      <w:r>
        <w:rPr>
          <w:spacing w:val="-3"/>
        </w:rPr>
        <w:t>新</w:t>
      </w:r>
      <w:r>
        <w:rPr>
          <w:spacing w:val="-42"/>
        </w:rPr>
        <w:t> </w:t>
      </w:r>
      <w:r>
        <w:rPr/>
        <w:t>基建</w:t>
      </w:r>
      <w:r>
        <w:rPr>
          <w:rFonts w:ascii="Times New Roman" w:hAnsi="Times New Roman" w:cs="Times New Roman" w:eastAsia="Times New Roman" w:hint="default"/>
        </w:rPr>
        <w:t>”</w:t>
      </w:r>
      <w:r>
        <w:rPr/>
        <w:t>的七大领域中的重要组成部分，重要性不言而喻。人工智能是引领新一轮科技革命、产业变革、社</w:t>
      </w:r>
    </w:p>
    <w:p>
      <w:pPr>
        <w:spacing w:after="0" w:line="391"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6"/>
        <w:jc w:val="both"/>
      </w:pPr>
      <w:r>
        <w:rPr>
          <w:spacing w:val="-2"/>
        </w:rPr>
        <w:t>会变革的战略性技术，正在对经济发展、社会进步、国际政治经济格局等方面产生重大深远的影响。而从</w:t>
      </w:r>
      <w:r>
        <w:rPr>
          <w:spacing w:val="-50"/>
        </w:rPr>
        <w:t> </w:t>
      </w:r>
      <w:r>
        <w:rPr>
          <w:spacing w:val="-50"/>
        </w:rPr>
      </w:r>
      <w:r>
        <w:rPr>
          <w:spacing w:val="-2"/>
        </w:rPr>
        <w:t>产业发展的角度，人工智能作为新一轮产业变革的核心驱动力，正在释放历次科技革命和产业变革积蓄的</w:t>
      </w:r>
      <w:r>
        <w:rPr>
          <w:spacing w:val="-42"/>
        </w:rPr>
        <w:t> </w:t>
      </w:r>
      <w:r>
        <w:rPr>
          <w:spacing w:val="-42"/>
        </w:rPr>
      </w:r>
      <w:r>
        <w:rPr>
          <w:spacing w:val="-2"/>
        </w:rPr>
        <w:t>巨大能量，持续探索新一代人工智能应用场景，将重构生产、分配、交换、消费等经济活动各环节，催生</w:t>
      </w:r>
      <w:r>
        <w:rPr>
          <w:spacing w:val="-45"/>
        </w:rPr>
        <w:t> </w:t>
      </w:r>
      <w:r>
        <w:rPr>
          <w:spacing w:val="-45"/>
        </w:rPr>
      </w:r>
      <w:r>
        <w:rPr>
          <w:spacing w:val="-2"/>
        </w:rPr>
        <w:t>新技术、新产品、新产业。工业互联网是智能制造发展的基础，可以提供共性的基础设施和能力；我国已</w:t>
      </w:r>
      <w:r>
        <w:rPr>
          <w:spacing w:val="-43"/>
        </w:rPr>
        <w:t> </w:t>
      </w:r>
      <w:r>
        <w:rPr>
          <w:spacing w:val="-43"/>
        </w:rPr>
      </w:r>
      <w:r>
        <w:rPr/>
        <w:t>经将工业互联网作为重要基础设施，为工业智能化提供支撑。</w:t>
      </w:r>
    </w:p>
    <w:p>
      <w:pPr>
        <w:pStyle w:val="BodyText"/>
        <w:spacing w:line="386" w:lineRule="auto" w:before="46"/>
        <w:ind w:left="572" w:right="0" w:firstLine="84"/>
        <w:jc w:val="left"/>
      </w:pPr>
      <w:r>
        <w:rPr>
          <w:rFonts w:ascii="Times New Roman" w:hAnsi="Times New Roman" w:cs="Times New Roman" w:eastAsia="Times New Roman" w:hint="default"/>
        </w:rPr>
        <w:t>4</w:t>
      </w:r>
      <w:r>
        <w:rPr/>
        <w:t>、公司行业地位</w:t>
      </w:r>
      <w:r>
        <w:rPr>
          <w:spacing w:val="-3"/>
          <w:w w:val="100"/>
        </w:rPr>
        <w:t> </w:t>
      </w:r>
      <w:r>
        <w:rPr>
          <w:spacing w:val="-4"/>
        </w:rPr>
        <w:t>详见本报告第三节《公司业务概要》</w:t>
      </w:r>
      <w:r>
        <w:rPr>
          <w:rFonts w:ascii="Times New Roman" w:hAnsi="Times New Roman" w:cs="Times New Roman" w:eastAsia="Times New Roman" w:hint="default"/>
          <w:spacing w:val="-4"/>
        </w:rPr>
        <w:t>“</w:t>
      </w:r>
      <w:r>
        <w:rPr>
          <w:spacing w:val="-4"/>
        </w:rPr>
        <w:t>一、报告期内公司从事的主要业务</w:t>
      </w:r>
      <w:r>
        <w:rPr>
          <w:rFonts w:ascii="Times New Roman" w:hAnsi="Times New Roman" w:cs="Times New Roman" w:eastAsia="Times New Roman" w:hint="default"/>
          <w:spacing w:val="-4"/>
        </w:rPr>
        <w:t>”</w:t>
      </w:r>
      <w:r>
        <w:rPr>
          <w:spacing w:val="-4"/>
        </w:rPr>
        <w:t>之第（六）项</w:t>
      </w:r>
      <w:r>
        <w:rPr>
          <w:rFonts w:ascii="Times New Roman" w:hAnsi="Times New Roman" w:cs="Times New Roman" w:eastAsia="Times New Roman" w:hint="default"/>
          <w:spacing w:val="-4"/>
        </w:rPr>
        <w:t>“</w:t>
      </w:r>
      <w:r>
        <w:rPr>
          <w:spacing w:val="-4"/>
        </w:rPr>
        <w:t>公司所处行业</w:t>
      </w:r>
    </w:p>
    <w:p>
      <w:pPr>
        <w:pStyle w:val="BodyText"/>
        <w:spacing w:line="240" w:lineRule="auto" w:before="35"/>
        <w:ind w:left="153" w:right="0"/>
        <w:jc w:val="both"/>
        <w:rPr>
          <w:rFonts w:ascii="Times New Roman" w:hAnsi="Times New Roman" w:cs="Times New Roman" w:eastAsia="Times New Roman" w:hint="default"/>
        </w:rPr>
      </w:pPr>
      <w:r>
        <w:rPr/>
        <w:t>发展阶段、周期性特点以及行业地位</w:t>
      </w:r>
      <w:r>
        <w:rPr>
          <w:rFonts w:ascii="Times New Roman" w:hAnsi="Times New Roman" w:cs="Times New Roman" w:eastAsia="Times New Roman" w:hint="default"/>
        </w:rPr>
        <w:t>”</w:t>
      </w:r>
    </w:p>
    <w:p>
      <w:pPr>
        <w:pStyle w:val="BodyText"/>
        <w:spacing w:line="408" w:lineRule="auto" w:before="177"/>
        <w:ind w:left="572" w:right="0"/>
        <w:jc w:val="left"/>
      </w:pPr>
      <w:r>
        <w:rPr/>
        <w:t>（二）公司发展战略</w:t>
      </w:r>
      <w:r>
        <w:rPr>
          <w:w w:val="100"/>
        </w:rPr>
        <w:t> </w:t>
      </w:r>
      <w:r>
        <w:rPr>
          <w:spacing w:val="-2"/>
        </w:rPr>
        <w:t>公司以</w:t>
      </w:r>
      <w:r>
        <w:rPr>
          <w:rFonts w:ascii="Times New Roman" w:hAnsi="Times New Roman" w:cs="Times New Roman" w:eastAsia="Times New Roman" w:hint="default"/>
          <w:spacing w:val="-2"/>
        </w:rPr>
        <w:t>“</w:t>
      </w:r>
      <w:r>
        <w:rPr>
          <w:spacing w:val="-2"/>
        </w:rPr>
        <w:t>服务客户、成就员工、回报股东、贡献社会</w:t>
      </w:r>
      <w:r>
        <w:rPr>
          <w:rFonts w:ascii="Times New Roman" w:hAnsi="Times New Roman" w:cs="Times New Roman" w:eastAsia="Times New Roman" w:hint="default"/>
          <w:spacing w:val="-2"/>
        </w:rPr>
        <w:t>”</w:t>
      </w:r>
      <w:r>
        <w:rPr>
          <w:spacing w:val="-2"/>
        </w:rPr>
        <w:t>为使命，定位于做国内领先的基于人工智能的行</w:t>
      </w:r>
    </w:p>
    <w:p>
      <w:pPr>
        <w:pStyle w:val="BodyText"/>
        <w:spacing w:line="408" w:lineRule="auto" w:before="14"/>
        <w:ind w:left="153" w:right="1126"/>
        <w:jc w:val="both"/>
      </w:pPr>
      <w:r>
        <w:rPr>
          <w:spacing w:val="-2"/>
        </w:rPr>
        <w:t>业信息化整体解决方案提供商。以提升客户价值为导向，坚持面向行业，做大主业，努力保持公司在会议</w:t>
      </w:r>
      <w:r>
        <w:rPr>
          <w:spacing w:val="-47"/>
        </w:rPr>
        <w:t> </w:t>
      </w:r>
      <w:r>
        <w:rPr>
          <w:spacing w:val="-47"/>
        </w:rPr>
      </w:r>
      <w:r>
        <w:rPr>
          <w:spacing w:val="-2"/>
        </w:rPr>
        <w:t>选举与表决、工业机器视觉、行业大数据分析、数据中心平台领域标杆或领先，以高速机器视觉、大数据</w:t>
      </w:r>
      <w:r>
        <w:rPr>
          <w:spacing w:val="-43"/>
        </w:rPr>
        <w:t> </w:t>
      </w:r>
      <w:r>
        <w:rPr>
          <w:spacing w:val="-43"/>
        </w:rPr>
      </w:r>
      <w:r>
        <w:rPr>
          <w:spacing w:val="-2"/>
        </w:rPr>
        <w:t>为核心的人工智能技术引领公司在智慧政务、智能制造、智慧城市、智慧健康的产业化，为行业提供信息</w:t>
      </w:r>
      <w:r>
        <w:rPr>
          <w:spacing w:val="-47"/>
        </w:rPr>
        <w:t> </w:t>
      </w:r>
      <w:r>
        <w:rPr>
          <w:spacing w:val="-47"/>
        </w:rPr>
      </w:r>
      <w:r>
        <w:rPr>
          <w:spacing w:val="-2"/>
        </w:rPr>
        <w:t>技术整体解决方案、智能化工程及相关产品与服务，通过资本经营和实业发展使公司快速成为一家既有独</w:t>
      </w:r>
      <w:r>
        <w:rPr>
          <w:spacing w:val="-42"/>
        </w:rPr>
        <w:t> </w:t>
      </w:r>
      <w:r>
        <w:rPr>
          <w:spacing w:val="-42"/>
        </w:rPr>
      </w:r>
      <w:r>
        <w:rPr>
          <w:spacing w:val="-2"/>
        </w:rPr>
        <w:t>特优势又有鲜明特色的上市公司、值得广大投资者信赖和受人尊敬的高科技企业、具有人才吸引力的技术</w:t>
      </w:r>
      <w:r>
        <w:rPr>
          <w:spacing w:val="-42"/>
        </w:rPr>
        <w:t> </w:t>
      </w:r>
      <w:r>
        <w:rPr>
          <w:spacing w:val="-42"/>
        </w:rPr>
      </w:r>
      <w:r>
        <w:rPr/>
        <w:t>创新平台。</w:t>
      </w:r>
    </w:p>
    <w:p>
      <w:pPr>
        <w:pStyle w:val="BodyText"/>
        <w:spacing w:line="240" w:lineRule="auto" w:before="46"/>
        <w:ind w:left="572" w:right="0"/>
        <w:jc w:val="left"/>
      </w:pPr>
      <w:r>
        <w:rPr/>
        <w:t>（三）业务发展规划</w:t>
      </w:r>
    </w:p>
    <w:p>
      <w:pPr>
        <w:spacing w:line="240" w:lineRule="auto" w:before="10"/>
        <w:rPr>
          <w:rFonts w:ascii="宋体" w:hAnsi="宋体" w:cs="宋体" w:eastAsia="宋体" w:hint="default"/>
          <w:sz w:val="14"/>
          <w:szCs w:val="14"/>
        </w:rPr>
      </w:pPr>
    </w:p>
    <w:p>
      <w:pPr>
        <w:pStyle w:val="BodyText"/>
        <w:spacing w:line="386" w:lineRule="auto"/>
        <w:ind w:left="572" w:right="0"/>
        <w:jc w:val="left"/>
      </w:pPr>
      <w:r>
        <w:rPr>
          <w:rFonts w:ascii="Times New Roman" w:hAnsi="Times New Roman" w:cs="Times New Roman" w:eastAsia="Times New Roman" w:hint="default"/>
        </w:rPr>
        <w:t>1.</w:t>
      </w:r>
      <w:r>
        <w:rPr/>
        <w:t>发挥品牌优势做精做强数字会议系列产品</w:t>
      </w:r>
      <w:r>
        <w:rPr>
          <w:w w:val="100"/>
        </w:rPr>
        <w:t> </w:t>
      </w:r>
      <w:r>
        <w:rPr>
          <w:spacing w:val="-2"/>
        </w:rPr>
        <w:t>作为中国数字会议一流品牌，公司将着力做好数字会议业务中电子选举和电子表决两大核心产品的市</w:t>
      </w:r>
    </w:p>
    <w:p>
      <w:pPr>
        <w:pStyle w:val="BodyText"/>
        <w:spacing w:line="403" w:lineRule="auto" w:before="65"/>
        <w:ind w:right="1106"/>
        <w:jc w:val="both"/>
      </w:pPr>
      <w:r>
        <w:rPr>
          <w:spacing w:val="-2"/>
        </w:rPr>
        <w:t>场拓展，加强研发促成迭代更新，重视客户服务、稳固核心市场，纵深开拓地市级市场，夯实品牌地位。</w:t>
      </w:r>
      <w:r>
        <w:rPr>
          <w:spacing w:val="-21"/>
        </w:rPr>
        <w:t> </w:t>
      </w:r>
      <w:r>
        <w:rPr>
          <w:spacing w:val="-21"/>
        </w:rPr>
      </w:r>
      <w:r>
        <w:rPr>
          <w:spacing w:val="-3"/>
        </w:rPr>
        <w:t>注重系列产品规模的均衡发展，继续做好新兴业务</w:t>
      </w:r>
      <w:r>
        <w:rPr>
          <w:rFonts w:ascii="Times New Roman" w:hAnsi="Times New Roman" w:cs="Times New Roman" w:eastAsia="Times New Roman" w:hint="default"/>
          <w:spacing w:val="-3"/>
        </w:rPr>
        <w:t>—</w:t>
      </w:r>
      <w:r>
        <w:rPr>
          <w:spacing w:val="-3"/>
        </w:rPr>
        <w:t>基层</w:t>
      </w:r>
      <w:r>
        <w:rPr>
          <w:rFonts w:ascii="Times New Roman" w:hAnsi="Times New Roman" w:cs="Times New Roman" w:eastAsia="Times New Roman" w:hint="default"/>
          <w:spacing w:val="-3"/>
        </w:rPr>
        <w:t>/</w:t>
      </w:r>
      <w:r>
        <w:rPr>
          <w:spacing w:val="-3"/>
        </w:rPr>
        <w:t>社区两委换届选举</w:t>
      </w:r>
      <w:r>
        <w:rPr>
          <w:rFonts w:ascii="Times New Roman" w:hAnsi="Times New Roman" w:cs="Times New Roman" w:eastAsia="Times New Roman" w:hint="default"/>
          <w:spacing w:val="-3"/>
        </w:rPr>
        <w:t>“</w:t>
      </w:r>
      <w:r>
        <w:rPr>
          <w:spacing w:val="-3"/>
        </w:rPr>
        <w:t>计票通</w:t>
      </w:r>
      <w:r>
        <w:rPr>
          <w:rFonts w:ascii="Times New Roman" w:hAnsi="Times New Roman" w:cs="Times New Roman" w:eastAsia="Times New Roman" w:hint="default"/>
          <w:spacing w:val="-3"/>
        </w:rPr>
        <w:t>”</w:t>
      </w:r>
      <w:r>
        <w:rPr>
          <w:spacing w:val="-3"/>
        </w:rPr>
        <w:t>的培育，以市场为依</w:t>
      </w:r>
      <w:r>
        <w:rPr>
          <w:spacing w:val="-27"/>
        </w:rPr>
        <w:t> </w:t>
      </w:r>
      <w:r>
        <w:rPr>
          <w:spacing w:val="-27"/>
        </w:rPr>
      </w:r>
      <w:r>
        <w:rPr>
          <w:spacing w:val="-2"/>
        </w:rPr>
        <w:t>托大力拓展新客户，力争加快成长为核心业务。努力推进智能会议等种子业务孵化，创新研发生产模式加</w:t>
      </w:r>
      <w:r>
        <w:rPr>
          <w:spacing w:val="-43"/>
        </w:rPr>
        <w:t> </w:t>
      </w:r>
      <w:r>
        <w:rPr>
          <w:spacing w:val="-43"/>
        </w:rPr>
      </w:r>
      <w:r>
        <w:rPr>
          <w:spacing w:val="-2"/>
        </w:rPr>
        <w:t>快产品研发进度，以客户需求为导向，丰富完善产品线，与时俱进、创新优化数字会议信息化整体解决方</w:t>
      </w:r>
      <w:r>
        <w:rPr>
          <w:spacing w:val="-47"/>
        </w:rPr>
        <w:t> </w:t>
      </w:r>
      <w:r>
        <w:rPr>
          <w:spacing w:val="-47"/>
        </w:rPr>
      </w:r>
      <w:r>
        <w:rPr/>
        <w:t>案，为客户创造更好价值。</w:t>
      </w:r>
    </w:p>
    <w:p>
      <w:pPr>
        <w:pStyle w:val="BodyText"/>
        <w:spacing w:line="386" w:lineRule="auto" w:before="50"/>
        <w:ind w:left="572" w:right="0"/>
        <w:jc w:val="left"/>
      </w:pPr>
      <w:r>
        <w:rPr>
          <w:rFonts w:ascii="Times New Roman" w:hAnsi="Times New Roman" w:cs="Times New Roman" w:eastAsia="Times New Roman" w:hint="default"/>
        </w:rPr>
        <w:t>2.</w:t>
      </w:r>
      <w:r>
        <w:rPr/>
        <w:t>以烟草</w:t>
      </w:r>
      <w:r>
        <w:rPr>
          <w:rFonts w:ascii="Times New Roman" w:hAnsi="Times New Roman" w:cs="Times New Roman" w:eastAsia="Times New Roman" w:hint="default"/>
        </w:rPr>
        <w:t>“</w:t>
      </w:r>
      <w:r>
        <w:rPr/>
        <w:t>智慧工厂</w:t>
      </w:r>
      <w:r>
        <w:rPr>
          <w:rFonts w:ascii="Times New Roman" w:hAnsi="Times New Roman" w:cs="Times New Roman" w:eastAsia="Times New Roman" w:hint="default"/>
        </w:rPr>
        <w:t>”</w:t>
      </w:r>
      <w:r>
        <w:rPr/>
        <w:t>拓展</w:t>
      </w:r>
      <w:r>
        <w:rPr>
          <w:rFonts w:ascii="Times New Roman" w:hAnsi="Times New Roman" w:cs="Times New Roman" w:eastAsia="Times New Roman" w:hint="default"/>
        </w:rPr>
        <w:t>“</w:t>
      </w:r>
      <w:r>
        <w:rPr/>
        <w:t>智能制造</w:t>
      </w:r>
      <w:r>
        <w:rPr>
          <w:rFonts w:ascii="Times New Roman" w:hAnsi="Times New Roman" w:cs="Times New Roman" w:eastAsia="Times New Roman" w:hint="default"/>
        </w:rPr>
        <w:t>”</w:t>
      </w:r>
      <w:r>
        <w:rPr/>
        <w:t>业务</w:t>
      </w:r>
      <w:r>
        <w:rPr>
          <w:w w:val="100"/>
        </w:rPr>
        <w:t> </w:t>
      </w:r>
      <w:r>
        <w:rPr>
          <w:spacing w:val="-4"/>
        </w:rPr>
        <w:t>以技术领先带动市场开拓，持续推进云平台、物联网、区块链、工业大数据、人工智能和</w:t>
      </w:r>
      <w:r>
        <w:rPr>
          <w:rFonts w:ascii="Times New Roman" w:hAnsi="Times New Roman" w:cs="Times New Roman" w:eastAsia="Times New Roman" w:hint="default"/>
          <w:spacing w:val="-4"/>
        </w:rPr>
        <w:t>5G</w:t>
      </w:r>
      <w:r>
        <w:rPr>
          <w:spacing w:val="-4"/>
        </w:rPr>
        <w:t>技术在烟</w:t>
      </w:r>
      <w:r>
        <w:rPr/>
      </w:r>
    </w:p>
    <w:p>
      <w:pPr>
        <w:pStyle w:val="BodyText"/>
        <w:spacing w:line="408" w:lineRule="auto" w:before="35"/>
        <w:ind w:left="153" w:right="1128"/>
        <w:jc w:val="both"/>
      </w:pPr>
      <w:r>
        <w:rPr>
          <w:spacing w:val="-2"/>
        </w:rPr>
        <w:t>草行业的软硬件应用研发，充分利用杭州卷烟厂智慧生产管理系统、智慧设备管理系统、基于物联网的卷</w:t>
      </w:r>
      <w:r>
        <w:rPr>
          <w:spacing w:val="-44"/>
        </w:rPr>
        <w:t> </w:t>
      </w:r>
      <w:r>
        <w:rPr>
          <w:spacing w:val="-44"/>
        </w:rPr>
      </w:r>
      <w:r>
        <w:rPr>
          <w:spacing w:val="-2"/>
        </w:rPr>
        <w:t>烟包条件关联跟踪追溯系统、边缘计算网关等产品成功应用所带带来的行业示范效应和客户口碑，加快市</w:t>
      </w:r>
      <w:r>
        <w:rPr>
          <w:spacing w:val="-42"/>
        </w:rPr>
        <w:t> </w:t>
      </w:r>
      <w:r>
        <w:rPr>
          <w:spacing w:val="-42"/>
        </w:rPr>
      </w:r>
      <w:r>
        <w:rPr>
          <w:spacing w:val="-2"/>
        </w:rPr>
        <w:t>场推广，为智慧工厂系列产品在烟草行业打开更多的区域市场，做强智能制造业务，夯实在烟草市场细分</w:t>
      </w:r>
      <w:r>
        <w:rPr>
          <w:spacing w:val="-42"/>
        </w:rPr>
        <w:t> </w:t>
      </w:r>
      <w:r>
        <w:rPr>
          <w:spacing w:val="-42"/>
        </w:rPr>
      </w:r>
      <w:r>
        <w:rPr/>
        <w:t>市场的领先者地位。</w:t>
      </w:r>
    </w:p>
    <w:p>
      <w:pPr>
        <w:spacing w:after="0" w:line="408" w:lineRule="auto"/>
        <w:jc w:val="both"/>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386" w:lineRule="auto" w:before="36"/>
        <w:ind w:left="572" w:right="0"/>
        <w:jc w:val="left"/>
      </w:pPr>
      <w:r>
        <w:rPr>
          <w:rFonts w:ascii="Times New Roman" w:hAnsi="Times New Roman" w:cs="Times New Roman" w:eastAsia="Times New Roman" w:hint="default"/>
        </w:rPr>
        <w:t>3.</w:t>
      </w:r>
      <w:r>
        <w:rPr/>
        <w:t>用新技术新产品为油田客户创造更大价值</w:t>
      </w:r>
      <w:r>
        <w:rPr>
          <w:w w:val="100"/>
        </w:rPr>
        <w:t> </w:t>
      </w:r>
      <w:r>
        <w:rPr>
          <w:spacing w:val="-5"/>
        </w:rPr>
        <w:t>进一步稳固塔里木油田公司、中石油工程建设有限责任公司等长期型客户市场，努力开拓西南油气田、</w:t>
      </w:r>
    </w:p>
    <w:p>
      <w:pPr>
        <w:pStyle w:val="BodyText"/>
        <w:spacing w:line="408" w:lineRule="auto" w:before="65"/>
        <w:ind w:right="1128"/>
        <w:jc w:val="both"/>
      </w:pPr>
      <w:r>
        <w:rPr>
          <w:spacing w:val="-2"/>
        </w:rPr>
        <w:t>长庆油田、克拉玛依油田、青海油田等新客户。努力整合公司优势技术力量，积极深度进入智慧油气田核</w:t>
      </w:r>
      <w:r>
        <w:rPr>
          <w:spacing w:val="-47"/>
        </w:rPr>
        <w:t> </w:t>
      </w:r>
      <w:r>
        <w:rPr>
          <w:spacing w:val="-47"/>
        </w:rPr>
      </w:r>
      <w:r>
        <w:rPr>
          <w:spacing w:val="-2"/>
        </w:rPr>
        <w:t>心业务。加快推进油气场所作业不安全行为识别和预警系统、电信控一体化设备等人工智能新产品的研发</w:t>
      </w:r>
      <w:r>
        <w:rPr>
          <w:spacing w:val="-42"/>
        </w:rPr>
        <w:t> </w:t>
      </w:r>
      <w:r>
        <w:rPr>
          <w:spacing w:val="-42"/>
        </w:rPr>
      </w:r>
      <w:r>
        <w:rPr/>
        <w:t>完善与市场应用推广</w:t>
      </w:r>
      <w:r>
        <w:rPr>
          <w:spacing w:val="57"/>
        </w:rPr>
        <w:t> </w:t>
      </w:r>
      <w:r>
        <w:rPr/>
        <w:t>，用新技术新产品为客户创造更大价值，实现业务规模的快速扩张。力争在油井自</w:t>
      </w:r>
      <w:r>
        <w:rPr>
          <w:spacing w:val="-88"/>
        </w:rPr>
        <w:t> </w:t>
      </w:r>
      <w:r>
        <w:rPr>
          <w:spacing w:val="-88"/>
        </w:rPr>
      </w:r>
      <w:r>
        <w:rPr>
          <w:spacing w:val="-2"/>
        </w:rPr>
        <w:t>动化控制、安防智能监控、数据分析等方面形成更多的优秀案例，为更进一步稳固市场、增强竞争力打下</w:t>
      </w:r>
      <w:r>
        <w:rPr>
          <w:spacing w:val="-50"/>
        </w:rPr>
        <w:t> </w:t>
      </w:r>
      <w:r>
        <w:rPr>
          <w:spacing w:val="-50"/>
        </w:rPr>
      </w:r>
      <w:r>
        <w:rPr/>
        <w:t>良好的基础。</w:t>
      </w:r>
    </w:p>
    <w:p>
      <w:pPr>
        <w:pStyle w:val="BodyText"/>
        <w:spacing w:line="386" w:lineRule="auto" w:before="46"/>
        <w:ind w:left="572" w:right="0"/>
        <w:jc w:val="left"/>
      </w:pPr>
      <w:r>
        <w:rPr>
          <w:rFonts w:ascii="Times New Roman" w:hAnsi="Times New Roman" w:cs="Times New Roman" w:eastAsia="Times New Roman" w:hint="default"/>
        </w:rPr>
        <w:t>4.</w:t>
      </w:r>
      <w:r>
        <w:rPr/>
        <w:t>深挖客户需求做强做精印钞检测市场</w:t>
      </w:r>
      <w:r>
        <w:rPr>
          <w:spacing w:val="-3"/>
          <w:w w:val="100"/>
        </w:rPr>
        <w:t> </w:t>
      </w:r>
      <w:r>
        <w:rPr>
          <w:spacing w:val="2"/>
        </w:rPr>
        <w:t>新版人民币的逐步量产、新技术与新工艺的全面应用带动印钞行业对质量检测设备的需求量保持稳</w:t>
      </w:r>
    </w:p>
    <w:p>
      <w:pPr>
        <w:pStyle w:val="BodyText"/>
        <w:spacing w:line="408" w:lineRule="auto" w:before="65"/>
        <w:ind w:right="1128"/>
        <w:jc w:val="both"/>
      </w:pPr>
      <w:r>
        <w:rPr>
          <w:spacing w:val="-2"/>
        </w:rPr>
        <w:t>定，公司将紧跟老设备更新换代、新工艺、生产效率提高所带来的客户需求，加大对在线、离线检测设备</w:t>
      </w:r>
      <w:r>
        <w:rPr>
          <w:spacing w:val="-43"/>
        </w:rPr>
        <w:t> </w:t>
      </w:r>
      <w:r>
        <w:rPr>
          <w:spacing w:val="-43"/>
        </w:rPr>
      </w:r>
      <w:r>
        <w:rPr>
          <w:spacing w:val="-2"/>
        </w:rPr>
        <w:t>等重要项目的技术研发和升级，适应各生产工序的印钞检测设备的持续改进和优化提升。同时，顺应行业</w:t>
      </w:r>
      <w:r>
        <w:rPr>
          <w:spacing w:val="-44"/>
        </w:rPr>
        <w:t> </w:t>
      </w:r>
      <w:r>
        <w:rPr>
          <w:spacing w:val="-44"/>
        </w:rPr>
      </w:r>
      <w:r>
        <w:rPr>
          <w:spacing w:val="-2"/>
        </w:rPr>
        <w:t>对智能安防、机检质量信息整合、深度学习以及智能制造的需求趋势，进一步加大在人工智能、大数据分</w:t>
      </w:r>
      <w:r>
        <w:rPr>
          <w:spacing w:val="-50"/>
        </w:rPr>
        <w:t> </w:t>
      </w:r>
      <w:r>
        <w:rPr>
          <w:spacing w:val="-50"/>
        </w:rPr>
      </w:r>
      <w:r>
        <w:rPr/>
        <w:t>析以及基础数据平台上的研发与建设投入，以更好地满足客户需求，开拓行业新市场空间。</w:t>
      </w:r>
    </w:p>
    <w:p>
      <w:pPr>
        <w:pStyle w:val="BodyText"/>
        <w:spacing w:line="386" w:lineRule="auto" w:before="46"/>
        <w:ind w:left="572" w:right="0" w:hanging="1"/>
        <w:jc w:val="left"/>
      </w:pPr>
      <w:r>
        <w:rPr>
          <w:rFonts w:ascii="Times New Roman" w:hAnsi="Times New Roman" w:cs="Times New Roman" w:eastAsia="Times New Roman" w:hint="default"/>
        </w:rPr>
        <w:t>5.</w:t>
      </w:r>
      <w:r>
        <w:rPr/>
        <w:t>积极拓展新业务培育新的利润增长点</w:t>
      </w:r>
      <w:r>
        <w:rPr>
          <w:w w:val="100"/>
        </w:rPr>
        <w:t> </w:t>
      </w:r>
      <w:r>
        <w:rPr>
          <w:spacing w:val="-2"/>
        </w:rPr>
        <w:t>着力做好面向智慧政务的区域经济大数据监测与统计分析和智慧医疗两块新业务。加快推进区域经济</w:t>
      </w:r>
    </w:p>
    <w:p>
      <w:pPr>
        <w:pStyle w:val="BodyText"/>
        <w:spacing w:line="408" w:lineRule="auto" w:before="65"/>
        <w:ind w:right="1128"/>
        <w:jc w:val="both"/>
      </w:pPr>
      <w:r>
        <w:rPr>
          <w:spacing w:val="-2"/>
        </w:rPr>
        <w:t>大数据监测与统计分析市场开拓，不断优化面向相关行业细分领域的大数据挖掘分析、应用展示等产品与</w:t>
      </w:r>
      <w:r>
        <w:rPr>
          <w:spacing w:val="-42"/>
        </w:rPr>
        <w:t> </w:t>
      </w:r>
      <w:r>
        <w:rPr>
          <w:spacing w:val="-42"/>
        </w:rPr>
      </w:r>
      <w:r>
        <w:rPr>
          <w:spacing w:val="-2"/>
        </w:rPr>
        <w:t>解决方案，持续提升品牌影响力，加大营销渠道及技术服务团队的建设，推动相关业务尽快实现规模化发</w:t>
      </w:r>
      <w:r>
        <w:rPr>
          <w:spacing w:val="-44"/>
        </w:rPr>
        <w:t> </w:t>
      </w:r>
      <w:r>
        <w:rPr>
          <w:spacing w:val="-44"/>
        </w:rPr>
      </w:r>
      <w:r>
        <w:rPr>
          <w:spacing w:val="-2"/>
        </w:rPr>
        <w:t>展。搭建医疗智联整体解决方案，包括涵盖医学模拟教学、床旁教学、远程教学相结合的智能医疗教学系</w:t>
      </w:r>
      <w:r>
        <w:rPr>
          <w:spacing w:val="-47"/>
        </w:rPr>
        <w:t> </w:t>
      </w:r>
      <w:r>
        <w:rPr>
          <w:spacing w:val="-47"/>
        </w:rPr>
      </w:r>
      <w:r>
        <w:rPr>
          <w:spacing w:val="-2"/>
        </w:rPr>
        <w:t>列化产品、医疗物联网智能监测系统等新产品的技术完善，以及加快多模式智能云超声监护系统、围术期</w:t>
      </w:r>
      <w:r>
        <w:rPr>
          <w:spacing w:val="-44"/>
        </w:rPr>
        <w:t> </w:t>
      </w:r>
      <w:r>
        <w:rPr>
          <w:spacing w:val="-44"/>
        </w:rPr>
      </w:r>
      <w:r>
        <w:rPr>
          <w:spacing w:val="-2"/>
        </w:rPr>
        <w:t>智能麻醉系统的研发进程，加快市场推广，努力实现批量化销售。同时尝试拓展智慧城市细分领域的智慧</w:t>
      </w:r>
      <w:r>
        <w:rPr>
          <w:spacing w:val="-44"/>
        </w:rPr>
        <w:t> </w:t>
      </w:r>
      <w:r>
        <w:rPr>
          <w:spacing w:val="-44"/>
        </w:rPr>
      </w:r>
      <w:r>
        <w:rPr/>
        <w:t>交通业务，以更多的新行业业务为公司带来新的利润增长点。</w:t>
      </w:r>
    </w:p>
    <w:p>
      <w:pPr>
        <w:pStyle w:val="BodyText"/>
        <w:spacing w:line="240" w:lineRule="auto" w:before="46"/>
        <w:ind w:left="572" w:right="0"/>
        <w:jc w:val="left"/>
      </w:pPr>
      <w:r>
        <w:rPr/>
        <w:t>（四）</w:t>
      </w:r>
      <w:r>
        <w:rPr>
          <w:rFonts w:ascii="Times New Roman" w:hAnsi="Times New Roman" w:cs="Times New Roman" w:eastAsia="Times New Roman" w:hint="default"/>
        </w:rPr>
        <w:t>2020</w:t>
      </w:r>
      <w:r>
        <w:rPr/>
        <w:t>年经营计划</w:t>
      </w:r>
    </w:p>
    <w:p>
      <w:pPr>
        <w:pStyle w:val="BodyText"/>
        <w:spacing w:line="386" w:lineRule="auto" w:before="177"/>
        <w:ind w:right="0" w:firstLine="420"/>
        <w:jc w:val="left"/>
      </w:pPr>
      <w:r>
        <w:rPr>
          <w:rFonts w:ascii="Times New Roman" w:hAnsi="Times New Roman" w:cs="Times New Roman" w:eastAsia="Times New Roman" w:hint="default"/>
          <w:spacing w:val="-5"/>
        </w:rPr>
        <w:t>2020</w:t>
      </w:r>
      <w:r>
        <w:rPr>
          <w:spacing w:val="-5"/>
        </w:rPr>
        <w:t>年经营思路：坚持面向行业不动摇，以客户为中心，加强研发和技术创新，树立行业领军者地位，</w:t>
      </w:r>
      <w:r>
        <w:rPr>
          <w:w w:val="100"/>
        </w:rPr>
        <w:t> </w:t>
      </w:r>
      <w:r>
        <w:rPr/>
        <w:t>持续为客户创造价值，开放合作，建立良好的商业生态，全面提升公司核心竞争力。</w:t>
      </w:r>
    </w:p>
    <w:p>
      <w:pPr>
        <w:pStyle w:val="BodyText"/>
        <w:spacing w:line="240" w:lineRule="auto" w:before="65"/>
        <w:ind w:left="573" w:right="0"/>
        <w:jc w:val="left"/>
      </w:pPr>
      <w:r>
        <w:rPr>
          <w:rFonts w:ascii="Times New Roman" w:hAnsi="Times New Roman" w:cs="Times New Roman" w:eastAsia="Times New Roman" w:hint="default"/>
        </w:rPr>
        <w:t>1.</w:t>
      </w:r>
      <w:r>
        <w:rPr/>
        <w:t>市场营销计划</w:t>
      </w:r>
    </w:p>
    <w:p>
      <w:pPr>
        <w:pStyle w:val="BodyText"/>
        <w:spacing w:line="386" w:lineRule="auto" w:before="177"/>
        <w:ind w:right="0" w:firstLine="420"/>
        <w:jc w:val="left"/>
      </w:pPr>
      <w:r>
        <w:rPr/>
        <w:t>（</w:t>
      </w:r>
      <w:r>
        <w:rPr>
          <w:rFonts w:ascii="Times New Roman" w:hAnsi="Times New Roman" w:cs="Times New Roman" w:eastAsia="Times New Roman" w:hint="default"/>
        </w:rPr>
        <w:t>1</w:t>
      </w:r>
      <w:r>
        <w:rPr/>
        <w:t>）继续加强营销网络覆盖能力。继续推进公司在全国重点区域的营销服务网络建设，实现公司业</w:t>
      </w:r>
      <w:r>
        <w:rPr>
          <w:w w:val="100"/>
        </w:rPr>
        <w:t> </w:t>
      </w:r>
      <w:r>
        <w:rPr/>
        <w:t>务在更大范围内的布局及拓展。</w:t>
      </w:r>
    </w:p>
    <w:p>
      <w:pPr>
        <w:pStyle w:val="BodyText"/>
        <w:spacing w:line="386" w:lineRule="auto" w:before="65"/>
        <w:ind w:left="153" w:right="1128" w:firstLine="419"/>
        <w:jc w:val="both"/>
      </w:pPr>
      <w:r>
        <w:rPr>
          <w:spacing w:val="-4"/>
        </w:rPr>
        <w:t>（</w:t>
      </w:r>
      <w:r>
        <w:rPr>
          <w:rFonts w:ascii="Times New Roman" w:hAnsi="Times New Roman" w:cs="Times New Roman" w:eastAsia="Times New Roman" w:hint="default"/>
          <w:spacing w:val="-4"/>
        </w:rPr>
        <w:t>2</w:t>
      </w:r>
      <w:r>
        <w:rPr>
          <w:spacing w:val="-4"/>
        </w:rPr>
        <w:t>）有效提高营销服务管理能力。继续优化完善公司</w:t>
      </w:r>
      <w:r>
        <w:rPr>
          <w:rFonts w:ascii="Times New Roman" w:hAnsi="Times New Roman" w:cs="Times New Roman" w:eastAsia="Times New Roman" w:hint="default"/>
          <w:spacing w:val="-4"/>
        </w:rPr>
        <w:t>“</w:t>
      </w:r>
      <w:r>
        <w:rPr>
          <w:spacing w:val="-4"/>
        </w:rPr>
        <w:t>营销信息管理系统</w:t>
      </w:r>
      <w:r>
        <w:rPr>
          <w:rFonts w:ascii="Times New Roman" w:hAnsi="Times New Roman" w:cs="Times New Roman" w:eastAsia="Times New Roman" w:hint="default"/>
          <w:spacing w:val="-4"/>
        </w:rPr>
        <w:t>”</w:t>
      </w:r>
      <w:r>
        <w:rPr>
          <w:spacing w:val="-4"/>
        </w:rPr>
        <w:t>及</w:t>
      </w:r>
      <w:r>
        <w:rPr>
          <w:rFonts w:ascii="Times New Roman" w:hAnsi="Times New Roman" w:cs="Times New Roman" w:eastAsia="Times New Roman" w:hint="default"/>
          <w:spacing w:val="-4"/>
        </w:rPr>
        <w:t>“</w:t>
      </w:r>
      <w:r>
        <w:rPr>
          <w:spacing w:val="-4"/>
        </w:rPr>
        <w:t>客户服务管理系统</w:t>
      </w:r>
      <w:r>
        <w:rPr>
          <w:rFonts w:ascii="Times New Roman" w:hAnsi="Times New Roman" w:cs="Times New Roman" w:eastAsia="Times New Roman" w:hint="default"/>
          <w:spacing w:val="-4"/>
        </w:rPr>
        <w:t>”</w:t>
      </w:r>
      <w:r>
        <w:rPr>
          <w:spacing w:val="-4"/>
        </w:rPr>
        <w:t>的建</w:t>
      </w:r>
      <w:r>
        <w:rPr>
          <w:w w:val="100"/>
        </w:rPr>
        <w:t> </w:t>
      </w:r>
      <w:r>
        <w:rPr/>
        <w:t>设，建立能支撑各区域营销服务网点业务管理的营销信息管理系统、客户服务管理系统和</w:t>
      </w:r>
      <w:r>
        <w:rPr>
          <w:rFonts w:ascii="Times New Roman" w:hAnsi="Times New Roman" w:cs="Times New Roman" w:eastAsia="Times New Roman" w:hint="default"/>
        </w:rPr>
        <w:t>400</w:t>
      </w:r>
      <w:r>
        <w:rPr/>
        <w:t>服务热线，</w:t>
      </w:r>
      <w:r>
        <w:rPr>
          <w:spacing w:val="-28"/>
        </w:rPr>
        <w:t> </w:t>
      </w:r>
      <w:r>
        <w:rPr>
          <w:spacing w:val="-28"/>
        </w:rPr>
      </w:r>
      <w:r>
        <w:rPr/>
        <w:t>提升公司销售触角和客户满意度。</w:t>
      </w:r>
    </w:p>
    <w:p>
      <w:pPr>
        <w:spacing w:after="0" w:line="386" w:lineRule="auto"/>
        <w:jc w:val="both"/>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398" w:lineRule="auto" w:before="36"/>
        <w:ind w:right="1128" w:firstLine="420"/>
        <w:jc w:val="both"/>
      </w:pPr>
      <w:r>
        <w:rPr/>
        <w:t>（</w:t>
      </w:r>
      <w:r>
        <w:rPr>
          <w:rFonts w:ascii="Times New Roman" w:hAnsi="Times New Roman" w:cs="Times New Roman" w:eastAsia="Times New Roman" w:hint="default"/>
        </w:rPr>
        <w:t>3</w:t>
      </w:r>
      <w:r>
        <w:rPr/>
        <w:t>）着力提升品牌知名度与美誉度。基于在全国范围内拥有的良好的行业口碑，公司将加大品牌宣</w:t>
      </w:r>
      <w:r>
        <w:rPr>
          <w:w w:val="100"/>
        </w:rPr>
        <w:t> </w:t>
      </w:r>
      <w:r>
        <w:rPr>
          <w:spacing w:val="-2"/>
        </w:rPr>
        <w:t>传和推广的资源投入，在国内重点区域，特别是重点客户群体中进一步提高品牌影响力，大力全国区域市</w:t>
      </w:r>
      <w:r>
        <w:rPr>
          <w:spacing w:val="-44"/>
        </w:rPr>
        <w:t> </w:t>
      </w:r>
      <w:r>
        <w:rPr>
          <w:spacing w:val="-44"/>
        </w:rPr>
      </w:r>
      <w:r>
        <w:rPr/>
        <w:t>场。</w:t>
      </w:r>
    </w:p>
    <w:p>
      <w:pPr>
        <w:pStyle w:val="BodyText"/>
        <w:spacing w:line="403" w:lineRule="auto" w:before="54"/>
        <w:ind w:right="1107" w:firstLine="420"/>
        <w:jc w:val="both"/>
      </w:pPr>
      <w:r>
        <w:rPr/>
        <w:t>（</w:t>
      </w:r>
      <w:r>
        <w:rPr>
          <w:rFonts w:ascii="Times New Roman" w:hAnsi="Times New Roman" w:cs="Times New Roman" w:eastAsia="Times New Roman" w:hint="default"/>
        </w:rPr>
        <w:t>4</w:t>
      </w:r>
      <w:r>
        <w:rPr/>
        <w:t>）开创主营行业市场新局面，积极布局新业务。在数字会议领域将高度重视选举、表决和计票通</w:t>
      </w:r>
      <w:r>
        <w:rPr>
          <w:w w:val="100"/>
        </w:rPr>
        <w:t> </w:t>
      </w:r>
      <w:r>
        <w:rPr>
          <w:spacing w:val="-2"/>
        </w:rPr>
        <w:t>三项核心业务的发展，积极拓展数字会议产品产业链，丰富公司的产品形态。在烟草行业将以技术领先带</w:t>
      </w:r>
      <w:r>
        <w:rPr>
          <w:spacing w:val="-47"/>
        </w:rPr>
        <w:t> </w:t>
      </w:r>
      <w:r>
        <w:rPr>
          <w:spacing w:val="-47"/>
        </w:rPr>
      </w:r>
      <w:r>
        <w:rPr>
          <w:spacing w:val="-2"/>
        </w:rPr>
        <w:t>动市场开拓，夯实在行业信息化细分市场的领先者地位。进一步稳固塔里木油田业务市场，抓住油气田扩</w:t>
      </w:r>
      <w:r>
        <w:rPr>
          <w:spacing w:val="-44"/>
        </w:rPr>
        <w:t> </w:t>
      </w:r>
      <w:r>
        <w:rPr>
          <w:spacing w:val="-44"/>
        </w:rPr>
      </w:r>
      <w:r>
        <w:rPr>
          <w:spacing w:val="-2"/>
        </w:rPr>
        <w:t>大产能的良好机遇，积极争取国内各大油田的投资建设项目。紧抓印钞行业整体升级改造所带来的机遇，</w:t>
      </w:r>
      <w:r>
        <w:rPr>
          <w:spacing w:val="-21"/>
        </w:rPr>
        <w:t> </w:t>
      </w:r>
      <w:r>
        <w:rPr>
          <w:spacing w:val="-21"/>
        </w:rPr>
      </w:r>
      <w:r>
        <w:rPr/>
        <w:t>运用人工智能技术对现有工艺设备升级改造，继续争取扩大出口业务。 在智慧城市、智慧政务、智慧医</w:t>
      </w:r>
      <w:r>
        <w:rPr>
          <w:spacing w:val="-31"/>
        </w:rPr>
        <w:t> </w:t>
      </w:r>
      <w:r>
        <w:rPr>
          <w:spacing w:val="-31"/>
        </w:rPr>
      </w:r>
      <w:r>
        <w:rPr/>
        <w:t>疗、智慧教育以及公检法领域等新兴市场持续发力，尽快取得新的突破。</w:t>
      </w:r>
    </w:p>
    <w:p>
      <w:pPr>
        <w:pStyle w:val="BodyText"/>
        <w:spacing w:line="386" w:lineRule="auto" w:before="50"/>
        <w:ind w:left="572" w:right="0"/>
        <w:jc w:val="left"/>
      </w:pPr>
      <w:r>
        <w:rPr>
          <w:rFonts w:ascii="Times New Roman" w:hAnsi="Times New Roman" w:cs="Times New Roman" w:eastAsia="Times New Roman" w:hint="default"/>
        </w:rPr>
        <w:t>2.</w:t>
      </w:r>
      <w:r>
        <w:rPr/>
        <w:t>内部管理计划</w:t>
      </w:r>
      <w:r>
        <w:rPr>
          <w:spacing w:val="-103"/>
        </w:rPr>
        <w:t> </w:t>
      </w:r>
      <w:r>
        <w:rPr>
          <w:spacing w:val="-103"/>
        </w:rPr>
      </w:r>
      <w:r>
        <w:rPr>
          <w:spacing w:val="-2"/>
        </w:rPr>
        <w:t>进一步完善内部管理，做好对经营风险、法律风险、资金风险、信披风险、舆论风险的控制与防范。</w:t>
      </w:r>
    </w:p>
    <w:p>
      <w:pPr>
        <w:pStyle w:val="BodyText"/>
        <w:spacing w:line="408" w:lineRule="auto" w:before="65"/>
        <w:ind w:right="1028"/>
        <w:jc w:val="both"/>
        <w:rPr>
          <w:rFonts w:ascii="宋体" w:hAnsi="宋体" w:cs="宋体" w:eastAsia="宋体" w:hint="default"/>
        </w:rPr>
      </w:pPr>
      <w:r>
        <w:rPr>
          <w:spacing w:val="-2"/>
        </w:rPr>
        <w:t>坚决遵守党纪、国家法律法规，严格执行创业板各类规则、指引、《公司章程》、三会议事规则以及公司</w:t>
      </w:r>
      <w:r>
        <w:rPr>
          <w:spacing w:val="-47"/>
        </w:rPr>
        <w:t> </w:t>
      </w:r>
      <w:r>
        <w:rPr>
          <w:spacing w:val="-47"/>
        </w:rPr>
      </w:r>
      <w:r>
        <w:rPr>
          <w:spacing w:val="-2"/>
        </w:rPr>
        <w:t>制度，加强财务管理与审计监督，严把内控流程，防范资金风险；做好公司及子公司各类资质的管理与完</w:t>
      </w:r>
      <w:r>
        <w:rPr>
          <w:spacing w:val="-48"/>
        </w:rPr>
        <w:t> </w:t>
      </w:r>
      <w:r>
        <w:rPr>
          <w:spacing w:val="-48"/>
        </w:rPr>
      </w:r>
      <w:r>
        <w:rPr>
          <w:spacing w:val="-2"/>
        </w:rPr>
        <w:t>善，继续丰富成都中科资质，发挥涉密资质作用；重视安全与保密教育，杜绝安全责任事故与泄密行为。</w:t>
      </w:r>
      <w:r>
        <w:rPr>
          <w:rFonts w:ascii="宋体" w:hAnsi="宋体" w:cs="宋体" w:eastAsia="宋体" w:hint="default"/>
        </w:rPr>
        <w:t> </w:t>
      </w:r>
    </w:p>
    <w:p>
      <w:pPr>
        <w:pStyle w:val="BodyText"/>
        <w:spacing w:line="386" w:lineRule="auto" w:before="46"/>
        <w:ind w:left="572" w:right="1129"/>
        <w:jc w:val="left"/>
      </w:pPr>
      <w:r>
        <w:rPr>
          <w:rFonts w:ascii="Times New Roman" w:hAnsi="Times New Roman" w:cs="Times New Roman" w:eastAsia="Times New Roman" w:hint="default"/>
        </w:rPr>
        <w:t>3.</w:t>
      </w:r>
      <w:r>
        <w:rPr/>
        <w:t>研发计划</w:t>
      </w:r>
      <w:r>
        <w:rPr>
          <w:spacing w:val="-103"/>
        </w:rPr>
        <w:t> </w:t>
      </w:r>
      <w:r>
        <w:rPr>
          <w:spacing w:val="-103"/>
        </w:rPr>
      </w:r>
      <w:r>
        <w:rPr>
          <w:spacing w:val="-2"/>
        </w:rPr>
        <w:t>重点面向智能医疗、机器视觉、智慧政务、智能制造领域。继续升级数字会议系列产品与系统，确保</w:t>
      </w:r>
    </w:p>
    <w:p>
      <w:pPr>
        <w:pStyle w:val="BodyText"/>
        <w:spacing w:line="408" w:lineRule="auto" w:before="65"/>
        <w:ind w:left="151" w:right="1129"/>
        <w:jc w:val="both"/>
      </w:pPr>
      <w:r>
        <w:rPr>
          <w:spacing w:val="-2"/>
        </w:rPr>
        <w:t>各项性能与指标行业领先；持续研发与创新医疗智联系列化产品，包括加快围术期智能麻醉的研发，升级</w:t>
      </w:r>
      <w:r>
        <w:rPr>
          <w:spacing w:val="-44"/>
        </w:rPr>
        <w:t> </w:t>
      </w:r>
      <w:r>
        <w:rPr>
          <w:spacing w:val="-44"/>
        </w:rPr>
      </w:r>
      <w:r>
        <w:rPr>
          <w:spacing w:val="-2"/>
        </w:rPr>
        <w:t>多模式智能超声监护、数字人培训、医疗物联网监测系统；加快智慧工厂生态产品与系统的设计、研发和</w:t>
      </w:r>
      <w:r>
        <w:rPr>
          <w:spacing w:val="-50"/>
        </w:rPr>
        <w:t> </w:t>
      </w:r>
      <w:r>
        <w:rPr>
          <w:spacing w:val="-50"/>
        </w:rPr>
      </w:r>
      <w:r>
        <w:rPr>
          <w:spacing w:val="-2"/>
        </w:rPr>
        <w:t>迭代，包括物联网可视化编排系统、边缘计算网关、卷烟制造过程状态智能评测系统、数据服务中心、数</w:t>
      </w:r>
      <w:r>
        <w:rPr>
          <w:spacing w:val="-43"/>
        </w:rPr>
        <w:t> </w:t>
      </w:r>
      <w:r>
        <w:rPr>
          <w:spacing w:val="-43"/>
        </w:rPr>
      </w:r>
      <w:r>
        <w:rPr>
          <w:spacing w:val="-2"/>
        </w:rPr>
        <w:t>据挖掘平台、智能物流管理、数据机房智能管理平台等系统的产品化；构建基于机器学习和深度学习的技</w:t>
      </w:r>
      <w:r>
        <w:rPr>
          <w:spacing w:val="-42"/>
        </w:rPr>
        <w:t> </w:t>
      </w:r>
      <w:r>
        <w:rPr>
          <w:spacing w:val="-42"/>
        </w:rPr>
      </w:r>
      <w:r>
        <w:rPr>
          <w:spacing w:val="-2"/>
        </w:rPr>
        <w:t>术体系在烟草图像识别领域的快速研发与产品发展，推动卷烟小包外观缺陷检测、卷烟钢印检测、包条件</w:t>
      </w:r>
      <w:r>
        <w:rPr>
          <w:spacing w:val="-44"/>
        </w:rPr>
        <w:t> </w:t>
      </w:r>
      <w:r>
        <w:rPr>
          <w:spacing w:val="-44"/>
        </w:rPr>
      </w:r>
      <w:r>
        <w:rPr>
          <w:spacing w:val="-2"/>
        </w:rPr>
        <w:t>二维码快速识别、烟蓝牙病虫害等产品研发。继续加强面向人大、政协、统计、教育、交通等领域的智能</w:t>
      </w:r>
      <w:r>
        <w:rPr>
          <w:spacing w:val="-42"/>
        </w:rPr>
        <w:t> </w:t>
      </w:r>
      <w:r>
        <w:rPr>
          <w:spacing w:val="-42"/>
        </w:rPr>
      </w:r>
      <w:r>
        <w:rPr>
          <w:spacing w:val="-2"/>
        </w:rPr>
        <w:t>化业务管理和大数据分析应用系统的开发；运用机器视觉与智能分析技术，加快油气作业场所不安全行为</w:t>
      </w:r>
      <w:r>
        <w:rPr>
          <w:spacing w:val="-42"/>
        </w:rPr>
        <w:t> </w:t>
      </w:r>
      <w:r>
        <w:rPr>
          <w:spacing w:val="-42"/>
        </w:rPr>
      </w:r>
      <w:r>
        <w:rPr/>
        <w:t>识别和预警技术的成果转化与市场推广，</w:t>
      </w:r>
      <w:r>
        <w:rPr>
          <w:spacing w:val="57"/>
        </w:rPr>
        <w:t> </w:t>
      </w:r>
      <w:r>
        <w:rPr/>
        <w:t>运用智能集成技术开发电信控一体化设备满足油气田生产管理</w:t>
      </w:r>
      <w:r>
        <w:rPr>
          <w:spacing w:val="-88"/>
        </w:rPr>
        <w:t> </w:t>
      </w:r>
      <w:r>
        <w:rPr>
          <w:spacing w:val="-88"/>
        </w:rPr>
      </w:r>
      <w:r>
        <w:rPr/>
        <w:t>需求。</w:t>
      </w:r>
    </w:p>
    <w:p>
      <w:pPr>
        <w:pStyle w:val="BodyText"/>
        <w:spacing w:line="240" w:lineRule="auto" w:before="46"/>
        <w:ind w:left="571" w:right="0"/>
        <w:jc w:val="left"/>
      </w:pPr>
      <w:r>
        <w:rPr>
          <w:rFonts w:ascii="Times New Roman" w:hAnsi="Times New Roman" w:cs="Times New Roman" w:eastAsia="Times New Roman" w:hint="default"/>
        </w:rPr>
        <w:t>4.</w:t>
      </w:r>
      <w:r>
        <w:rPr/>
        <w:t>人才建设计划</w:t>
      </w:r>
    </w:p>
    <w:p>
      <w:pPr>
        <w:pStyle w:val="BodyText"/>
        <w:spacing w:line="386" w:lineRule="auto" w:before="177"/>
        <w:ind w:left="151" w:right="1134" w:firstLine="420"/>
        <w:jc w:val="both"/>
      </w:pPr>
      <w:r>
        <w:rPr/>
        <w:t>（</w:t>
      </w:r>
      <w:r>
        <w:rPr>
          <w:rFonts w:ascii="Times New Roman" w:hAnsi="Times New Roman" w:cs="Times New Roman" w:eastAsia="Times New Roman" w:hint="default"/>
        </w:rPr>
        <w:t>1</w:t>
      </w:r>
      <w:r>
        <w:rPr/>
        <w:t>）公司全力推进绩效管理改革，为想做事的奋斗者营造健康的环境，为吸引人才创造条件，为优</w:t>
      </w:r>
      <w:r>
        <w:rPr>
          <w:w w:val="100"/>
        </w:rPr>
        <w:t> </w:t>
      </w:r>
      <w:r>
        <w:rPr/>
        <w:t>秀人才搭建事业平台，为做出贡献的员工给予相应的激励，推动竞争力和盈利能力快速提升。</w:t>
      </w:r>
    </w:p>
    <w:p>
      <w:pPr>
        <w:pStyle w:val="BodyText"/>
        <w:spacing w:line="386" w:lineRule="auto" w:before="65"/>
        <w:ind w:left="151" w:right="1134" w:firstLine="420"/>
        <w:jc w:val="both"/>
      </w:pPr>
      <w:r>
        <w:rPr/>
        <w:t>（</w:t>
      </w:r>
      <w:r>
        <w:rPr>
          <w:rFonts w:ascii="Times New Roman" w:hAnsi="Times New Roman" w:cs="Times New Roman" w:eastAsia="Times New Roman" w:hint="default"/>
        </w:rPr>
        <w:t>2</w:t>
      </w:r>
      <w:r>
        <w:rPr/>
        <w:t>）优化人才梯队建设，构建胜任力模型，着实加强中高层管理人才的评估和能力建设和高潜质人</w:t>
      </w:r>
      <w:r>
        <w:rPr>
          <w:w w:val="100"/>
        </w:rPr>
        <w:t> </w:t>
      </w:r>
      <w:r>
        <w:rPr/>
        <w:t>员的培养和开发。</w:t>
      </w:r>
    </w:p>
    <w:p>
      <w:pPr>
        <w:spacing w:after="0" w:line="386" w:lineRule="auto"/>
        <w:jc w:val="both"/>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386" w:lineRule="auto" w:before="36"/>
        <w:ind w:right="1133" w:firstLine="420"/>
        <w:jc w:val="both"/>
      </w:pPr>
      <w:r>
        <w:rPr/>
        <w:t>（</w:t>
      </w:r>
      <w:r>
        <w:rPr>
          <w:rFonts w:ascii="Times New Roman" w:hAnsi="Times New Roman" w:cs="Times New Roman" w:eastAsia="Times New Roman" w:hint="default"/>
        </w:rPr>
        <w:t>3</w:t>
      </w:r>
      <w:r>
        <w:rPr/>
        <w:t>）结合公司当前主营业务和长远发展趋势，用内外部相结合的方式培养复合型人才。为了达成组</w:t>
      </w:r>
      <w:r>
        <w:rPr>
          <w:w w:val="100"/>
        </w:rPr>
        <w:t> </w:t>
      </w:r>
      <w:r>
        <w:rPr/>
        <w:t>织战略目标，开发员工的深层技能，开发高潜力员工的领导力专长，创造条件培养未来的组织领导。</w:t>
      </w:r>
    </w:p>
    <w:p>
      <w:pPr>
        <w:pStyle w:val="BodyText"/>
        <w:spacing w:line="386" w:lineRule="auto" w:before="65"/>
        <w:ind w:right="1133" w:firstLine="420"/>
        <w:jc w:val="both"/>
      </w:pPr>
      <w:r>
        <w:rPr/>
        <w:t>（</w:t>
      </w:r>
      <w:r>
        <w:rPr>
          <w:rFonts w:ascii="Times New Roman" w:hAnsi="Times New Roman" w:cs="Times New Roman" w:eastAsia="Times New Roman" w:hint="default"/>
        </w:rPr>
        <w:t>4</w:t>
      </w:r>
      <w:r>
        <w:rPr/>
        <w:t>）持续打造学习型组织，加强对年轻干部的培养，提拔重用具备强烈的进取精神、敬业精神、责</w:t>
      </w:r>
      <w:r>
        <w:rPr>
          <w:w w:val="100"/>
        </w:rPr>
        <w:t> </w:t>
      </w:r>
      <w:r>
        <w:rPr/>
        <w:t>任感、使命感有闯劲的年轻人，为他们进一步成长和发挥才干搭建平台。</w:t>
      </w:r>
    </w:p>
    <w:p>
      <w:pPr>
        <w:pStyle w:val="BodyText"/>
        <w:spacing w:line="386" w:lineRule="auto" w:before="65"/>
        <w:ind w:left="572" w:right="0"/>
        <w:jc w:val="left"/>
      </w:pPr>
      <w:r>
        <w:rPr>
          <w:rFonts w:ascii="Times New Roman" w:hAnsi="Times New Roman" w:cs="Times New Roman" w:eastAsia="Times New Roman" w:hint="default"/>
        </w:rPr>
        <w:t>5.</w:t>
      </w:r>
      <w:r>
        <w:rPr/>
        <w:t>资本运营计划</w:t>
      </w:r>
      <w:r>
        <w:rPr>
          <w:spacing w:val="-103"/>
        </w:rPr>
        <w:t> </w:t>
      </w:r>
      <w:r>
        <w:rPr>
          <w:spacing w:val="-103"/>
        </w:rPr>
      </w:r>
      <w:r>
        <w:rPr>
          <w:spacing w:val="-2"/>
        </w:rPr>
        <w:t>充分发挥好上市公司的平台作用，积极围绕主业实施战略性产业并购，以增强核心业务经营能力为当</w:t>
      </w:r>
    </w:p>
    <w:p>
      <w:pPr>
        <w:pStyle w:val="BodyText"/>
        <w:spacing w:line="408" w:lineRule="auto" w:before="65"/>
        <w:ind w:right="1128"/>
        <w:jc w:val="both"/>
      </w:pPr>
      <w:r>
        <w:rPr>
          <w:spacing w:val="-2"/>
        </w:rPr>
        <w:t>前工作重点，积极为下一步可能开展更多形式的资本经营活动构筑能力基础。看准机会，大胆尝试，适时</w:t>
      </w:r>
      <w:r>
        <w:rPr>
          <w:spacing w:val="-44"/>
        </w:rPr>
        <w:t> </w:t>
      </w:r>
      <w:r>
        <w:rPr>
          <w:spacing w:val="-44"/>
        </w:rPr>
      </w:r>
      <w:r>
        <w:rPr>
          <w:spacing w:val="-2"/>
        </w:rPr>
        <w:t>开展战略性投资，为公司长远发展培育战略性资源。充分运用好资本市场出台的各种利好政策，汇聚更多</w:t>
      </w:r>
      <w:r>
        <w:rPr>
          <w:spacing w:val="-44"/>
        </w:rPr>
        <w:t> </w:t>
      </w:r>
      <w:r>
        <w:rPr>
          <w:spacing w:val="-44"/>
        </w:rPr>
      </w:r>
      <w:r>
        <w:rPr/>
        <w:t>社会发展资源，推动公司新十年发展战略目标的实现。</w:t>
      </w:r>
    </w:p>
    <w:p>
      <w:pPr>
        <w:pStyle w:val="BodyText"/>
        <w:spacing w:line="240" w:lineRule="auto" w:before="46"/>
        <w:ind w:left="572" w:right="0"/>
        <w:jc w:val="left"/>
      </w:pPr>
      <w:r>
        <w:rPr/>
        <w:t>（五）可能面临的风险</w:t>
      </w:r>
    </w:p>
    <w:p>
      <w:pPr>
        <w:spacing w:line="240" w:lineRule="auto" w:before="10"/>
        <w:rPr>
          <w:rFonts w:ascii="宋体" w:hAnsi="宋体" w:cs="宋体" w:eastAsia="宋体" w:hint="default"/>
          <w:sz w:val="14"/>
          <w:szCs w:val="14"/>
        </w:rPr>
      </w:pPr>
    </w:p>
    <w:p>
      <w:pPr>
        <w:pStyle w:val="BodyText"/>
        <w:spacing w:line="386" w:lineRule="auto"/>
        <w:ind w:left="572" w:right="0"/>
        <w:jc w:val="left"/>
      </w:pPr>
      <w:r>
        <w:rPr>
          <w:rFonts w:ascii="Times New Roman" w:hAnsi="Times New Roman" w:cs="Times New Roman" w:eastAsia="Times New Roman" w:hint="default"/>
        </w:rPr>
        <w:t>1.</w:t>
      </w:r>
      <w:r>
        <w:rPr/>
        <w:t>营业收入季节性波动风险</w:t>
      </w:r>
      <w:r>
        <w:rPr>
          <w:spacing w:val="-3"/>
          <w:w w:val="100"/>
        </w:rPr>
        <w:t> </w:t>
      </w:r>
      <w:r>
        <w:rPr>
          <w:spacing w:val="-2"/>
        </w:rPr>
        <w:t>公司所处行业具有一定的季节性，下游政府、石油、烟草等行业客户以国家机关或大型国有企事业单</w:t>
      </w:r>
    </w:p>
    <w:p>
      <w:pPr>
        <w:pStyle w:val="BodyText"/>
        <w:spacing w:line="408" w:lineRule="auto" w:before="65"/>
        <w:ind w:right="1106"/>
        <w:jc w:val="both"/>
      </w:pPr>
      <w:r>
        <w:rPr>
          <w:spacing w:val="-2"/>
        </w:rPr>
        <w:t>位为主，其信息化采购具有较为规范的采购机制和采购流程，按预算决算体制执行，通常在上半年对全年</w:t>
      </w:r>
      <w:r>
        <w:rPr>
          <w:spacing w:val="-43"/>
        </w:rPr>
        <w:t> </w:t>
      </w:r>
      <w:r>
        <w:rPr>
          <w:spacing w:val="-43"/>
        </w:rPr>
      </w:r>
      <w:r>
        <w:rPr>
          <w:spacing w:val="-2"/>
        </w:rPr>
        <w:t>具体实施的信息化应用系统进行立项、采购和实施，项目验收和结款一般集中在第四季度，公司收入存在</w:t>
      </w:r>
      <w:r>
        <w:rPr>
          <w:spacing w:val="-44"/>
        </w:rPr>
        <w:t> </w:t>
      </w:r>
      <w:r>
        <w:rPr>
          <w:spacing w:val="-44"/>
        </w:rPr>
      </w:r>
      <w:r>
        <w:rPr>
          <w:spacing w:val="-2"/>
        </w:rPr>
        <w:t>季节性波动风险。公司主要客户属于政府或大型国企，其本身受国际国内形势变化和政策变动影响较大，</w:t>
      </w:r>
      <w:r>
        <w:rPr>
          <w:spacing w:val="-21"/>
        </w:rPr>
        <w:t> </w:t>
      </w:r>
      <w:r>
        <w:rPr>
          <w:spacing w:val="-21"/>
        </w:rPr>
      </w:r>
      <w:r>
        <w:rPr/>
        <w:t>进而影响公司订单的获得。</w:t>
      </w:r>
    </w:p>
    <w:p>
      <w:pPr>
        <w:pStyle w:val="BodyText"/>
        <w:spacing w:line="408" w:lineRule="auto" w:before="46"/>
        <w:ind w:right="0" w:firstLine="419"/>
        <w:jc w:val="left"/>
        <w:rPr>
          <w:rFonts w:ascii="宋体" w:hAnsi="宋体" w:cs="宋体" w:eastAsia="宋体" w:hint="default"/>
        </w:rPr>
      </w:pPr>
      <w:r>
        <w:rPr>
          <w:spacing w:val="-2"/>
        </w:rPr>
        <w:t>公司将凭借自身核心技术优势和良好的市场口碑继续深耕现有行业客户市场，发现新需求，提升产品</w:t>
      </w:r>
      <w:r>
        <w:rPr>
          <w:spacing w:val="-3"/>
          <w:w w:val="100"/>
        </w:rPr>
        <w:t> </w:t>
      </w:r>
      <w:r>
        <w:rPr>
          <w:spacing w:val="-7"/>
          <w:w w:val="100"/>
        </w:rPr>
        <w:t>与服务质量；积极拓宽智慧政务、做深智慧城市、做精智能制造等业务市场，壮大智慧医疗等新业务规模。</w:t>
      </w:r>
      <w:r>
        <w:rPr>
          <w:rFonts w:ascii="宋体" w:hAnsi="宋体" w:cs="宋体" w:eastAsia="宋体" w:hint="default"/>
          <w:w w:val="100"/>
        </w:rPr>
        <w:t> </w:t>
      </w:r>
    </w:p>
    <w:p>
      <w:pPr>
        <w:pStyle w:val="BodyText"/>
        <w:spacing w:line="386" w:lineRule="auto" w:before="46"/>
        <w:ind w:left="573" w:right="0"/>
        <w:jc w:val="left"/>
      </w:pPr>
      <w:r>
        <w:rPr>
          <w:rFonts w:ascii="Times New Roman" w:hAnsi="Times New Roman" w:cs="Times New Roman" w:eastAsia="Times New Roman" w:hint="default"/>
        </w:rPr>
        <w:t>2.</w:t>
      </w:r>
      <w:r>
        <w:rPr/>
        <w:t>市场竞争加剧的风险</w:t>
      </w:r>
      <w:r>
        <w:rPr>
          <w:spacing w:val="-3"/>
          <w:w w:val="100"/>
        </w:rPr>
        <w:t> </w:t>
      </w:r>
      <w:r>
        <w:rPr>
          <w:spacing w:val="-2"/>
        </w:rPr>
        <w:t>国内的行业信息化市场是充分竞争市场，参与主体众多，随着两化融合的深入，传统产业信息化建设</w:t>
      </w:r>
    </w:p>
    <w:p>
      <w:pPr>
        <w:pStyle w:val="BodyText"/>
        <w:spacing w:line="386" w:lineRule="auto" w:before="65"/>
        <w:ind w:right="1127"/>
        <w:jc w:val="both"/>
      </w:pPr>
      <w:r>
        <w:rPr>
          <w:spacing w:val="-4"/>
        </w:rPr>
        <w:t>需求持续增长，越来越多的新兴企业进入行业。并且在国家政策支持引导下，人工智能产业创业热情高涨</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1"/>
        </w:rPr>
        <w:t> </w:t>
      </w:r>
      <w:r>
        <w:rPr>
          <w:spacing w:val="-2"/>
        </w:rPr>
        <w:t>预计</w:t>
      </w:r>
      <w:r>
        <w:rPr>
          <w:rFonts w:ascii="Times New Roman" w:hAnsi="Times New Roman" w:cs="Times New Roman" w:eastAsia="Times New Roman" w:hint="default"/>
          <w:spacing w:val="-2"/>
        </w:rPr>
        <w:t>2020</w:t>
      </w:r>
      <w:r>
        <w:rPr>
          <w:spacing w:val="-2"/>
        </w:rPr>
        <w:t>年人工智能核心产业规模将突破</w:t>
      </w:r>
      <w:r>
        <w:rPr>
          <w:rFonts w:ascii="Times New Roman" w:hAnsi="Times New Roman" w:cs="Times New Roman" w:eastAsia="Times New Roman" w:hint="default"/>
          <w:spacing w:val="-2"/>
        </w:rPr>
        <w:t>1500</w:t>
      </w:r>
      <w:r>
        <w:rPr>
          <w:spacing w:val="-2"/>
        </w:rPr>
        <w:t>亿元。市场竞争呈现白热化，独角兽企业大量涌现，大量新</w:t>
      </w:r>
      <w:r>
        <w:rPr>
          <w:spacing w:val="-36"/>
        </w:rPr>
        <w:t> </w:t>
      </w:r>
      <w:r>
        <w:rPr>
          <w:spacing w:val="-36"/>
        </w:rPr>
      </w:r>
      <w:r>
        <w:rPr/>
        <w:t>兴企业不断涌入，公司面临市场竞争加剧、毛利率和整体业绩下降的风险。</w:t>
      </w:r>
    </w:p>
    <w:p>
      <w:pPr>
        <w:pStyle w:val="BodyText"/>
        <w:spacing w:line="408" w:lineRule="auto" w:before="65"/>
        <w:ind w:right="1106" w:firstLine="420"/>
        <w:jc w:val="both"/>
      </w:pPr>
      <w:r>
        <w:rPr>
          <w:spacing w:val="-2"/>
        </w:rPr>
        <w:t>公司将努力发挥技术创新优势，夯实在数字会议、烟草、印钞检测、石油、政府及其他行业长期建立</w:t>
      </w:r>
      <w:r>
        <w:rPr>
          <w:w w:val="100"/>
        </w:rPr>
        <w:t> </w:t>
      </w:r>
      <w:r>
        <w:rPr>
          <w:spacing w:val="-2"/>
        </w:rPr>
        <w:t>起的地位，强化在智慧政务、智慧城市、智能制造、智慧医疗领域的核心技术研发，完善营销推广体系，</w:t>
      </w:r>
      <w:r>
        <w:rPr>
          <w:spacing w:val="-21"/>
        </w:rPr>
        <w:t> </w:t>
      </w:r>
      <w:r>
        <w:rPr>
          <w:spacing w:val="-21"/>
        </w:rPr>
      </w:r>
      <w:r>
        <w:rPr/>
        <w:t>扩大品牌影响力，提升市场综合竞争能力，努开拓新业务领域，抵抗竞争加剧的风险。</w:t>
      </w:r>
    </w:p>
    <w:p>
      <w:pPr>
        <w:pStyle w:val="BodyText"/>
        <w:spacing w:line="386" w:lineRule="auto" w:before="46"/>
        <w:ind w:left="573" w:right="0"/>
        <w:jc w:val="left"/>
      </w:pPr>
      <w:r>
        <w:rPr>
          <w:rFonts w:ascii="Times New Roman" w:hAnsi="Times New Roman" w:cs="Times New Roman" w:eastAsia="Times New Roman" w:hint="default"/>
        </w:rPr>
        <w:t>3.</w:t>
      </w:r>
      <w:r>
        <w:rPr/>
        <w:t>应收账款发生坏账的风险</w:t>
      </w:r>
      <w:r>
        <w:rPr>
          <w:spacing w:val="-3"/>
          <w:w w:val="100"/>
        </w:rPr>
        <w:t> </w:t>
      </w:r>
      <w:r>
        <w:rPr>
          <w:spacing w:val="-1"/>
        </w:rPr>
        <w:t>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日，公司应收账款金额为</w:t>
      </w:r>
      <w:r>
        <w:rPr>
          <w:rFonts w:ascii="Times New Roman" w:hAnsi="Times New Roman" w:cs="Times New Roman" w:eastAsia="Times New Roman" w:hint="default"/>
          <w:spacing w:val="-1"/>
        </w:rPr>
        <w:t>24501.64</w:t>
      </w:r>
      <w:r>
        <w:rPr>
          <w:spacing w:val="-1"/>
        </w:rPr>
        <w:t>万元，较上年同期增长</w:t>
      </w:r>
      <w:r>
        <w:rPr>
          <w:rFonts w:ascii="Times New Roman" w:hAnsi="Times New Roman" w:cs="Times New Roman" w:eastAsia="Times New Roman" w:hint="default"/>
          <w:spacing w:val="-1"/>
        </w:rPr>
        <w:t>23.74%</w:t>
      </w:r>
      <w:r>
        <w:rPr>
          <w:spacing w:val="-1"/>
        </w:rPr>
        <w:t>，如果客户出现信</w:t>
      </w:r>
    </w:p>
    <w:p>
      <w:pPr>
        <w:pStyle w:val="BodyText"/>
        <w:spacing w:line="386" w:lineRule="auto" w:before="35"/>
        <w:ind w:right="1022"/>
        <w:jc w:val="both"/>
      </w:pPr>
      <w:r>
        <w:rPr>
          <w:spacing w:val="-4"/>
        </w:rPr>
        <w:t>用降低或现金流支付困难，应收款发生坏账的可能性将增加。公司将在</w:t>
      </w:r>
      <w:r>
        <w:rPr>
          <w:rFonts w:ascii="Times New Roman" w:hAnsi="Times New Roman" w:cs="Times New Roman" w:eastAsia="Times New Roman" w:hint="default"/>
          <w:spacing w:val="-4"/>
        </w:rPr>
        <w:t>2020</w:t>
      </w:r>
      <w:r>
        <w:rPr>
          <w:spacing w:val="-4"/>
        </w:rPr>
        <w:t>年继续加大应收账款催收力度，</w:t>
      </w:r>
      <w:r>
        <w:rPr>
          <w:spacing w:val="-47"/>
        </w:rPr>
        <w:t> </w:t>
      </w:r>
      <w:r>
        <w:rPr>
          <w:spacing w:val="-47"/>
        </w:rPr>
      </w:r>
      <w:r>
        <w:rPr>
          <w:spacing w:val="-2"/>
        </w:rPr>
        <w:t>将项目回款率与市场人员绩效考核紧密持钩，把应收账款总规模控制在合理范围，以进一步减少因应收账</w:t>
      </w:r>
    </w:p>
    <w:p>
      <w:pPr>
        <w:spacing w:after="0" w:line="386" w:lineRule="auto"/>
        <w:jc w:val="both"/>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right="0"/>
        <w:jc w:val="both"/>
      </w:pPr>
      <w:r>
        <w:rPr/>
        <w:t>款不能及时收回或出现损失对公司经营业绩产生的不利影响。</w:t>
      </w:r>
    </w:p>
    <w:p>
      <w:pPr>
        <w:spacing w:line="240" w:lineRule="auto" w:before="10"/>
        <w:rPr>
          <w:rFonts w:ascii="宋体" w:hAnsi="宋体" w:cs="宋体" w:eastAsia="宋体" w:hint="default"/>
          <w:sz w:val="14"/>
          <w:szCs w:val="14"/>
        </w:rPr>
      </w:pPr>
    </w:p>
    <w:p>
      <w:pPr>
        <w:pStyle w:val="BodyText"/>
        <w:spacing w:line="386" w:lineRule="auto"/>
        <w:ind w:left="572" w:right="1115"/>
        <w:jc w:val="left"/>
      </w:pPr>
      <w:r>
        <w:rPr>
          <w:rFonts w:ascii="Times New Roman" w:hAnsi="Times New Roman" w:cs="Times New Roman" w:eastAsia="Times New Roman" w:hint="default"/>
        </w:rPr>
        <w:t>4.</w:t>
      </w:r>
      <w:r>
        <w:rPr/>
        <w:t>政府补助减少的风险</w:t>
      </w:r>
      <w:r>
        <w:rPr>
          <w:spacing w:val="-3"/>
          <w:w w:val="100"/>
        </w:rPr>
        <w:t> </w:t>
      </w:r>
      <w:r>
        <w:rPr/>
        <w:t>报告期内，公司获得的政府补贴收入金额为</w:t>
      </w:r>
      <w:r>
        <w:rPr>
          <w:rFonts w:ascii="Times New Roman" w:hAnsi="Times New Roman" w:cs="Times New Roman" w:eastAsia="Times New Roman" w:hint="default"/>
        </w:rPr>
        <w:t>1103.16</w:t>
      </w:r>
      <w:r>
        <w:rPr/>
        <w:t>万元，占当期利润总额的比例为</w:t>
      </w:r>
      <w:r>
        <w:rPr>
          <w:rFonts w:ascii="Times New Roman" w:hAnsi="Times New Roman" w:cs="Times New Roman" w:eastAsia="Times New Roman" w:hint="default"/>
        </w:rPr>
        <w:t>28.20 </w:t>
      </w:r>
      <w:r>
        <w:rPr>
          <w:rFonts w:ascii="Times New Roman" w:hAnsi="Times New Roman" w:cs="Times New Roman" w:eastAsia="Times New Roman" w:hint="default"/>
          <w:spacing w:val="14"/>
        </w:rPr>
        <w:t> </w:t>
      </w:r>
      <w:r>
        <w:rPr>
          <w:rFonts w:ascii="Times New Roman" w:hAnsi="Times New Roman" w:cs="Times New Roman" w:eastAsia="Times New Roman" w:hint="default"/>
        </w:rPr>
        <w:t>%</w:t>
      </w:r>
      <w:r>
        <w:rPr/>
        <w:t>。如果公</w:t>
      </w:r>
    </w:p>
    <w:p>
      <w:pPr>
        <w:pStyle w:val="BodyText"/>
        <w:spacing w:line="408" w:lineRule="auto" w:before="35"/>
        <w:ind w:left="572" w:right="0" w:hanging="420"/>
        <w:jc w:val="left"/>
      </w:pPr>
      <w:r>
        <w:rPr/>
        <w:t>司未来取得的政府补助减少，将对公司经营业绩产生不利影响。</w:t>
      </w:r>
      <w:r>
        <w:rPr>
          <w:w w:val="100"/>
        </w:rPr>
        <w:t> </w:t>
      </w:r>
      <w:r>
        <w:rPr>
          <w:spacing w:val="-2"/>
        </w:rPr>
        <w:t>公司一方面将通过</w:t>
      </w:r>
      <w:r>
        <w:rPr>
          <w:rFonts w:ascii="Times New Roman" w:hAnsi="Times New Roman" w:cs="Times New Roman" w:eastAsia="Times New Roman" w:hint="default"/>
          <w:spacing w:val="-2"/>
        </w:rPr>
        <w:t>“</w:t>
      </w:r>
      <w:r>
        <w:rPr>
          <w:spacing w:val="-2"/>
        </w:rPr>
        <w:t>开拓市场、挖潜提效</w:t>
      </w:r>
      <w:r>
        <w:rPr>
          <w:rFonts w:ascii="Times New Roman" w:hAnsi="Times New Roman" w:cs="Times New Roman" w:eastAsia="Times New Roman" w:hint="default"/>
          <w:spacing w:val="-2"/>
        </w:rPr>
        <w:t>”</w:t>
      </w:r>
      <w:r>
        <w:rPr>
          <w:spacing w:val="-2"/>
        </w:rPr>
        <w:t>等经营措施持续提升公司主营业务的盈利能力和盈利规模，</w:t>
      </w:r>
    </w:p>
    <w:p>
      <w:pPr>
        <w:pStyle w:val="BodyText"/>
        <w:spacing w:line="408" w:lineRule="auto" w:before="14"/>
        <w:ind w:left="153" w:right="1106"/>
        <w:jc w:val="both"/>
      </w:pPr>
      <w:r>
        <w:rPr>
          <w:spacing w:val="-2"/>
        </w:rPr>
        <w:t>有效控制政府补助对公司经营业绩的影响；另一方面将继续加强国家、省市级重点科研项目的申报力度，</w:t>
      </w:r>
      <w:r>
        <w:rPr>
          <w:spacing w:val="-21"/>
        </w:rPr>
        <w:t> </w:t>
      </w:r>
      <w:r>
        <w:rPr>
          <w:spacing w:val="-21"/>
        </w:rPr>
      </w:r>
      <w:r>
        <w:rPr/>
        <w:t>积极争取政府支持的科研经费，有效运用各种产业政策的支持。</w:t>
      </w:r>
    </w:p>
    <w:p>
      <w:pPr>
        <w:pStyle w:val="BodyText"/>
        <w:spacing w:line="386" w:lineRule="auto" w:before="46"/>
        <w:ind w:left="573" w:right="0"/>
        <w:jc w:val="left"/>
      </w:pPr>
      <w:r>
        <w:rPr>
          <w:rFonts w:ascii="Times New Roman" w:hAnsi="Times New Roman" w:cs="Times New Roman" w:eastAsia="Times New Roman" w:hint="default"/>
        </w:rPr>
        <w:t>5.</w:t>
      </w:r>
      <w:r>
        <w:rPr/>
        <w:t>业务范围扩大带来的管理风险</w:t>
      </w:r>
      <w:r>
        <w:rPr>
          <w:w w:val="100"/>
        </w:rPr>
        <w:t> </w:t>
      </w:r>
      <w:r>
        <w:rPr>
          <w:spacing w:val="-2"/>
        </w:rPr>
        <w:t>随着公司持续发展，业务规模不断扩大，公司在国内市场区域也逐渐扩大，由此对公司的运营管理和</w:t>
      </w:r>
    </w:p>
    <w:p>
      <w:pPr>
        <w:pStyle w:val="BodyText"/>
        <w:spacing w:line="408" w:lineRule="auto" w:before="65"/>
        <w:ind w:left="573" w:right="0" w:hanging="421"/>
        <w:jc w:val="left"/>
      </w:pPr>
      <w:r>
        <w:rPr/>
        <w:t>风险控制能力带来一定压力。</w:t>
      </w:r>
      <w:r>
        <w:rPr>
          <w:rFonts w:ascii="宋体" w:hAnsi="宋体" w:cs="宋体" w:eastAsia="宋体" w:hint="default"/>
          <w:w w:val="100"/>
        </w:rPr>
        <w:t> </w:t>
      </w:r>
      <w:r>
        <w:rPr>
          <w:spacing w:val="-2"/>
        </w:rPr>
        <w:t>公司将继续强化公司治理，完善决策机制、建立有效的市场反应机制和风险防范机制，综合运用内部</w:t>
      </w:r>
    </w:p>
    <w:p>
      <w:pPr>
        <w:pStyle w:val="BodyText"/>
        <w:spacing w:line="408" w:lineRule="auto" w:before="46"/>
        <w:ind w:left="153" w:right="1025"/>
        <w:jc w:val="both"/>
      </w:pPr>
      <w:r>
        <w:rPr/>
        <w:t>风险控制和纪检监察措施，加强财务管理、内部审计、风险管控的实施力度，贯彻落实公司的管理制度，</w:t>
      </w:r>
      <w:r>
        <w:rPr>
          <w:w w:val="100"/>
        </w:rPr>
        <w:t> </w:t>
      </w:r>
      <w:r>
        <w:rPr>
          <w:spacing w:val="-2"/>
        </w:rPr>
        <w:t>以管理的规范化、标准化为公司健康稳定的发展提供可靠保障。因业务范围扩大带来的人才紧缺问题将通</w:t>
      </w:r>
      <w:r>
        <w:rPr>
          <w:spacing w:val="-42"/>
        </w:rPr>
        <w:t> </w:t>
      </w:r>
      <w:r>
        <w:rPr>
          <w:spacing w:val="-42"/>
        </w:rPr>
      </w:r>
      <w:r>
        <w:rPr/>
        <w:t>过引进复合型管理人才、内部选拔培养干部、加大人才库建设等方法解决，并进一步优化公司人才引进、</w:t>
      </w:r>
      <w:r>
        <w:rPr>
          <w:spacing w:val="-3"/>
          <w:w w:val="100"/>
        </w:rPr>
        <w:t> </w:t>
      </w:r>
      <w:r>
        <w:rPr>
          <w:spacing w:val="-5"/>
        </w:rPr>
        <w:t>培养、激励和任职资格的人力资源管理体系，完善员职业生涯规划，留住优秀人，实现人才价值的最大化。</w:t>
      </w:r>
    </w:p>
    <w:p>
      <w:pPr>
        <w:pStyle w:val="BodyText"/>
        <w:spacing w:line="386" w:lineRule="auto" w:before="46"/>
        <w:ind w:left="572" w:right="0"/>
        <w:jc w:val="left"/>
      </w:pPr>
      <w:r>
        <w:rPr>
          <w:rFonts w:ascii="Times New Roman" w:hAnsi="Times New Roman" w:cs="Times New Roman" w:eastAsia="Times New Roman" w:hint="default"/>
        </w:rPr>
        <w:t>6.</w:t>
      </w:r>
      <w:r>
        <w:rPr/>
        <w:t>投资收益减少的风险</w:t>
      </w:r>
      <w:r>
        <w:rPr>
          <w:spacing w:val="-3"/>
          <w:w w:val="100"/>
        </w:rPr>
        <w:t> </w:t>
      </w:r>
      <w:r>
        <w:rPr>
          <w:spacing w:val="-1"/>
        </w:rPr>
        <w:t>报告期内，公司持有中钞科信</w:t>
      </w:r>
      <w:r>
        <w:rPr>
          <w:rFonts w:ascii="Times New Roman" w:hAnsi="Times New Roman" w:cs="Times New Roman" w:eastAsia="Times New Roman" w:hint="default"/>
          <w:spacing w:val="-1"/>
        </w:rPr>
        <w:t>40%</w:t>
      </w:r>
      <w:r>
        <w:rPr>
          <w:spacing w:val="-1"/>
        </w:rPr>
        <w:t>股权，并按权益法对中钞科信长期股权投资进行核算，本期投资收</w:t>
      </w:r>
    </w:p>
    <w:p>
      <w:pPr>
        <w:pStyle w:val="BodyText"/>
        <w:spacing w:line="386" w:lineRule="auto" w:before="35"/>
        <w:ind w:right="1131"/>
        <w:jc w:val="both"/>
        <w:rPr>
          <w:rFonts w:ascii="宋体" w:hAnsi="宋体" w:cs="宋体" w:eastAsia="宋体" w:hint="default"/>
        </w:rPr>
      </w:pPr>
      <w:r>
        <w:rPr/>
        <w:t>益为</w:t>
      </w:r>
      <w:r>
        <w:rPr>
          <w:rFonts w:ascii="Times New Roman" w:hAnsi="Times New Roman" w:cs="Times New Roman" w:eastAsia="Times New Roman" w:hint="default"/>
        </w:rPr>
        <w:t>851.94</w:t>
      </w:r>
      <w:r>
        <w:rPr/>
        <w:t>万元，较上期增加</w:t>
      </w:r>
      <w:r>
        <w:rPr>
          <w:rFonts w:ascii="Times New Roman" w:hAnsi="Times New Roman" w:cs="Times New Roman" w:eastAsia="Times New Roman" w:hint="default"/>
        </w:rPr>
        <w:t>52.89 </w:t>
      </w:r>
      <w:r>
        <w:rPr>
          <w:rFonts w:ascii="Times New Roman" w:hAnsi="Times New Roman" w:cs="Times New Roman" w:eastAsia="Times New Roman" w:hint="default"/>
          <w:spacing w:val="-3"/>
        </w:rPr>
        <w:t>%</w:t>
      </w:r>
      <w:r>
        <w:rPr>
          <w:spacing w:val="-3"/>
        </w:rPr>
        <w:t>，本公司对中钞科信投资收益占当期利润总额的比例为</w:t>
      </w:r>
      <w:r>
        <w:rPr>
          <w:rFonts w:ascii="Times New Roman" w:hAnsi="Times New Roman" w:cs="Times New Roman" w:eastAsia="Times New Roman" w:hint="default"/>
          <w:spacing w:val="-3"/>
        </w:rPr>
        <w:t>21.78%</w:t>
      </w:r>
      <w:r>
        <w:rPr>
          <w:spacing w:val="-3"/>
        </w:rPr>
        <w:t>。如果</w:t>
      </w:r>
      <w:r>
        <w:rPr>
          <w:spacing w:val="-73"/>
        </w:rPr>
        <w:t> </w:t>
      </w:r>
      <w:r>
        <w:rPr>
          <w:spacing w:val="-73"/>
        </w:rPr>
      </w:r>
      <w:r>
        <w:rPr/>
        <w:t>中钞科信</w:t>
      </w:r>
      <w:r>
        <w:rPr>
          <w:rFonts w:ascii="Times New Roman" w:hAnsi="Times New Roman" w:cs="Times New Roman" w:eastAsia="Times New Roman" w:hint="default"/>
        </w:rPr>
        <w:t>2020</w:t>
      </w:r>
      <w:r>
        <w:rPr/>
        <w:t>年出现业绩波动下滑，则将对本公司的财务状况产生不利影响。</w:t>
      </w:r>
      <w:r>
        <w:rPr>
          <w:rFonts w:ascii="宋体" w:hAnsi="宋体" w:cs="宋体" w:eastAsia="宋体" w:hint="default"/>
        </w:rPr>
        <w:t> </w:t>
      </w:r>
    </w:p>
    <w:p>
      <w:pPr>
        <w:pStyle w:val="BodyText"/>
        <w:spacing w:line="408" w:lineRule="auto" w:before="35"/>
        <w:ind w:right="0" w:firstLine="420"/>
        <w:jc w:val="left"/>
        <w:rPr>
          <w:rFonts w:ascii="宋体" w:hAnsi="宋体" w:cs="宋体" w:eastAsia="宋体" w:hint="default"/>
        </w:rPr>
      </w:pPr>
      <w:r>
        <w:rPr>
          <w:spacing w:val="-2"/>
        </w:rPr>
        <w:t>公司将积极运用自身核心技术优势开拓市场、发展壮大，通过增强自身盈利能力，减少中钞科信业绩</w:t>
      </w:r>
      <w:r>
        <w:rPr>
          <w:w w:val="100"/>
        </w:rPr>
        <w:t> </w:t>
      </w:r>
      <w:r>
        <w:rPr/>
        <w:t>下滑对公司业绩的影响。</w:t>
      </w:r>
      <w:r>
        <w:rPr>
          <w:rFonts w:ascii="宋体" w:hAnsi="宋体" w:cs="宋体" w:eastAsia="宋体" w:hint="default"/>
        </w:rPr>
        <w:t> </w:t>
      </w:r>
    </w:p>
    <w:p>
      <w:pPr>
        <w:pStyle w:val="BodyText"/>
        <w:spacing w:line="388" w:lineRule="auto" w:before="36"/>
        <w:ind w:left="572" w:right="0"/>
        <w:jc w:val="left"/>
      </w:pPr>
      <w:r>
        <w:rPr>
          <w:rFonts w:ascii="等线" w:hAnsi="等线" w:cs="等线" w:eastAsia="等线" w:hint="default"/>
        </w:rPr>
        <w:t>7</w:t>
      </w:r>
      <w:r>
        <w:rPr>
          <w:rFonts w:ascii="Times New Roman" w:hAnsi="Times New Roman" w:cs="Times New Roman" w:eastAsia="Times New Roman" w:hint="default"/>
        </w:rPr>
        <w:t>.</w:t>
      </w:r>
      <w:r>
        <w:rPr/>
        <w:t>新冠肺炎疫情可能带来的不利影响</w:t>
      </w:r>
      <w:r>
        <w:rPr>
          <w:w w:val="100"/>
        </w:rPr>
        <w:t> </w:t>
      </w:r>
      <w:r>
        <w:rPr>
          <w:spacing w:val="3"/>
        </w:rPr>
        <w:t>根据新华社与国家卫健委公开数据显示，截至</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31</w:t>
      </w:r>
      <w:r>
        <w:rPr>
          <w:spacing w:val="3"/>
        </w:rPr>
        <w:t>日，全球新型冠状病毒肺炎确证病例为</w:t>
      </w:r>
    </w:p>
    <w:p>
      <w:pPr>
        <w:pStyle w:val="BodyText"/>
        <w:spacing w:line="386" w:lineRule="auto" w:before="33"/>
        <w:ind w:right="1127"/>
        <w:jc w:val="both"/>
      </w:pPr>
      <w:r>
        <w:rPr>
          <w:rFonts w:ascii="Times New Roman" w:hAnsi="Times New Roman" w:cs="Times New Roman" w:eastAsia="Times New Roman" w:hint="default"/>
        </w:rPr>
        <w:t>750890</w:t>
      </w:r>
      <w:r>
        <w:rPr/>
        <w:t>例，中国新增确诊病例为</w:t>
      </w:r>
      <w:r>
        <w:rPr>
          <w:rFonts w:ascii="Times New Roman" w:hAnsi="Times New Roman" w:cs="Times New Roman" w:eastAsia="Times New Roman" w:hint="default"/>
        </w:rPr>
        <w:t>36</w:t>
      </w:r>
      <w:r>
        <w:rPr/>
        <w:t>例（其中境外输入病例</w:t>
      </w:r>
      <w:r>
        <w:rPr>
          <w:rFonts w:ascii="Times New Roman" w:hAnsi="Times New Roman" w:cs="Times New Roman" w:eastAsia="Times New Roman" w:hint="default"/>
        </w:rPr>
        <w:t>35</w:t>
      </w:r>
      <w:r>
        <w:rPr/>
        <w:t>例，本土病例</w:t>
      </w:r>
      <w:r>
        <w:rPr>
          <w:rFonts w:ascii="Times New Roman" w:hAnsi="Times New Roman" w:cs="Times New Roman" w:eastAsia="Times New Roman" w:hint="default"/>
        </w:rPr>
        <w:t>1</w:t>
      </w:r>
      <w:r>
        <w:rPr/>
        <w:t>例）。在中国国内新冠疫情防</w:t>
      </w:r>
      <w:r>
        <w:rPr>
          <w:spacing w:val="-30"/>
        </w:rPr>
        <w:t> </w:t>
      </w:r>
      <w:r>
        <w:rPr>
          <w:spacing w:val="-30"/>
        </w:rPr>
      </w:r>
      <w:r>
        <w:rPr>
          <w:spacing w:val="-2"/>
        </w:rPr>
        <w:t>控形势持续向好、生产生活秩序加快恢复同时，全球防疫形势急剧恶化，全球逾</w:t>
      </w:r>
      <w:r>
        <w:rPr>
          <w:rFonts w:ascii="Times New Roman" w:hAnsi="Times New Roman" w:cs="Times New Roman" w:eastAsia="Times New Roman" w:hint="default"/>
          <w:spacing w:val="-2"/>
        </w:rPr>
        <w:t>60</w:t>
      </w:r>
      <w:r>
        <w:rPr>
          <w:spacing w:val="-2"/>
        </w:rPr>
        <w:t>个国家或地区相继宣布</w:t>
      </w:r>
      <w:r>
        <w:rPr>
          <w:spacing w:val="-46"/>
        </w:rPr>
        <w:t> </w:t>
      </w:r>
      <w:r>
        <w:rPr>
          <w:spacing w:val="-46"/>
        </w:rPr>
      </w:r>
      <w:r>
        <w:rPr>
          <w:spacing w:val="-1"/>
        </w:rPr>
        <w:t>进入紧急状态，部分国家或地区还采取了</w:t>
      </w:r>
      <w:r>
        <w:rPr>
          <w:rFonts w:ascii="Times New Roman" w:hAnsi="Times New Roman" w:cs="Times New Roman" w:eastAsia="Times New Roman" w:hint="default"/>
          <w:spacing w:val="-1"/>
        </w:rPr>
        <w:t>“</w:t>
      </w:r>
      <w:r>
        <w:rPr>
          <w:spacing w:val="-1"/>
        </w:rPr>
        <w:t>封国</w:t>
      </w:r>
      <w:r>
        <w:rPr>
          <w:rFonts w:ascii="Times New Roman" w:hAnsi="Times New Roman" w:cs="Times New Roman" w:eastAsia="Times New Roman" w:hint="default"/>
          <w:spacing w:val="-1"/>
        </w:rPr>
        <w:t>”“</w:t>
      </w:r>
      <w:r>
        <w:rPr>
          <w:spacing w:val="-1"/>
        </w:rPr>
        <w:t>封城</w:t>
      </w:r>
      <w:r>
        <w:rPr>
          <w:rFonts w:ascii="Times New Roman" w:hAnsi="Times New Roman" w:cs="Times New Roman" w:eastAsia="Times New Roman" w:hint="default"/>
          <w:spacing w:val="-1"/>
        </w:rPr>
        <w:t>”</w:t>
      </w:r>
      <w:r>
        <w:rPr>
          <w:spacing w:val="-1"/>
        </w:rPr>
        <w:t>的措施，禁止人员流动以控制疫情蔓延和扩大。与</w:t>
      </w:r>
      <w:r>
        <w:rPr>
          <w:spacing w:val="-41"/>
        </w:rPr>
        <w:t> </w:t>
      </w:r>
      <w:r>
        <w:rPr>
          <w:spacing w:val="-41"/>
        </w:rPr>
      </w:r>
      <w:r>
        <w:rPr>
          <w:spacing w:val="-6"/>
        </w:rPr>
        <w:t>此同时，自</w:t>
      </w:r>
      <w:r>
        <w:rPr>
          <w:rFonts w:ascii="Times New Roman" w:hAnsi="Times New Roman" w:cs="Times New Roman" w:eastAsia="Times New Roman" w:hint="default"/>
          <w:spacing w:val="-6"/>
        </w:rPr>
        <w:t>3</w:t>
      </w:r>
      <w:r>
        <w:rPr>
          <w:spacing w:val="-6"/>
        </w:rPr>
        <w:t>月</w:t>
      </w:r>
      <w:r>
        <w:rPr>
          <w:rFonts w:ascii="Times New Roman" w:hAnsi="Times New Roman" w:cs="Times New Roman" w:eastAsia="Times New Roman" w:hint="default"/>
          <w:spacing w:val="-6"/>
        </w:rPr>
        <w:t>9</w:t>
      </w:r>
      <w:r>
        <w:rPr>
          <w:spacing w:val="-6"/>
        </w:rPr>
        <w:t>日至</w:t>
      </w:r>
      <w:r>
        <w:rPr>
          <w:rFonts w:ascii="Times New Roman" w:hAnsi="Times New Roman" w:cs="Times New Roman" w:eastAsia="Times New Roman" w:hint="default"/>
          <w:spacing w:val="-6"/>
        </w:rPr>
        <w:t>18</w:t>
      </w:r>
      <w:r>
        <w:rPr>
          <w:spacing w:val="-6"/>
        </w:rPr>
        <w:t>日，美国纽交所道琼斯指数出现</w:t>
      </w:r>
      <w:r>
        <w:rPr>
          <w:rFonts w:ascii="Times New Roman" w:hAnsi="Times New Roman" w:cs="Times New Roman" w:eastAsia="Times New Roman" w:hint="default"/>
          <w:spacing w:val="-6"/>
        </w:rPr>
        <w:t>4</w:t>
      </w:r>
      <w:r>
        <w:rPr>
          <w:spacing w:val="-6"/>
        </w:rPr>
        <w:t>次熔断，创造了自</w:t>
      </w:r>
      <w:r>
        <w:rPr>
          <w:rFonts w:ascii="Times New Roman" w:hAnsi="Times New Roman" w:cs="Times New Roman" w:eastAsia="Times New Roman" w:hint="default"/>
          <w:spacing w:val="-6"/>
        </w:rPr>
        <w:t>1928</w:t>
      </w:r>
      <w:r>
        <w:rPr>
          <w:spacing w:val="-6"/>
        </w:rPr>
        <w:t>年世界经济大萧条以来的</w:t>
      </w:r>
      <w:r>
        <w:rPr>
          <w:rFonts w:ascii="Times New Roman" w:hAnsi="Times New Roman" w:cs="Times New Roman" w:eastAsia="Times New Roman" w:hint="default"/>
          <w:spacing w:val="-6"/>
        </w:rPr>
        <w:t>“</w:t>
      </w:r>
      <w:r>
        <w:rPr>
          <w:spacing w:val="-6"/>
        </w:rPr>
        <w:t>至</w:t>
      </w:r>
      <w:r>
        <w:rPr>
          <w:spacing w:val="-23"/>
        </w:rPr>
        <w:t> </w:t>
      </w:r>
      <w:r>
        <w:rPr>
          <w:spacing w:val="-2"/>
        </w:rPr>
        <w:t>暗时刻</w:t>
      </w:r>
      <w:r>
        <w:rPr>
          <w:rFonts w:ascii="Times New Roman" w:hAnsi="Times New Roman" w:cs="Times New Roman" w:eastAsia="Times New Roman" w:hint="default"/>
          <w:spacing w:val="-2"/>
        </w:rPr>
        <w:t>”</w:t>
      </w:r>
      <w:r>
        <w:rPr>
          <w:spacing w:val="-2"/>
        </w:rPr>
        <w:t>。当前，新冠肺炎疫情对经济的影响不断显现，对全球生产和需求造成全面冲击。面对可能的</w:t>
      </w:r>
      <w:r>
        <w:rPr>
          <w:rFonts w:ascii="Times New Roman" w:hAnsi="Times New Roman" w:cs="Times New Roman" w:eastAsia="Times New Roman" w:hint="default"/>
          <w:spacing w:val="-2"/>
        </w:rPr>
        <w:t>“</w:t>
      </w:r>
      <w:r>
        <w:rPr>
          <w:spacing w:val="-2"/>
        </w:rPr>
        <w:t>经</w:t>
      </w:r>
      <w:r>
        <w:rPr>
          <w:spacing w:val="-19"/>
        </w:rPr>
        <w:t> </w:t>
      </w:r>
      <w:r>
        <w:rPr>
          <w:spacing w:val="-2"/>
        </w:rPr>
        <w:t>济疫情</w:t>
      </w:r>
      <w:r>
        <w:rPr>
          <w:rFonts w:ascii="Times New Roman" w:hAnsi="Times New Roman" w:cs="Times New Roman" w:eastAsia="Times New Roman" w:hint="default"/>
          <w:spacing w:val="-2"/>
        </w:rPr>
        <w:t>”</w:t>
      </w:r>
      <w:r>
        <w:rPr>
          <w:spacing w:val="-2"/>
        </w:rPr>
        <w:t>，在</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日召开的二十国集团领导人应对新冠肺炎特别峰会上，与会各方承诺，共同维护全球经</w:t>
      </w:r>
      <w:r>
        <w:rPr>
          <w:spacing w:val="-30"/>
        </w:rPr>
        <w:t> </w:t>
      </w:r>
      <w:r>
        <w:rPr>
          <w:spacing w:val="-30"/>
        </w:rPr>
      </w:r>
      <w:r>
        <w:rPr>
          <w:spacing w:val="-2"/>
        </w:rPr>
        <w:t>济金融稳定，提振市场信心，保障就业民生，减少疫情对全球贸易和供应链的冲击。货币政策方面，多国</w:t>
      </w:r>
    </w:p>
    <w:p>
      <w:pPr>
        <w:spacing w:after="0" w:line="386" w:lineRule="auto"/>
        <w:jc w:val="both"/>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391" w:lineRule="auto" w:before="36"/>
        <w:ind w:right="0"/>
        <w:jc w:val="left"/>
      </w:pPr>
      <w:r>
        <w:rPr>
          <w:spacing w:val="-2"/>
        </w:rPr>
        <w:t>央行纷纷降息并继</w:t>
      </w:r>
      <w:r>
        <w:rPr>
          <w:rFonts w:ascii="Times New Roman" w:hAnsi="Times New Roman" w:cs="Times New Roman" w:eastAsia="Times New Roman" w:hint="default"/>
          <w:spacing w:val="-2"/>
        </w:rPr>
        <w:t>2008</w:t>
      </w:r>
      <w:r>
        <w:rPr>
          <w:spacing w:val="-2"/>
        </w:rPr>
        <w:t>年国际金融危机之后再次祭出新的量化宽松政策，持续向市场释放流动性。美联储</w:t>
      </w:r>
      <w:r>
        <w:rPr>
          <w:spacing w:val="-38"/>
        </w:rPr>
        <w:t> </w:t>
      </w:r>
      <w:r>
        <w:rPr>
          <w:spacing w:val="-38"/>
        </w:rPr>
      </w:r>
      <w:r>
        <w:rPr>
          <w:rFonts w:ascii="Times New Roman" w:hAnsi="Times New Roman" w:cs="Times New Roman" w:eastAsia="Times New Roman" w:hint="default"/>
          <w:spacing w:val="-6"/>
          <w:w w:val="100"/>
        </w:rPr>
        <w:t>3</w:t>
      </w:r>
      <w:r>
        <w:rPr>
          <w:spacing w:val="-6"/>
          <w:w w:val="100"/>
        </w:rPr>
        <w:t>月连续两次紧急降息，并宣布</w:t>
      </w:r>
      <w:r>
        <w:rPr>
          <w:rFonts w:ascii="Times New Roman" w:hAnsi="Times New Roman" w:cs="Times New Roman" w:eastAsia="Times New Roman" w:hint="default"/>
          <w:spacing w:val="-6"/>
          <w:w w:val="100"/>
        </w:rPr>
        <w:t>“</w:t>
      </w:r>
      <w:r>
        <w:rPr>
          <w:spacing w:val="-6"/>
          <w:w w:val="100"/>
        </w:rPr>
        <w:t>无上限</w:t>
      </w:r>
      <w:r>
        <w:rPr>
          <w:rFonts w:ascii="Times New Roman" w:hAnsi="Times New Roman" w:cs="Times New Roman" w:eastAsia="Times New Roman" w:hint="default"/>
          <w:spacing w:val="-6"/>
          <w:w w:val="100"/>
        </w:rPr>
        <w:t>”</w:t>
      </w:r>
      <w:r>
        <w:rPr>
          <w:spacing w:val="-6"/>
          <w:w w:val="100"/>
        </w:rPr>
        <w:t>量化宽松政策；欧洲央行推出价值近万亿欧元的紧急资产购买计划。</w:t>
      </w:r>
      <w:r>
        <w:rPr>
          <w:spacing w:val="-87"/>
          <w:w w:val="100"/>
        </w:rPr>
        <w:t> </w:t>
      </w:r>
      <w:r>
        <w:rPr>
          <w:spacing w:val="-87"/>
          <w:w w:val="100"/>
        </w:rPr>
      </w:r>
      <w:r>
        <w:rPr>
          <w:spacing w:val="-2"/>
        </w:rPr>
        <w:t>财政政策方面，多国政府采取针对性的积极财政政策，减缓疫情给经济生活带来的冲击。近日，美国通过</w:t>
      </w:r>
      <w:r>
        <w:rPr>
          <w:spacing w:val="-47"/>
        </w:rPr>
        <w:t> </w:t>
      </w:r>
      <w:r>
        <w:rPr>
          <w:spacing w:val="-47"/>
        </w:rPr>
      </w:r>
      <w:r>
        <w:rPr>
          <w:rFonts w:ascii="Times New Roman" w:hAnsi="Times New Roman" w:cs="Times New Roman" w:eastAsia="Times New Roman" w:hint="default"/>
        </w:rPr>
        <w:t>2</w:t>
      </w:r>
      <w:r>
        <w:rPr/>
        <w:t>万亿美元财政刺激计划，德国政府提出一揽子纾困计划，英法两国均提出价值数百亿美元的经济刺激方</w:t>
      </w:r>
      <w:r>
        <w:rPr>
          <w:spacing w:val="-25"/>
        </w:rPr>
        <w:t> </w:t>
      </w:r>
      <w:r>
        <w:rPr>
          <w:spacing w:val="-25"/>
        </w:rPr>
      </w:r>
      <w:r>
        <w:rPr/>
        <w:t>案和数千亿美元的政府贷款。</w:t>
      </w:r>
    </w:p>
    <w:p>
      <w:pPr>
        <w:pStyle w:val="BodyText"/>
        <w:spacing w:line="403" w:lineRule="auto" w:before="61"/>
        <w:ind w:left="153" w:right="1022" w:firstLine="503"/>
        <w:jc w:val="left"/>
        <w:rPr>
          <w:rFonts w:ascii="宋体" w:hAnsi="宋体" w:cs="宋体" w:eastAsia="宋体" w:hint="default"/>
        </w:rPr>
      </w:pPr>
      <w:r>
        <w:rPr>
          <w:spacing w:val="-2"/>
        </w:rPr>
        <w:t>截至本报告公告之日，本公司原计划在一季度开展的项目投标大部分受到疫情影响延期或延后开展，</w:t>
      </w:r>
      <w:r>
        <w:rPr>
          <w:w w:val="100"/>
        </w:rPr>
        <w:t> </w:t>
      </w:r>
      <w:r>
        <w:rPr>
          <w:spacing w:val="-2"/>
        </w:rPr>
        <w:t>可能将对全年新签合同额形成不利影响。多数在手项目无法按计划正常进场实施，可能将对全年营业收入</w:t>
      </w:r>
      <w:r>
        <w:rPr>
          <w:spacing w:val="-42"/>
        </w:rPr>
        <w:t> </w:t>
      </w:r>
      <w:r>
        <w:rPr>
          <w:spacing w:val="-42"/>
        </w:rPr>
      </w:r>
      <w:r>
        <w:rPr>
          <w:spacing w:val="-2"/>
        </w:rPr>
        <w:t>的确认造成不利影响。本公司联营企业中钞科信完成洽谈和已签订合同的出口设备因疫情影响全部无限期</w:t>
      </w:r>
      <w:r>
        <w:rPr>
          <w:spacing w:val="-42"/>
        </w:rPr>
        <w:t> </w:t>
      </w:r>
      <w:r>
        <w:rPr>
          <w:spacing w:val="-42"/>
        </w:rPr>
      </w:r>
      <w:r>
        <w:rPr>
          <w:spacing w:val="-2"/>
        </w:rPr>
        <w:t>暂停执行。同时，鉴于对未来经济形势的谨慎判断，部分客户对项目款支付的积极性受到影响，公司现金</w:t>
      </w:r>
      <w:r>
        <w:rPr>
          <w:spacing w:val="-48"/>
        </w:rPr>
        <w:t> </w:t>
      </w:r>
      <w:r>
        <w:rPr>
          <w:spacing w:val="-48"/>
        </w:rPr>
      </w:r>
      <w:r>
        <w:rPr>
          <w:spacing w:val="-4"/>
        </w:rPr>
        <w:t>流状况承受较大压力。上述不利影响均存在不确定性，如果新冠肺炎疫情在未来</w:t>
      </w:r>
      <w:r>
        <w:rPr>
          <w:rFonts w:ascii="Times New Roman" w:hAnsi="Times New Roman" w:cs="Times New Roman" w:eastAsia="Times New Roman" w:hint="default"/>
          <w:spacing w:val="-4"/>
        </w:rPr>
        <w:t>3-6</w:t>
      </w:r>
      <w:r>
        <w:rPr>
          <w:spacing w:val="-4"/>
        </w:rPr>
        <w:t>月依然没有得到根本性</w:t>
      </w:r>
      <w:r>
        <w:rPr>
          <w:spacing w:val="-15"/>
        </w:rPr>
        <w:t> </w:t>
      </w:r>
      <w:r>
        <w:rPr>
          <w:spacing w:val="-15"/>
        </w:rPr>
      </w:r>
      <w:r>
        <w:rPr/>
        <w:t>的有效控制和好转，将对公司生产经营造成一定不利影响。</w:t>
      </w:r>
      <w:r>
        <w:rPr>
          <w:rFonts w:ascii="宋体" w:hAnsi="宋体" w:cs="宋体" w:eastAsia="宋体" w:hint="default"/>
        </w:rPr>
        <w:t> </w:t>
      </w:r>
    </w:p>
    <w:p>
      <w:pPr>
        <w:pStyle w:val="BodyText"/>
        <w:spacing w:line="408" w:lineRule="auto" w:before="50"/>
        <w:ind w:left="153" w:right="1127" w:firstLine="420"/>
        <w:jc w:val="both"/>
        <w:rPr>
          <w:rFonts w:ascii="宋体" w:hAnsi="宋体" w:cs="宋体" w:eastAsia="宋体" w:hint="default"/>
        </w:rPr>
      </w:pPr>
      <w:r>
        <w:rPr>
          <w:spacing w:val="-2"/>
        </w:rPr>
        <w:t>公司将着力做好项目争取的筹划准备，努力提高项目中标率，有效降低订单流失率，不断提升项目技</w:t>
      </w:r>
      <w:r>
        <w:rPr>
          <w:w w:val="100"/>
        </w:rPr>
        <w:t> </w:t>
      </w:r>
      <w:r>
        <w:rPr>
          <w:spacing w:val="-2"/>
        </w:rPr>
        <w:t>术与服务水平，塑造</w:t>
      </w:r>
      <w:r>
        <w:rPr>
          <w:rFonts w:ascii="宋体" w:hAnsi="宋体" w:cs="宋体" w:eastAsia="宋体" w:hint="default"/>
          <w:spacing w:val="-2"/>
        </w:rPr>
        <w:t>“</w:t>
      </w:r>
      <w:r>
        <w:rPr>
          <w:spacing w:val="-2"/>
        </w:rPr>
        <w:t>技术一流，质量过硬</w:t>
      </w:r>
      <w:r>
        <w:rPr>
          <w:rFonts w:ascii="宋体" w:hAnsi="宋体" w:cs="宋体" w:eastAsia="宋体" w:hint="default"/>
          <w:spacing w:val="-2"/>
        </w:rPr>
        <w:t>”</w:t>
      </w:r>
      <w:r>
        <w:rPr>
          <w:spacing w:val="-2"/>
        </w:rPr>
        <w:t>的良好口碑。抓好现金流管理，严格规划，打好现金流保卫</w:t>
      </w:r>
      <w:r>
        <w:rPr>
          <w:spacing w:val="-48"/>
        </w:rPr>
        <w:t> </w:t>
      </w:r>
      <w:r>
        <w:rPr>
          <w:spacing w:val="-48"/>
        </w:rPr>
      </w:r>
      <w:r>
        <w:rPr/>
        <w:t>战，全力控制各类风险。</w:t>
      </w:r>
      <w:r>
        <w:rPr>
          <w:rFonts w:ascii="宋体" w:hAnsi="宋体" w:cs="宋体" w:eastAsia="宋体" w:hint="default"/>
        </w:rPr>
        <w:t> </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79"/>
        <w:gridCol w:w="2177"/>
        <w:gridCol w:w="2177"/>
        <w:gridCol w:w="3036"/>
      </w:tblGrid>
      <w:tr>
        <w:trPr>
          <w:trHeight w:val="401" w:hRule="exact"/>
        </w:trPr>
        <w:tc>
          <w:tcPr>
            <w:tcW w:w="2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right="3096"/>
        <w:jc w:val="center"/>
        <w:rPr>
          <w:b w:val="0"/>
          <w:bCs w:val="0"/>
        </w:rPr>
      </w:pPr>
      <w:bookmarkStart w:name="_TOC_250007" w:id="61"/>
      <w:bookmarkStart w:name="第五节重要事项" w:id="62"/>
      <w:r>
        <w:rPr>
          <w:b w:val="0"/>
          <w:bCs w:val="0"/>
        </w:rPr>
      </w:r>
      <w:r>
        <w:rPr/>
        <w:t>第五节重要事项</w:t>
      </w:r>
      <w:bookmarkEnd w:id="61"/>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5"/>
        <w:ind w:left="572" w:right="0"/>
        <w:jc w:val="left"/>
      </w:pPr>
      <w:r>
        <w:rPr/>
        <w:t>（一）公司的利润分配政策</w:t>
      </w:r>
    </w:p>
    <w:p>
      <w:pPr>
        <w:spacing w:line="240" w:lineRule="auto" w:before="10"/>
        <w:rPr>
          <w:rFonts w:ascii="宋体" w:hAnsi="宋体" w:cs="宋体" w:eastAsia="宋体" w:hint="default"/>
          <w:sz w:val="14"/>
          <w:szCs w:val="14"/>
        </w:rPr>
      </w:pPr>
    </w:p>
    <w:p>
      <w:pPr>
        <w:pStyle w:val="BodyText"/>
        <w:spacing w:line="386" w:lineRule="auto"/>
        <w:ind w:left="572" w:right="0"/>
        <w:jc w:val="left"/>
      </w:pPr>
      <w:r>
        <w:rPr>
          <w:rFonts w:ascii="Times New Roman" w:hAnsi="Times New Roman" w:cs="Times New Roman" w:eastAsia="Times New Roman" w:hint="default"/>
        </w:rPr>
        <w:t>1</w:t>
      </w:r>
      <w:r>
        <w:rPr/>
        <w:t>、利润分配原则</w:t>
      </w:r>
      <w:r>
        <w:rPr>
          <w:spacing w:val="-3"/>
          <w:w w:val="100"/>
        </w:rPr>
        <w:t> </w:t>
      </w:r>
      <w:r>
        <w:rPr>
          <w:spacing w:val="-2"/>
        </w:rPr>
        <w:t>公司实行持续、稳定的利润分配政策，公司利润分配应重视对投资者的合理投资回报并兼顾公司的可</w:t>
      </w:r>
    </w:p>
    <w:p>
      <w:pPr>
        <w:pStyle w:val="BodyText"/>
        <w:spacing w:line="398" w:lineRule="auto" w:before="65"/>
        <w:ind w:left="572" w:right="0" w:hanging="421"/>
        <w:jc w:val="left"/>
      </w:pPr>
      <w:r>
        <w:rPr/>
        <w:t>持续发展。在符合利润分配原则、保证公司正常经营和长远发展的前提下，公司应注重现金分红。</w:t>
      </w:r>
      <w:r>
        <w:rPr>
          <w:w w:val="100"/>
        </w:rPr>
        <w:t> </w:t>
      </w:r>
      <w:r>
        <w:rPr>
          <w:rFonts w:ascii="Times New Roman" w:hAnsi="Times New Roman" w:cs="Times New Roman" w:eastAsia="Times New Roman" w:hint="default"/>
        </w:rPr>
        <w:t>2</w:t>
      </w:r>
      <w:r>
        <w:rPr/>
        <w:t>、利润分配的形式和比例</w:t>
      </w:r>
      <w:r>
        <w:rPr>
          <w:spacing w:val="-3"/>
          <w:w w:val="100"/>
        </w:rPr>
        <w:t> </w:t>
      </w:r>
      <w:r>
        <w:rPr>
          <w:spacing w:val="-2"/>
        </w:rPr>
        <w:t>公司可以采取现金、股票或现金和股票二者相结合的方式分配股利，并优先考虑采取现金方式分配利</w:t>
      </w:r>
    </w:p>
    <w:p>
      <w:pPr>
        <w:pStyle w:val="BodyText"/>
        <w:spacing w:line="408" w:lineRule="auto" w:before="54"/>
        <w:ind w:right="1128"/>
        <w:jc w:val="both"/>
      </w:pPr>
      <w:r>
        <w:rPr>
          <w:spacing w:val="-2"/>
        </w:rPr>
        <w:t>润；在满足购买原材料的资金需求、可预期的重大投资计划或重大现金支出的前提下，公司董事会可以根</w:t>
      </w:r>
      <w:r>
        <w:rPr>
          <w:spacing w:val="-44"/>
        </w:rPr>
        <w:t> </w:t>
      </w:r>
      <w:r>
        <w:rPr>
          <w:spacing w:val="-44"/>
        </w:rPr>
      </w:r>
      <w:r>
        <w:rPr>
          <w:spacing w:val="2"/>
        </w:rPr>
        <w:t>据公司当期经营利润和现金流情况进行中期分红，具体方案须经公司董事会审议后提交公司股东大会批</w:t>
      </w:r>
      <w:r>
        <w:rPr>
          <w:spacing w:val="-28"/>
        </w:rPr>
        <w:t> </w:t>
      </w:r>
      <w:r>
        <w:rPr>
          <w:spacing w:val="-28"/>
        </w:rPr>
      </w:r>
      <w:r>
        <w:rPr/>
        <w:t>准。</w:t>
      </w:r>
    </w:p>
    <w:p>
      <w:pPr>
        <w:pStyle w:val="BodyText"/>
        <w:spacing w:line="240" w:lineRule="auto" w:before="46"/>
        <w:ind w:left="573" w:right="0"/>
        <w:jc w:val="left"/>
      </w:pPr>
      <w:r>
        <w:rPr>
          <w:rFonts w:ascii="Times New Roman" w:hAnsi="Times New Roman" w:cs="Times New Roman" w:eastAsia="Times New Roman" w:hint="default"/>
        </w:rPr>
        <w:t>3</w:t>
      </w:r>
      <w:r>
        <w:rPr/>
        <w:t>、利润分配的具体政策</w:t>
      </w:r>
    </w:p>
    <w:p>
      <w:pPr>
        <w:pStyle w:val="BodyText"/>
        <w:spacing w:line="386" w:lineRule="auto" w:before="177"/>
        <w:ind w:left="573" w:right="0"/>
        <w:jc w:val="left"/>
      </w:pPr>
      <w:r>
        <w:rPr/>
        <w:t>（</w:t>
      </w:r>
      <w:r>
        <w:rPr>
          <w:rFonts w:ascii="Times New Roman" w:hAnsi="Times New Roman" w:cs="Times New Roman" w:eastAsia="Times New Roman" w:hint="default"/>
        </w:rPr>
        <w:t>1</w:t>
      </w:r>
      <w:r>
        <w:rPr/>
        <w:t>）利润分配的具体条件</w:t>
      </w:r>
      <w:r>
        <w:rPr>
          <w:spacing w:val="-3"/>
          <w:w w:val="100"/>
        </w:rPr>
        <w:t> </w:t>
      </w:r>
      <w:r>
        <w:rPr>
          <w:spacing w:val="-2"/>
        </w:rPr>
        <w:t>公司在当年度盈利且累计未分配利润为正的情况下，采取现金方式分红；采用股票股利进行利润分配</w:t>
      </w:r>
    </w:p>
    <w:p>
      <w:pPr>
        <w:pStyle w:val="BodyText"/>
        <w:spacing w:line="408" w:lineRule="auto" w:before="65"/>
        <w:ind w:right="1106"/>
        <w:jc w:val="both"/>
      </w:pPr>
      <w:r>
        <w:rPr>
          <w:spacing w:val="-2"/>
        </w:rPr>
        <w:t>的，应当具有公司成长性、每股净资产的摊薄等真实合理因素；公司董事会应当综合考虑所处行业特点、</w:t>
      </w:r>
      <w:r>
        <w:rPr>
          <w:spacing w:val="-21"/>
        </w:rPr>
        <w:t> </w:t>
      </w:r>
      <w:r>
        <w:rPr>
          <w:spacing w:val="-21"/>
        </w:rPr>
      </w:r>
      <w:r>
        <w:rPr>
          <w:spacing w:val="-3"/>
        </w:rPr>
        <w:t>发展阶段、自身经营模式、盈利水平以及是否有重大资金支出安排等因素，区分下列情形，并按照本章程</w:t>
      </w:r>
      <w:r>
        <w:rPr>
          <w:spacing w:val="-6"/>
        </w:rPr>
        <w:t> </w:t>
      </w:r>
      <w:r>
        <w:rPr>
          <w:spacing w:val="-6"/>
        </w:rPr>
      </w:r>
      <w:r>
        <w:rPr/>
        <w:t>规定的程序，提出差异化的现金分红政策：</w:t>
      </w:r>
    </w:p>
    <w:p>
      <w:pPr>
        <w:pStyle w:val="BodyText"/>
        <w:spacing w:line="408" w:lineRule="auto" w:before="46"/>
        <w:ind w:right="0" w:firstLine="420"/>
        <w:jc w:val="left"/>
      </w:pPr>
      <w:r>
        <w:rPr>
          <w:spacing w:val="-2"/>
        </w:rPr>
        <w:t>①公司发展阶段属成熟期且无重大资金支出安排的，进行利润分配时，现金分红在本次利润分配中所</w:t>
      </w:r>
      <w:r>
        <w:rPr>
          <w:w w:val="100"/>
        </w:rPr>
        <w:t> </w:t>
      </w:r>
      <w:r>
        <w:rPr/>
        <w:t>占比例最低应达到</w:t>
      </w:r>
      <w:r>
        <w:rPr>
          <w:rFonts w:ascii="Times New Roman" w:hAnsi="Times New Roman" w:cs="Times New Roman" w:eastAsia="Times New Roman" w:hint="default"/>
        </w:rPr>
        <w:t>80%</w:t>
      </w:r>
      <w:r>
        <w:rPr/>
        <w:t>；</w:t>
      </w:r>
    </w:p>
    <w:p>
      <w:pPr>
        <w:pStyle w:val="BodyText"/>
        <w:spacing w:line="408" w:lineRule="auto" w:before="14"/>
        <w:ind w:right="0" w:firstLine="420"/>
        <w:jc w:val="left"/>
      </w:pPr>
      <w:r>
        <w:rPr>
          <w:spacing w:val="-2"/>
        </w:rPr>
        <w:t>②公司发展阶段属成熟期且有重大资金支出安排的，进行利润分配时，现金分红在本次利润分配中所</w:t>
      </w:r>
      <w:r>
        <w:rPr>
          <w:w w:val="100"/>
        </w:rPr>
        <w:t> </w:t>
      </w:r>
      <w:r>
        <w:rPr/>
        <w:t>占比例最低应达到</w:t>
      </w:r>
      <w:r>
        <w:rPr>
          <w:rFonts w:ascii="Times New Roman" w:hAnsi="Times New Roman" w:cs="Times New Roman" w:eastAsia="Times New Roman" w:hint="default"/>
        </w:rPr>
        <w:t>40%</w:t>
      </w:r>
      <w:r>
        <w:rPr/>
        <w:t>；</w:t>
      </w:r>
    </w:p>
    <w:p>
      <w:pPr>
        <w:pStyle w:val="BodyText"/>
        <w:spacing w:line="408" w:lineRule="auto" w:before="14"/>
        <w:ind w:right="0" w:firstLine="420"/>
        <w:jc w:val="left"/>
      </w:pPr>
      <w:r>
        <w:rPr>
          <w:spacing w:val="-2"/>
        </w:rPr>
        <w:t>③公司发展阶段属成长期且有重大资金支出安排的，进行利润分配时，现金分红在本次利润分配中所</w:t>
      </w:r>
      <w:r>
        <w:rPr>
          <w:w w:val="100"/>
        </w:rPr>
        <w:t> </w:t>
      </w:r>
      <w:r>
        <w:rPr/>
        <w:t>占比例最低应达到</w:t>
      </w:r>
      <w:r>
        <w:rPr>
          <w:rFonts w:ascii="Times New Roman" w:hAnsi="Times New Roman" w:cs="Times New Roman" w:eastAsia="Times New Roman" w:hint="default"/>
        </w:rPr>
        <w:t>20%</w:t>
      </w:r>
      <w:r>
        <w:rPr/>
        <w:t>。</w:t>
      </w:r>
    </w:p>
    <w:p>
      <w:pPr>
        <w:pStyle w:val="BodyText"/>
        <w:spacing w:line="408" w:lineRule="auto" w:before="14"/>
        <w:ind w:left="573" w:right="0"/>
        <w:jc w:val="left"/>
      </w:pPr>
      <w:r>
        <w:rPr/>
        <w:t>公司发展阶段不易区分但有重大资金支出安排的，按照前项规定处理。</w:t>
      </w:r>
      <w:r>
        <w:rPr>
          <w:w w:val="100"/>
        </w:rPr>
        <w:t> </w:t>
      </w:r>
      <w:r>
        <w:rPr>
          <w:spacing w:val="-2"/>
        </w:rPr>
        <w:t>重大资金支出指公司未来十二个月内拟对外投资、收购资产或者购买设备等的累计支出达到或者超过</w:t>
      </w:r>
    </w:p>
    <w:p>
      <w:pPr>
        <w:pStyle w:val="BodyText"/>
        <w:spacing w:line="240" w:lineRule="auto" w:before="46"/>
        <w:ind w:right="0"/>
        <w:jc w:val="both"/>
      </w:pPr>
      <w:r>
        <w:rPr/>
        <w:t>公司最近一期经审计净资产的百分之三十。</w:t>
      </w:r>
    </w:p>
    <w:p>
      <w:pPr>
        <w:spacing w:after="0" w:line="240" w:lineRule="auto"/>
        <w:jc w:val="both"/>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386" w:lineRule="auto" w:before="36"/>
        <w:ind w:left="572" w:right="5725"/>
        <w:jc w:val="left"/>
      </w:pPr>
      <w:r>
        <w:rPr/>
        <w:t>（</w:t>
      </w:r>
      <w:r>
        <w:rPr>
          <w:rFonts w:ascii="Times New Roman" w:hAnsi="Times New Roman" w:cs="Times New Roman" w:eastAsia="Times New Roman" w:hint="default"/>
        </w:rPr>
        <w:t>2</w:t>
      </w:r>
      <w:r>
        <w:rPr/>
        <w:t>）现金分红条件</w:t>
      </w:r>
      <w:r>
        <w:rPr>
          <w:w w:val="100"/>
        </w:rPr>
        <w:t> </w:t>
      </w:r>
      <w:r>
        <w:rPr>
          <w:spacing w:val="-2"/>
        </w:rPr>
        <w:t>公司采取现金方式分配股利，应符合下述条件：</w:t>
      </w:r>
    </w:p>
    <w:p>
      <w:pPr>
        <w:pStyle w:val="BodyText"/>
        <w:spacing w:line="408" w:lineRule="auto" w:before="65"/>
        <w:ind w:right="0" w:firstLine="420"/>
        <w:jc w:val="left"/>
      </w:pPr>
      <w:r>
        <w:rPr>
          <w:spacing w:val="-5"/>
        </w:rPr>
        <w:t>①公司该年度或半年度实现的可分配利润（即公司弥补亏损、提取公积金后所余的税后利润）为正值、</w:t>
      </w:r>
      <w:r>
        <w:rPr>
          <w:w w:val="100"/>
        </w:rPr>
        <w:t> </w:t>
      </w:r>
      <w:r>
        <w:rPr/>
        <w:t>且现金流充裕，实施现金分红不会影响公司后续持续经营；</w:t>
      </w:r>
    </w:p>
    <w:p>
      <w:pPr>
        <w:pStyle w:val="BodyText"/>
        <w:spacing w:line="240" w:lineRule="auto" w:before="46"/>
        <w:ind w:left="572" w:right="0"/>
        <w:jc w:val="left"/>
      </w:pPr>
      <w:r>
        <w:rPr/>
        <w:t>②公司累计可供分配利润为正值；</w:t>
      </w:r>
    </w:p>
    <w:p>
      <w:pPr>
        <w:spacing w:line="240" w:lineRule="auto" w:before="10"/>
        <w:rPr>
          <w:rFonts w:ascii="宋体" w:hAnsi="宋体" w:cs="宋体" w:eastAsia="宋体" w:hint="default"/>
          <w:sz w:val="14"/>
          <w:szCs w:val="14"/>
        </w:rPr>
      </w:pPr>
    </w:p>
    <w:p>
      <w:pPr>
        <w:pStyle w:val="BodyText"/>
        <w:spacing w:line="240" w:lineRule="auto"/>
        <w:ind w:left="572" w:right="0"/>
        <w:jc w:val="left"/>
      </w:pPr>
      <w:r>
        <w:rPr/>
        <w:t>③审计机构对公司的该年度财务报告出具标准无保留意见的审计报告；</w:t>
      </w:r>
    </w:p>
    <w:p>
      <w:pPr>
        <w:spacing w:line="240" w:lineRule="auto" w:before="10"/>
        <w:rPr>
          <w:rFonts w:ascii="宋体" w:hAnsi="宋体" w:cs="宋体" w:eastAsia="宋体" w:hint="default"/>
          <w:sz w:val="14"/>
          <w:szCs w:val="14"/>
        </w:rPr>
      </w:pPr>
    </w:p>
    <w:p>
      <w:pPr>
        <w:pStyle w:val="BodyText"/>
        <w:spacing w:line="408" w:lineRule="auto"/>
        <w:ind w:left="572" w:right="0"/>
        <w:jc w:val="left"/>
      </w:pPr>
      <w:r>
        <w:rPr/>
        <w:t>④公司无重大投资计划或重大现金支出等事项发生（募集资金项目除外）。</w:t>
      </w:r>
      <w:r>
        <w:rPr>
          <w:w w:val="100"/>
        </w:rPr>
        <w:t> </w:t>
      </w:r>
      <w:r>
        <w:rPr>
          <w:spacing w:val="-2"/>
        </w:rPr>
        <w:t>重大投资计划或重大现金支出是指公司未来十二个月内拟对外投资、收购资产或者购买设备的累计支</w:t>
      </w:r>
    </w:p>
    <w:p>
      <w:pPr>
        <w:pStyle w:val="BodyText"/>
        <w:spacing w:line="240" w:lineRule="auto" w:before="46"/>
        <w:ind w:right="0"/>
        <w:jc w:val="left"/>
      </w:pPr>
      <w:r>
        <w:rPr/>
        <w:t>出达到或者超过公司最近一期经审计总资产的</w:t>
      </w:r>
      <w:r>
        <w:rPr>
          <w:rFonts w:ascii="Times New Roman" w:hAnsi="Times New Roman" w:cs="Times New Roman" w:eastAsia="Times New Roman" w:hint="default"/>
        </w:rPr>
        <w:t>30%</w:t>
      </w:r>
      <w:r>
        <w:rPr/>
        <w:t>。</w:t>
      </w:r>
    </w:p>
    <w:p>
      <w:pPr>
        <w:pStyle w:val="BodyText"/>
        <w:spacing w:line="386" w:lineRule="auto" w:before="177"/>
        <w:ind w:right="0" w:firstLine="419"/>
        <w:jc w:val="left"/>
      </w:pPr>
      <w:r>
        <w:rPr>
          <w:spacing w:val="-4"/>
        </w:rPr>
        <w:t>上述现金分红条件中的第①</w:t>
      </w:r>
      <w:r>
        <w:rPr>
          <w:rFonts w:ascii="Times New Roman" w:hAnsi="Times New Roman" w:cs="Times New Roman" w:eastAsia="Times New Roman" w:hint="default"/>
          <w:spacing w:val="-4"/>
        </w:rPr>
        <w:t>-</w:t>
      </w:r>
      <w:r>
        <w:rPr>
          <w:spacing w:val="-4"/>
        </w:rPr>
        <w:t>③项系公司实施现金分红条件的必备条件；经股东大会审议通过，上述现</w:t>
      </w:r>
      <w:r>
        <w:rPr>
          <w:spacing w:val="-3"/>
          <w:w w:val="100"/>
        </w:rPr>
        <w:t> </w:t>
      </w:r>
      <w:r>
        <w:rPr/>
        <w:t>金分红条件中的第④项应不影响公司实施现金分红。</w:t>
      </w:r>
    </w:p>
    <w:p>
      <w:pPr>
        <w:pStyle w:val="BodyText"/>
        <w:spacing w:line="386" w:lineRule="auto" w:before="65"/>
        <w:ind w:left="572" w:right="0"/>
        <w:jc w:val="left"/>
      </w:pPr>
      <w:r>
        <w:rPr/>
        <w:t>（</w:t>
      </w:r>
      <w:r>
        <w:rPr>
          <w:rFonts w:ascii="Times New Roman" w:hAnsi="Times New Roman" w:cs="Times New Roman" w:eastAsia="Times New Roman" w:hint="default"/>
        </w:rPr>
        <w:t>3</w:t>
      </w:r>
      <w:r>
        <w:rPr/>
        <w:t>）现金分红比例</w:t>
      </w:r>
      <w:r>
        <w:rPr>
          <w:w w:val="100"/>
        </w:rPr>
        <w:t> </w:t>
      </w:r>
      <w:r>
        <w:rPr>
          <w:spacing w:val="-2"/>
        </w:rPr>
        <w:t>原则上公司按年度将可供分配的利润进行分配，必要时公司也可以进行中期利润分配。公司最近三年</w:t>
      </w:r>
    </w:p>
    <w:p>
      <w:pPr>
        <w:pStyle w:val="BodyText"/>
        <w:spacing w:line="386" w:lineRule="auto" w:before="65"/>
        <w:ind w:right="0"/>
        <w:jc w:val="left"/>
      </w:pPr>
      <w:r>
        <w:rPr>
          <w:spacing w:val="-2"/>
        </w:rPr>
        <w:t>以现金方式累计分配的利润不少于最近三年实现的年均可分配利润的</w:t>
      </w:r>
      <w:r>
        <w:rPr>
          <w:rFonts w:ascii="Times New Roman" w:hAnsi="Times New Roman" w:cs="Times New Roman" w:eastAsia="Times New Roman" w:hint="default"/>
          <w:spacing w:val="-2"/>
        </w:rPr>
        <w:t>30%</w:t>
      </w:r>
      <w:r>
        <w:rPr>
          <w:spacing w:val="-2"/>
        </w:rPr>
        <w:t>。每年具体的现金分红比例预案</w:t>
      </w:r>
      <w:r>
        <w:rPr>
          <w:spacing w:val="-5"/>
        </w:rPr>
        <w:t> </w:t>
      </w:r>
      <w:r>
        <w:rPr>
          <w:spacing w:val="-5"/>
        </w:rPr>
      </w:r>
      <w:r>
        <w:rPr/>
        <w:t>由董事会根据前述规定、结合公司经营状况及相关规定拟定，并提交股东大会表决。</w:t>
      </w:r>
    </w:p>
    <w:p>
      <w:pPr>
        <w:pStyle w:val="BodyText"/>
        <w:spacing w:line="398" w:lineRule="auto" w:before="65"/>
        <w:ind w:left="572" w:right="2501"/>
        <w:jc w:val="left"/>
      </w:pPr>
      <w:r>
        <w:rPr/>
        <w:t>（</w:t>
      </w:r>
      <w:r>
        <w:rPr>
          <w:rFonts w:ascii="Times New Roman" w:hAnsi="Times New Roman" w:cs="Times New Roman" w:eastAsia="Times New Roman" w:hint="default"/>
        </w:rPr>
        <w:t>4</w:t>
      </w:r>
      <w:r>
        <w:rPr/>
        <w:t>）利润分配的期间间隔</w:t>
      </w:r>
      <w:r>
        <w:rPr>
          <w:spacing w:val="-3"/>
          <w:w w:val="100"/>
        </w:rPr>
        <w:t> </w:t>
      </w:r>
      <w:r>
        <w:rPr>
          <w:spacing w:val="-2"/>
        </w:rPr>
        <w:t>每年度进行一次分红，在有条件的情况下，公司可以进行中期现金分红。</w:t>
      </w:r>
      <w:r>
        <w:rPr>
          <w:spacing w:val="-45"/>
        </w:rPr>
        <w:t> </w:t>
      </w:r>
      <w:r>
        <w:rPr>
          <w:spacing w:val="-45"/>
        </w:rPr>
      </w:r>
      <w:r>
        <w:rPr>
          <w:rFonts w:ascii="Times New Roman" w:hAnsi="Times New Roman" w:cs="Times New Roman" w:eastAsia="Times New Roman" w:hint="default"/>
        </w:rPr>
        <w:t>4</w:t>
      </w:r>
      <w:r>
        <w:rPr/>
        <w:t>、利润分配政策的决策程序：</w:t>
      </w:r>
    </w:p>
    <w:p>
      <w:pPr>
        <w:pStyle w:val="BodyText"/>
        <w:spacing w:line="408" w:lineRule="auto" w:before="24"/>
        <w:ind w:right="1128" w:firstLine="420"/>
        <w:jc w:val="both"/>
      </w:pPr>
      <w:r>
        <w:rPr>
          <w:spacing w:val="-2"/>
        </w:rPr>
        <w:t>公司董事会拟定现金股利分配方案的，由股东大会经普通决议的方式表决通过；公司董事会拟定股票</w:t>
      </w:r>
      <w:r>
        <w:rPr>
          <w:w w:val="100"/>
        </w:rPr>
        <w:t> </w:t>
      </w:r>
      <w:r>
        <w:rPr>
          <w:spacing w:val="-2"/>
        </w:rPr>
        <w:t>股利分配方案的，由股东大会经特别决议的方式表决通过。公司监事会应当对董事会编制的股利分配方案</w:t>
      </w:r>
      <w:r>
        <w:rPr>
          <w:spacing w:val="-42"/>
        </w:rPr>
        <w:t> </w:t>
      </w:r>
      <w:r>
        <w:rPr>
          <w:spacing w:val="-42"/>
        </w:rPr>
      </w:r>
      <w:r>
        <w:rPr/>
        <w:t>进行审核并提出书面审核意见。</w:t>
      </w:r>
    </w:p>
    <w:p>
      <w:pPr>
        <w:pStyle w:val="BodyText"/>
        <w:spacing w:line="408" w:lineRule="auto" w:before="46"/>
        <w:ind w:right="0" w:firstLine="420"/>
        <w:jc w:val="left"/>
      </w:pPr>
      <w:r>
        <w:rPr>
          <w:spacing w:val="-5"/>
        </w:rPr>
        <w:t>公司在制定现金分红具体方案时，董事会应当认真研究和论证公司现金分红的时机、条件和最低比例、</w:t>
      </w:r>
      <w:r>
        <w:rPr>
          <w:w w:val="100"/>
        </w:rPr>
        <w:t> </w:t>
      </w:r>
      <w:r>
        <w:rPr/>
        <w:t>调整的条件及其决策程序要求等事宜，独立董事应当发表明确意见。</w:t>
      </w:r>
    </w:p>
    <w:p>
      <w:pPr>
        <w:pStyle w:val="BodyText"/>
        <w:spacing w:line="408" w:lineRule="auto" w:before="46"/>
        <w:ind w:left="572" w:right="0"/>
        <w:jc w:val="left"/>
      </w:pPr>
      <w:r>
        <w:rPr/>
        <w:t>独立董事可以征集中小股东的意见，提出分红提案，并直接提交董事会审议。</w:t>
      </w:r>
      <w:r>
        <w:rPr>
          <w:w w:val="100"/>
        </w:rPr>
        <w:t> </w:t>
      </w:r>
      <w:r>
        <w:rPr>
          <w:spacing w:val="-2"/>
        </w:rPr>
        <w:t>股东大会对现金分红具体方案进行审议前，公司应当通过多种渠道主动与股东特别是中小股东进行沟</w:t>
      </w:r>
    </w:p>
    <w:p>
      <w:pPr>
        <w:pStyle w:val="BodyText"/>
        <w:spacing w:line="408" w:lineRule="auto" w:before="46"/>
        <w:ind w:left="572" w:right="0" w:hanging="421"/>
        <w:jc w:val="left"/>
      </w:pPr>
      <w:r>
        <w:rPr/>
        <w:t>通和交流，充分听取中小股东的意见和诉求，及时答复中小股东关心的问题。</w:t>
      </w:r>
      <w:r>
        <w:rPr>
          <w:w w:val="100"/>
        </w:rPr>
        <w:t> </w:t>
      </w:r>
      <w:r>
        <w:rPr>
          <w:spacing w:val="-2"/>
        </w:rPr>
        <w:t>公司在上一个会计年度实现盈利，但公司董事会在上一会计年度结束后未提出现金利润分配预案的，</w:t>
      </w:r>
    </w:p>
    <w:p>
      <w:pPr>
        <w:pStyle w:val="BodyText"/>
        <w:spacing w:line="408" w:lineRule="auto" w:before="46"/>
        <w:ind w:right="1129"/>
        <w:jc w:val="left"/>
      </w:pPr>
      <w:r>
        <w:rPr>
          <w:spacing w:val="-2"/>
        </w:rPr>
        <w:t>应当在定期报告中详细说明未分红的原因、未用于分红的资金留存公司的用途，独立董事还应当对此发表</w:t>
      </w:r>
      <w:r>
        <w:rPr>
          <w:spacing w:val="-42"/>
        </w:rPr>
        <w:t> </w:t>
      </w:r>
      <w:r>
        <w:rPr>
          <w:spacing w:val="-42"/>
        </w:rPr>
      </w:r>
      <w:r>
        <w:rPr/>
        <w:t>独立意见。</w:t>
      </w:r>
    </w:p>
    <w:p>
      <w:pPr>
        <w:pStyle w:val="BodyText"/>
        <w:spacing w:line="240" w:lineRule="auto" w:before="46"/>
        <w:ind w:left="572" w:right="0"/>
        <w:jc w:val="left"/>
      </w:pPr>
      <w:r>
        <w:rPr/>
        <w:t>公司若当年不进行或低于本章程规定的现金分红比例进行利润分配的，公司董事会应当在定期报告中</w:t>
      </w:r>
    </w:p>
    <w:p>
      <w:pPr>
        <w:spacing w:after="0" w:line="240"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8"/>
        <w:jc w:val="both"/>
      </w:pPr>
      <w:r>
        <w:rPr>
          <w:spacing w:val="-2"/>
        </w:rPr>
        <w:t>披露原因，独立董事应当对此发表独立意见，有关利润分配的议案需经公司董事会审议后提交股东大会批</w:t>
      </w:r>
      <w:r>
        <w:rPr>
          <w:spacing w:val="-42"/>
        </w:rPr>
        <w:t> </w:t>
      </w:r>
      <w:r>
        <w:rPr>
          <w:spacing w:val="-42"/>
        </w:rPr>
      </w:r>
      <w:r>
        <w:rPr>
          <w:spacing w:val="-2"/>
        </w:rPr>
        <w:t>准，并在股东大会提案中详细论证说明原因及留存资金的具体用途，且公司需提供网络投票的方式，由股</w:t>
      </w:r>
      <w:r>
        <w:rPr>
          <w:spacing w:val="-43"/>
        </w:rPr>
        <w:t> </w:t>
      </w:r>
      <w:r>
        <w:rPr>
          <w:spacing w:val="-43"/>
        </w:rPr>
      </w:r>
      <w:r>
        <w:rPr/>
        <w:t>东大会以特别决议的方式表决通过。</w:t>
      </w:r>
    </w:p>
    <w:p>
      <w:pPr>
        <w:pStyle w:val="BodyText"/>
        <w:spacing w:line="386" w:lineRule="auto" w:before="46"/>
        <w:ind w:left="572" w:right="0"/>
        <w:jc w:val="left"/>
      </w:pPr>
      <w:r>
        <w:rPr>
          <w:rFonts w:ascii="Times New Roman" w:hAnsi="Times New Roman" w:cs="Times New Roman" w:eastAsia="Times New Roman" w:hint="default"/>
        </w:rPr>
        <w:t>5</w:t>
      </w:r>
      <w:r>
        <w:rPr/>
        <w:t>、利润分配政策的调整机制</w:t>
      </w:r>
      <w:r>
        <w:rPr>
          <w:spacing w:val="-3"/>
          <w:w w:val="100"/>
        </w:rPr>
        <w:t> </w:t>
      </w:r>
      <w:r>
        <w:rPr>
          <w:spacing w:val="-2"/>
        </w:rPr>
        <w:t>公司根据生产经营情况、投资规划和长期发展的需要，需调整利润分配政策的，调整后的利润分配政</w:t>
      </w:r>
    </w:p>
    <w:p>
      <w:pPr>
        <w:pStyle w:val="BodyText"/>
        <w:spacing w:line="408" w:lineRule="auto" w:before="65"/>
        <w:ind w:right="1128"/>
        <w:jc w:val="both"/>
      </w:pPr>
      <w:r>
        <w:rPr>
          <w:spacing w:val="-2"/>
        </w:rPr>
        <w:t>策应以股东权益保护为出发点，不得违反中国证监会和证券交易所的有关规定，独立董事应当对此发表独</w:t>
      </w:r>
      <w:r>
        <w:rPr>
          <w:spacing w:val="-42"/>
        </w:rPr>
        <w:t> </w:t>
      </w:r>
      <w:r>
        <w:rPr>
          <w:spacing w:val="-42"/>
        </w:rPr>
      </w:r>
      <w:r>
        <w:rPr>
          <w:spacing w:val="-2"/>
        </w:rPr>
        <w:t>立意见，有关调整利润分配政策的议案需经公司董事会审议后提交公司股东大会批准，并在股东大会提案</w:t>
      </w:r>
      <w:r>
        <w:rPr>
          <w:spacing w:val="-42"/>
        </w:rPr>
        <w:t> </w:t>
      </w:r>
      <w:r>
        <w:rPr>
          <w:spacing w:val="-42"/>
        </w:rPr>
      </w:r>
      <w:r>
        <w:rPr/>
        <w:t>中详细论证和说明原因，且公司需提供网络投票的方式，由股东大会以特别决议的方式表决通过。</w:t>
      </w:r>
    </w:p>
    <w:p>
      <w:pPr>
        <w:pStyle w:val="BodyText"/>
        <w:spacing w:line="408" w:lineRule="auto" w:before="46"/>
        <w:ind w:left="572" w:right="0"/>
        <w:jc w:val="left"/>
      </w:pPr>
      <w:r>
        <w:rPr/>
        <w:t>（二）未来分红回报规划</w:t>
      </w:r>
      <w:r>
        <w:rPr>
          <w:w w:val="100"/>
        </w:rPr>
        <w:t> </w:t>
      </w:r>
      <w:r>
        <w:rPr>
          <w:spacing w:val="-3"/>
        </w:rPr>
        <w:t>公司股票上市后未来三年，利润分配可采取现金、股票、现金与股票相结合或者法律、法规允许的其</w:t>
      </w:r>
      <w:r>
        <w:rPr/>
      </w:r>
    </w:p>
    <w:p>
      <w:pPr>
        <w:pStyle w:val="BodyText"/>
        <w:spacing w:line="408" w:lineRule="auto" w:before="46"/>
        <w:ind w:right="1128"/>
        <w:jc w:val="both"/>
      </w:pPr>
      <w:r>
        <w:rPr>
          <w:spacing w:val="-2"/>
        </w:rPr>
        <w:t>他方式。公司在选择利润分配方式时，相对于股票股利等分配方式优先采用现金分红的利润分配方式。根</w:t>
      </w:r>
      <w:r>
        <w:rPr>
          <w:spacing w:val="-42"/>
        </w:rPr>
        <w:t> </w:t>
      </w:r>
      <w:r>
        <w:rPr>
          <w:spacing w:val="-42"/>
        </w:rPr>
      </w:r>
      <w:r>
        <w:rPr>
          <w:spacing w:val="-2"/>
        </w:rPr>
        <w:t>据公司现金流状况、业务成长性、每股净资产规模等真实合理因素，公司可以采用发放股票股利方式进行</w:t>
      </w:r>
      <w:r>
        <w:rPr>
          <w:spacing w:val="-43"/>
        </w:rPr>
        <w:t> </w:t>
      </w:r>
      <w:r>
        <w:rPr>
          <w:spacing w:val="-43"/>
        </w:rPr>
      </w:r>
      <w:r>
        <w:rPr/>
        <w:t>利润分配。</w:t>
      </w:r>
    </w:p>
    <w:p>
      <w:pPr>
        <w:pStyle w:val="BodyText"/>
        <w:spacing w:line="400" w:lineRule="auto" w:before="46"/>
        <w:ind w:right="1128" w:firstLine="420"/>
        <w:jc w:val="both"/>
      </w:pPr>
      <w:r>
        <w:rPr/>
        <w:pict>
          <v:shape style="position:absolute;margin-left:56.400002pt;margin-top:92.670181pt;width:479.2pt;height:172.4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6"/>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2"/>
                          <w:ind w:left="24" w:right="6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spacing w:val="-2"/>
        </w:rPr>
        <w:t>公司具备现金分红条件的，公司应当采取现金方式分配股利，公司最近三年以现金方式累计分配的利</w:t>
      </w:r>
      <w:r>
        <w:rPr>
          <w:w w:val="100"/>
        </w:rPr>
        <w:t> </w:t>
      </w:r>
      <w:r>
        <w:rPr>
          <w:spacing w:val="-2"/>
        </w:rPr>
        <w:t>润不少于最近三年实现的年均可分配利润的</w:t>
      </w:r>
      <w:r>
        <w:rPr>
          <w:rFonts w:ascii="Times New Roman" w:hAnsi="Times New Roman" w:cs="Times New Roman" w:eastAsia="Times New Roman" w:hint="default"/>
          <w:spacing w:val="-2"/>
        </w:rPr>
        <w:t>30%</w:t>
      </w:r>
      <w:r>
        <w:rPr>
          <w:spacing w:val="-2"/>
        </w:rPr>
        <w:t>；公司在实施上述现金分配股利的同时，可以派发股票股</w:t>
      </w:r>
      <w:r>
        <w:rPr>
          <w:spacing w:val="-5"/>
        </w:rPr>
        <w:t> </w:t>
      </w:r>
      <w:r>
        <w:rPr>
          <w:spacing w:val="-5"/>
        </w:rPr>
      </w:r>
      <w:r>
        <w:rPr>
          <w:spacing w:val="-2"/>
        </w:rPr>
        <w:t>利。为了回报股东，同时考虑募集资金投资项目建设及公司业务发展需要，公司在进行利润分配时，现金</w:t>
      </w:r>
      <w:r>
        <w:rPr>
          <w:spacing w:val="-47"/>
        </w:rPr>
        <w:t> </w:t>
      </w:r>
      <w:r>
        <w:rPr>
          <w:spacing w:val="-47"/>
        </w:rPr>
      </w:r>
      <w:r>
        <w:rPr/>
        <w:t>分红在本次利润分配中所占比例最低应达到</w:t>
      </w:r>
      <w:r>
        <w:rPr>
          <w:rFonts w:ascii="Times New Roman" w:hAnsi="Times New Roman" w:cs="Times New Roman" w:eastAsia="Times New Roman" w:hint="default"/>
        </w:rPr>
        <w:t>20%</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5"/>
        <w:ind w:left="153" w:right="4273"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本年度利润分配及资本公积金转增股本情况</w:t>
      </w:r>
    </w:p>
    <w:p>
      <w:pPr>
        <w:spacing w:line="240" w:lineRule="auto" w:before="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16"/>
        <w:gridCol w:w="5851"/>
      </w:tblGrid>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0.5</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8"/>
        <w:rPr>
          <w:rFonts w:ascii="宋体" w:hAnsi="宋体" w:cs="宋体" w:eastAsia="宋体" w:hint="default"/>
          <w:sz w:val="24"/>
          <w:szCs w:val="24"/>
        </w:rPr>
      </w:pPr>
      <w:r>
        <w:rPr/>
        <w:pict>
          <v:shape style="position:absolute;margin-left:218.640015pt;margin-top:132.839981pt;width:316.2pt;height:19.6pt;mso-position-horizontal-relative:page;mso-position-vertical-relative:page;z-index:-98665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（元）</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718"/>
        <w:gridCol w:w="2786"/>
        <w:gridCol w:w="3065"/>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9,000,000.00</w:t>
            </w:r>
            <w:r>
              <w:rPr>
                <w:rFonts w:ascii="Times New Roman"/>
                <w:sz w:val="18"/>
              </w:rPr>
            </w:r>
          </w:p>
        </w:tc>
      </w:tr>
      <w:tr>
        <w:trPr>
          <w:trHeight w:val="402" w:hRule="exact"/>
        </w:trPr>
        <w:tc>
          <w:tcPr>
            <w:tcW w:w="3718" w:type="dxa"/>
            <w:tcBorders>
              <w:top w:val="single" w:sz="4" w:space="0" w:color="000000"/>
              <w:left w:val="single" w:sz="4" w:space="0" w:color="000000"/>
              <w:bottom w:val="single" w:sz="4" w:space="0" w:color="000000"/>
              <w:right w:val="single" w:sz="13" w:space="0" w:color="FFFFFF"/>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w:t>
            </w:r>
          </w:p>
        </w:tc>
        <w:tc>
          <w:tcPr>
            <w:tcW w:w="2786" w:type="dxa"/>
            <w:tcBorders>
              <w:top w:val="single" w:sz="4" w:space="0" w:color="000000"/>
              <w:left w:val="single" w:sz="13" w:space="0" w:color="FFFFFF"/>
              <w:bottom w:val="single" w:sz="4" w:space="0" w:color="000000"/>
              <w:right w:val="nil" w:sz="6" w:space="0" w:color="auto"/>
            </w:tcBorders>
          </w:tcPr>
          <w:p>
            <w:pPr/>
          </w:p>
        </w:tc>
        <w:tc>
          <w:tcPr>
            <w:tcW w:w="3065" w:type="dxa"/>
            <w:tcBorders>
              <w:top w:val="single" w:sz="4" w:space="0" w:color="000000"/>
              <w:left w:val="nil" w:sz="6" w:space="0" w:color="auto"/>
              <w:bottom w:val="single" w:sz="4" w:space="0" w:color="000000"/>
              <w:right w:val="single" w:sz="13" w:space="0" w:color="FFFFFF"/>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61" w:hRule="exact"/>
        </w:trPr>
        <w:tc>
          <w:tcPr>
            <w:tcW w:w="3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5851"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9,000,000.00</w:t>
            </w:r>
            <w:r>
              <w:rPr>
                <w:rFonts w:ascii="Times New Roman"/>
                <w:sz w:val="18"/>
              </w:rPr>
            </w:r>
          </w:p>
        </w:tc>
      </w:tr>
      <w:tr>
        <w:trPr>
          <w:trHeight w:val="391" w:hRule="exact"/>
        </w:trPr>
        <w:tc>
          <w:tcPr>
            <w:tcW w:w="3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1" w:type="dxa"/>
            <w:gridSpan w:val="2"/>
            <w:vMerge/>
            <w:tcBorders>
              <w:left w:val="single" w:sz="4" w:space="0" w:color="000000"/>
              <w:right w:val="single" w:sz="4" w:space="0" w:color="000000"/>
            </w:tcBorders>
          </w:tcPr>
          <w:p>
            <w:pPr/>
          </w:p>
        </w:tc>
      </w:tr>
      <w:tr>
        <w:trPr>
          <w:trHeight w:val="162" w:hRule="exact"/>
        </w:trPr>
        <w:tc>
          <w:tcPr>
            <w:tcW w:w="3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5851" w:type="dxa"/>
            <w:gridSpan w:val="2"/>
            <w:vMerge/>
            <w:tcBorders>
              <w:left w:val="single" w:sz="4" w:space="0" w:color="000000"/>
              <w:bottom w:val="single" w:sz="4" w:space="0" w:color="000000"/>
              <w:right w:val="single" w:sz="4" w:space="0" w:color="000000"/>
            </w:tcBorders>
          </w:tcPr>
          <w:p>
            <w:pP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22,882,811.60</w:t>
            </w:r>
            <w:r>
              <w:rPr>
                <w:rFonts w:ascii="Times New Roman"/>
                <w:sz w:val="18"/>
              </w:rPr>
            </w:r>
          </w:p>
        </w:tc>
      </w:tr>
      <w:tr>
        <w:trPr>
          <w:trHeight w:val="714" w:hRule="exact"/>
        </w:trPr>
        <w:tc>
          <w:tcPr>
            <w:tcW w:w="3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83"/>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51" w:type="dxa"/>
            <w:gridSpan w:val="2"/>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3"/>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88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66" w:hRule="exact"/>
        </w:trPr>
        <w:tc>
          <w:tcPr>
            <w:tcW w:w="95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以公司股份总数</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亿股为</w:t>
            </w:r>
            <w:r>
              <w:rPr>
                <w:rFonts w:ascii="宋体" w:hAnsi="宋体" w:cs="宋体" w:eastAsia="宋体" w:hint="default"/>
                <w:spacing w:val="-3"/>
                <w:sz w:val="18"/>
                <w:szCs w:val="18"/>
              </w:rPr>
              <w:t>基</w:t>
            </w:r>
            <w:r>
              <w:rPr>
                <w:rFonts w:ascii="宋体" w:hAnsi="宋体" w:cs="宋体" w:eastAsia="宋体" w:hint="default"/>
                <w:sz w:val="18"/>
                <w:szCs w:val="18"/>
              </w:rPr>
              <w:t>数</w:t>
            </w:r>
            <w:r>
              <w:rPr>
                <w:rFonts w:ascii="宋体" w:hAnsi="宋体" w:cs="宋体" w:eastAsia="宋体" w:hint="default"/>
                <w:spacing w:val="-10"/>
                <w:sz w:val="18"/>
                <w:szCs w:val="18"/>
              </w:rPr>
              <w:t>，</w:t>
            </w:r>
            <w:r>
              <w:rPr>
                <w:rFonts w:ascii="宋体" w:hAnsi="宋体" w:cs="宋体" w:eastAsia="宋体" w:hint="default"/>
                <w:sz w:val="18"/>
                <w:szCs w:val="18"/>
              </w:rPr>
              <w:t>向全体股东按每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r>
              <w:rPr>
                <w:rFonts w:ascii="宋体" w:hAnsi="宋体" w:cs="宋体" w:eastAsia="宋体" w:hint="default"/>
                <w:spacing w:val="-3"/>
                <w:sz w:val="18"/>
                <w:szCs w:val="18"/>
              </w:rPr>
              <w:t>发</w:t>
            </w:r>
            <w:r>
              <w:rPr>
                <w:rFonts w:ascii="宋体" w:hAnsi="宋体" w:cs="宋体" w:eastAsia="宋体" w:hint="default"/>
                <w:sz w:val="18"/>
                <w:szCs w:val="18"/>
              </w:rPr>
              <w:t>现金股利人民币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元</w:t>
            </w:r>
            <w:r>
              <w:rPr>
                <w:rFonts w:ascii="宋体" w:hAnsi="宋体" w:cs="宋体" w:eastAsia="宋体" w:hint="default"/>
                <w:sz w:val="18"/>
                <w:szCs w:val="18"/>
              </w:rPr>
              <w:t>（含</w:t>
            </w:r>
            <w:r>
              <w:rPr>
                <w:rFonts w:ascii="宋体" w:hAnsi="宋体" w:cs="宋体" w:eastAsia="宋体" w:hint="default"/>
                <w:spacing w:val="-3"/>
                <w:sz w:val="18"/>
                <w:szCs w:val="18"/>
              </w:rPr>
              <w:t>税</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合计派发现金股利为人</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万元（含税</w:t>
            </w:r>
            <w:r>
              <w:rPr>
                <w:rFonts w:ascii="宋体" w:hAnsi="宋体" w:cs="宋体" w:eastAsia="宋体" w:hint="default"/>
                <w:spacing w:val="-92"/>
                <w:sz w:val="18"/>
                <w:szCs w:val="18"/>
              </w:rPr>
              <w:t>）</w:t>
            </w:r>
            <w:r>
              <w:rPr>
                <w:rFonts w:ascii="宋体" w:hAnsi="宋体" w:cs="宋体" w:eastAsia="宋体" w:hint="default"/>
                <w:sz w:val="18"/>
                <w:szCs w:val="18"/>
              </w:rPr>
              <w:t>。本次不进行资本公积转增股本，不送红股。</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BodyText"/>
        <w:spacing w:line="386" w:lineRule="auto" w:before="157"/>
        <w:ind w:right="1128" w:firstLine="420"/>
        <w:jc w:val="both"/>
      </w:pPr>
      <w:r>
        <w:rPr>
          <w:rFonts w:ascii="Times New Roman" w:hAnsi="Times New Roman" w:cs="Times New Roman" w:eastAsia="Times New Roman" w:hint="default"/>
          <w:spacing w:val="-1"/>
        </w:rPr>
        <w:t>2017</w:t>
      </w:r>
      <w:r>
        <w:rPr>
          <w:spacing w:val="-1"/>
        </w:rPr>
        <w:t>年度，以公司股份总数</w:t>
      </w:r>
      <w:r>
        <w:rPr>
          <w:rFonts w:ascii="Times New Roman" w:hAnsi="Times New Roman" w:cs="Times New Roman" w:eastAsia="Times New Roman" w:hint="default"/>
          <w:spacing w:val="-1"/>
        </w:rPr>
        <w:t>1</w:t>
      </w:r>
      <w:r>
        <w:rPr>
          <w:spacing w:val="-1"/>
        </w:rPr>
        <w:t>亿股为基数，向全体股东按每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0.5</w:t>
      </w:r>
      <w:r>
        <w:rPr>
          <w:spacing w:val="-1"/>
        </w:rPr>
        <w:t>元（含税），</w:t>
      </w:r>
      <w:r>
        <w:rPr>
          <w:w w:val="100"/>
        </w:rPr>
        <w:t> </w:t>
      </w:r>
      <w:r>
        <w:rPr>
          <w:spacing w:val="-2"/>
        </w:rPr>
        <w:t>合计派发现金股利为人民币</w:t>
      </w:r>
      <w:r>
        <w:rPr>
          <w:rFonts w:ascii="Times New Roman" w:hAnsi="Times New Roman" w:cs="Times New Roman" w:eastAsia="Times New Roman" w:hint="default"/>
          <w:spacing w:val="-2"/>
        </w:rPr>
        <w:t>500</w:t>
      </w:r>
      <w:r>
        <w:rPr>
          <w:spacing w:val="-2"/>
        </w:rPr>
        <w:t>万元（含税）；同时，以资本公积金向全体股东每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8</w:t>
      </w:r>
      <w:r>
        <w:rPr>
          <w:spacing w:val="-2"/>
        </w:rPr>
        <w:t>股，共计转增</w:t>
      </w:r>
      <w:r>
        <w:rPr>
          <w:spacing w:val="-44"/>
        </w:rPr>
        <w:t> </w:t>
      </w:r>
      <w:r>
        <w:rPr>
          <w:spacing w:val="-44"/>
        </w:rPr>
      </w:r>
      <w:r>
        <w:rPr>
          <w:rFonts w:ascii="Times New Roman" w:hAnsi="Times New Roman" w:cs="Times New Roman" w:eastAsia="Times New Roman" w:hint="default"/>
        </w:rPr>
        <w:t>8000</w:t>
      </w:r>
      <w:r>
        <w:rPr/>
        <w:t>万股，转增后公司总股本增加至</w:t>
      </w:r>
      <w:r>
        <w:rPr>
          <w:rFonts w:ascii="Times New Roman" w:hAnsi="Times New Roman" w:cs="Times New Roman" w:eastAsia="Times New Roman" w:hint="default"/>
        </w:rPr>
        <w:t>18000</w:t>
      </w:r>
      <w:r>
        <w:rPr/>
        <w:t>万股。</w:t>
      </w:r>
    </w:p>
    <w:p>
      <w:pPr>
        <w:pStyle w:val="BodyText"/>
        <w:spacing w:line="386" w:lineRule="auto" w:before="35"/>
        <w:ind w:right="0" w:firstLine="419"/>
        <w:jc w:val="left"/>
      </w:pPr>
      <w:r>
        <w:rPr>
          <w:rFonts w:ascii="Times New Roman" w:hAnsi="Times New Roman" w:cs="Times New Roman" w:eastAsia="Times New Roman" w:hint="default"/>
          <w:spacing w:val="-4"/>
        </w:rPr>
        <w:t>2018</w:t>
      </w:r>
      <w:r>
        <w:rPr>
          <w:spacing w:val="-4"/>
        </w:rPr>
        <w:t>年度，以公司股份总数</w:t>
      </w:r>
      <w:r>
        <w:rPr>
          <w:rFonts w:ascii="Times New Roman" w:hAnsi="Times New Roman" w:cs="Times New Roman" w:eastAsia="Times New Roman" w:hint="default"/>
          <w:spacing w:val="-4"/>
        </w:rPr>
        <w:t>1.8</w:t>
      </w:r>
      <w:r>
        <w:rPr>
          <w:spacing w:val="-4"/>
        </w:rPr>
        <w:t>亿股为基数，向全体股东按每</w:t>
      </w:r>
      <w:r>
        <w:rPr>
          <w:rFonts w:ascii="Times New Roman" w:hAnsi="Times New Roman" w:cs="Times New Roman" w:eastAsia="Times New Roman" w:hint="default"/>
          <w:spacing w:val="-4"/>
        </w:rPr>
        <w:t>10</w:t>
      </w:r>
      <w:r>
        <w:rPr>
          <w:spacing w:val="-4"/>
        </w:rPr>
        <w:t>股派发现金股利人民币</w:t>
      </w:r>
      <w:r>
        <w:rPr>
          <w:rFonts w:ascii="Times New Roman" w:hAnsi="Times New Roman" w:cs="Times New Roman" w:eastAsia="Times New Roman" w:hint="default"/>
          <w:spacing w:val="-4"/>
        </w:rPr>
        <w:t>0.50</w:t>
      </w:r>
      <w:r>
        <w:rPr>
          <w:spacing w:val="-4"/>
        </w:rPr>
        <w:t>元（含税），</w:t>
      </w:r>
      <w:r>
        <w:rPr>
          <w:w w:val="100"/>
        </w:rPr>
        <w:t> </w:t>
      </w:r>
      <w:r>
        <w:rPr/>
        <w:t>合计派发现金股利为人民币</w:t>
      </w:r>
      <w:r>
        <w:rPr>
          <w:rFonts w:ascii="Times New Roman" w:hAnsi="Times New Roman" w:cs="Times New Roman" w:eastAsia="Times New Roman" w:hint="default"/>
        </w:rPr>
        <w:t>900</w:t>
      </w:r>
      <w:r>
        <w:rPr/>
        <w:t>万元（含税）。不进行资本公积转增股本，不送红股。</w:t>
      </w:r>
    </w:p>
    <w:p>
      <w:pPr>
        <w:pStyle w:val="BodyText"/>
        <w:spacing w:line="393" w:lineRule="auto" w:before="35"/>
        <w:ind w:right="0" w:firstLine="419"/>
        <w:jc w:val="left"/>
      </w:pPr>
      <w:r>
        <w:rPr>
          <w:rFonts w:ascii="Times New Roman" w:hAnsi="Times New Roman" w:cs="Times New Roman" w:eastAsia="Times New Roman" w:hint="default"/>
          <w:spacing w:val="-4"/>
        </w:rPr>
        <w:t>2019</w:t>
      </w:r>
      <w:r>
        <w:rPr>
          <w:spacing w:val="-4"/>
        </w:rPr>
        <w:t>年度，以公司股份总数</w:t>
      </w:r>
      <w:r>
        <w:rPr>
          <w:rFonts w:ascii="Times New Roman" w:hAnsi="Times New Roman" w:cs="Times New Roman" w:eastAsia="Times New Roman" w:hint="default"/>
          <w:spacing w:val="-4"/>
        </w:rPr>
        <w:t>1.8</w:t>
      </w:r>
      <w:r>
        <w:rPr>
          <w:spacing w:val="-4"/>
        </w:rPr>
        <w:t>亿股为基数，向全体股东按每</w:t>
      </w:r>
      <w:r>
        <w:rPr>
          <w:rFonts w:ascii="Times New Roman" w:hAnsi="Times New Roman" w:cs="Times New Roman" w:eastAsia="Times New Roman" w:hint="default"/>
          <w:spacing w:val="-4"/>
        </w:rPr>
        <w:t>10</w:t>
      </w:r>
      <w:r>
        <w:rPr>
          <w:spacing w:val="-4"/>
        </w:rPr>
        <w:t>股派发现金股利人民币</w:t>
      </w:r>
      <w:r>
        <w:rPr>
          <w:rFonts w:ascii="Times New Roman" w:hAnsi="Times New Roman" w:cs="Times New Roman" w:eastAsia="Times New Roman" w:hint="default"/>
          <w:spacing w:val="-4"/>
        </w:rPr>
        <w:t>0.50</w:t>
      </w:r>
      <w:r>
        <w:rPr>
          <w:spacing w:val="-4"/>
        </w:rPr>
        <w:t>元（含税），</w:t>
      </w:r>
      <w:r>
        <w:rPr>
          <w:w w:val="100"/>
        </w:rPr>
        <w:t> </w:t>
      </w:r>
      <w:r>
        <w:rPr/>
        <w:t>合计派发现金股利为人民币</w:t>
      </w:r>
      <w:r>
        <w:rPr>
          <w:rFonts w:ascii="Times New Roman" w:hAnsi="Times New Roman" w:cs="Times New Roman" w:eastAsia="Times New Roman" w:hint="default"/>
        </w:rPr>
        <w:t>900</w:t>
      </w:r>
      <w:r>
        <w:rPr/>
        <w:t>万元（含税）。本次不进行资本公积转增股本，不送红股。董事会审议利</w:t>
      </w:r>
      <w:r>
        <w:rPr>
          <w:spacing w:val="-28"/>
        </w:rPr>
        <w:t> </w:t>
      </w:r>
      <w:r>
        <w:rPr>
          <w:spacing w:val="-28"/>
        </w:rPr>
      </w:r>
      <w:r>
        <w:rPr>
          <w:spacing w:val="-2"/>
        </w:rPr>
        <w:t>润分配预案后股本发生变动的，将按照分配总额不变的原则对分配比例进行调整。本利润分配方案尚需提</w:t>
      </w:r>
      <w:r>
        <w:rPr>
          <w:spacing w:val="-42"/>
        </w:rPr>
        <w:t> </w:t>
      </w:r>
      <w:r>
        <w:rPr>
          <w:spacing w:val="-42"/>
        </w:rPr>
      </w:r>
      <w:r>
        <w:rPr/>
        <w:t>交本公司</w:t>
      </w:r>
      <w:r>
        <w:rPr>
          <w:rFonts w:ascii="Times New Roman" w:hAnsi="Times New Roman" w:cs="Times New Roman" w:eastAsia="Times New Roman" w:hint="default"/>
        </w:rPr>
        <w:t>2019</w:t>
      </w:r>
      <w:r>
        <w:rPr/>
        <w:t>年度股东大会审议批准。</w:t>
      </w:r>
    </w:p>
    <w:p>
      <w:pPr>
        <w:spacing w:before="15"/>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5"/>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5"/>
        <w:gridCol w:w="1195"/>
        <w:gridCol w:w="1198"/>
        <w:gridCol w:w="1195"/>
        <w:gridCol w:w="1195"/>
        <w:gridCol w:w="1198"/>
      </w:tblGrid>
      <w:tr>
        <w:trPr>
          <w:trHeight w:val="2273" w:hRule="exact"/>
        </w:trPr>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12" w:right="139"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9,000,000.00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35,288,967.18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9" w:right="0"/>
              <w:jc w:val="left"/>
              <w:rPr>
                <w:rFonts w:ascii="Times New Roman" w:hAnsi="Times New Roman" w:cs="Times New Roman" w:eastAsia="Times New Roman" w:hint="default"/>
                <w:sz w:val="18"/>
                <w:szCs w:val="18"/>
              </w:rPr>
            </w:pPr>
            <w:r>
              <w:rPr>
                <w:rFonts w:ascii="Times New Roman"/>
                <w:sz w:val="18"/>
              </w:rPr>
              <w:t>25.50%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8" w:right="0"/>
              <w:jc w:val="lef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9,000,000.00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9" w:right="0"/>
              <w:jc w:val="left"/>
              <w:rPr>
                <w:rFonts w:ascii="Times New Roman" w:hAnsi="Times New Roman" w:cs="Times New Roman" w:eastAsia="Times New Roman" w:hint="default"/>
                <w:sz w:val="18"/>
                <w:szCs w:val="18"/>
              </w:rPr>
            </w:pPr>
            <w:r>
              <w:rPr>
                <w:rFonts w:ascii="Times New Roman"/>
                <w:sz w:val="18"/>
              </w:rPr>
              <w:t>25.50%</w:t>
            </w:r>
          </w:p>
        </w:tc>
      </w:tr>
    </w:tbl>
    <w:p>
      <w:pPr>
        <w:spacing w:after="0" w:line="240" w:lineRule="auto"/>
        <w:jc w:val="lef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5"/>
        <w:gridCol w:w="1195"/>
        <w:gridCol w:w="1198"/>
        <w:gridCol w:w="1195"/>
        <w:gridCol w:w="1195"/>
        <w:gridCol w:w="1198"/>
      </w:tblGrid>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9,000,000.00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46,807,199.75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19.23%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9,000,000.00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19.23%</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42,536,330.87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11.75%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11.75%</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8"/>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5"/>
          <w:szCs w:val="15"/>
        </w:rPr>
      </w:pPr>
    </w:p>
    <w:p>
      <w:pPr>
        <w:pStyle w:val="Heading2"/>
        <w:spacing w:line="240" w:lineRule="auto" w:before="26"/>
        <w:ind w:left="140"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40"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pict>
          <v:shape style="position:absolute;margin-left:390.11969pt;margin-top:93.431709pt;width:221.65pt;height:300.5pt;mso-position-horizontal-relative:page;mso-position-vertical-relative:paragraph;z-index:-9866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或者上市后六个月期末收盘价低于发行价，</w:t>
                  </w:r>
                </w:p>
              </w:txbxContent>
            </v:textbox>
            <w10:wrap type="none"/>
          </v:shape>
        </w:pict>
      </w:r>
      <w:r>
        <w:rPr/>
        <w:pict>
          <v:group style="position:absolute;margin-left:558.23999pt;margin-top:93.431709pt;width:53.55pt;height:300.5pt;mso-position-horizontal-relative:page;mso-position-vertical-relative:paragraph;z-index:-986584" coordorigin="11165,1869" coordsize="1071,6010">
            <v:group style="position:absolute;left:11165;top:1869;width:1071;height:6010" coordorigin="11165,1869" coordsize="1071,6010">
              <v:shape style="position:absolute;left:11165;top:1869;width:1071;height:6010" coordorigin="11165,1869" coordsize="1071,6010" path="m11165,7878l12235,7878,12235,1869,11165,1869,11165,7878xe" filled="true" fillcolor="#ffffff" stroked="false">
                <v:path arrowok="t"/>
                <v:fill type="solid"/>
              </v:shape>
            </v:group>
            <v:group style="position:absolute;left:11189;top:4521;width:1023;height:353" coordorigin="11189,4521" coordsize="1023,353">
              <v:shape style="position:absolute;left:11189;top:4521;width:1023;height:353" coordorigin="11189,4521" coordsize="1023,353" path="m11189,4873l12211,4873,12211,4521,11189,4521,11189,4873xe" filled="true" fillcolor="#ffffff" stroked="false">
                <v:path arrowok="t"/>
                <v:fill type="solid"/>
              </v:shape>
            </v:group>
            <v:group style="position:absolute;left:11189;top:4873;width:1023;height:353" coordorigin="11189,4873" coordsize="1023,353">
              <v:shape style="position:absolute;left:11189;top:4873;width:1023;height:353" coordorigin="11189,4873" coordsize="1023,353" path="m11189,5226l12211,5226,12211,4873,11189,4873,11189,5226xe" filled="true" fillcolor="#ffffff" stroked="false">
                <v:path arrowok="t"/>
                <v:fill type="solid"/>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2837"/>
        <w:gridCol w:w="1123"/>
        <w:gridCol w:w="1128"/>
        <w:gridCol w:w="4632"/>
        <w:gridCol w:w="1080"/>
        <w:gridCol w:w="1260"/>
        <w:gridCol w:w="1891"/>
      </w:tblGrid>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8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080"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8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5" w:hRule="exact"/>
        </w:trPr>
        <w:tc>
          <w:tcPr>
            <w:tcW w:w="28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8" w:type="dxa"/>
            <w:tcBorders>
              <w:top w:val="single" w:sz="4" w:space="0" w:color="000000"/>
              <w:left w:val="single" w:sz="4" w:space="0" w:color="000000"/>
              <w:bottom w:val="single" w:sz="4" w:space="0" w:color="000000"/>
              <w:right w:val="single" w:sz="4" w:space="0" w:color="000000"/>
            </w:tcBorders>
          </w:tcPr>
          <w:p>
            <w:pPr/>
          </w:p>
        </w:tc>
        <w:tc>
          <w:tcPr>
            <w:tcW w:w="463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8" w:type="dxa"/>
            <w:tcBorders>
              <w:top w:val="single" w:sz="4" w:space="0" w:color="000000"/>
              <w:left w:val="single" w:sz="4" w:space="0" w:color="000000"/>
              <w:bottom w:val="single" w:sz="4" w:space="0" w:color="000000"/>
              <w:right w:val="single" w:sz="4" w:space="0" w:color="000000"/>
            </w:tcBorders>
          </w:tcPr>
          <w:p>
            <w:pPr/>
          </w:p>
        </w:tc>
        <w:tc>
          <w:tcPr>
            <w:tcW w:w="463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2813" w:hRule="exact"/>
        </w:trPr>
        <w:tc>
          <w:tcPr>
            <w:tcW w:w="2837" w:type="dxa"/>
            <w:tcBorders>
              <w:top w:val="single" w:sz="4" w:space="0" w:color="000000"/>
              <w:left w:val="single" w:sz="4" w:space="0" w:color="000000"/>
              <w:bottom w:val="nil" w:sz="6" w:space="0" w:color="auto"/>
              <w:right w:val="single" w:sz="4" w:space="0" w:color="000000"/>
            </w:tcBorders>
            <w:shd w:val="clear" w:color="auto" w:fill="D4D4D4"/>
          </w:tcPr>
          <w:p>
            <w:pP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1" w:right="11"/>
              <w:jc w:val="left"/>
              <w:rPr>
                <w:rFonts w:ascii="宋体" w:hAnsi="宋体" w:cs="宋体" w:eastAsia="宋体" w:hint="default"/>
                <w:sz w:val="18"/>
                <w:szCs w:val="18"/>
              </w:rPr>
            </w:pPr>
            <w:r>
              <w:rPr>
                <w:rFonts w:ascii="宋体" w:hAnsi="宋体" w:cs="宋体" w:eastAsia="宋体" w:hint="default"/>
                <w:sz w:val="18"/>
                <w:szCs w:val="18"/>
              </w:rPr>
              <w:t>王晓宇、付忠 良、史志明、 尹邦明</w:t>
            </w:r>
            <w:r>
              <w:rPr>
                <w:rFonts w:ascii="宋体" w:hAnsi="宋体" w:cs="宋体" w:eastAsia="宋体" w:hint="default"/>
                <w:spacing w:val="1"/>
                <w:sz w:val="18"/>
                <w:szCs w:val="18"/>
              </w:rPr>
              <w:t> </w:t>
            </w:r>
            <w:r>
              <w:rPr>
                <w:rFonts w:ascii="宋体" w:hAnsi="宋体" w:cs="宋体" w:eastAsia="宋体" w:hint="default"/>
                <w:sz w:val="18"/>
                <w:szCs w:val="18"/>
              </w:rPr>
              <w:t>、钟</w:t>
            </w:r>
            <w:r>
              <w:rPr>
                <w:rFonts w:ascii="宋体" w:hAnsi="宋体" w:cs="宋体" w:eastAsia="宋体" w:hint="default"/>
                <w:sz w:val="18"/>
                <w:szCs w:val="18"/>
              </w:rPr>
              <w:t> 勇、王晓东、 刘小兵</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23" w:right="192"/>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4632" w:type="dxa"/>
            <w:vMerge w:val="restart"/>
            <w:tcBorders>
              <w:top w:val="single" w:sz="4" w:space="0" w:color="000000"/>
              <w:left w:val="single" w:sz="4" w:space="0" w:color="000000"/>
              <w:right w:val="single" w:sz="4" w:space="0" w:color="000000"/>
            </w:tcBorders>
          </w:tcPr>
          <w:p>
            <w:pPr>
              <w:pStyle w:val="TableParagraph"/>
              <w:spacing w:line="316" w:lineRule="auto" w:before="51"/>
              <w:ind w:left="21" w:right="23"/>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、自公司股票上市之日起的十二个月内，不转让或委托他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人管理本人所直接或间接持有的中科信息首次公开发行股 票前已发行股份，也不由中科信息回购该部分股份；前述 锁定期满后，在担任中科信息董事或高级管理人员期间， 每年转让的股份不超过本人所直接或间接持有的中科信息 股份总数的百分之二十五；在申报离职后半年内不转让本 人所直接或间接持有的中科信息股份；在中科信息股票上 市之日起六个月内申报离职的，自申报离职之日起十八个 月内不转让本人所直接或间接持有的中科信息股份；在中 科信息股票上市之日起第七个月至第十二个月之间申报离 职的，自申报离职之日起十二个月内不转让本人所直接或 </w:t>
            </w:r>
            <w:r>
              <w:rPr>
                <w:rFonts w:ascii="宋体" w:hAnsi="宋体" w:cs="宋体" w:eastAsia="宋体" w:hint="default"/>
                <w:spacing w:val="-1"/>
                <w:sz w:val="18"/>
                <w:szCs w:val="18"/>
              </w:rPr>
              <w:t>间接持有的中科信息股份。</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、所持中科信息股票在锁定期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满后两年内减持的，减持价格不低于发行价；中科信息上 市后六个月内如中科信息股票连续二十个交易日的收盘价 均低于发行价， 持有中科信息股票的锁定期限自动延长六个月。如遇除权 除息，上述减持价格及收盘价均作相应调整。上述承诺不 因职务变更或离职等原因而失效。如未履行上述承诺，转 让相关股份所取得的收益归中科信息所有。</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8"/>
                <w:sz w:val="18"/>
                <w:szCs w:val="18"/>
              </w:rPr>
              <w:t>作出承诺时，至</w:t>
            </w:r>
            <w:r>
              <w:rPr>
                <w:rFonts w:ascii="宋体" w:hAnsi="宋体" w:cs="宋体" w:eastAsia="宋体" w:hint="default"/>
                <w:sz w:val="18"/>
                <w:szCs w:val="18"/>
              </w:rPr>
              <w:t> 承诺履行完毕</w:t>
            </w:r>
          </w:p>
        </w:tc>
        <w:tc>
          <w:tcPr>
            <w:tcW w:w="18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承诺人严格信守承诺， 未出现违犯承诺的情况</w:t>
            </w:r>
          </w:p>
        </w:tc>
      </w:tr>
      <w:tr>
        <w:trPr>
          <w:trHeight w:val="394" w:hRule="exact"/>
        </w:trPr>
        <w:tc>
          <w:tcPr>
            <w:tcW w:w="283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2813" w:hRule="exact"/>
        </w:trPr>
        <w:tc>
          <w:tcPr>
            <w:tcW w:w="2837" w:type="dxa"/>
            <w:tcBorders>
              <w:top w:val="nil" w:sz="6" w:space="0" w:color="auto"/>
              <w:left w:val="single" w:sz="4" w:space="0" w:color="000000"/>
              <w:bottom w:val="single" w:sz="4" w:space="0" w:color="000000"/>
              <w:right w:val="single" w:sz="4" w:space="0" w:color="000000"/>
            </w:tcBorders>
            <w:shd w:val="clear" w:color="auto" w:fill="D4D4D4"/>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4632"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891" w:type="dxa"/>
            <w:vMerge/>
            <w:tcBorders>
              <w:left w:val="single" w:sz="4" w:space="0" w:color="000000"/>
              <w:bottom w:val="single" w:sz="4" w:space="0" w:color="000000"/>
              <w:right w:val="single" w:sz="4" w:space="0" w:color="000000"/>
            </w:tcBorders>
          </w:tcPr>
          <w:p>
            <w:pPr/>
          </w:p>
        </w:tc>
      </w:tr>
    </w:tbl>
    <w:p>
      <w:pPr>
        <w:spacing w:after="0"/>
        <w:sectPr>
          <w:headerReference w:type="default" r:id="rId24"/>
          <w:footerReference w:type="default" r:id="rId25"/>
          <w:pgSz w:w="16840" w:h="11910" w:orient="landscape"/>
          <w:pgMar w:header="870" w:footer="977" w:top="1060" w:bottom="1160" w:left="1300" w:right="1300"/>
          <w:pgNumType w:start="64"/>
        </w:sectPr>
      </w:pPr>
    </w:p>
    <w:p>
      <w:pPr>
        <w:spacing w:line="240" w:lineRule="auto" w:before="11"/>
        <w:rPr>
          <w:rFonts w:ascii="Times New Roman" w:hAnsi="Times New Roman" w:cs="Times New Roman" w:eastAsia="Times New Roman" w:hint="default"/>
          <w:sz w:val="2"/>
          <w:szCs w:val="2"/>
        </w:rPr>
      </w:pPr>
      <w:r>
        <w:rPr/>
        <w:pict>
          <v:shape style="position:absolute;margin-left:480.11972pt;margin-top:280.080017pt;width:131.65pt;height:128.8pt;mso-position-horizontal-relative:page;mso-position-vertical-relative:page;z-index:-9865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如未履行上述承诺，</w:t>
                  </w:r>
                </w:p>
              </w:txbxContent>
            </v:textbox>
            <w10:wrap type="none"/>
          </v:shape>
        </w:pict>
      </w:r>
      <w:r>
        <w:rPr/>
        <w:pict>
          <v:group style="position:absolute;margin-left:558.23999pt;margin-top:280.080017pt;width:53.55pt;height:128.8pt;mso-position-horizontal-relative:page;mso-position-vertical-relative:page;z-index:-986536" coordorigin="11165,5602" coordsize="1071,2576">
            <v:group style="position:absolute;left:11165;top:5602;width:1071;height:2576" coordorigin="11165,5602" coordsize="1071,2576">
              <v:shape style="position:absolute;left:11165;top:5602;width:1071;height:2576" coordorigin="11165,5602" coordsize="1071,2576" path="m11165,8177l12235,8177,12235,5602,11165,5602,11165,8177xe" filled="true" fillcolor="#ffffff" stroked="false">
                <v:path arrowok="t"/>
                <v:fill type="solid"/>
              </v:shape>
            </v:group>
            <v:group style="position:absolute;left:11189;top:6538;width:1023;height:353" coordorigin="11189,6538" coordsize="1023,353">
              <v:shape style="position:absolute;left:11189;top:6538;width:1023;height:353" coordorigin="11189,6538" coordsize="1023,353" path="m11189,6890l12211,6890,12211,6538,11189,6538,11189,6890xe" filled="true" fillcolor="#ffffff" stroked="false">
                <v:path arrowok="t"/>
                <v:fill type="solid"/>
              </v:shape>
            </v:group>
            <v:group style="position:absolute;left:11189;top:6890;width:1023;height:351" coordorigin="11189,6890" coordsize="1023,351">
              <v:shape style="position:absolute;left:11189;top:6890;width:1023;height:351" coordorigin="11189,6890" coordsize="1023,351" path="m11189,7241l12211,7241,12211,6890,11189,6890,11189,7241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837"/>
        <w:gridCol w:w="1123"/>
        <w:gridCol w:w="1128"/>
        <w:gridCol w:w="4632"/>
        <w:gridCol w:w="1080"/>
        <w:gridCol w:w="1260"/>
        <w:gridCol w:w="1891"/>
      </w:tblGrid>
      <w:tr>
        <w:trPr>
          <w:trHeight w:val="373" w:hRule="exact"/>
        </w:trPr>
        <w:tc>
          <w:tcPr>
            <w:tcW w:w="2837" w:type="dxa"/>
            <w:vMerge w:val="restart"/>
            <w:tcBorders>
              <w:top w:val="single" w:sz="15" w:space="0" w:color="000000"/>
              <w:left w:val="single" w:sz="4" w:space="0" w:color="000000"/>
              <w:right w:val="single" w:sz="4" w:space="0" w:color="000000"/>
            </w:tcBorders>
            <w:shd w:val="clear" w:color="auto" w:fill="D4D4D4"/>
          </w:tcPr>
          <w:p>
            <w:pPr/>
          </w:p>
        </w:tc>
        <w:tc>
          <w:tcPr>
            <w:tcW w:w="1123" w:type="dxa"/>
            <w:tcBorders>
              <w:top w:val="single" w:sz="15" w:space="0" w:color="000000"/>
              <w:left w:val="single" w:sz="4" w:space="0" w:color="000000"/>
              <w:bottom w:val="nil" w:sz="6" w:space="0" w:color="auto"/>
              <w:right w:val="single" w:sz="4" w:space="0" w:color="000000"/>
            </w:tcBorders>
          </w:tcPr>
          <w:p>
            <w:pPr/>
          </w:p>
        </w:tc>
        <w:tc>
          <w:tcPr>
            <w:tcW w:w="1128" w:type="dxa"/>
            <w:tcBorders>
              <w:top w:val="single" w:sz="15" w:space="0" w:color="000000"/>
              <w:left w:val="single" w:sz="4" w:space="0" w:color="000000"/>
              <w:bottom w:val="nil" w:sz="6" w:space="0" w:color="auto"/>
              <w:right w:val="single" w:sz="4" w:space="0" w:color="000000"/>
            </w:tcBorders>
          </w:tcPr>
          <w:p>
            <w:pPr/>
          </w:p>
        </w:tc>
        <w:tc>
          <w:tcPr>
            <w:tcW w:w="463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自公司股票上市之日起的十二个月内，不转让或委托他人</w:t>
            </w:r>
          </w:p>
        </w:tc>
        <w:tc>
          <w:tcPr>
            <w:tcW w:w="1080" w:type="dxa"/>
            <w:tcBorders>
              <w:top w:val="single" w:sz="15" w:space="0" w:color="000000"/>
              <w:left w:val="single" w:sz="4" w:space="0" w:color="000000"/>
              <w:bottom w:val="nil" w:sz="6" w:space="0" w:color="auto"/>
              <w:right w:val="single" w:sz="4" w:space="0" w:color="000000"/>
            </w:tcBorders>
          </w:tcPr>
          <w:p>
            <w:pPr/>
          </w:p>
        </w:tc>
        <w:tc>
          <w:tcPr>
            <w:tcW w:w="1260" w:type="dxa"/>
            <w:tcBorders>
              <w:top w:val="single" w:sz="15" w:space="0" w:color="000000"/>
              <w:left w:val="single" w:sz="4" w:space="0" w:color="000000"/>
              <w:bottom w:val="nil" w:sz="6" w:space="0" w:color="auto"/>
              <w:right w:val="single" w:sz="4" w:space="0" w:color="000000"/>
            </w:tcBorders>
          </w:tcPr>
          <w:p>
            <w:pPr/>
          </w:p>
        </w:tc>
        <w:tc>
          <w:tcPr>
            <w:tcW w:w="1891" w:type="dxa"/>
            <w:tcBorders>
              <w:top w:val="single" w:sz="15" w:space="0" w:color="000000"/>
              <w:left w:val="single" w:sz="4" w:space="0" w:color="000000"/>
              <w:bottom w:val="nil" w:sz="6" w:space="0" w:color="auto"/>
              <w:right w:val="single" w:sz="4" w:space="0" w:color="000000"/>
            </w:tcBorders>
          </w:tcPr>
          <w:p>
            <w:pPr/>
          </w:p>
        </w:tc>
      </w:tr>
      <w:tr>
        <w:trPr>
          <w:trHeight w:val="311"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管理本人所直接或间接持有的中科信息首次公开发行股票</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前已发行股份，也不由中科信息回购该部分股份；前述锁</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定期满后，在担任中科信息监事期间，每年转让的股份不</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超过本人所直接或间接持有的中科信息股份总数的百分之</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二十五；在申报离职后半年内不转让本人所直接或间接持</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王伟、肖帆</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4" w:lineRule="auto" w:before="13"/>
              <w:ind w:left="23" w:right="192"/>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1" w:right="98"/>
              <w:jc w:val="left"/>
              <w:rPr>
                <w:rFonts w:ascii="宋体" w:hAnsi="宋体" w:cs="宋体" w:eastAsia="宋体" w:hint="default"/>
                <w:sz w:val="18"/>
                <w:szCs w:val="18"/>
              </w:rPr>
            </w:pPr>
            <w:r>
              <w:rPr>
                <w:rFonts w:ascii="宋体" w:hAnsi="宋体" w:cs="宋体" w:eastAsia="宋体" w:hint="default"/>
                <w:sz w:val="18"/>
                <w:szCs w:val="18"/>
              </w:rPr>
              <w:t>有的中科信息股份；在中科信息股票上市之日起六个月内 申报离职的，自申报离职之日起十八个月内不转让本人所</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314" w:lineRule="auto" w:before="13"/>
              <w:ind w:left="23" w:right="19"/>
              <w:jc w:val="left"/>
              <w:rPr>
                <w:rFonts w:ascii="宋体" w:hAnsi="宋体" w:cs="宋体" w:eastAsia="宋体" w:hint="default"/>
                <w:sz w:val="18"/>
                <w:szCs w:val="18"/>
              </w:rPr>
            </w:pPr>
            <w:r>
              <w:rPr>
                <w:rFonts w:ascii="宋体" w:hAnsi="宋体" w:cs="宋体" w:eastAsia="宋体" w:hint="default"/>
                <w:spacing w:val="-8"/>
                <w:sz w:val="18"/>
                <w:szCs w:val="18"/>
              </w:rPr>
              <w:t>作出承诺时，至</w:t>
            </w:r>
            <w:r>
              <w:rPr>
                <w:rFonts w:ascii="宋体" w:hAnsi="宋体" w:cs="宋体" w:eastAsia="宋体" w:hint="default"/>
                <w:sz w:val="18"/>
                <w:szCs w:val="18"/>
              </w:rPr>
              <w:t> 承诺履行完毕</w:t>
            </w:r>
          </w:p>
        </w:tc>
        <w:tc>
          <w:tcPr>
            <w:tcW w:w="1891" w:type="dxa"/>
            <w:tcBorders>
              <w:top w:val="nil" w:sz="6" w:space="0" w:color="auto"/>
              <w:left w:val="single" w:sz="4" w:space="0" w:color="000000"/>
              <w:bottom w:val="nil" w:sz="6" w:space="0" w:color="auto"/>
              <w:right w:val="single" w:sz="4" w:space="0" w:color="000000"/>
            </w:tcBorders>
          </w:tcPr>
          <w:p>
            <w:pPr>
              <w:pStyle w:val="TableParagraph"/>
              <w:spacing w:line="314" w:lineRule="auto" w:before="13"/>
              <w:ind w:left="23" w:right="55"/>
              <w:jc w:val="left"/>
              <w:rPr>
                <w:rFonts w:ascii="宋体" w:hAnsi="宋体" w:cs="宋体" w:eastAsia="宋体" w:hint="default"/>
                <w:sz w:val="18"/>
                <w:szCs w:val="18"/>
              </w:rPr>
            </w:pPr>
            <w:r>
              <w:rPr>
                <w:rFonts w:ascii="宋体" w:hAnsi="宋体" w:cs="宋体" w:eastAsia="宋体" w:hint="default"/>
                <w:sz w:val="18"/>
                <w:szCs w:val="18"/>
              </w:rPr>
              <w:t>承诺人严格信守承诺， 未出现违犯承诺的情况</w:t>
            </w: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直接或间接持有的中科信息股份；在中科信息股票上市之</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日起第七个月至第十二个月之间申报离职的，自申报离职</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之日起十二个月内不转让本人所直接或间接持有的中科信</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息股份。上述承诺不因职务变更或离职等原因而失效。如</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未履行上述承诺，转让相关股份所取得的收益归中科信息</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46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所有。</w:t>
            </w:r>
          </w:p>
        </w:tc>
        <w:tc>
          <w:tcPr>
            <w:tcW w:w="108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891"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837" w:type="dxa"/>
            <w:vMerge/>
            <w:tcBorders>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46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自中科信息股票上市之日起三十六个月内，不转让或者委</w:t>
            </w:r>
          </w:p>
        </w:tc>
        <w:tc>
          <w:tcPr>
            <w:tcW w:w="108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89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托他人管理本公司本次发行前已持有的中科信息的股份，</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也不由中科信息回购本公司持有的上述股信息上市后六个</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国科控股</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2"/>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1" w:right="98"/>
              <w:jc w:val="left"/>
              <w:rPr>
                <w:rFonts w:ascii="宋体" w:hAnsi="宋体" w:cs="宋体" w:eastAsia="宋体" w:hint="default"/>
                <w:sz w:val="18"/>
                <w:szCs w:val="18"/>
              </w:rPr>
            </w:pPr>
            <w:r>
              <w:rPr>
                <w:rFonts w:ascii="宋体" w:hAnsi="宋体" w:cs="宋体" w:eastAsia="宋体" w:hint="default"/>
                <w:sz w:val="18"/>
                <w:szCs w:val="18"/>
              </w:rPr>
              <w:t>月内如中科信息股票连续二十个交易日的收盘价均低于发 行价，或者上市后六个月期末收盘价低于发行价，持有中</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pacing w:val="-8"/>
                <w:sz w:val="18"/>
                <w:szCs w:val="18"/>
              </w:rPr>
              <w:t>作出承诺时，至</w:t>
            </w:r>
            <w:r>
              <w:rPr>
                <w:rFonts w:ascii="宋体" w:hAnsi="宋体" w:cs="宋体" w:eastAsia="宋体" w:hint="default"/>
                <w:sz w:val="18"/>
                <w:szCs w:val="18"/>
              </w:rPr>
              <w:t> 承诺履行完毕</w:t>
            </w:r>
          </w:p>
        </w:tc>
        <w:tc>
          <w:tcPr>
            <w:tcW w:w="189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55"/>
              <w:jc w:val="left"/>
              <w:rPr>
                <w:rFonts w:ascii="宋体" w:hAnsi="宋体" w:cs="宋体" w:eastAsia="宋体" w:hint="default"/>
                <w:sz w:val="18"/>
                <w:szCs w:val="18"/>
              </w:rPr>
            </w:pPr>
            <w:r>
              <w:rPr>
                <w:rFonts w:ascii="宋体" w:hAnsi="宋体" w:cs="宋体" w:eastAsia="宋体" w:hint="default"/>
                <w:sz w:val="18"/>
                <w:szCs w:val="18"/>
              </w:rPr>
              <w:t>承诺人严格信守承诺， 未出现违犯承诺的情况</w:t>
            </w: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科信息股票的锁定期限自动延长六个月。如遇除权除息，</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上述减持价格及收盘价均作相应调整。</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46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转让相关股份所取得的收益归中科信息所有。</w:t>
            </w:r>
          </w:p>
        </w:tc>
        <w:tc>
          <w:tcPr>
            <w:tcW w:w="108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891"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2837" w:type="dxa"/>
            <w:vMerge/>
            <w:tcBorders>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46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自中科信息股票上市之日起三十六个月内，不转让或者委</w:t>
            </w:r>
          </w:p>
        </w:tc>
        <w:tc>
          <w:tcPr>
            <w:tcW w:w="108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891"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埃德凯森</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3" w:right="192"/>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1" w:right="98"/>
              <w:jc w:val="left"/>
              <w:rPr>
                <w:rFonts w:ascii="宋体" w:hAnsi="宋体" w:cs="宋体" w:eastAsia="宋体" w:hint="default"/>
                <w:sz w:val="18"/>
                <w:szCs w:val="18"/>
              </w:rPr>
            </w:pPr>
            <w:r>
              <w:rPr>
                <w:rFonts w:ascii="宋体" w:hAnsi="宋体" w:cs="宋体" w:eastAsia="宋体" w:hint="default"/>
                <w:sz w:val="18"/>
                <w:szCs w:val="18"/>
              </w:rPr>
              <w:t>托他人管理本公司本次发行前已持有的中科信息的股份， 也不由中科信息回购本公司持有的上述股份。如未履行上</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3" w:right="19"/>
              <w:jc w:val="left"/>
              <w:rPr>
                <w:rFonts w:ascii="宋体" w:hAnsi="宋体" w:cs="宋体" w:eastAsia="宋体" w:hint="default"/>
                <w:sz w:val="18"/>
                <w:szCs w:val="18"/>
              </w:rPr>
            </w:pPr>
            <w:r>
              <w:rPr>
                <w:rFonts w:ascii="宋体" w:hAnsi="宋体" w:cs="宋体" w:eastAsia="宋体" w:hint="default"/>
                <w:spacing w:val="-8"/>
                <w:sz w:val="18"/>
                <w:szCs w:val="18"/>
              </w:rPr>
              <w:t>作出承诺时，至</w:t>
            </w:r>
            <w:r>
              <w:rPr>
                <w:rFonts w:ascii="宋体" w:hAnsi="宋体" w:cs="宋体" w:eastAsia="宋体" w:hint="default"/>
                <w:sz w:val="18"/>
                <w:szCs w:val="18"/>
              </w:rPr>
              <w:t> 承诺履行完毕</w:t>
            </w:r>
          </w:p>
        </w:tc>
        <w:tc>
          <w:tcPr>
            <w:tcW w:w="1891"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3" w:right="55"/>
              <w:jc w:val="left"/>
              <w:rPr>
                <w:rFonts w:ascii="宋体" w:hAnsi="宋体" w:cs="宋体" w:eastAsia="宋体" w:hint="default"/>
                <w:sz w:val="18"/>
                <w:szCs w:val="18"/>
              </w:rPr>
            </w:pPr>
            <w:r>
              <w:rPr>
                <w:rFonts w:ascii="宋体" w:hAnsi="宋体" w:cs="宋体" w:eastAsia="宋体" w:hint="default"/>
                <w:sz w:val="18"/>
                <w:szCs w:val="18"/>
              </w:rPr>
              <w:t>承诺人严格信守承诺， 未出现违犯承诺的情况</w:t>
            </w:r>
          </w:p>
        </w:tc>
      </w:tr>
      <w:tr>
        <w:trPr>
          <w:trHeight w:val="353"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46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述承诺，转让相关股份所取得的收益归中科信息所有。</w:t>
            </w:r>
          </w:p>
        </w:tc>
        <w:tc>
          <w:tcPr>
            <w:tcW w:w="108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891" w:type="dxa"/>
            <w:tcBorders>
              <w:top w:val="nil" w:sz="6" w:space="0" w:color="auto"/>
              <w:left w:val="single" w:sz="4" w:space="0" w:color="000000"/>
              <w:bottom w:val="single" w:sz="4" w:space="0" w:color="000000"/>
              <w:right w:val="single" w:sz="4" w:space="0" w:color="000000"/>
            </w:tcBorders>
          </w:tcPr>
          <w:p>
            <w:pPr/>
          </w:p>
        </w:tc>
      </w:tr>
      <w:tr>
        <w:trPr>
          <w:trHeight w:val="986" w:hRule="exact"/>
        </w:trPr>
        <w:tc>
          <w:tcPr>
            <w:tcW w:w="2837"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11"/>
              <w:jc w:val="both"/>
              <w:rPr>
                <w:rFonts w:ascii="宋体" w:hAnsi="宋体" w:cs="宋体" w:eastAsia="宋体" w:hint="default"/>
                <w:sz w:val="18"/>
                <w:szCs w:val="18"/>
              </w:rPr>
            </w:pPr>
            <w:r>
              <w:rPr>
                <w:rFonts w:ascii="宋体" w:hAnsi="宋体" w:cs="宋体" w:eastAsia="宋体" w:hint="default"/>
                <w:sz w:val="18"/>
                <w:szCs w:val="18"/>
              </w:rPr>
              <w:t>中科信息、国 科控股、索继 栓、王晓宇、</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4" w:lineRule="auto"/>
              <w:ind w:left="23" w:right="192"/>
              <w:jc w:val="left"/>
              <w:rPr>
                <w:rFonts w:ascii="宋体" w:hAnsi="宋体" w:cs="宋体" w:eastAsia="宋体" w:hint="default"/>
                <w:sz w:val="18"/>
                <w:szCs w:val="18"/>
              </w:rPr>
            </w:pPr>
            <w:r>
              <w:rPr>
                <w:rFonts w:ascii="宋体" w:hAnsi="宋体" w:cs="宋体" w:eastAsia="宋体" w:hint="default"/>
                <w:sz w:val="18"/>
                <w:szCs w:val="18"/>
              </w:rPr>
              <w:t>稳定股价的 承诺</w:t>
            </w:r>
          </w:p>
        </w:tc>
        <w:tc>
          <w:tcPr>
            <w:tcW w:w="46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1" w:right="19"/>
              <w:jc w:val="left"/>
              <w:rPr>
                <w:rFonts w:ascii="宋体" w:hAnsi="宋体" w:cs="宋体" w:eastAsia="宋体" w:hint="default"/>
                <w:sz w:val="18"/>
                <w:szCs w:val="18"/>
              </w:rPr>
            </w:pPr>
            <w:r>
              <w:rPr>
                <w:rFonts w:ascii="宋体" w:hAnsi="宋体" w:cs="宋体" w:eastAsia="宋体" w:hint="default"/>
                <w:sz w:val="18"/>
                <w:szCs w:val="18"/>
              </w:rPr>
              <w:t>公司股票挂牌上市之日起三年内，一旦出现连续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 日公司股票收盘价均低于其最近一期经审计的每股净资产 情形时（若因除权除息等事项致使上述股票收盘价与公司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pacing w:val="-8"/>
                <w:sz w:val="18"/>
                <w:szCs w:val="18"/>
              </w:rPr>
              <w:t>作出承诺时，至</w:t>
            </w:r>
            <w:r>
              <w:rPr>
                <w:rFonts w:ascii="宋体" w:hAnsi="宋体" w:cs="宋体" w:eastAsia="宋体" w:hint="default"/>
                <w:sz w:val="18"/>
                <w:szCs w:val="18"/>
              </w:rPr>
              <w:t> 承诺履行完毕</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4" w:lineRule="auto"/>
              <w:ind w:left="23" w:right="55"/>
              <w:jc w:val="left"/>
              <w:rPr>
                <w:rFonts w:ascii="宋体" w:hAnsi="宋体" w:cs="宋体" w:eastAsia="宋体" w:hint="default"/>
                <w:sz w:val="18"/>
                <w:szCs w:val="18"/>
              </w:rPr>
            </w:pPr>
            <w:r>
              <w:rPr>
                <w:rFonts w:ascii="宋体" w:hAnsi="宋体" w:cs="宋体" w:eastAsia="宋体" w:hint="default"/>
                <w:sz w:val="18"/>
                <w:szCs w:val="18"/>
              </w:rPr>
              <w:t>承诺人严格信守承诺， 未出现违犯承诺的情况</w:t>
            </w:r>
          </w:p>
        </w:tc>
      </w:tr>
    </w:tbl>
    <w:p>
      <w:pPr>
        <w:spacing w:after="0" w:line="314" w:lineRule="auto"/>
        <w:jc w:val="left"/>
        <w:rPr>
          <w:rFonts w:ascii="宋体" w:hAnsi="宋体" w:cs="宋体" w:eastAsia="宋体" w:hint="default"/>
          <w:sz w:val="18"/>
          <w:szCs w:val="18"/>
        </w:rPr>
        <w:sectPr>
          <w:pgSz w:w="16840" w:h="11910" w:orient="landscape"/>
          <w:pgMar w:header="870" w:footer="977" w:top="1060" w:bottom="1160" w:left="1320" w:right="1320"/>
        </w:sectPr>
      </w:pPr>
    </w:p>
    <w:p>
      <w:pPr>
        <w:spacing w:line="316" w:lineRule="auto" w:before="86"/>
        <w:ind w:left="3003" w:right="-20" w:firstLine="0"/>
        <w:jc w:val="left"/>
        <w:rPr>
          <w:rFonts w:ascii="宋体" w:hAnsi="宋体" w:cs="宋体" w:eastAsia="宋体" w:hint="default"/>
          <w:sz w:val="18"/>
          <w:szCs w:val="18"/>
        </w:rPr>
      </w:pPr>
      <w:r>
        <w:rPr/>
        <w:pict>
          <v:shape style="position:absolute;margin-left:264.119995pt;margin-top:57.240005pt;width:62.05pt;height:468pt;mso-position-horizontal-relative:page;mso-position-vertical-relative:page;z-index:-98651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90.11969pt;margin-top:57.240005pt;width:221.65pt;height:468pt;mso-position-horizontal-relative:page;mso-position-vertical-relative:page;z-index:-9864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公司应将稳定股价措施实施情况予以公告。</w:t>
                  </w:r>
                </w:p>
              </w:txbxContent>
            </v:textbox>
            <w10:wrap type="none"/>
          </v:shape>
        </w:pict>
      </w:r>
      <w:r>
        <w:rPr/>
        <w:pict>
          <v:group style="position:absolute;margin-left:70.199997pt;margin-top:55.200008pt;width:701.55pt;height:470.8pt;mso-position-horizontal-relative:page;mso-position-vertical-relative:page;z-index:-986464" coordorigin="1404,1104" coordsize="14031,9416">
            <v:group style="position:absolute;left:1411;top:1111;width:14016;height:2" coordorigin="1411,1111" coordsize="14016,2">
              <v:shape style="position:absolute;left:1411;top:1111;width:14016;height:2" coordorigin="1411,1111" coordsize="14016,0" path="m1411,1111l15427,1111e" filled="false" stroked="true" strokeweight=".72pt" strokecolor="#000000">
                <v:path arrowok="t"/>
              </v:shape>
            </v:group>
            <v:group style="position:absolute;left:1445;top:1145;width:2828;height:9360" coordorigin="1445,1145" coordsize="2828,9360">
              <v:shape style="position:absolute;left:1445;top:1145;width:2828;height:9360" coordorigin="1445,1145" coordsize="2828,9360" path="m1445,10505l4272,10505,4272,1145,1445,1145,1445,10505xe" filled="true" fillcolor="#d4d4d4" stroked="false">
                <v:path arrowok="t"/>
                <v:fill type="solid"/>
              </v:shape>
            </v:group>
            <v:group style="position:absolute;left:5407;top:1145;width:1116;height:9360" coordorigin="5407,1145" coordsize="1116,9360">
              <v:shape style="position:absolute;left:5407;top:1145;width:1116;height:9360" coordorigin="5407,1145" coordsize="1116,9360" path="m5407,10505l6523,10505,6523,1145,5407,1145,5407,10505xe" filled="true" fillcolor="#ffffff" stroked="false">
                <v:path arrowok="t"/>
                <v:fill type="solid"/>
              </v:shape>
            </v:group>
            <v:group style="position:absolute;left:11165;top:1145;width:1071;height:9360" coordorigin="11165,1145" coordsize="1071,9360">
              <v:shape style="position:absolute;left:11165;top:1145;width:1071;height:9360" coordorigin="11165,1145" coordsize="1071,9360" path="m11165,10505l12235,10505,12235,1145,11165,1145,11165,10505xe" filled="true" fillcolor="#ffffff" stroked="false">
                <v:path arrowok="t"/>
                <v:fill type="solid"/>
              </v:shape>
            </v:group>
            <v:group style="position:absolute;left:1445;top:1138;width:2828;height:2" coordorigin="1445,1138" coordsize="2828,2">
              <v:shape style="position:absolute;left:1445;top:1138;width:2828;height:2" coordorigin="1445,1138" coordsize="2828,0" path="m1445,1138l4272,1138e" filled="false" stroked="true" strokeweight=".48pt" strokecolor="#000000">
                <v:path arrowok="t"/>
              </v:shape>
            </v:group>
            <v:group style="position:absolute;left:4282;top:1138;width:1114;height:2" coordorigin="4282,1138" coordsize="1114,2">
              <v:shape style="position:absolute;left:4282;top:1138;width:1114;height:2" coordorigin="4282,1138" coordsize="1114,0" path="m4282,1138l5395,1138e" filled="false" stroked="true" strokeweight=".48pt" strokecolor="#000000">
                <v:path arrowok="t"/>
              </v:shape>
            </v:group>
            <v:group style="position:absolute;left:5405;top:1138;width:1119;height:2" coordorigin="5405,1138" coordsize="1119,2">
              <v:shape style="position:absolute;left:5405;top:1138;width:1119;height:2" coordorigin="5405,1138" coordsize="1119,0" path="m5405,1138l6523,1138e" filled="false" stroked="true" strokeweight=".48pt" strokecolor="#000000">
                <v:path arrowok="t"/>
              </v:shape>
            </v:group>
            <v:group style="position:absolute;left:6533;top:1138;width:4623;height:2" coordorigin="6533,1138" coordsize="4623,2">
              <v:shape style="position:absolute;left:6533;top:1138;width:4623;height:2" coordorigin="6533,1138" coordsize="4623,0" path="m6533,1138l11155,1138e" filled="false" stroked="true" strokeweight=".48pt" strokecolor="#000000">
                <v:path arrowok="t"/>
              </v:shape>
            </v:group>
            <v:group style="position:absolute;left:11165;top:1138;width:1071;height:2" coordorigin="11165,1138" coordsize="1071,2">
              <v:shape style="position:absolute;left:11165;top:1138;width:1071;height:2" coordorigin="11165,1138" coordsize="1071,0" path="m11165,1138l12235,1138e" filled="false" stroked="true" strokeweight=".48pt" strokecolor="#000000">
                <v:path arrowok="t"/>
              </v:shape>
            </v:group>
            <v:group style="position:absolute;left:12245;top:1138;width:1251;height:2" coordorigin="12245,1138" coordsize="1251,2">
              <v:shape style="position:absolute;left:12245;top:1138;width:1251;height:2" coordorigin="12245,1138" coordsize="1251,0" path="m12245,1138l13495,1138e" filled="false" stroked="true" strokeweight=".48pt" strokecolor="#000000">
                <v:path arrowok="t"/>
              </v:shape>
            </v:group>
            <v:group style="position:absolute;left:13505;top:1138;width:1882;height:2" coordorigin="13505,1138" coordsize="1882,2">
              <v:shape style="position:absolute;left:13505;top:1138;width:1882;height:2" coordorigin="13505,1138" coordsize="1882,0" path="m13505,1138l15386,1138e" filled="false" stroked="true" strokeweight=".48pt" strokecolor="#000000">
                <v:path arrowok="t"/>
              </v:shape>
            </v:group>
            <v:group style="position:absolute;left:1440;top:1133;width:2;height:9382" coordorigin="1440,1133" coordsize="2,9382">
              <v:shape style="position:absolute;left:1440;top:1133;width:2;height:9382" coordorigin="1440,1133" coordsize="0,9382" path="m1440,1133l1440,10514e" filled="false" stroked="true" strokeweight=".481pt" strokecolor="#000000">
                <v:path arrowok="t"/>
              </v:shape>
            </v:group>
            <v:group style="position:absolute;left:1445;top:10510;width:2828;height:2" coordorigin="1445,10510" coordsize="2828,2">
              <v:shape style="position:absolute;left:1445;top:10510;width:2828;height:2" coordorigin="1445,10510" coordsize="2828,0" path="m1445,10510l4272,10510e" filled="false" stroked="true" strokeweight=".481pt" strokecolor="#000000">
                <v:path arrowok="t"/>
              </v:shape>
            </v:group>
            <v:group style="position:absolute;left:4277;top:1133;width:2;height:9382" coordorigin="4277,1133" coordsize="2,9382">
              <v:shape style="position:absolute;left:4277;top:1133;width:2;height:9382" coordorigin="4277,1133" coordsize="0,9382" path="m4277,1133l4277,10514e" filled="false" stroked="true" strokeweight=".481pt" strokecolor="#000000">
                <v:path arrowok="t"/>
              </v:shape>
            </v:group>
            <v:group style="position:absolute;left:4282;top:10510;width:1114;height:2" coordorigin="4282,10510" coordsize="1114,2">
              <v:shape style="position:absolute;left:4282;top:10510;width:1114;height:2" coordorigin="4282,10510" coordsize="1114,0" path="m4282,10510l5395,10510e" filled="false" stroked="true" strokeweight=".481pt" strokecolor="#000000">
                <v:path arrowok="t"/>
              </v:shape>
            </v:group>
            <v:group style="position:absolute;left:5400;top:1133;width:2;height:9382" coordorigin="5400,1133" coordsize="2,9382">
              <v:shape style="position:absolute;left:5400;top:1133;width:2;height:9382" coordorigin="5400,1133" coordsize="0,9382" path="m5400,1133l5400,10514e" filled="false" stroked="true" strokeweight=".481pt" strokecolor="#000000">
                <v:path arrowok="t"/>
              </v:shape>
            </v:group>
            <v:group style="position:absolute;left:5405;top:10510;width:1119;height:2" coordorigin="5405,10510" coordsize="1119,2">
              <v:shape style="position:absolute;left:5405;top:10510;width:1119;height:2" coordorigin="5405,10510" coordsize="1119,0" path="m5405,10510l6523,10510e" filled="false" stroked="true" strokeweight=".481pt" strokecolor="#000000">
                <v:path arrowok="t"/>
              </v:shape>
            </v:group>
            <v:group style="position:absolute;left:6528;top:1133;width:2;height:9382" coordorigin="6528,1133" coordsize="2,9382">
              <v:shape style="position:absolute;left:6528;top:1133;width:2;height:9382" coordorigin="6528,1133" coordsize="0,9382" path="m6528,1133l6528,10514e" filled="false" stroked="true" strokeweight=".48pt" strokecolor="#000000">
                <v:path arrowok="t"/>
              </v:shape>
            </v:group>
            <v:group style="position:absolute;left:6533;top:10510;width:4623;height:2" coordorigin="6533,10510" coordsize="4623,2">
              <v:shape style="position:absolute;left:6533;top:10510;width:4623;height:2" coordorigin="6533,10510" coordsize="4623,0" path="m6533,10510l11155,10510e" filled="false" stroked="true" strokeweight=".481pt" strokecolor="#000000">
                <v:path arrowok="t"/>
              </v:shape>
            </v:group>
            <v:group style="position:absolute;left:11160;top:1133;width:2;height:9382" coordorigin="11160,1133" coordsize="2,9382">
              <v:shape style="position:absolute;left:11160;top:1133;width:2;height:9382" coordorigin="11160,1133" coordsize="0,9382" path="m11160,1133l11160,10514e" filled="false" stroked="true" strokeweight=".481pt" strokecolor="#000000">
                <v:path arrowok="t"/>
              </v:shape>
            </v:group>
            <v:group style="position:absolute;left:11165;top:10510;width:1071;height:2" coordorigin="11165,10510" coordsize="1071,2">
              <v:shape style="position:absolute;left:11165;top:10510;width:1071;height:2" coordorigin="11165,10510" coordsize="1071,0" path="m11165,10510l12235,10510e" filled="false" stroked="true" strokeweight=".481pt" strokecolor="#000000">
                <v:path arrowok="t"/>
              </v:shape>
            </v:group>
            <v:group style="position:absolute;left:12240;top:1133;width:2;height:9382" coordorigin="12240,1133" coordsize="2,9382">
              <v:shape style="position:absolute;left:12240;top:1133;width:2;height:9382" coordorigin="12240,1133" coordsize="0,9382" path="m12240,1133l12240,10514e" filled="false" stroked="true" strokeweight=".481pt" strokecolor="#000000">
                <v:path arrowok="t"/>
              </v:shape>
            </v:group>
            <v:group style="position:absolute;left:12245;top:10510;width:1251;height:2" coordorigin="12245,10510" coordsize="1251,2">
              <v:shape style="position:absolute;left:12245;top:10510;width:1251;height:2" coordorigin="12245,10510" coordsize="1251,0" path="m12245,10510l13495,10510e" filled="false" stroked="true" strokeweight=".481pt" strokecolor="#000000">
                <v:path arrowok="t"/>
              </v:shape>
            </v:group>
            <v:group style="position:absolute;left:13500;top:1133;width:2;height:9382" coordorigin="13500,1133" coordsize="2,9382">
              <v:shape style="position:absolute;left:13500;top:1133;width:2;height:9382" coordorigin="13500,1133" coordsize="0,9382" path="m13500,1133l13500,10514e" filled="false" stroked="true" strokeweight=".481pt" strokecolor="#000000">
                <v:path arrowok="t"/>
              </v:shape>
            </v:group>
            <v:group style="position:absolute;left:13505;top:10510;width:1882;height:2" coordorigin="13505,10510" coordsize="1882,2">
              <v:shape style="position:absolute;left:13505;top:10510;width:1882;height:2" coordorigin="13505,10510" coordsize="1882,0" path="m13505,10510l15386,10510e" filled="false" stroked="true" strokeweight=".481pt" strokecolor="#000000">
                <v:path arrowok="t"/>
              </v:shape>
            </v:group>
            <v:group style="position:absolute;left:15391;top:1133;width:2;height:9382" coordorigin="15391,1133" coordsize="2,9382">
              <v:shape style="position:absolute;left:15391;top:1133;width:2;height:9382" coordorigin="15391,1133" coordsize="0,9382" path="m15391,1133l15391,10514e" filled="false" stroked="true" strokeweight=".48pt" strokecolor="#000000">
                <v:path arrowok="t"/>
              </v:shape>
            </v:group>
            <w10:wrap type="none"/>
          </v:group>
        </w:pict>
      </w:r>
      <w:r>
        <w:rPr>
          <w:rFonts w:ascii="宋体" w:hAnsi="宋体" w:cs="宋体" w:eastAsia="宋体" w:hint="default"/>
          <w:sz w:val="18"/>
          <w:szCs w:val="18"/>
        </w:rPr>
        <w:t>张勇、杨红 梅、付忠良、 史志明、王 </w:t>
      </w:r>
      <w:r>
        <w:rPr>
          <w:rFonts w:ascii="宋体" w:hAnsi="宋体" w:cs="宋体" w:eastAsia="宋体" w:hint="default"/>
          <w:spacing w:val="-2"/>
          <w:sz w:val="18"/>
          <w:szCs w:val="18"/>
        </w:rPr>
        <w:t>伟、傅敏、肖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帆、尹邦明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钟勇、王晓 东、刘小兵</w:t>
      </w:r>
    </w:p>
    <w:p>
      <w:pPr>
        <w:spacing w:line="314" w:lineRule="auto" w:before="86"/>
        <w:ind w:left="1131" w:right="4389" w:firstLine="0"/>
        <w:jc w:val="left"/>
        <w:rPr>
          <w:rFonts w:ascii="宋体" w:hAnsi="宋体" w:cs="宋体" w:eastAsia="宋体" w:hint="default"/>
          <w:sz w:val="18"/>
          <w:szCs w:val="18"/>
        </w:rPr>
      </w:pPr>
      <w:r>
        <w:rPr/>
        <w:br w:type="column"/>
      </w:r>
      <w:r>
        <w:rPr>
          <w:rFonts w:ascii="宋体" w:hAnsi="宋体" w:cs="宋体" w:eastAsia="宋体" w:hint="default"/>
          <w:sz w:val="18"/>
          <w:szCs w:val="18"/>
        </w:rPr>
        <w:t>最近一期经审计的每股净资产不具可比性的，上述股票收 </w:t>
      </w:r>
      <w:r>
        <w:rPr>
          <w:rFonts w:ascii="宋体" w:hAnsi="宋体" w:cs="宋体" w:eastAsia="宋体" w:hint="default"/>
          <w:spacing w:val="-5"/>
          <w:sz w:val="18"/>
          <w:szCs w:val="18"/>
        </w:rPr>
        <w:t>盘价应做相应调整，下同），则相关主体启动稳定公司股价</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5"/>
          <w:sz w:val="18"/>
          <w:szCs w:val="18"/>
        </w:rPr>
        <w:t>的措施。公司回购股份、公司控股股东增持股份、董事（独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立董事除外）及高级管理人员增持股份均应符合中国证监 会、证券交易所及其他证券监管机关的相关法律、法规和 规范性文件，并不应因此导致公司股权分布不符合上市条 件的要求；若其中任何一项措施的实施或继续实施将导致 公司股权分布不符合上市条件的要求时，则不得实施或应 立即终止继续实施，且该项措施所对应的股价稳定义务视 为已履行。非因不可抗力因素所致，公司及相关主体将采 </w:t>
      </w:r>
      <w:r>
        <w:rPr>
          <w:rFonts w:ascii="宋体" w:hAnsi="宋体" w:cs="宋体" w:eastAsia="宋体" w:hint="default"/>
          <w:spacing w:val="-1"/>
          <w:sz w:val="18"/>
          <w:szCs w:val="18"/>
        </w:rPr>
        <w:t>取以下措施中的一项或多项稳定公司股价：</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、公司回购公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司股票；</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、公司控股股东增持公司股票；</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、公司董事、 </w:t>
      </w:r>
      <w:r>
        <w:rPr>
          <w:rFonts w:ascii="宋体" w:hAnsi="宋体" w:cs="宋体" w:eastAsia="宋体" w:hint="default"/>
          <w:spacing w:val="-1"/>
          <w:sz w:val="18"/>
          <w:szCs w:val="18"/>
        </w:rPr>
        <w:t>高级管理人员增持公司股票；</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、其他证券监管部门认可的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方式。公司董事会将在公司股票价格触发启动股价稳定措 施条件之日起的五个工作日内制订或要求公司控股股东提 出稳定公司股价具体方案，并在履行完毕相关内部决策程 序和外部审批</w:t>
      </w:r>
      <w:r>
        <w:rPr>
          <w:rFonts w:ascii="Times New Roman" w:hAnsi="Times New Roman" w:cs="Times New Roman" w:eastAsia="Times New Roman" w:hint="default"/>
          <w:sz w:val="18"/>
          <w:szCs w:val="18"/>
        </w:rPr>
        <w:t>/</w:t>
      </w:r>
      <w:r>
        <w:rPr>
          <w:rFonts w:ascii="宋体" w:hAnsi="宋体" w:cs="宋体" w:eastAsia="宋体" w:hint="default"/>
          <w:sz w:val="18"/>
          <w:szCs w:val="18"/>
        </w:rPr>
        <w:t>备案程序（如需）后实施，且按照上市公司 信息披露要求予以公告。公司稳定股价措施实施完毕日起 两个交易日内， 公司稳定股价措施实施完毕后，如公司股票价格再度触发 启动股价稳定措施的条件，则公司、控股股东、董事、高 </w:t>
      </w:r>
      <w:r>
        <w:rPr>
          <w:rFonts w:ascii="宋体" w:hAnsi="宋体" w:cs="宋体" w:eastAsia="宋体" w:hint="default"/>
          <w:spacing w:val="-5"/>
          <w:sz w:val="18"/>
          <w:szCs w:val="18"/>
        </w:rPr>
        <w:t>级管理人员等相关责任主体将继续履行相关义务。（一）公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司回购公司股票的具体安排。公司将自股价稳定方案公告 之日起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个自然日内通过证券交易所以集中竞价的交易方 式、要约方式或证券监督管理部门认可的其他方式回购公 司社会公众股份，回购价格不高于公司最近一期经审计的 每股净资产（最近一期审计基准日后，因利润分配、资本 公积金转增股本、增发、配股等情况导致公司净资产或股 </w:t>
      </w:r>
      <w:r>
        <w:rPr>
          <w:rFonts w:ascii="宋体" w:hAnsi="宋体" w:cs="宋体" w:eastAsia="宋体" w:hint="default"/>
          <w:spacing w:val="-5"/>
          <w:sz w:val="18"/>
          <w:szCs w:val="18"/>
        </w:rPr>
        <w:t>份总数出现变化的，每股净资产相应进行调整，下同），公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司回购股份除应符合相关法律法规之要求之外，还应符合</w:t>
      </w:r>
    </w:p>
    <w:p>
      <w:pPr>
        <w:spacing w:after="0" w:line="314" w:lineRule="auto"/>
        <w:jc w:val="left"/>
        <w:rPr>
          <w:rFonts w:ascii="宋体" w:hAnsi="宋体" w:cs="宋体" w:eastAsia="宋体" w:hint="default"/>
          <w:sz w:val="18"/>
          <w:szCs w:val="18"/>
        </w:rPr>
        <w:sectPr>
          <w:pgSz w:w="16840" w:h="11910" w:orient="landscape"/>
          <w:pgMar w:header="870" w:footer="977" w:top="1060" w:bottom="1160" w:left="1300" w:right="1300"/>
          <w:cols w:num="2" w:equalWidth="0">
            <w:col w:w="4084" w:space="40"/>
            <w:col w:w="10116"/>
          </w:cols>
        </w:sectPr>
      </w:pPr>
    </w:p>
    <w:p>
      <w:pPr>
        <w:spacing w:line="240" w:lineRule="auto" w:before="11"/>
        <w:rPr>
          <w:rFonts w:ascii="Times New Roman" w:hAnsi="Times New Roman" w:cs="Times New Roman" w:eastAsia="Times New Roman" w:hint="default"/>
          <w:sz w:val="2"/>
          <w:szCs w:val="2"/>
        </w:rPr>
      </w:pPr>
      <w:r>
        <w:rPr/>
        <w:pict>
          <v:shape style="position:absolute;margin-left:345.11969pt;margin-top:57.240005pt;width:266.650pt;height:468pt;mso-position-horizontal-relative:page;mso-position-vertical-relative:page;z-index:-9864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0"/>
                    <w:ind w:left="720" w:right="0" w:hanging="720"/>
                    <w:jc w:val="left"/>
                    <w:rPr>
                      <w:rFonts w:ascii="宋体" w:hAnsi="宋体" w:cs="宋体" w:eastAsia="宋体" w:hint="default"/>
                      <w:sz w:val="18"/>
                      <w:szCs w:val="18"/>
                    </w:rPr>
                  </w:pPr>
                  <w:r>
                    <w:rPr>
                      <w:rFonts w:ascii="宋体" w:hAnsi="宋体" w:cs="宋体" w:eastAsia="宋体" w:hint="default"/>
                      <w:sz w:val="18"/>
                      <w:szCs w:val="18"/>
                    </w:rPr>
                    <w:t>控股股东增持股份除应符合相关法律法规之要求之外，</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5"/>
                      <w:szCs w:val="25"/>
                    </w:rPr>
                  </w:pPr>
                </w:p>
                <w:p>
                  <w:pPr>
                    <w:spacing w:before="0"/>
                    <w:ind w:left="720" w:right="0" w:firstLine="0"/>
                    <w:jc w:val="left"/>
                    <w:rPr>
                      <w:rFonts w:ascii="宋体" w:hAnsi="宋体" w:cs="宋体" w:eastAsia="宋体" w:hint="default"/>
                      <w:sz w:val="18"/>
                      <w:szCs w:val="18"/>
                    </w:rPr>
                  </w:pPr>
                  <w:r>
                    <w:rPr>
                      <w:rFonts w:ascii="宋体" w:hAnsi="宋体" w:cs="宋体" w:eastAsia="宋体" w:hint="default"/>
                      <w:sz w:val="18"/>
                      <w:szCs w:val="18"/>
                    </w:rPr>
                    <w:t>控股股东可不再继续实施上述股价稳定措施。</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2837"/>
        <w:gridCol w:w="1123"/>
        <w:gridCol w:w="1128"/>
        <w:gridCol w:w="4632"/>
        <w:gridCol w:w="1080"/>
        <w:gridCol w:w="1260"/>
        <w:gridCol w:w="1891"/>
      </w:tblGrid>
      <w:tr>
        <w:trPr>
          <w:trHeight w:val="339" w:hRule="exact"/>
        </w:trPr>
        <w:tc>
          <w:tcPr>
            <w:tcW w:w="2837" w:type="dxa"/>
            <w:vMerge w:val="restart"/>
            <w:tcBorders>
              <w:top w:val="single" w:sz="15" w:space="0" w:color="000000"/>
              <w:left w:val="single" w:sz="4" w:space="0" w:color="000000"/>
              <w:right w:val="single" w:sz="4" w:space="0" w:color="000000"/>
            </w:tcBorders>
            <w:shd w:val="clear" w:color="auto" w:fill="D4D4D4"/>
          </w:tcPr>
          <w:p>
            <w:pPr/>
          </w:p>
        </w:tc>
        <w:tc>
          <w:tcPr>
            <w:tcW w:w="1123" w:type="dxa"/>
            <w:vMerge w:val="restart"/>
            <w:tcBorders>
              <w:top w:val="single" w:sz="15" w:space="0" w:color="000000"/>
              <w:left w:val="single" w:sz="4" w:space="0" w:color="000000"/>
              <w:right w:val="single" w:sz="4" w:space="0" w:color="000000"/>
            </w:tcBorders>
          </w:tcPr>
          <w:p>
            <w:pPr/>
          </w:p>
        </w:tc>
        <w:tc>
          <w:tcPr>
            <w:tcW w:w="1128" w:type="dxa"/>
            <w:vMerge w:val="restart"/>
            <w:tcBorders>
              <w:top w:val="single" w:sz="15" w:space="0" w:color="000000"/>
              <w:left w:val="single" w:sz="4" w:space="0" w:color="000000"/>
              <w:right w:val="single" w:sz="4" w:space="0" w:color="000000"/>
            </w:tcBorders>
          </w:tcPr>
          <w:p>
            <w:pPr/>
          </w:p>
        </w:tc>
        <w:tc>
          <w:tcPr>
            <w:tcW w:w="463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下列各项：</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、公司用于回购股份的资金总额累计不超过公</w:t>
            </w:r>
          </w:p>
        </w:tc>
        <w:tc>
          <w:tcPr>
            <w:tcW w:w="1080" w:type="dxa"/>
            <w:vMerge w:val="restart"/>
            <w:tcBorders>
              <w:top w:val="single" w:sz="15" w:space="0" w:color="000000"/>
              <w:left w:val="single" w:sz="4" w:space="0" w:color="000000"/>
              <w:right w:val="single" w:sz="4" w:space="0" w:color="000000"/>
            </w:tcBorders>
          </w:tcPr>
          <w:p>
            <w:pPr>
              <w:pStyle w:val="TableParagraph"/>
              <w:spacing w:line="93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53.55pt;height:468pt;mso-position-horizontal-relative:char;mso-position-vertical-relative:line" coordorigin="0,0" coordsize="1071,9360">
                  <v:group style="position:absolute;left:0;top:0;width:1071;height:9360" coordorigin="0,0" coordsize="1071,9360">
                    <v:shape style="position:absolute;left:0;top:0;width:1071;height:9360" coordorigin="0,0" coordsize="1071,9360" path="m0,9360l1070,9360,1070,0,0,0,0,936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260" w:type="dxa"/>
            <w:vMerge w:val="restart"/>
            <w:tcBorders>
              <w:top w:val="single" w:sz="15" w:space="0" w:color="000000"/>
              <w:left w:val="single" w:sz="4" w:space="0" w:color="000000"/>
              <w:right w:val="single" w:sz="4" w:space="0" w:color="000000"/>
            </w:tcBorders>
          </w:tcPr>
          <w:p>
            <w:pPr/>
          </w:p>
        </w:tc>
        <w:tc>
          <w:tcPr>
            <w:tcW w:w="1891" w:type="dxa"/>
            <w:vMerge w:val="restart"/>
            <w:tcBorders>
              <w:top w:val="single" w:sz="15"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司首次公开发行新股所募集资金的总额。</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、公司单次用于</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回购股份的资金不得低于人民币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、公司单次</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回购股份不超过公司总股本的</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；如上述第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项与本项冲</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突的，按照本项执行。</w:t>
            </w:r>
            <w:r>
              <w:rPr>
                <w:rFonts w:ascii="Times New Roman" w:hAnsi="Times New Roman" w:cs="Times New Roman" w:eastAsia="Times New Roman" w:hint="default"/>
                <w:sz w:val="18"/>
                <w:szCs w:val="18"/>
              </w:rPr>
              <w:t>4</w:t>
            </w:r>
            <w:r>
              <w:rPr>
                <w:rFonts w:ascii="宋体" w:hAnsi="宋体" w:cs="宋体" w:eastAsia="宋体" w:hint="default"/>
                <w:sz w:val="18"/>
                <w:szCs w:val="18"/>
              </w:rPr>
              <w:t>、单一会计年度用以稳定股价的回</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购资金合计不超过上一会计年度经审计的归属于母公司股</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东净利润的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。超过上述标准的，有关稳定股价措施在</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当年度不再继续实施。但如下一年度继续出现需启动稳定</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股价措施的情形时，其将继续按照上述原则执行稳定股价</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预案。回购后公司的股权分布应当符合上市条件，回购行</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为及信息披露</w:t>
            </w:r>
            <w:r>
              <w:rPr>
                <w:rFonts w:ascii="宋体" w:hAnsi="宋体" w:cs="宋体" w:eastAsia="宋体" w:hint="default"/>
                <w:spacing w:val="-34"/>
                <w:sz w:val="18"/>
                <w:szCs w:val="18"/>
              </w:rPr>
              <w:t>、</w:t>
            </w:r>
            <w:r>
              <w:rPr>
                <w:rFonts w:ascii="宋体" w:hAnsi="宋体" w:cs="宋体" w:eastAsia="宋体" w:hint="default"/>
                <w:sz w:val="18"/>
                <w:szCs w:val="18"/>
              </w:rPr>
              <w:t>回购后的股份处置应当符</w:t>
            </w:r>
            <w:r>
              <w:rPr>
                <w:rFonts w:ascii="宋体" w:hAnsi="宋体" w:cs="宋体" w:eastAsia="宋体" w:hint="default"/>
                <w:spacing w:val="-34"/>
                <w:sz w:val="18"/>
                <w:szCs w:val="18"/>
              </w:rPr>
              <w:t>合</w:t>
            </w:r>
            <w:r>
              <w:rPr>
                <w:rFonts w:ascii="宋体" w:hAnsi="宋体" w:cs="宋体" w:eastAsia="宋体" w:hint="default"/>
                <w:sz w:val="18"/>
                <w:szCs w:val="18"/>
              </w:rPr>
              <w:t>《公司法</w:t>
            </w:r>
            <w:r>
              <w:rPr>
                <w:rFonts w:ascii="宋体" w:hAnsi="宋体" w:cs="宋体" w:eastAsia="宋体" w:hint="default"/>
                <w:spacing w:val="-92"/>
                <w:sz w:val="18"/>
                <w:szCs w:val="18"/>
              </w:rPr>
              <w:t>》</w:t>
            </w:r>
            <w:r>
              <w:rPr>
                <w:rFonts w:ascii="宋体" w:hAnsi="宋体" w:cs="宋体" w:eastAsia="宋体" w:hint="default"/>
                <w:spacing w:val="-125"/>
                <w:sz w:val="18"/>
                <w:szCs w:val="18"/>
              </w:rPr>
              <w:t>、</w:t>
            </w:r>
            <w:r>
              <w:rPr>
                <w:rFonts w:ascii="宋体" w:hAnsi="宋体" w:cs="宋体" w:eastAsia="宋体" w:hint="default"/>
                <w:sz w:val="18"/>
                <w:szCs w:val="18"/>
              </w:rPr>
              <w:t>《证</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券法</w:t>
            </w:r>
            <w:r>
              <w:rPr>
                <w:rFonts w:ascii="宋体" w:hAnsi="宋体" w:cs="宋体" w:eastAsia="宋体" w:hint="default"/>
                <w:spacing w:val="-3"/>
                <w:sz w:val="18"/>
                <w:szCs w:val="18"/>
              </w:rPr>
              <w:t>》</w:t>
            </w:r>
            <w:r>
              <w:rPr>
                <w:rFonts w:ascii="宋体" w:hAnsi="宋体" w:cs="宋体" w:eastAsia="宋体" w:hint="default"/>
                <w:sz w:val="18"/>
                <w:szCs w:val="18"/>
              </w:rPr>
              <w:t>及其他相关法律</w:t>
            </w:r>
            <w:r>
              <w:rPr>
                <w:rFonts w:ascii="宋体" w:hAnsi="宋体" w:cs="宋体" w:eastAsia="宋体" w:hint="default"/>
                <w:spacing w:val="-3"/>
                <w:sz w:val="18"/>
                <w:szCs w:val="18"/>
              </w:rPr>
              <w:t>、</w:t>
            </w:r>
            <w:r>
              <w:rPr>
                <w:rFonts w:ascii="宋体" w:hAnsi="宋体" w:cs="宋体" w:eastAsia="宋体" w:hint="default"/>
                <w:sz w:val="18"/>
                <w:szCs w:val="18"/>
              </w:rPr>
              <w:t>行</w:t>
            </w:r>
            <w:r>
              <w:rPr>
                <w:rFonts w:ascii="宋体" w:hAnsi="宋体" w:cs="宋体" w:eastAsia="宋体" w:hint="default"/>
                <w:spacing w:val="-3"/>
                <w:sz w:val="18"/>
                <w:szCs w:val="18"/>
              </w:rPr>
              <w:t>政</w:t>
            </w:r>
            <w:r>
              <w:rPr>
                <w:rFonts w:ascii="宋体" w:hAnsi="宋体" w:cs="宋体" w:eastAsia="宋体" w:hint="default"/>
                <w:sz w:val="18"/>
                <w:szCs w:val="18"/>
              </w:rPr>
              <w:t>法规的规定</w:t>
            </w:r>
            <w:r>
              <w:rPr>
                <w:rFonts w:ascii="宋体" w:hAnsi="宋体" w:cs="宋体" w:eastAsia="宋体" w:hint="default"/>
                <w:spacing w:val="-94"/>
                <w:sz w:val="18"/>
                <w:szCs w:val="18"/>
              </w:rPr>
              <w:t>。</w:t>
            </w:r>
            <w:r>
              <w:rPr>
                <w:rFonts w:ascii="宋体" w:hAnsi="宋体" w:cs="宋体" w:eastAsia="宋体" w:hint="default"/>
                <w:sz w:val="18"/>
                <w:szCs w:val="18"/>
              </w:rPr>
              <w:t>（二</w:t>
            </w:r>
            <w:r>
              <w:rPr>
                <w:rFonts w:ascii="宋体" w:hAnsi="宋体" w:cs="宋体" w:eastAsia="宋体" w:hint="default"/>
                <w:spacing w:val="-3"/>
                <w:sz w:val="18"/>
                <w:szCs w:val="18"/>
              </w:rPr>
              <w:t>）</w:t>
            </w:r>
            <w:r>
              <w:rPr>
                <w:rFonts w:ascii="宋体" w:hAnsi="宋体" w:cs="宋体" w:eastAsia="宋体" w:hint="default"/>
                <w:sz w:val="18"/>
                <w:szCs w:val="18"/>
              </w:rPr>
              <w:t>公司控股</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股东增持公司股票的具体安排。本公司控股股东国科控股</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将自股价稳定方案公告之日起</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个自然日内增持（增持方</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式包括但不限于集中竞价和大宗交易等证券监管机构、自</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律机构及深圳交易所等有权部门允许的方式）公司社会公</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众股份，增持价格不高于公司最近一期经审计的每股净资</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还应符合下列各项：</w:t>
            </w:r>
            <w:r>
              <w:rPr>
                <w:rFonts w:ascii="Times New Roman" w:hAnsi="Times New Roman" w:cs="Times New Roman" w:eastAsia="Times New Roman" w:hint="default"/>
                <w:sz w:val="18"/>
                <w:szCs w:val="18"/>
              </w:rPr>
              <w:t>1</w:t>
            </w:r>
            <w:r>
              <w:rPr>
                <w:rFonts w:ascii="宋体" w:hAnsi="宋体" w:cs="宋体" w:eastAsia="宋体" w:hint="default"/>
                <w:sz w:val="18"/>
                <w:szCs w:val="18"/>
              </w:rPr>
              <w:t>、单一年度用于股份增持的资金为不</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少于其最近一次从发行人获得现金分红的</w:t>
            </w:r>
            <w:r>
              <w:rPr>
                <w:rFonts w:ascii="宋体" w:hAnsi="宋体" w:cs="宋体" w:eastAsia="宋体" w:hint="default"/>
                <w:spacing w:val="-38"/>
                <w:sz w:val="18"/>
                <w:szCs w:val="18"/>
              </w:rPr>
              <w:t> </w:t>
            </w:r>
            <w:r>
              <w:rPr>
                <w:rFonts w:ascii="Times New Roman" w:hAnsi="Times New Roman" w:cs="Times New Roman" w:eastAsia="Times New Roman" w:hint="default"/>
                <w:spacing w:val="-4"/>
                <w:sz w:val="18"/>
                <w:szCs w:val="18"/>
              </w:rPr>
              <w:t>20%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、单一年</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度用于稳定股价的增持资金不超过其最近一次从发行人获</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得现金分红的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。超过上述标准的，有关稳定股价措施</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在当年度不再继续实施。如公司在上述需启动股价稳定措</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施的条件触发后启动了股价稳定措施，控股股东可选择与</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公司同时启动股价稳定措施或在公司措施实施完毕（以公</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司公告的实施完毕日为准）后其股票收盘价仍低于最近一</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期经审计的每股净资产时再行启动上述措施。如公司实施</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股价稳定措施后其股票收盘价已不再符合需启动股价稳定</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措施条件的，</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bottom w:val="single" w:sz="4" w:space="0" w:color="000000"/>
              <w:right w:val="single" w:sz="4" w:space="0" w:color="000000"/>
            </w:tcBorders>
            <w:shd w:val="clear" w:color="auto" w:fill="D4D4D4"/>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46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控股股东增持后公司的股权分布应当符合上市条件，增持</w:t>
            </w:r>
          </w:p>
        </w:tc>
        <w:tc>
          <w:tcPr>
            <w:tcW w:w="108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891"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70" w:footer="977" w:top="1060" w:bottom="1160" w:left="1320" w:right="1320"/>
        </w:sectPr>
      </w:pPr>
    </w:p>
    <w:p>
      <w:pPr>
        <w:spacing w:line="240" w:lineRule="auto" w:before="11"/>
        <w:rPr>
          <w:rFonts w:ascii="Times New Roman" w:hAnsi="Times New Roman" w:cs="Times New Roman" w:eastAsia="Times New Roman" w:hint="default"/>
          <w:sz w:val="2"/>
          <w:szCs w:val="2"/>
        </w:rPr>
      </w:pPr>
      <w:r>
        <w:rPr/>
        <w:pict>
          <v:shape style="position:absolute;margin-left:471pt;margin-top:57.240005pt;width:140.8pt;height:468pt;mso-position-horizontal-relative:page;mso-position-vertical-relative:page;z-index:-9863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6"/>
                    <w:ind w:left="0" w:right="0" w:firstLine="0"/>
                    <w:jc w:val="left"/>
                    <w:rPr>
                      <w:rFonts w:ascii="宋体" w:hAnsi="宋体" w:cs="宋体" w:eastAsia="宋体" w:hint="default"/>
                      <w:sz w:val="18"/>
                      <w:szCs w:val="18"/>
                    </w:rPr>
                  </w:pPr>
                  <w:r>
                    <w:rPr>
                      <w:rFonts w:ascii="宋体" w:hAnsi="宋体" w:cs="宋体" w:eastAsia="宋体" w:hint="default"/>
                      <w:sz w:val="18"/>
                      <w:szCs w:val="18"/>
                    </w:rPr>
                    <w:t>若出现以下任一情形，</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2837"/>
        <w:gridCol w:w="1123"/>
        <w:gridCol w:w="1128"/>
        <w:gridCol w:w="4632"/>
        <w:gridCol w:w="1080"/>
        <w:gridCol w:w="1260"/>
        <w:gridCol w:w="1891"/>
      </w:tblGrid>
      <w:tr>
        <w:trPr>
          <w:trHeight w:val="334" w:hRule="exact"/>
        </w:trPr>
        <w:tc>
          <w:tcPr>
            <w:tcW w:w="2837" w:type="dxa"/>
            <w:vMerge w:val="restart"/>
            <w:tcBorders>
              <w:top w:val="single" w:sz="15" w:space="0" w:color="000000"/>
              <w:left w:val="single" w:sz="4" w:space="0" w:color="000000"/>
              <w:right w:val="single" w:sz="4" w:space="0" w:color="000000"/>
            </w:tcBorders>
            <w:shd w:val="clear" w:color="auto" w:fill="D4D4D4"/>
          </w:tcPr>
          <w:p>
            <w:pPr/>
          </w:p>
        </w:tc>
        <w:tc>
          <w:tcPr>
            <w:tcW w:w="1123" w:type="dxa"/>
            <w:vMerge w:val="restart"/>
            <w:tcBorders>
              <w:top w:val="single" w:sz="15" w:space="0" w:color="000000"/>
              <w:left w:val="single" w:sz="4" w:space="0" w:color="000000"/>
              <w:right w:val="single" w:sz="4" w:space="0" w:color="000000"/>
            </w:tcBorders>
          </w:tcPr>
          <w:p>
            <w:pPr/>
          </w:p>
        </w:tc>
        <w:tc>
          <w:tcPr>
            <w:tcW w:w="1128" w:type="dxa"/>
            <w:vMerge w:val="restart"/>
            <w:tcBorders>
              <w:top w:val="single" w:sz="15" w:space="0" w:color="000000"/>
              <w:left w:val="single" w:sz="4" w:space="0" w:color="000000"/>
              <w:right w:val="single" w:sz="4" w:space="0" w:color="000000"/>
            </w:tcBorders>
          </w:tcPr>
          <w:p>
            <w:pPr/>
          </w:p>
        </w:tc>
        <w:tc>
          <w:tcPr>
            <w:tcW w:w="463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股份行为及信息披露应当符合《公司法</w:t>
            </w:r>
            <w:r>
              <w:rPr>
                <w:rFonts w:ascii="宋体" w:hAnsi="宋体" w:cs="宋体" w:eastAsia="宋体" w:hint="default"/>
                <w:spacing w:val="-92"/>
                <w:sz w:val="18"/>
                <w:szCs w:val="18"/>
              </w:rPr>
              <w:t>》、</w:t>
            </w:r>
            <w:r>
              <w:rPr>
                <w:rFonts w:ascii="宋体" w:hAnsi="宋体" w:cs="宋体" w:eastAsia="宋体" w:hint="default"/>
                <w:sz w:val="18"/>
                <w:szCs w:val="18"/>
              </w:rPr>
              <w:t>《证券法》及其</w:t>
            </w:r>
          </w:p>
        </w:tc>
        <w:tc>
          <w:tcPr>
            <w:tcW w:w="1080" w:type="dxa"/>
            <w:vMerge w:val="restart"/>
            <w:tcBorders>
              <w:top w:val="single" w:sz="15" w:space="0" w:color="000000"/>
              <w:left w:val="single" w:sz="4" w:space="0" w:color="000000"/>
              <w:right w:val="single" w:sz="4" w:space="0" w:color="000000"/>
            </w:tcBorders>
          </w:tcPr>
          <w:p>
            <w:pPr>
              <w:pStyle w:val="TableParagraph"/>
              <w:spacing w:line="93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53.55pt;height:468pt;mso-position-horizontal-relative:char;mso-position-vertical-relative:line" coordorigin="0,0" coordsize="1071,9360">
                  <v:group style="position:absolute;left:0;top:0;width:1071;height:9360" coordorigin="0,0" coordsize="1071,9360">
                    <v:shape style="position:absolute;left:0;top:0;width:1071;height:9360" coordorigin="0,0" coordsize="1071,9360" path="m0,9360l1070,9360,1070,0,0,0,0,936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260" w:type="dxa"/>
            <w:vMerge w:val="restart"/>
            <w:tcBorders>
              <w:top w:val="single" w:sz="15" w:space="0" w:color="000000"/>
              <w:left w:val="single" w:sz="4" w:space="0" w:color="000000"/>
              <w:right w:val="single" w:sz="4" w:space="0" w:color="000000"/>
            </w:tcBorders>
          </w:tcPr>
          <w:p>
            <w:pPr/>
          </w:p>
        </w:tc>
        <w:tc>
          <w:tcPr>
            <w:tcW w:w="1891" w:type="dxa"/>
            <w:vMerge w:val="restart"/>
            <w:tcBorders>
              <w:top w:val="single" w:sz="15"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他相关法律</w:t>
            </w:r>
            <w:r>
              <w:rPr>
                <w:rFonts w:ascii="宋体" w:hAnsi="宋体" w:cs="宋体" w:eastAsia="宋体" w:hint="default"/>
                <w:spacing w:val="-3"/>
                <w:sz w:val="18"/>
                <w:szCs w:val="18"/>
              </w:rPr>
              <w:t>、</w:t>
            </w:r>
            <w:r>
              <w:rPr>
                <w:rFonts w:ascii="宋体" w:hAnsi="宋体" w:cs="宋体" w:eastAsia="宋体" w:hint="default"/>
                <w:sz w:val="18"/>
                <w:szCs w:val="18"/>
              </w:rPr>
              <w:t>行政法规的规定</w:t>
            </w:r>
            <w:r>
              <w:rPr>
                <w:rFonts w:ascii="宋体" w:hAnsi="宋体" w:cs="宋体" w:eastAsia="宋体" w:hint="default"/>
                <w:spacing w:val="-94"/>
                <w:sz w:val="18"/>
                <w:szCs w:val="18"/>
              </w:rPr>
              <w:t>。</w:t>
            </w:r>
            <w:r>
              <w:rPr>
                <w:rFonts w:ascii="宋体" w:hAnsi="宋体" w:cs="宋体" w:eastAsia="宋体" w:hint="default"/>
                <w:sz w:val="18"/>
                <w:szCs w:val="18"/>
              </w:rPr>
              <w:t>（三</w:t>
            </w:r>
            <w:r>
              <w:rPr>
                <w:rFonts w:ascii="宋体" w:hAnsi="宋体" w:cs="宋体" w:eastAsia="宋体" w:hint="default"/>
                <w:spacing w:val="-3"/>
                <w:sz w:val="18"/>
                <w:szCs w:val="18"/>
              </w:rPr>
              <w:t>）</w:t>
            </w:r>
            <w:r>
              <w:rPr>
                <w:rFonts w:ascii="宋体" w:hAnsi="宋体" w:cs="宋体" w:eastAsia="宋体" w:hint="default"/>
                <w:sz w:val="18"/>
                <w:szCs w:val="18"/>
              </w:rPr>
              <w:t>公司董事</w:t>
            </w:r>
            <w:r>
              <w:rPr>
                <w:rFonts w:ascii="宋体" w:hAnsi="宋体" w:cs="宋体" w:eastAsia="宋体" w:hint="default"/>
                <w:spacing w:val="-3"/>
                <w:sz w:val="18"/>
                <w:szCs w:val="18"/>
              </w:rPr>
              <w:t>、</w:t>
            </w:r>
            <w:r>
              <w:rPr>
                <w:rFonts w:ascii="宋体" w:hAnsi="宋体" w:cs="宋体" w:eastAsia="宋体" w:hint="default"/>
                <w:sz w:val="18"/>
                <w:szCs w:val="18"/>
              </w:rPr>
              <w:t>高级管理</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人员增持公司股票的具体安排。</w:t>
            </w:r>
            <w:r>
              <w:rPr>
                <w:rFonts w:ascii="Times New Roman" w:hAnsi="Times New Roman" w:cs="Times New Roman" w:eastAsia="Times New Roman" w:hint="default"/>
                <w:sz w:val="18"/>
                <w:szCs w:val="18"/>
              </w:rPr>
              <w:t>1</w:t>
            </w:r>
            <w:r>
              <w:rPr>
                <w:rFonts w:ascii="宋体" w:hAnsi="宋体" w:cs="宋体" w:eastAsia="宋体" w:hint="default"/>
                <w:sz w:val="18"/>
                <w:szCs w:val="18"/>
              </w:rPr>
              <w:t>、控股股东增持公司股票</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以及公司回购股票的措施实施完毕后，公司股价仍出现连</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个交易日收盘价均低于最近一期经审计的每股净资</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产时，公司董事（独立董事除外）和高级管理人员将在该</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情形出现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个交易日内，依照公司内部决策程序，拟定增</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持公司股票的计划，明确增持数量、方式和期限，并对外</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公告。</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、公司董事（独立董事除外）及高级管理人员增持</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公司股份的，除应符合相关法律法规、规范性文件的要求</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之外，还应符合下列各项</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）买入公司股票的价格不高</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于公司最近一期经审计的每股净资产，买入公司股份的方</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式为通过二级市场以竞价交易方式</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）单一年度用以稳</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定股价所动用的资金不低于其上一会计年度从公司处领取</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的税后薪酬和津贴累计额的</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）单一年度用以稳定</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股价所动用的资金应不超过其上一会计年度从公司处领取</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的税后薪酬和津贴累计额的</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）在增持期间及法定</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期限内不减持其所持有的公司股份。超过上述标准的，有</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关稳定股价措施在当年度不再继续实施。公司未来新聘董</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5"/>
                <w:sz w:val="18"/>
                <w:szCs w:val="18"/>
              </w:rPr>
              <w:t>事</w:t>
            </w:r>
            <w:r>
              <w:rPr>
                <w:rFonts w:ascii="宋体" w:hAnsi="宋体" w:cs="宋体" w:eastAsia="宋体" w:hint="default"/>
                <w:sz w:val="18"/>
                <w:szCs w:val="18"/>
              </w:rPr>
              <w:t>（独立董事除外</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高级管</w:t>
            </w:r>
            <w:r>
              <w:rPr>
                <w:rFonts w:ascii="宋体" w:hAnsi="宋体" w:cs="宋体" w:eastAsia="宋体" w:hint="default"/>
                <w:spacing w:val="2"/>
                <w:sz w:val="18"/>
                <w:szCs w:val="18"/>
              </w:rPr>
              <w:t>理</w:t>
            </w:r>
            <w:r>
              <w:rPr>
                <w:rFonts w:ascii="宋体" w:hAnsi="宋体" w:cs="宋体" w:eastAsia="宋体" w:hint="default"/>
                <w:sz w:val="18"/>
                <w:szCs w:val="18"/>
              </w:rPr>
              <w:t>人员</w:t>
            </w:r>
            <w:r>
              <w:rPr>
                <w:rFonts w:ascii="宋体" w:hAnsi="宋体" w:cs="宋体" w:eastAsia="宋体" w:hint="default"/>
                <w:spacing w:val="-5"/>
                <w:sz w:val="18"/>
                <w:szCs w:val="18"/>
              </w:rPr>
              <w:t>，</w:t>
            </w:r>
            <w:r>
              <w:rPr>
                <w:rFonts w:ascii="宋体" w:hAnsi="宋体" w:cs="宋体" w:eastAsia="宋体" w:hint="default"/>
                <w:sz w:val="18"/>
                <w:szCs w:val="18"/>
              </w:rPr>
              <w:t>应按本预案采取稳定</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公司股价的措施</w:t>
            </w:r>
            <w:r>
              <w:rPr>
                <w:rFonts w:ascii="宋体" w:hAnsi="宋体" w:cs="宋体" w:eastAsia="宋体" w:hint="default"/>
                <w:spacing w:val="-96"/>
                <w:sz w:val="18"/>
                <w:szCs w:val="18"/>
              </w:rPr>
              <w:t>。</w:t>
            </w:r>
            <w:r>
              <w:rPr>
                <w:rFonts w:ascii="宋体" w:hAnsi="宋体" w:cs="宋体" w:eastAsia="宋体" w:hint="default"/>
                <w:sz w:val="18"/>
                <w:szCs w:val="18"/>
              </w:rPr>
              <w:t>（四</w:t>
            </w:r>
            <w:r>
              <w:rPr>
                <w:rFonts w:ascii="宋体" w:hAnsi="宋体" w:cs="宋体" w:eastAsia="宋体" w:hint="default"/>
                <w:spacing w:val="-5"/>
                <w:sz w:val="18"/>
                <w:szCs w:val="18"/>
              </w:rPr>
              <w:t>）</w:t>
            </w:r>
            <w:r>
              <w:rPr>
                <w:rFonts w:ascii="宋体" w:hAnsi="宋体" w:cs="宋体" w:eastAsia="宋体" w:hint="default"/>
                <w:sz w:val="18"/>
                <w:szCs w:val="18"/>
              </w:rPr>
              <w:t>稳定</w:t>
            </w:r>
            <w:r>
              <w:rPr>
                <w:rFonts w:ascii="宋体" w:hAnsi="宋体" w:cs="宋体" w:eastAsia="宋体" w:hint="default"/>
                <w:spacing w:val="2"/>
                <w:sz w:val="18"/>
                <w:szCs w:val="18"/>
              </w:rPr>
              <w:t>股</w:t>
            </w:r>
            <w:r>
              <w:rPr>
                <w:rFonts w:ascii="宋体" w:hAnsi="宋体" w:cs="宋体" w:eastAsia="宋体" w:hint="default"/>
                <w:sz w:val="18"/>
                <w:szCs w:val="18"/>
              </w:rPr>
              <w:t>价方案的终止情形</w:t>
            </w:r>
            <w:r>
              <w:rPr>
                <w:rFonts w:ascii="宋体" w:hAnsi="宋体" w:cs="宋体" w:eastAsia="宋体" w:hint="default"/>
                <w:spacing w:val="-5"/>
                <w:sz w:val="18"/>
                <w:szCs w:val="18"/>
              </w:rPr>
              <w:t>。</w:t>
            </w:r>
            <w:r>
              <w:rPr>
                <w:rFonts w:ascii="宋体" w:hAnsi="宋体" w:cs="宋体" w:eastAsia="宋体" w:hint="default"/>
                <w:sz w:val="18"/>
                <w:szCs w:val="18"/>
              </w:rPr>
              <w:t>自股价</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稳定方案公告之日起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个自然日内，</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则视为本次稳定股价措施实施完毕及承诺履行完毕，已公</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告的稳定股价方案终止执行：</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、公司股票连续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日的收盘价均高于公司最近一期经审计的每股净资产；</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继续回购或增持公司股份将导致公司股权分布不符合上市</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条件</w:t>
            </w:r>
            <w:r>
              <w:rPr>
                <w:rFonts w:ascii="宋体" w:hAnsi="宋体" w:cs="宋体" w:eastAsia="宋体" w:hint="default"/>
                <w:spacing w:val="-96"/>
                <w:sz w:val="18"/>
                <w:szCs w:val="18"/>
              </w:rPr>
              <w:t>。</w:t>
            </w:r>
            <w:r>
              <w:rPr>
                <w:rFonts w:ascii="宋体" w:hAnsi="宋体" w:cs="宋体" w:eastAsia="宋体" w:hint="default"/>
                <w:sz w:val="18"/>
                <w:szCs w:val="18"/>
              </w:rPr>
              <w:t>（五</w:t>
            </w:r>
            <w:r>
              <w:rPr>
                <w:rFonts w:ascii="宋体" w:hAnsi="宋体" w:cs="宋体" w:eastAsia="宋体" w:hint="default"/>
                <w:spacing w:val="-5"/>
                <w:sz w:val="18"/>
                <w:szCs w:val="18"/>
              </w:rPr>
              <w:t>）</w:t>
            </w:r>
            <w:r>
              <w:rPr>
                <w:rFonts w:ascii="宋体" w:hAnsi="宋体" w:cs="宋体" w:eastAsia="宋体" w:hint="default"/>
                <w:sz w:val="18"/>
                <w:szCs w:val="18"/>
              </w:rPr>
              <w:t>未履行稳定公司</w:t>
            </w:r>
            <w:r>
              <w:rPr>
                <w:rFonts w:ascii="宋体" w:hAnsi="宋体" w:cs="宋体" w:eastAsia="宋体" w:hint="default"/>
                <w:spacing w:val="2"/>
                <w:sz w:val="18"/>
                <w:szCs w:val="18"/>
              </w:rPr>
              <w:t>股</w:t>
            </w:r>
            <w:r>
              <w:rPr>
                <w:rFonts w:ascii="宋体" w:hAnsi="宋体" w:cs="宋体" w:eastAsia="宋体" w:hint="default"/>
                <w:sz w:val="18"/>
                <w:szCs w:val="18"/>
              </w:rPr>
              <w:t>价措施的约束措施</w:t>
            </w:r>
            <w:r>
              <w:rPr>
                <w:rFonts w:ascii="宋体" w:hAnsi="宋体" w:cs="宋体" w:eastAsia="宋体" w:hint="default"/>
                <w:spacing w:val="-5"/>
                <w:sz w:val="18"/>
                <w:szCs w:val="18"/>
              </w:rPr>
              <w:t>。</w:t>
            </w:r>
            <w:r>
              <w:rPr>
                <w:rFonts w:ascii="宋体" w:hAnsi="宋体" w:cs="宋体" w:eastAsia="宋体" w:hint="default"/>
                <w:sz w:val="18"/>
                <w:szCs w:val="18"/>
              </w:rPr>
              <w:t>公司承</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诺：如公司未按照本预案采取稳定股价的具体措施，应在</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公司股东大会及中国证监会指定媒体上公开说明未采取稳</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bottom w:val="single" w:sz="4" w:space="0" w:color="000000"/>
              <w:right w:val="single" w:sz="4" w:space="0" w:color="000000"/>
            </w:tcBorders>
            <w:shd w:val="clear" w:color="auto" w:fill="D4D4D4"/>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46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定股价措施的具体原因并向公司股东和社会公众投资者道</w:t>
            </w:r>
          </w:p>
        </w:tc>
        <w:tc>
          <w:tcPr>
            <w:tcW w:w="108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891"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70" w:footer="977" w:top="1060" w:bottom="1160" w:left="1320" w:right="1320"/>
        </w:sectPr>
      </w:pPr>
    </w:p>
    <w:p>
      <w:pPr>
        <w:spacing w:line="240" w:lineRule="auto" w:before="11"/>
        <w:rPr>
          <w:rFonts w:ascii="Times New Roman" w:hAnsi="Times New Roman" w:cs="Times New Roman" w:eastAsia="Times New Roman" w:hint="default"/>
          <w:sz w:val="2"/>
          <w:szCs w:val="2"/>
        </w:rPr>
      </w:pPr>
      <w:r>
        <w:rPr/>
        <w:pict>
          <v:shape style="position:absolute;margin-left:516pt;margin-top:278.040009pt;width:95.8pt;height:251.65pt;mso-position-horizontal-relative:page;mso-position-vertical-relative:page;z-index:-9863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先行赔付、</w:t>
                  </w:r>
                </w:p>
              </w:txbxContent>
            </v:textbox>
            <w10:wrap type="none"/>
          </v:shape>
        </w:pict>
      </w:r>
      <w:r>
        <w:rPr/>
        <w:pict>
          <v:group style="position:absolute;margin-left:558.23999pt;margin-top:278.040009pt;width:53.55pt;height:251.65pt;mso-position-horizontal-relative:page;mso-position-vertical-relative:page;z-index:-986320" coordorigin="11165,5561" coordsize="1071,5033">
            <v:group style="position:absolute;left:11165;top:5561;width:1071;height:5033" coordorigin="11165,5561" coordsize="1071,5033">
              <v:shape style="position:absolute;left:11165;top:5561;width:1071;height:5033" coordorigin="11165,5561" coordsize="1071,5033" path="m11165,10594l12235,10594,12235,5561,11165,5561,11165,10594xe" filled="true" fillcolor="#ffffff" stroked="false">
                <v:path arrowok="t"/>
                <v:fill type="solid"/>
              </v:shape>
            </v:group>
            <v:group style="position:absolute;left:11189;top:7726;width:1023;height:353" coordorigin="11189,7726" coordsize="1023,353">
              <v:shape style="position:absolute;left:11189;top:7726;width:1023;height:353" coordorigin="11189,7726" coordsize="1023,353" path="m11189,8078l12211,8078,12211,7726,11189,7726,11189,8078xe" filled="true" fillcolor="#ffffff" stroked="false">
                <v:path arrowok="t"/>
                <v:fill type="solid"/>
              </v:shape>
            </v:group>
            <v:group style="position:absolute;left:11189;top:8078;width:1023;height:351" coordorigin="11189,8078" coordsize="1023,351">
              <v:shape style="position:absolute;left:11189;top:8078;width:1023;height:351" coordorigin="11189,8078" coordsize="1023,351" path="m11189,8429l12211,8429,12211,8078,11189,8078,11189,8429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837"/>
        <w:gridCol w:w="1123"/>
        <w:gridCol w:w="1128"/>
        <w:gridCol w:w="4632"/>
        <w:gridCol w:w="1080"/>
        <w:gridCol w:w="1260"/>
        <w:gridCol w:w="1894"/>
      </w:tblGrid>
      <w:tr>
        <w:trPr>
          <w:trHeight w:val="4433" w:hRule="exact"/>
        </w:trPr>
        <w:tc>
          <w:tcPr>
            <w:tcW w:w="2837" w:type="dxa"/>
            <w:vMerge w:val="restart"/>
            <w:tcBorders>
              <w:top w:val="single" w:sz="15" w:space="0" w:color="000000"/>
              <w:left w:val="single" w:sz="4" w:space="0" w:color="000000"/>
              <w:right w:val="single" w:sz="4" w:space="0" w:color="000000"/>
            </w:tcBorders>
            <w:shd w:val="clear" w:color="auto" w:fill="D4D4D4"/>
          </w:tcPr>
          <w:p>
            <w:pPr/>
          </w:p>
        </w:tc>
        <w:tc>
          <w:tcPr>
            <w:tcW w:w="1123" w:type="dxa"/>
            <w:tcBorders>
              <w:top w:val="single" w:sz="15" w:space="0" w:color="000000"/>
              <w:left w:val="single" w:sz="4" w:space="0" w:color="000000"/>
              <w:bottom w:val="single" w:sz="4" w:space="0" w:color="000000"/>
              <w:right w:val="single" w:sz="4" w:space="0" w:color="000000"/>
            </w:tcBorders>
          </w:tcPr>
          <w:p>
            <w:pPr/>
          </w:p>
        </w:tc>
        <w:tc>
          <w:tcPr>
            <w:tcW w:w="1128" w:type="dxa"/>
            <w:tcBorders>
              <w:top w:val="single" w:sz="15" w:space="0" w:color="000000"/>
              <w:left w:val="single" w:sz="4" w:space="0" w:color="000000"/>
              <w:bottom w:val="single" w:sz="4" w:space="0" w:color="000000"/>
              <w:right w:val="single" w:sz="4" w:space="0" w:color="000000"/>
            </w:tcBorders>
          </w:tcPr>
          <w:p>
            <w:pPr/>
          </w:p>
        </w:tc>
        <w:tc>
          <w:tcPr>
            <w:tcW w:w="4632"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3"/>
              <w:ind w:left="21" w:right="23"/>
              <w:jc w:val="left"/>
              <w:rPr>
                <w:rFonts w:ascii="宋体" w:hAnsi="宋体" w:cs="宋体" w:eastAsia="宋体" w:hint="default"/>
                <w:sz w:val="18"/>
                <w:szCs w:val="18"/>
              </w:rPr>
            </w:pPr>
            <w:r>
              <w:rPr>
                <w:rFonts w:ascii="宋体" w:hAnsi="宋体" w:cs="宋体" w:eastAsia="宋体" w:hint="default"/>
                <w:sz w:val="18"/>
                <w:szCs w:val="18"/>
              </w:rPr>
              <w:t>歉。控股股东承诺：如未按照股价稳定预案采取稳定股价 的具体措施，国科控股应在公司股东大会及中国证监会指 定媒体上公开说明未采取上述稳定股价措施的具体原因并 向公司股东和社会公众投资者道歉；并在上述事项发生之 日起暂停在公司获得股东分红，同时其拥有的公司股份暂 不得转让，直至公司股票收盘价高于每股净资产或其按预 案的规定采取相应的稳定股价措施并实施完毕时为止。公 </w:t>
            </w:r>
            <w:r>
              <w:rPr>
                <w:rFonts w:ascii="宋体" w:hAnsi="宋体" w:cs="宋体" w:eastAsia="宋体" w:hint="default"/>
                <w:spacing w:val="-11"/>
                <w:sz w:val="18"/>
                <w:szCs w:val="18"/>
              </w:rPr>
              <w:t>司董事（独立董事除外）、高级管理人员承诺：公司董事（独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立董事除外）、高级管理人员未按照本预案采取稳定股价的</w:t>
            </w:r>
            <w:r>
              <w:rPr>
                <w:rFonts w:ascii="宋体" w:hAnsi="宋体" w:cs="宋体" w:eastAsia="宋体" w:hint="default"/>
                <w:sz w:val="18"/>
                <w:szCs w:val="18"/>
              </w:rPr>
              <w:t> 具体措施，应在前述事项发生之日起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个工作日内停止在 </w:t>
            </w:r>
            <w:r>
              <w:rPr>
                <w:rFonts w:ascii="宋体" w:hAnsi="宋体" w:cs="宋体" w:eastAsia="宋体" w:hint="default"/>
                <w:spacing w:val="-5"/>
                <w:sz w:val="18"/>
                <w:szCs w:val="18"/>
              </w:rPr>
              <w:t>公司领取薪酬及股东分红（如有），同时其持有的公司股份</w:t>
            </w:r>
          </w:p>
          <w:p>
            <w:pPr>
              <w:pStyle w:val="TableParagraph"/>
              <w:spacing w:line="316" w:lineRule="auto" w:before="19"/>
              <w:ind w:left="21" w:right="98"/>
              <w:jc w:val="both"/>
              <w:rPr>
                <w:rFonts w:ascii="宋体" w:hAnsi="宋体" w:cs="宋体" w:eastAsia="宋体" w:hint="default"/>
                <w:sz w:val="18"/>
                <w:szCs w:val="18"/>
              </w:rPr>
            </w:pPr>
            <w:r>
              <w:rPr>
                <w:rFonts w:ascii="宋体" w:hAnsi="宋体" w:cs="宋体" w:eastAsia="宋体" w:hint="default"/>
                <w:sz w:val="18"/>
                <w:szCs w:val="18"/>
              </w:rPr>
              <w:t>（如有）不得转让，直至公司股票收盘价高于每股净资产 或其按上述预案内容的规定采取相应的股价稳定措施并实 施完毕时为止。</w:t>
            </w:r>
          </w:p>
        </w:tc>
        <w:tc>
          <w:tcPr>
            <w:tcW w:w="1080" w:type="dxa"/>
            <w:tcBorders>
              <w:top w:val="single" w:sz="15" w:space="0" w:color="000000"/>
              <w:left w:val="single" w:sz="4" w:space="0" w:color="000000"/>
              <w:bottom w:val="single" w:sz="4" w:space="0" w:color="000000"/>
              <w:right w:val="single" w:sz="4" w:space="0" w:color="000000"/>
            </w:tcBorders>
          </w:tcPr>
          <w:p>
            <w:pPr/>
          </w:p>
        </w:tc>
        <w:tc>
          <w:tcPr>
            <w:tcW w:w="1260" w:type="dxa"/>
            <w:tcBorders>
              <w:top w:val="single" w:sz="15" w:space="0" w:color="000000"/>
              <w:left w:val="single" w:sz="4" w:space="0" w:color="000000"/>
              <w:bottom w:val="single" w:sz="4" w:space="0" w:color="000000"/>
              <w:right w:val="single" w:sz="4" w:space="0" w:color="000000"/>
            </w:tcBorders>
          </w:tcPr>
          <w:p>
            <w:pPr/>
          </w:p>
        </w:tc>
        <w:tc>
          <w:tcPr>
            <w:tcW w:w="1894" w:type="dxa"/>
            <w:tcBorders>
              <w:top w:val="single" w:sz="15" w:space="0" w:color="000000"/>
              <w:left w:val="single" w:sz="4" w:space="0" w:color="000000"/>
              <w:bottom w:val="single" w:sz="4" w:space="0" w:color="000000"/>
              <w:right w:val="single" w:sz="4" w:space="0" w:color="000000"/>
            </w:tcBorders>
          </w:tcPr>
          <w:p>
            <w:pPr/>
          </w:p>
        </w:tc>
      </w:tr>
      <w:tr>
        <w:trPr>
          <w:trHeight w:val="5042" w:hRule="exact"/>
        </w:trPr>
        <w:tc>
          <w:tcPr>
            <w:tcW w:w="2837"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中科信息</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6" w:lineRule="auto"/>
              <w:ind w:left="23" w:right="192"/>
              <w:jc w:val="both"/>
              <w:rPr>
                <w:rFonts w:ascii="宋体" w:hAnsi="宋体" w:cs="宋体" w:eastAsia="宋体" w:hint="default"/>
                <w:sz w:val="18"/>
                <w:szCs w:val="18"/>
              </w:rPr>
            </w:pPr>
            <w:r>
              <w:rPr>
                <w:rFonts w:ascii="宋体" w:hAnsi="宋体" w:cs="宋体" w:eastAsia="宋体" w:hint="default"/>
                <w:sz w:val="18"/>
                <w:szCs w:val="18"/>
              </w:rPr>
              <w:t>承担赔偿或 补偿责任的 承诺</w:t>
            </w:r>
          </w:p>
        </w:tc>
        <w:tc>
          <w:tcPr>
            <w:tcW w:w="46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38"/>
              <w:jc w:val="left"/>
              <w:rPr>
                <w:rFonts w:ascii="宋体" w:hAnsi="宋体" w:cs="宋体" w:eastAsia="宋体" w:hint="default"/>
                <w:sz w:val="18"/>
                <w:szCs w:val="18"/>
              </w:rPr>
            </w:pPr>
            <w:r>
              <w:rPr>
                <w:rFonts w:ascii="宋体" w:hAnsi="宋体" w:cs="宋体" w:eastAsia="宋体" w:hint="default"/>
                <w:sz w:val="18"/>
                <w:szCs w:val="18"/>
              </w:rPr>
              <w:t>若公司的招股说明书有虚假记载、误导性陈述或者重大遗 漏，对判断公司是否符合法律规定的发行条件构成重大、 实质影响的，公司将依法回购首次公开发行的全部新股。 公司将在监管部门认定的有关违法事实的当日进行公告， 并在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个交易日内根据法律、法规及公司章程的规定召开 董事会并发出召开临时股东大会的通知，在召开临时股东 大会并经相关主管部门批准</w:t>
            </w:r>
            <w:r>
              <w:rPr>
                <w:rFonts w:ascii="Times New Roman" w:hAnsi="Times New Roman" w:cs="Times New Roman" w:eastAsia="Times New Roman" w:hint="default"/>
                <w:sz w:val="18"/>
                <w:szCs w:val="18"/>
              </w:rPr>
              <w:t>/</w:t>
            </w:r>
            <w:r>
              <w:rPr>
                <w:rFonts w:ascii="宋体" w:hAnsi="宋体" w:cs="宋体" w:eastAsia="宋体" w:hint="default"/>
                <w:sz w:val="18"/>
                <w:szCs w:val="18"/>
              </w:rPr>
              <w:t>核准</w:t>
            </w:r>
            <w:r>
              <w:rPr>
                <w:rFonts w:ascii="Times New Roman" w:hAnsi="Times New Roman" w:cs="Times New Roman" w:eastAsia="Times New Roman" w:hint="default"/>
                <w:sz w:val="18"/>
                <w:szCs w:val="18"/>
              </w:rPr>
              <w:t>/</w:t>
            </w:r>
            <w:r>
              <w:rPr>
                <w:rFonts w:ascii="宋体" w:hAnsi="宋体" w:cs="宋体" w:eastAsia="宋体" w:hint="default"/>
                <w:sz w:val="18"/>
                <w:szCs w:val="18"/>
              </w:rPr>
              <w:t>备案后启动股份回购措 施，公司承诺按市场价格进行回购，如因监管部门认定有 关违法事实导致公司启动股份回购措施时公司股票已停 牌，则回购价格为公司股票停牌前一个交易日平均交易价 </w:t>
            </w:r>
            <w:r>
              <w:rPr>
                <w:rFonts w:ascii="宋体" w:hAnsi="宋体" w:cs="宋体" w:eastAsia="宋体" w:hint="default"/>
                <w:spacing w:val="-4"/>
                <w:sz w:val="18"/>
                <w:szCs w:val="18"/>
              </w:rPr>
              <w:t>格（平均交易价格</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当日成交额</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当日总成交量）。公司上市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后发生除权除息事项的，上述回购价格及回购股份数量应 做相应调整。如公司招股说明书有虚假记载、误导性陈述 或者重大遗漏，致使投资者在证券交易中遭受损失的，将 依法赔偿投资者损失。公司将在该等违法事实被监管部门 或有权机构认定后，本着简化程序、积极协商、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6"/>
              <w:ind w:left="23" w:right="19"/>
              <w:jc w:val="left"/>
              <w:rPr>
                <w:rFonts w:ascii="宋体" w:hAnsi="宋体" w:cs="宋体" w:eastAsia="宋体" w:hint="default"/>
                <w:sz w:val="18"/>
                <w:szCs w:val="18"/>
              </w:rPr>
            </w:pPr>
            <w:r>
              <w:rPr>
                <w:rFonts w:ascii="宋体" w:hAnsi="宋体" w:cs="宋体" w:eastAsia="宋体" w:hint="default"/>
                <w:spacing w:val="-8"/>
                <w:sz w:val="18"/>
                <w:szCs w:val="18"/>
              </w:rPr>
              <w:t>作出承诺时，至</w:t>
            </w:r>
            <w:r>
              <w:rPr>
                <w:rFonts w:ascii="宋体" w:hAnsi="宋体" w:cs="宋体" w:eastAsia="宋体" w:hint="default"/>
                <w:sz w:val="18"/>
                <w:szCs w:val="18"/>
              </w:rPr>
              <w:t> 承诺履行完毕</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6"/>
              <w:ind w:left="23" w:right="59"/>
              <w:jc w:val="left"/>
              <w:rPr>
                <w:rFonts w:ascii="宋体" w:hAnsi="宋体" w:cs="宋体" w:eastAsia="宋体" w:hint="default"/>
                <w:sz w:val="18"/>
                <w:szCs w:val="18"/>
              </w:rPr>
            </w:pPr>
            <w:r>
              <w:rPr>
                <w:rFonts w:ascii="宋体" w:hAnsi="宋体" w:cs="宋体" w:eastAsia="宋体" w:hint="default"/>
                <w:sz w:val="18"/>
                <w:szCs w:val="18"/>
              </w:rPr>
              <w:t>承诺人严格信守承诺， 未出现违犯承诺的情况</w:t>
            </w:r>
          </w:p>
        </w:tc>
      </w:tr>
    </w:tbl>
    <w:p>
      <w:pPr>
        <w:spacing w:after="0" w:line="316" w:lineRule="auto"/>
        <w:jc w:val="left"/>
        <w:rPr>
          <w:rFonts w:ascii="宋体" w:hAnsi="宋体" w:cs="宋体" w:eastAsia="宋体" w:hint="default"/>
          <w:sz w:val="18"/>
          <w:szCs w:val="18"/>
        </w:rPr>
        <w:sectPr>
          <w:pgSz w:w="16840" w:h="11910" w:orient="landscape"/>
          <w:pgMar w:header="870" w:footer="977" w:top="1060" w:bottom="1160" w:left="1320" w:right="1320"/>
        </w:sectPr>
      </w:pPr>
    </w:p>
    <w:p>
      <w:pPr>
        <w:spacing w:line="240" w:lineRule="auto" w:before="11"/>
        <w:rPr>
          <w:rFonts w:ascii="Times New Roman" w:hAnsi="Times New Roman" w:cs="Times New Roman" w:eastAsia="Times New Roman" w:hint="default"/>
          <w:sz w:val="2"/>
          <w:szCs w:val="2"/>
        </w:rPr>
      </w:pPr>
      <w:r>
        <w:rPr/>
        <w:pict>
          <v:shape style="position:absolute;margin-left:471.11972pt;margin-top:57.240005pt;width:140.65pt;height:111.15pt;mso-position-horizontal-relative:page;mso-position-vertical-relative:page;z-index:-9862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18"/>
                    <w:ind w:left="0" w:right="0" w:firstLine="0"/>
                    <w:jc w:val="left"/>
                    <w:rPr>
                      <w:rFonts w:ascii="宋体" w:hAnsi="宋体" w:cs="宋体" w:eastAsia="宋体" w:hint="default"/>
                      <w:sz w:val="18"/>
                      <w:szCs w:val="18"/>
                    </w:rPr>
                  </w:pPr>
                  <w:r>
                    <w:rPr>
                      <w:rFonts w:ascii="宋体" w:hAnsi="宋体" w:cs="宋体" w:eastAsia="宋体" w:hint="default"/>
                      <w:sz w:val="18"/>
                      <w:szCs w:val="18"/>
                    </w:rPr>
                    <w:t>若公司违反上述承诺，</w:t>
                  </w:r>
                </w:p>
              </w:txbxContent>
            </v:textbox>
            <w10:wrap type="none"/>
          </v:shape>
        </w:pict>
      </w:r>
      <w:r>
        <w:rPr/>
        <w:pict>
          <v:shape style="position:absolute;margin-left:264.119995pt;margin-top:329.399994pt;width:62.05pt;height:160pt;mso-position-horizontal-relative:page;mso-position-vertical-relative:page;z-index:-9862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70.359985pt;margin-top:329.399994pt;width:55.8pt;height:160pt;mso-position-horizontal-relative:page;mso-position-vertical-relative:page;z-index:-986224" coordorigin="5407,6588" coordsize="1116,3200">
            <v:group style="position:absolute;left:5407;top:6588;width:1116;height:3200" coordorigin="5407,6588" coordsize="1116,3200">
              <v:shape style="position:absolute;left:5407;top:6588;width:1116;height:3200" coordorigin="5407,6588" coordsize="1116,3200" path="m5407,9787l6523,9787,6523,6588,5407,6588,5407,9787xe" filled="true" fillcolor="#ffffff" stroked="false">
                <v:path arrowok="t"/>
                <v:fill type="solid"/>
              </v:shape>
            </v:group>
            <v:group style="position:absolute;left:5429;top:7680;width:1071;height:353" coordorigin="5429,7680" coordsize="1071,353">
              <v:shape style="position:absolute;left:5429;top:7680;width:1071;height:353" coordorigin="5429,7680" coordsize="1071,353" path="m5429,8033l6499,8033,6499,7680,5429,7680,5429,8033xe" filled="true" fillcolor="#ffffff" stroked="false">
                <v:path arrowok="t"/>
                <v:fill type="solid"/>
              </v:shape>
            </v:group>
            <v:group style="position:absolute;left:5429;top:8033;width:1071;height:312" coordorigin="5429,8033" coordsize="1071,312">
              <v:shape style="position:absolute;left:5429;top:8033;width:1071;height:312" coordorigin="5429,8033" coordsize="1071,312" path="m5429,8345l6499,8345,6499,8033,5429,8033,5429,8345xe" filled="true" fillcolor="#ffffff" stroked="false">
                <v:path arrowok="t"/>
                <v:fill type="solid"/>
              </v:shape>
            </v:group>
            <v:group style="position:absolute;left:5429;top:8345;width:1071;height:351" coordorigin="5429,8345" coordsize="1071,351">
              <v:shape style="position:absolute;left:5429;top:8345;width:1071;height:351" coordorigin="5429,8345" coordsize="1071,351" path="m5429,8695l6499,8695,6499,8345,5429,8345,5429,8695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837"/>
        <w:gridCol w:w="1123"/>
        <w:gridCol w:w="1128"/>
        <w:gridCol w:w="4632"/>
        <w:gridCol w:w="1080"/>
        <w:gridCol w:w="1260"/>
        <w:gridCol w:w="1891"/>
      </w:tblGrid>
      <w:tr>
        <w:trPr>
          <w:trHeight w:val="334" w:hRule="exact"/>
        </w:trPr>
        <w:tc>
          <w:tcPr>
            <w:tcW w:w="2837" w:type="dxa"/>
            <w:vMerge w:val="restart"/>
            <w:tcBorders>
              <w:top w:val="single" w:sz="15" w:space="0" w:color="000000"/>
              <w:left w:val="single" w:sz="4" w:space="0" w:color="000000"/>
              <w:right w:val="single" w:sz="4" w:space="0" w:color="000000"/>
            </w:tcBorders>
            <w:shd w:val="clear" w:color="auto" w:fill="D4D4D4"/>
          </w:tcPr>
          <w:p>
            <w:pPr/>
          </w:p>
        </w:tc>
        <w:tc>
          <w:tcPr>
            <w:tcW w:w="1123" w:type="dxa"/>
            <w:vMerge w:val="restart"/>
            <w:tcBorders>
              <w:top w:val="single" w:sz="15" w:space="0" w:color="000000"/>
              <w:left w:val="single" w:sz="4" w:space="0" w:color="000000"/>
              <w:right w:val="single" w:sz="4" w:space="0" w:color="000000"/>
            </w:tcBorders>
          </w:tcPr>
          <w:p>
            <w:pPr/>
          </w:p>
        </w:tc>
        <w:tc>
          <w:tcPr>
            <w:tcW w:w="1128" w:type="dxa"/>
            <w:vMerge w:val="restart"/>
            <w:tcBorders>
              <w:top w:val="single" w:sz="15" w:space="0" w:color="000000"/>
              <w:left w:val="single" w:sz="4" w:space="0" w:color="000000"/>
              <w:right w:val="single" w:sz="4" w:space="0" w:color="000000"/>
            </w:tcBorders>
          </w:tcPr>
          <w:p>
            <w:pPr/>
          </w:p>
        </w:tc>
        <w:tc>
          <w:tcPr>
            <w:tcW w:w="463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切实保障投资者特别是中小投资者利益的原则，按照投资</w:t>
            </w:r>
          </w:p>
        </w:tc>
        <w:tc>
          <w:tcPr>
            <w:tcW w:w="1080" w:type="dxa"/>
            <w:vMerge w:val="restart"/>
            <w:tcBorders>
              <w:top w:val="single" w:sz="15" w:space="0" w:color="000000"/>
              <w:left w:val="single" w:sz="4" w:space="0" w:color="000000"/>
              <w:right w:val="single" w:sz="4" w:space="0" w:color="000000"/>
            </w:tcBorders>
          </w:tcPr>
          <w:p>
            <w:pPr>
              <w:pStyle w:val="TableParagraph"/>
              <w:spacing w:line="222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pict>
                <v:group style="width:53.55pt;height:111.15pt;mso-position-horizontal-relative:char;mso-position-vertical-relative:line" coordorigin="0,0" coordsize="1071,2223">
                  <v:group style="position:absolute;left:0;top:0;width:1071;height:2223" coordorigin="0,0" coordsize="1071,2223">
                    <v:shape style="position:absolute;left:0;top:0;width:1071;height:2223" coordorigin="0,0" coordsize="1071,2223" path="m0,2222l1070,2222,1070,0,0,0,0,2222xe" filled="true" fillcolor="#ffffff" stroked="false">
                      <v:path arrowok="t"/>
                      <v:fill type="solid"/>
                    </v:shape>
                  </v:group>
                </v:group>
              </w:pict>
            </w:r>
            <w:r>
              <w:rPr>
                <w:rFonts w:ascii="Times New Roman" w:hAnsi="Times New Roman" w:cs="Times New Roman" w:eastAsia="Times New Roman" w:hint="default"/>
                <w:position w:val="-43"/>
                <w:sz w:val="20"/>
                <w:szCs w:val="20"/>
              </w:rPr>
            </w:r>
          </w:p>
        </w:tc>
        <w:tc>
          <w:tcPr>
            <w:tcW w:w="1260" w:type="dxa"/>
            <w:vMerge w:val="restart"/>
            <w:tcBorders>
              <w:top w:val="single" w:sz="15" w:space="0" w:color="000000"/>
              <w:left w:val="single" w:sz="4" w:space="0" w:color="000000"/>
              <w:right w:val="single" w:sz="4" w:space="0" w:color="000000"/>
            </w:tcBorders>
          </w:tcPr>
          <w:p>
            <w:pPr/>
          </w:p>
        </w:tc>
        <w:tc>
          <w:tcPr>
            <w:tcW w:w="1891" w:type="dxa"/>
            <w:vMerge w:val="restart"/>
            <w:tcBorders>
              <w:top w:val="single" w:sz="15"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者直接遭受的可测算的经济损失选择与投资者和解、通过</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第三方与投资者调解及设立投资者赔偿基金等方式积极赔</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偿投资者由此遭受的直接经济损失。</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则将在公司股东大会及中国证监会指定媒体上公开就未履</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行上述赔偿措施向股东和社会公众投资者道歉，并按监管</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55"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46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部门及有关司法机关认定的实际损失向投资者进行赔偿。</w:t>
            </w:r>
          </w:p>
        </w:tc>
        <w:tc>
          <w:tcPr>
            <w:tcW w:w="108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891" w:type="dxa"/>
            <w:vMerge/>
            <w:tcBorders>
              <w:left w:val="single" w:sz="4" w:space="0" w:color="000000"/>
              <w:bottom w:val="single" w:sz="4" w:space="0" w:color="000000"/>
              <w:right w:val="single" w:sz="4" w:space="0" w:color="000000"/>
            </w:tcBorders>
          </w:tcPr>
          <w:p>
            <w:pPr/>
          </w:p>
        </w:tc>
      </w:tr>
      <w:tr>
        <w:trPr>
          <w:trHeight w:val="358" w:hRule="exact"/>
        </w:trPr>
        <w:tc>
          <w:tcPr>
            <w:tcW w:w="2837" w:type="dxa"/>
            <w:vMerge/>
            <w:tcBorders>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46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公司公开募集及上市文件中如有虚假记载、误导性陈述或</w:t>
            </w:r>
          </w:p>
        </w:tc>
        <w:tc>
          <w:tcPr>
            <w:tcW w:w="108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89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者重大遗漏，对判断公司是否符合法律规定的发行条件构</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成重大、实质影响的，国科控股将依法以公司股票二级市</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国科控股</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92"/>
              <w:jc w:val="both"/>
              <w:rPr>
                <w:rFonts w:ascii="宋体" w:hAnsi="宋体" w:cs="宋体" w:eastAsia="宋体" w:hint="default"/>
                <w:sz w:val="18"/>
                <w:szCs w:val="18"/>
              </w:rPr>
            </w:pPr>
            <w:r>
              <w:rPr>
                <w:rFonts w:ascii="宋体" w:hAnsi="宋体" w:cs="宋体" w:eastAsia="宋体" w:hint="default"/>
                <w:sz w:val="18"/>
                <w:szCs w:val="18"/>
              </w:rPr>
              <w:t>承担赔偿或 补偿责任的 承诺</w:t>
            </w: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1" w:right="98"/>
              <w:jc w:val="both"/>
              <w:rPr>
                <w:rFonts w:ascii="宋体" w:hAnsi="宋体" w:cs="宋体" w:eastAsia="宋体" w:hint="default"/>
                <w:sz w:val="18"/>
                <w:szCs w:val="18"/>
              </w:rPr>
            </w:pPr>
            <w:r>
              <w:rPr>
                <w:rFonts w:ascii="宋体" w:hAnsi="宋体" w:cs="宋体" w:eastAsia="宋体" w:hint="default"/>
                <w:sz w:val="18"/>
                <w:szCs w:val="18"/>
              </w:rPr>
              <w:t>场价格购回已转让的原限售股份。公司公开募集及上市文 件中如存在虚假记载、误导性陈述或者重大遗漏，致使投 资者在证券交易中遭受损失的，国科控股将依法赔偿投资 者损失。若国科控股违反上述承诺，则将在公司股东大会</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9"/>
              <w:jc w:val="left"/>
              <w:rPr>
                <w:rFonts w:ascii="宋体" w:hAnsi="宋体" w:cs="宋体" w:eastAsia="宋体" w:hint="default"/>
                <w:sz w:val="18"/>
                <w:szCs w:val="18"/>
              </w:rPr>
            </w:pPr>
            <w:r>
              <w:rPr>
                <w:rFonts w:ascii="宋体" w:hAnsi="宋体" w:cs="宋体" w:eastAsia="宋体" w:hint="default"/>
                <w:spacing w:val="-8"/>
                <w:sz w:val="18"/>
                <w:szCs w:val="18"/>
              </w:rPr>
              <w:t>作出承诺时，至</w:t>
            </w:r>
            <w:r>
              <w:rPr>
                <w:rFonts w:ascii="宋体" w:hAnsi="宋体" w:cs="宋体" w:eastAsia="宋体" w:hint="default"/>
                <w:sz w:val="18"/>
                <w:szCs w:val="18"/>
              </w:rPr>
              <w:t> 承诺履行完毕</w:t>
            </w:r>
          </w:p>
        </w:tc>
        <w:tc>
          <w:tcPr>
            <w:tcW w:w="18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55"/>
              <w:jc w:val="left"/>
              <w:rPr>
                <w:rFonts w:ascii="宋体" w:hAnsi="宋体" w:cs="宋体" w:eastAsia="宋体" w:hint="default"/>
                <w:sz w:val="18"/>
                <w:szCs w:val="18"/>
              </w:rPr>
            </w:pPr>
            <w:r>
              <w:rPr>
                <w:rFonts w:ascii="宋体" w:hAnsi="宋体" w:cs="宋体" w:eastAsia="宋体" w:hint="default"/>
                <w:sz w:val="18"/>
                <w:szCs w:val="18"/>
              </w:rPr>
              <w:t>承诺人严格信守承诺， 未出现违犯承诺的情况</w:t>
            </w: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及中国证监会指定媒体上公开就未履行上述赔偿措施向股</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东和社会公众投资者道歉，并按监管部门及有关司法机关</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46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认定的实际损失向投资者进行赔偿。</w:t>
            </w:r>
          </w:p>
        </w:tc>
        <w:tc>
          <w:tcPr>
            <w:tcW w:w="108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891"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837" w:type="dxa"/>
            <w:vMerge/>
            <w:tcBorders>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索继栓、王晓</w:t>
            </w:r>
          </w:p>
        </w:tc>
        <w:tc>
          <w:tcPr>
            <w:tcW w:w="1128" w:type="dxa"/>
            <w:tcBorders>
              <w:top w:val="single" w:sz="4" w:space="0" w:color="000000"/>
              <w:left w:val="single" w:sz="4" w:space="0" w:color="000000"/>
              <w:bottom w:val="nil" w:sz="6" w:space="0" w:color="auto"/>
              <w:right w:val="single" w:sz="4" w:space="0" w:color="000000"/>
            </w:tcBorders>
          </w:tcPr>
          <w:p>
            <w:pPr/>
          </w:p>
        </w:tc>
        <w:tc>
          <w:tcPr>
            <w:tcW w:w="4632"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89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宇、张勇、杨</w:t>
            </w: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公司董事、监事和高级管理人员承诺：公司公开募集及上</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红梅、付忠</w:t>
            </w: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市文件中如存在虚假记载、误导性陈述或者重大遗漏，致</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1" w:right="11"/>
              <w:jc w:val="both"/>
              <w:rPr>
                <w:rFonts w:ascii="宋体" w:hAnsi="宋体" w:cs="宋体" w:eastAsia="宋体" w:hint="default"/>
                <w:sz w:val="18"/>
                <w:szCs w:val="18"/>
              </w:rPr>
            </w:pPr>
            <w:r>
              <w:rPr>
                <w:rFonts w:ascii="宋体" w:hAnsi="宋体" w:cs="宋体" w:eastAsia="宋体" w:hint="default"/>
                <w:sz w:val="18"/>
                <w:szCs w:val="18"/>
              </w:rPr>
              <w:t>良、史志明、 黄泽永、赖肇 庆、周玮、王 伟、傅敏、肖</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92"/>
              <w:jc w:val="both"/>
              <w:rPr>
                <w:rFonts w:ascii="宋体" w:hAnsi="宋体" w:cs="宋体" w:eastAsia="宋体" w:hint="default"/>
                <w:sz w:val="18"/>
                <w:szCs w:val="18"/>
              </w:rPr>
            </w:pPr>
            <w:r>
              <w:rPr>
                <w:rFonts w:ascii="宋体" w:hAnsi="宋体" w:cs="宋体" w:eastAsia="宋体" w:hint="default"/>
                <w:sz w:val="18"/>
                <w:szCs w:val="18"/>
              </w:rPr>
              <w:t>承担赔偿或 补偿责任的 承诺</w:t>
            </w: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1" w:right="98"/>
              <w:jc w:val="both"/>
              <w:rPr>
                <w:rFonts w:ascii="宋体" w:hAnsi="宋体" w:cs="宋体" w:eastAsia="宋体" w:hint="default"/>
                <w:sz w:val="18"/>
                <w:szCs w:val="18"/>
              </w:rPr>
            </w:pPr>
            <w:r>
              <w:rPr>
                <w:rFonts w:ascii="宋体" w:hAnsi="宋体" w:cs="宋体" w:eastAsia="宋体" w:hint="default"/>
                <w:sz w:val="18"/>
                <w:szCs w:val="18"/>
              </w:rPr>
              <w:t>使投资者在证券交易中遭受损失的，公司董事、监事和高 级管理人员将依法赔偿投资者损失。若违反上述承诺，上 述人员则将在公司股东大会及中国证监会指定媒体上公开 就未履行上述赔偿措施向股东和社会公众投资者道歉，并</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9"/>
              <w:jc w:val="left"/>
              <w:rPr>
                <w:rFonts w:ascii="宋体" w:hAnsi="宋体" w:cs="宋体" w:eastAsia="宋体" w:hint="default"/>
                <w:sz w:val="18"/>
                <w:szCs w:val="18"/>
              </w:rPr>
            </w:pPr>
            <w:r>
              <w:rPr>
                <w:rFonts w:ascii="宋体" w:hAnsi="宋体" w:cs="宋体" w:eastAsia="宋体" w:hint="default"/>
                <w:spacing w:val="-8"/>
                <w:sz w:val="18"/>
                <w:szCs w:val="18"/>
              </w:rPr>
              <w:t>作出承诺时，至</w:t>
            </w:r>
            <w:r>
              <w:rPr>
                <w:rFonts w:ascii="宋体" w:hAnsi="宋体" w:cs="宋体" w:eastAsia="宋体" w:hint="default"/>
                <w:sz w:val="18"/>
                <w:szCs w:val="18"/>
              </w:rPr>
              <w:t> 承诺履行完毕</w:t>
            </w:r>
          </w:p>
        </w:tc>
        <w:tc>
          <w:tcPr>
            <w:tcW w:w="18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55"/>
              <w:jc w:val="left"/>
              <w:rPr>
                <w:rFonts w:ascii="宋体" w:hAnsi="宋体" w:cs="宋体" w:eastAsia="宋体" w:hint="default"/>
                <w:sz w:val="18"/>
                <w:szCs w:val="18"/>
              </w:rPr>
            </w:pPr>
            <w:r>
              <w:rPr>
                <w:rFonts w:ascii="宋体" w:hAnsi="宋体" w:cs="宋体" w:eastAsia="宋体" w:hint="default"/>
                <w:sz w:val="18"/>
                <w:szCs w:val="18"/>
              </w:rPr>
              <w:t>承诺人严格信守承诺， 未出现违犯承诺的情况</w:t>
            </w: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帆、尹邦明</w:t>
            </w: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按监管部门及有关司法机关认定的实际损失向投资者进行</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钟勇、王晓</w:t>
            </w: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赔偿。</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东、刘小兵</w:t>
            </w:r>
          </w:p>
        </w:tc>
        <w:tc>
          <w:tcPr>
            <w:tcW w:w="1128" w:type="dxa"/>
            <w:tcBorders>
              <w:top w:val="nil" w:sz="6" w:space="0" w:color="auto"/>
              <w:left w:val="single" w:sz="4" w:space="0" w:color="000000"/>
              <w:bottom w:val="single" w:sz="4" w:space="0" w:color="000000"/>
              <w:right w:val="single" w:sz="4" w:space="0" w:color="000000"/>
            </w:tcBorders>
          </w:tcPr>
          <w:p>
            <w:pPr/>
          </w:p>
        </w:tc>
        <w:tc>
          <w:tcPr>
            <w:tcW w:w="4632"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891" w:type="dxa"/>
            <w:tcBorders>
              <w:top w:val="nil" w:sz="6" w:space="0" w:color="auto"/>
              <w:left w:val="single" w:sz="4" w:space="0" w:color="000000"/>
              <w:bottom w:val="single" w:sz="4" w:space="0" w:color="000000"/>
              <w:right w:val="single" w:sz="4" w:space="0" w:color="000000"/>
            </w:tcBorders>
          </w:tcPr>
          <w:p>
            <w:pPr/>
          </w:p>
        </w:tc>
      </w:tr>
      <w:tr>
        <w:trPr>
          <w:trHeight w:val="369" w:hRule="exact"/>
        </w:trPr>
        <w:tc>
          <w:tcPr>
            <w:tcW w:w="2837" w:type="dxa"/>
            <w:vMerge/>
            <w:tcBorders>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国信证券股</w:t>
            </w: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承担赔偿或</w:t>
            </w:r>
          </w:p>
        </w:tc>
        <w:tc>
          <w:tcPr>
            <w:tcW w:w="46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3"/>
              <w:ind w:left="21" w:right="0"/>
              <w:jc w:val="left"/>
              <w:rPr>
                <w:rFonts w:ascii="宋体" w:hAnsi="宋体" w:cs="宋体" w:eastAsia="宋体" w:hint="default"/>
                <w:sz w:val="18"/>
                <w:szCs w:val="18"/>
              </w:rPr>
            </w:pPr>
            <w:r>
              <w:rPr>
                <w:rFonts w:ascii="宋体" w:hAnsi="宋体" w:cs="宋体" w:eastAsia="宋体" w:hint="default"/>
                <w:sz w:val="18"/>
                <w:szCs w:val="18"/>
              </w:rPr>
              <w:t>如因本公司为发行人首次公开发行股票制作、出具的文件</w:t>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8"/>
                <w:sz w:val="18"/>
                <w:szCs w:val="18"/>
              </w:rPr>
              <w:t>作出承诺时，至</w:t>
            </w:r>
          </w:p>
        </w:tc>
        <w:tc>
          <w:tcPr>
            <w:tcW w:w="18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31"/>
              <w:jc w:val="center"/>
              <w:rPr>
                <w:rFonts w:ascii="宋体" w:hAnsi="宋体" w:cs="宋体" w:eastAsia="宋体" w:hint="default"/>
                <w:sz w:val="18"/>
                <w:szCs w:val="18"/>
              </w:rPr>
            </w:pPr>
            <w:r>
              <w:rPr>
                <w:rFonts w:ascii="宋体" w:hAnsi="宋体" w:cs="宋体" w:eastAsia="宋体" w:hint="default"/>
                <w:sz w:val="18"/>
                <w:szCs w:val="18"/>
              </w:rPr>
              <w:t>承诺人严格信守承诺，</w:t>
            </w:r>
          </w:p>
        </w:tc>
      </w:tr>
      <w:tr>
        <w:trPr>
          <w:trHeight w:val="347" w:hRule="exact"/>
        </w:trPr>
        <w:tc>
          <w:tcPr>
            <w:tcW w:w="2837"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21"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补偿责任的</w:t>
            </w:r>
          </w:p>
        </w:tc>
        <w:tc>
          <w:tcPr>
            <w:tcW w:w="46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21" w:right="0"/>
              <w:jc w:val="left"/>
              <w:rPr>
                <w:rFonts w:ascii="宋体" w:hAnsi="宋体" w:cs="宋体" w:eastAsia="宋体" w:hint="default"/>
                <w:sz w:val="18"/>
                <w:szCs w:val="18"/>
              </w:rPr>
            </w:pPr>
            <w:r>
              <w:rPr>
                <w:rFonts w:ascii="宋体" w:hAnsi="宋体" w:cs="宋体" w:eastAsia="宋体" w:hint="default"/>
                <w:sz w:val="18"/>
                <w:szCs w:val="18"/>
              </w:rPr>
              <w:t>有虚假记载、误导性陈述或者重大遗漏，给投资者造成损</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承诺履行完毕</w:t>
            </w:r>
          </w:p>
        </w:tc>
        <w:tc>
          <w:tcPr>
            <w:tcW w:w="1891"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right="31"/>
              <w:jc w:val="center"/>
              <w:rPr>
                <w:rFonts w:ascii="宋体" w:hAnsi="宋体" w:cs="宋体" w:eastAsia="宋体" w:hint="default"/>
                <w:sz w:val="18"/>
                <w:szCs w:val="18"/>
              </w:rPr>
            </w:pPr>
            <w:r>
              <w:rPr>
                <w:rFonts w:ascii="宋体" w:hAnsi="宋体" w:cs="宋体" w:eastAsia="宋体" w:hint="default"/>
                <w:sz w:val="18"/>
                <w:szCs w:val="18"/>
              </w:rPr>
              <w:t>未出现违犯承诺的情况</w:t>
            </w:r>
          </w:p>
        </w:tc>
      </w:tr>
    </w:tbl>
    <w:p>
      <w:pPr>
        <w:spacing w:after="0" w:line="235" w:lineRule="exact"/>
        <w:jc w:val="center"/>
        <w:rPr>
          <w:rFonts w:ascii="宋体" w:hAnsi="宋体" w:cs="宋体" w:eastAsia="宋体" w:hint="default"/>
          <w:sz w:val="18"/>
          <w:szCs w:val="18"/>
        </w:rPr>
        <w:sectPr>
          <w:pgSz w:w="16840" w:h="11910" w:orient="landscape"/>
          <w:pgMar w:header="870" w:footer="977" w:top="1060" w:bottom="1160" w:left="1320" w:right="1320"/>
        </w:sectPr>
      </w:pPr>
    </w:p>
    <w:p>
      <w:pPr>
        <w:spacing w:line="240" w:lineRule="auto" w:before="11"/>
        <w:rPr>
          <w:rFonts w:ascii="Times New Roman" w:hAnsi="Times New Roman" w:cs="Times New Roman" w:eastAsia="Times New Roman" w:hint="default"/>
          <w:sz w:val="2"/>
          <w:szCs w:val="2"/>
        </w:rPr>
      </w:pPr>
      <w:r>
        <w:rPr/>
        <w:pict>
          <v:shape style="position:absolute;margin-left:246.119705pt;margin-top:193.440002pt;width:80.05pt;height:329.65pt;mso-position-horizontal-relative:page;mso-position-vertical-relative:page;z-index:-9862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钟勇、</w:t>
                  </w:r>
                </w:p>
              </w:txbxContent>
            </v:textbox>
            <w10:wrap type="none"/>
          </v:shape>
        </w:pict>
      </w:r>
      <w:r>
        <w:rPr/>
        <w:pict>
          <v:shape style="position:absolute;margin-left:444.11969pt;margin-top:193.440002pt;width:167.65pt;height:329.65pt;mso-position-horizontal-relative:page;mso-position-vertical-relative:page;z-index:-9861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3"/>
                      <w:szCs w:val="23"/>
                    </w:rPr>
                  </w:pPr>
                </w:p>
                <w:p>
                  <w:pPr>
                    <w:spacing w:before="0"/>
                    <w:ind w:left="0" w:right="0" w:firstLine="1440"/>
                    <w:jc w:val="left"/>
                    <w:rPr>
                      <w:rFonts w:ascii="宋体" w:hAnsi="宋体" w:cs="宋体" w:eastAsia="宋体" w:hint="default"/>
                      <w:sz w:val="18"/>
                      <w:szCs w:val="18"/>
                    </w:rPr>
                  </w:pPr>
                  <w:r>
                    <w:rPr>
                      <w:rFonts w:ascii="宋体" w:hAnsi="宋体" w:cs="宋体" w:eastAsia="宋体" w:hint="default"/>
                      <w:sz w:val="18"/>
                      <w:szCs w:val="18"/>
                    </w:rPr>
                    <w:t>消费活动；</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抗力事件引起违反承诺事项，</w:t>
                  </w:r>
                </w:p>
              </w:txbxContent>
            </v:textbox>
            <w10:wrap type="none"/>
          </v:shape>
        </w:pict>
      </w:r>
      <w:r>
        <w:rPr/>
        <w:pict>
          <v:group style="position:absolute;margin-left:270.359985pt;margin-top:193.440002pt;width:55.8pt;height:329.65pt;mso-position-horizontal-relative:page;mso-position-vertical-relative:page;z-index:-986152" coordorigin="5407,3869" coordsize="1116,6593">
            <v:group style="position:absolute;left:5407;top:3869;width:1116;height:6593" coordorigin="5407,3869" coordsize="1116,6593">
              <v:shape style="position:absolute;left:5407;top:3869;width:1116;height:6593" coordorigin="5407,3869" coordsize="1116,6593" path="m5407,10462l6523,10462,6523,3869,5407,3869,5407,10462xe" filled="true" fillcolor="#ffffff" stroked="false">
                <v:path arrowok="t"/>
                <v:fill type="solid"/>
              </v:shape>
            </v:group>
            <v:group style="position:absolute;left:5429;top:6658;width:1071;height:353" coordorigin="5429,6658" coordsize="1071,353">
              <v:shape style="position:absolute;left:5429;top:6658;width:1071;height:353" coordorigin="5429,6658" coordsize="1071,353" path="m5429,7010l6499,7010,6499,6658,5429,6658,5429,7010xe" filled="true" fillcolor="#ffffff" stroked="false">
                <v:path arrowok="t"/>
                <v:fill type="solid"/>
              </v:shape>
            </v:group>
            <v:group style="position:absolute;left:5429;top:7010;width:1071;height:312" coordorigin="5429,7010" coordsize="1071,312">
              <v:shape style="position:absolute;left:5429;top:7010;width:1071;height:312" coordorigin="5429,7010" coordsize="1071,312" path="m5429,7322l6499,7322,6499,7010,5429,7010,5429,7322xe" filled="true" fillcolor="#ffffff" stroked="false">
                <v:path arrowok="t"/>
                <v:fill type="solid"/>
              </v:shape>
            </v:group>
            <v:group style="position:absolute;left:5429;top:7322;width:1071;height:351" coordorigin="5429,7322" coordsize="1071,351">
              <v:shape style="position:absolute;left:5429;top:7322;width:1071;height:351" coordorigin="5429,7322" coordsize="1071,351" path="m5429,7673l6499,7673,6499,7322,5429,7322,5429,7673xe" filled="true" fillcolor="#ffffff" stroked="false">
                <v:path arrowok="t"/>
                <v:fill type="solid"/>
              </v:shape>
            </v:group>
            <w10:wrap type="none"/>
          </v:group>
        </w:pict>
      </w:r>
      <w:r>
        <w:rPr/>
        <w:pict>
          <v:group style="position:absolute;margin-left:558.23999pt;margin-top:193.440002pt;width:53.55pt;height:329.65pt;mso-position-horizontal-relative:page;mso-position-vertical-relative:page;z-index:-986128" coordorigin="11165,3869" coordsize="1071,6593">
            <v:group style="position:absolute;left:11165;top:3869;width:1071;height:6593" coordorigin="11165,3869" coordsize="1071,6593">
              <v:shape style="position:absolute;left:11165;top:3869;width:1071;height:6593" coordorigin="11165,3869" coordsize="1071,6593" path="m11165,10462l12235,10462,12235,3869,11165,3869,11165,10462xe" filled="true" fillcolor="#ffffff" stroked="false">
                <v:path arrowok="t"/>
                <v:fill type="solid"/>
              </v:shape>
            </v:group>
            <v:group style="position:absolute;left:11189;top:6814;width:1023;height:353" coordorigin="11189,6814" coordsize="1023,353">
              <v:shape style="position:absolute;left:11189;top:6814;width:1023;height:353" coordorigin="11189,6814" coordsize="1023,353" path="m11189,7166l12211,7166,12211,6814,11189,6814,11189,7166xe" filled="true" fillcolor="#ffffff" stroked="false">
                <v:path arrowok="t"/>
                <v:fill type="solid"/>
              </v:shape>
            </v:group>
            <v:group style="position:absolute;left:11189;top:7166;width:1023;height:351" coordorigin="11189,7166" coordsize="1023,351">
              <v:shape style="position:absolute;left:11189;top:7166;width:1023;height:351" coordorigin="11189,7166" coordsize="1023,351" path="m11189,7517l12211,7517,12211,7166,11189,7166,11189,7517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837"/>
        <w:gridCol w:w="1123"/>
        <w:gridCol w:w="1128"/>
        <w:gridCol w:w="4632"/>
        <w:gridCol w:w="1080"/>
        <w:gridCol w:w="1260"/>
        <w:gridCol w:w="1891"/>
      </w:tblGrid>
      <w:tr>
        <w:trPr>
          <w:trHeight w:val="377" w:hRule="exact"/>
        </w:trPr>
        <w:tc>
          <w:tcPr>
            <w:tcW w:w="2837" w:type="dxa"/>
            <w:vMerge w:val="restart"/>
            <w:tcBorders>
              <w:top w:val="single" w:sz="15" w:space="0" w:color="000000"/>
              <w:left w:val="single" w:sz="4" w:space="0" w:color="000000"/>
              <w:right w:val="single" w:sz="4" w:space="0" w:color="000000"/>
            </w:tcBorders>
            <w:shd w:val="clear" w:color="auto" w:fill="D4D4D4"/>
          </w:tcPr>
          <w:p>
            <w:pPr/>
          </w:p>
        </w:tc>
        <w:tc>
          <w:tcPr>
            <w:tcW w:w="1123" w:type="dxa"/>
            <w:tcBorders>
              <w:top w:val="single" w:sz="15" w:space="0" w:color="000000"/>
              <w:left w:val="single" w:sz="4" w:space="0" w:color="000000"/>
              <w:bottom w:val="single" w:sz="4" w:space="0" w:color="000000"/>
              <w:right w:val="single" w:sz="4" w:space="0" w:color="000000"/>
            </w:tcBorders>
          </w:tcPr>
          <w:p>
            <w:pPr/>
          </w:p>
        </w:tc>
        <w:tc>
          <w:tcPr>
            <w:tcW w:w="112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463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失的，将先行赔偿投资者损失。</w:t>
            </w:r>
          </w:p>
        </w:tc>
        <w:tc>
          <w:tcPr>
            <w:tcW w:w="1080" w:type="dxa"/>
            <w:tcBorders>
              <w:top w:val="single" w:sz="15" w:space="0" w:color="000000"/>
              <w:left w:val="single" w:sz="4" w:space="0" w:color="000000"/>
              <w:bottom w:val="single" w:sz="4" w:space="0" w:color="000000"/>
              <w:right w:val="single" w:sz="4" w:space="0" w:color="000000"/>
            </w:tcBorders>
          </w:tcPr>
          <w:p>
            <w:pPr/>
          </w:p>
        </w:tc>
        <w:tc>
          <w:tcPr>
            <w:tcW w:w="1260" w:type="dxa"/>
            <w:tcBorders>
              <w:top w:val="single" w:sz="15" w:space="0" w:color="000000"/>
              <w:left w:val="single" w:sz="4" w:space="0" w:color="000000"/>
              <w:bottom w:val="single" w:sz="4" w:space="0" w:color="000000"/>
              <w:right w:val="single" w:sz="4" w:space="0" w:color="000000"/>
            </w:tcBorders>
          </w:tcPr>
          <w:p>
            <w:pPr/>
          </w:p>
        </w:tc>
        <w:tc>
          <w:tcPr>
            <w:tcW w:w="1891" w:type="dxa"/>
            <w:tcBorders>
              <w:top w:val="single" w:sz="15" w:space="0" w:color="000000"/>
              <w:left w:val="single" w:sz="4" w:space="0" w:color="000000"/>
              <w:bottom w:val="single" w:sz="4" w:space="0" w:color="000000"/>
              <w:right w:val="single" w:sz="4" w:space="0" w:color="000000"/>
            </w:tcBorders>
          </w:tcPr>
          <w:p>
            <w:pPr/>
          </w:p>
        </w:tc>
      </w:tr>
      <w:tr>
        <w:trPr>
          <w:trHeight w:val="1339" w:hRule="exact"/>
        </w:trPr>
        <w:tc>
          <w:tcPr>
            <w:tcW w:w="2837" w:type="dxa"/>
            <w:vMerge/>
            <w:tcBorders>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191"/>
              <w:jc w:val="left"/>
              <w:rPr>
                <w:rFonts w:ascii="宋体" w:hAnsi="宋体" w:cs="宋体" w:eastAsia="宋体" w:hint="default"/>
                <w:sz w:val="18"/>
                <w:szCs w:val="18"/>
              </w:rPr>
            </w:pPr>
            <w:r>
              <w:rPr>
                <w:rFonts w:ascii="宋体" w:hAnsi="宋体" w:cs="宋体" w:eastAsia="宋体" w:hint="default"/>
                <w:sz w:val="18"/>
                <w:szCs w:val="18"/>
              </w:rPr>
              <w:t>信永中和会 计师事务所</w:t>
            </w:r>
          </w:p>
          <w:p>
            <w:pPr>
              <w:pStyle w:val="TableParagraph"/>
              <w:spacing w:line="316" w:lineRule="auto" w:before="19"/>
              <w:ind w:left="21" w:right="191"/>
              <w:jc w:val="left"/>
              <w:rPr>
                <w:rFonts w:ascii="宋体" w:hAnsi="宋体" w:cs="宋体" w:eastAsia="宋体" w:hint="default"/>
                <w:sz w:val="18"/>
                <w:szCs w:val="18"/>
              </w:rPr>
            </w:pPr>
            <w:r>
              <w:rPr>
                <w:rFonts w:ascii="宋体" w:hAnsi="宋体" w:cs="宋体" w:eastAsia="宋体" w:hint="default"/>
                <w:sz w:val="18"/>
                <w:szCs w:val="18"/>
              </w:rPr>
              <w:t>（特殊普通 合伙）</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92"/>
              <w:jc w:val="both"/>
              <w:rPr>
                <w:rFonts w:ascii="宋体" w:hAnsi="宋体" w:cs="宋体" w:eastAsia="宋体" w:hint="default"/>
                <w:sz w:val="18"/>
                <w:szCs w:val="18"/>
              </w:rPr>
            </w:pPr>
            <w:r>
              <w:rPr>
                <w:rFonts w:ascii="宋体" w:hAnsi="宋体" w:cs="宋体" w:eastAsia="宋体" w:hint="default"/>
                <w:sz w:val="18"/>
                <w:szCs w:val="18"/>
              </w:rPr>
              <w:t>承担赔偿或 补偿责任的 承诺</w:t>
            </w:r>
          </w:p>
        </w:tc>
        <w:tc>
          <w:tcPr>
            <w:tcW w:w="4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1" w:right="98"/>
              <w:jc w:val="both"/>
              <w:rPr>
                <w:rFonts w:ascii="宋体" w:hAnsi="宋体" w:cs="宋体" w:eastAsia="宋体" w:hint="default"/>
                <w:sz w:val="18"/>
                <w:szCs w:val="18"/>
              </w:rPr>
            </w:pPr>
            <w:r>
              <w:rPr>
                <w:rFonts w:ascii="宋体" w:hAnsi="宋体" w:cs="宋体" w:eastAsia="宋体" w:hint="default"/>
                <w:sz w:val="18"/>
                <w:szCs w:val="18"/>
              </w:rPr>
              <w:t>如因本公司为发行人首次公开发行股票制作、出具的文件 有虚假记载、误导性陈述或者重大遗漏，给投资者造成损 失的，将先行赔偿投资者损失。</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9"/>
              <w:jc w:val="left"/>
              <w:rPr>
                <w:rFonts w:ascii="宋体" w:hAnsi="宋体" w:cs="宋体" w:eastAsia="宋体" w:hint="default"/>
                <w:sz w:val="18"/>
                <w:szCs w:val="18"/>
              </w:rPr>
            </w:pPr>
            <w:r>
              <w:rPr>
                <w:rFonts w:ascii="宋体" w:hAnsi="宋体" w:cs="宋体" w:eastAsia="宋体" w:hint="default"/>
                <w:spacing w:val="-8"/>
                <w:sz w:val="18"/>
                <w:szCs w:val="18"/>
              </w:rPr>
              <w:t>作出承诺时，至</w:t>
            </w:r>
            <w:r>
              <w:rPr>
                <w:rFonts w:ascii="宋体" w:hAnsi="宋体" w:cs="宋体" w:eastAsia="宋体" w:hint="default"/>
                <w:sz w:val="18"/>
                <w:szCs w:val="18"/>
              </w:rPr>
              <w:t> 承诺履行完毕</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55"/>
              <w:jc w:val="left"/>
              <w:rPr>
                <w:rFonts w:ascii="宋体" w:hAnsi="宋体" w:cs="宋体" w:eastAsia="宋体" w:hint="default"/>
                <w:sz w:val="18"/>
                <w:szCs w:val="18"/>
              </w:rPr>
            </w:pPr>
            <w:r>
              <w:rPr>
                <w:rFonts w:ascii="宋体" w:hAnsi="宋体" w:cs="宋体" w:eastAsia="宋体" w:hint="default"/>
                <w:sz w:val="18"/>
                <w:szCs w:val="18"/>
              </w:rPr>
              <w:t>承诺人严格信守承诺， 未出现违犯承诺的情况</w:t>
            </w:r>
          </w:p>
        </w:tc>
      </w:tr>
      <w:tr>
        <w:trPr>
          <w:trHeight w:val="1025" w:hRule="exact"/>
        </w:trPr>
        <w:tc>
          <w:tcPr>
            <w:tcW w:w="2837" w:type="dxa"/>
            <w:vMerge/>
            <w:tcBorders>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1" w:right="191"/>
              <w:jc w:val="left"/>
              <w:rPr>
                <w:rFonts w:ascii="宋体" w:hAnsi="宋体" w:cs="宋体" w:eastAsia="宋体" w:hint="default"/>
                <w:sz w:val="18"/>
                <w:szCs w:val="18"/>
              </w:rPr>
            </w:pPr>
            <w:r>
              <w:rPr>
                <w:rFonts w:ascii="宋体" w:hAnsi="宋体" w:cs="宋体" w:eastAsia="宋体" w:hint="default"/>
                <w:sz w:val="18"/>
                <w:szCs w:val="18"/>
              </w:rPr>
              <w:t>四川中一律 师事务所</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2"/>
              <w:jc w:val="both"/>
              <w:rPr>
                <w:rFonts w:ascii="宋体" w:hAnsi="宋体" w:cs="宋体" w:eastAsia="宋体" w:hint="default"/>
                <w:sz w:val="18"/>
                <w:szCs w:val="18"/>
              </w:rPr>
            </w:pPr>
            <w:r>
              <w:rPr>
                <w:rFonts w:ascii="宋体" w:hAnsi="宋体" w:cs="宋体" w:eastAsia="宋体" w:hint="default"/>
                <w:sz w:val="18"/>
                <w:szCs w:val="18"/>
              </w:rPr>
              <w:t>承担赔偿或 补偿责任的 承诺</w:t>
            </w:r>
          </w:p>
        </w:tc>
        <w:tc>
          <w:tcPr>
            <w:tcW w:w="46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98"/>
              <w:jc w:val="both"/>
              <w:rPr>
                <w:rFonts w:ascii="宋体" w:hAnsi="宋体" w:cs="宋体" w:eastAsia="宋体" w:hint="default"/>
                <w:sz w:val="18"/>
                <w:szCs w:val="18"/>
              </w:rPr>
            </w:pPr>
            <w:r>
              <w:rPr>
                <w:rFonts w:ascii="宋体" w:hAnsi="宋体" w:cs="宋体" w:eastAsia="宋体" w:hint="default"/>
                <w:sz w:val="18"/>
                <w:szCs w:val="18"/>
              </w:rPr>
              <w:t>如因本公司为发行人首次公开发行股票制作、出具的文件 有虚假记载、误导性陈述或者重大遗漏，给投资者造成损 失的，将先行赔偿投资者损失。</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8"/>
                <w:sz w:val="18"/>
                <w:szCs w:val="18"/>
              </w:rPr>
              <w:t>作出承诺时，至</w:t>
            </w:r>
            <w:r>
              <w:rPr>
                <w:rFonts w:ascii="宋体" w:hAnsi="宋体" w:cs="宋体" w:eastAsia="宋体" w:hint="default"/>
                <w:sz w:val="18"/>
                <w:szCs w:val="18"/>
              </w:rPr>
              <w:t> 承诺履行完毕</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承诺人严格信守承诺， 未出现违犯承诺的情况</w:t>
            </w:r>
          </w:p>
        </w:tc>
      </w:tr>
      <w:tr>
        <w:trPr>
          <w:trHeight w:val="358" w:hRule="exact"/>
        </w:trPr>
        <w:tc>
          <w:tcPr>
            <w:tcW w:w="2837" w:type="dxa"/>
            <w:vMerge/>
            <w:tcBorders>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46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为保证公司首次公开发行股票后的填补回报措施能够得到</w:t>
            </w:r>
          </w:p>
        </w:tc>
        <w:tc>
          <w:tcPr>
            <w:tcW w:w="108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89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切实履行，公司全体董事、高级管理人员根据中国证监会</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的相关规定，对公司填补回报措施能够得到切实履行作出</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如下承诺：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、承诺不无偿或以不公平条件向其他单位或者</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个人输送利益，也不采用其他方式损害公司利益；</w:t>
            </w:r>
            <w:r>
              <w:rPr>
                <w:rFonts w:ascii="Times New Roman" w:hAnsi="Times New Roman" w:cs="Times New Roman" w:eastAsia="Times New Roman" w:hint="default"/>
                <w:sz w:val="18"/>
                <w:szCs w:val="18"/>
              </w:rPr>
              <w:t>2</w:t>
            </w:r>
            <w:r>
              <w:rPr>
                <w:rFonts w:ascii="宋体" w:hAnsi="宋体" w:cs="宋体" w:eastAsia="宋体" w:hint="default"/>
                <w:sz w:val="18"/>
                <w:szCs w:val="18"/>
              </w:rPr>
              <w:t>、承诺</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对董事和高级管理人员的职务消费行为进行约束；</w:t>
            </w:r>
            <w:r>
              <w:rPr>
                <w:rFonts w:ascii="Times New Roman" w:hAnsi="Times New Roman" w:cs="Times New Roman" w:eastAsia="Times New Roman" w:hint="default"/>
                <w:sz w:val="18"/>
                <w:szCs w:val="18"/>
              </w:rPr>
              <w:t>3</w:t>
            </w:r>
            <w:r>
              <w:rPr>
                <w:rFonts w:ascii="宋体" w:hAnsi="宋体" w:cs="宋体" w:eastAsia="宋体" w:hint="default"/>
                <w:sz w:val="18"/>
                <w:szCs w:val="18"/>
              </w:rPr>
              <w:t>、承诺</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1" w:right="0"/>
              <w:jc w:val="left"/>
              <w:rPr>
                <w:rFonts w:ascii="宋体" w:hAnsi="宋体" w:cs="宋体" w:eastAsia="宋体" w:hint="default"/>
                <w:sz w:val="18"/>
                <w:szCs w:val="18"/>
              </w:rPr>
            </w:pPr>
            <w:r>
              <w:rPr>
                <w:rFonts w:ascii="宋体" w:hAnsi="宋体" w:cs="宋体" w:eastAsia="宋体" w:hint="default"/>
                <w:sz w:val="18"/>
                <w:szCs w:val="18"/>
              </w:rPr>
              <w:t>索继栓、王晓</w:t>
            </w: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1" w:right="0"/>
              <w:jc w:val="left"/>
              <w:rPr>
                <w:rFonts w:ascii="宋体" w:hAnsi="宋体" w:cs="宋体" w:eastAsia="宋体" w:hint="default"/>
                <w:sz w:val="18"/>
                <w:szCs w:val="18"/>
              </w:rPr>
            </w:pPr>
            <w:r>
              <w:rPr>
                <w:rFonts w:ascii="宋体" w:hAnsi="宋体" w:cs="宋体" w:eastAsia="宋体" w:hint="default"/>
                <w:sz w:val="18"/>
                <w:szCs w:val="18"/>
              </w:rPr>
              <w:t>不动用公司资产从事与其履行职责无关的投资、</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z w:val="18"/>
                <w:szCs w:val="18"/>
              </w:rPr>
              <w:t>宇、张勇、杨</w:t>
            </w: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、承诺由董事会或薪酬委员会制定的薪酬制度与公司填补</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1" w:right="0"/>
              <w:jc w:val="left"/>
              <w:rPr>
                <w:rFonts w:ascii="宋体" w:hAnsi="宋体" w:cs="宋体" w:eastAsia="宋体" w:hint="default"/>
                <w:sz w:val="18"/>
                <w:szCs w:val="18"/>
              </w:rPr>
            </w:pPr>
            <w:r>
              <w:rPr>
                <w:rFonts w:ascii="宋体" w:hAnsi="宋体" w:cs="宋体" w:eastAsia="宋体" w:hint="default"/>
                <w:sz w:val="18"/>
                <w:szCs w:val="18"/>
              </w:rPr>
              <w:t>红梅、付忠</w:t>
            </w: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1" w:right="0"/>
              <w:jc w:val="left"/>
              <w:rPr>
                <w:rFonts w:ascii="宋体" w:hAnsi="宋体" w:cs="宋体" w:eastAsia="宋体" w:hint="default"/>
                <w:sz w:val="18"/>
                <w:szCs w:val="18"/>
              </w:rPr>
            </w:pPr>
            <w:r>
              <w:rPr>
                <w:rFonts w:ascii="宋体" w:hAnsi="宋体" w:cs="宋体" w:eastAsia="宋体" w:hint="default"/>
                <w:sz w:val="18"/>
                <w:szCs w:val="18"/>
              </w:rPr>
              <w:t>回报措施的执行情况相挂钩；</w:t>
            </w:r>
            <w:r>
              <w:rPr>
                <w:rFonts w:ascii="Times New Roman" w:hAnsi="Times New Roman" w:cs="Times New Roman" w:eastAsia="Times New Roman" w:hint="default"/>
                <w:sz w:val="18"/>
                <w:szCs w:val="18"/>
              </w:rPr>
              <w:t>5</w:t>
            </w:r>
            <w:r>
              <w:rPr>
                <w:rFonts w:ascii="宋体" w:hAnsi="宋体" w:cs="宋体" w:eastAsia="宋体" w:hint="default"/>
                <w:sz w:val="18"/>
                <w:szCs w:val="18"/>
              </w:rPr>
              <w:t>、承诺拟公布的公司股权激</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1" w:right="11"/>
              <w:jc w:val="both"/>
              <w:rPr>
                <w:rFonts w:ascii="宋体" w:hAnsi="宋体" w:cs="宋体" w:eastAsia="宋体" w:hint="default"/>
                <w:sz w:val="18"/>
                <w:szCs w:val="18"/>
              </w:rPr>
            </w:pPr>
            <w:r>
              <w:rPr>
                <w:rFonts w:ascii="宋体" w:hAnsi="宋体" w:cs="宋体" w:eastAsia="宋体" w:hint="default"/>
                <w:sz w:val="18"/>
                <w:szCs w:val="18"/>
              </w:rPr>
              <w:t>良、史志明、 黄泽永、赖肇 庆、周玮、尹</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192"/>
              <w:jc w:val="both"/>
              <w:rPr>
                <w:rFonts w:ascii="宋体" w:hAnsi="宋体" w:cs="宋体" w:eastAsia="宋体" w:hint="default"/>
                <w:sz w:val="18"/>
                <w:szCs w:val="18"/>
              </w:rPr>
            </w:pPr>
            <w:r>
              <w:rPr>
                <w:rFonts w:ascii="宋体" w:hAnsi="宋体" w:cs="宋体" w:eastAsia="宋体" w:hint="default"/>
                <w:sz w:val="18"/>
                <w:szCs w:val="18"/>
              </w:rPr>
              <w:t>填补被摊薄 即期回报的 承诺</w:t>
            </w: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1" w:right="98"/>
              <w:jc w:val="both"/>
              <w:rPr>
                <w:rFonts w:ascii="宋体" w:hAnsi="宋体" w:cs="宋体" w:eastAsia="宋体" w:hint="default"/>
                <w:sz w:val="18"/>
                <w:szCs w:val="18"/>
              </w:rPr>
            </w:pPr>
            <w:r>
              <w:rPr>
                <w:rFonts w:ascii="宋体" w:hAnsi="宋体" w:cs="宋体" w:eastAsia="宋体" w:hint="default"/>
                <w:sz w:val="18"/>
                <w:szCs w:val="18"/>
              </w:rPr>
              <w:t>励的行权条件与公司填补回报措施的执行情况相挂钩。本 承诺出具日后，如监管机构作出关于填补回报措施及其承 诺的相关规定有其他要求的，且上述承诺不能满足监管机</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316" w:lineRule="auto" w:before="152"/>
              <w:ind w:left="23" w:right="19"/>
              <w:jc w:val="left"/>
              <w:rPr>
                <w:rFonts w:ascii="宋体" w:hAnsi="宋体" w:cs="宋体" w:eastAsia="宋体" w:hint="default"/>
                <w:sz w:val="18"/>
                <w:szCs w:val="18"/>
              </w:rPr>
            </w:pPr>
            <w:r>
              <w:rPr>
                <w:rFonts w:ascii="宋体" w:hAnsi="宋体" w:cs="宋体" w:eastAsia="宋体" w:hint="default"/>
                <w:spacing w:val="-8"/>
                <w:sz w:val="18"/>
                <w:szCs w:val="18"/>
              </w:rPr>
              <w:t>作出承诺时，至</w:t>
            </w:r>
            <w:r>
              <w:rPr>
                <w:rFonts w:ascii="宋体" w:hAnsi="宋体" w:cs="宋体" w:eastAsia="宋体" w:hint="default"/>
                <w:sz w:val="18"/>
                <w:szCs w:val="18"/>
              </w:rPr>
              <w:t> 承诺履行完毕</w:t>
            </w:r>
          </w:p>
        </w:tc>
        <w:tc>
          <w:tcPr>
            <w:tcW w:w="1891" w:type="dxa"/>
            <w:tcBorders>
              <w:top w:val="nil" w:sz="6" w:space="0" w:color="auto"/>
              <w:left w:val="single" w:sz="4" w:space="0" w:color="000000"/>
              <w:bottom w:val="nil" w:sz="6" w:space="0" w:color="auto"/>
              <w:right w:val="single" w:sz="4" w:space="0" w:color="000000"/>
            </w:tcBorders>
          </w:tcPr>
          <w:p>
            <w:pPr>
              <w:pStyle w:val="TableParagraph"/>
              <w:spacing w:line="316" w:lineRule="auto" w:before="152"/>
              <w:ind w:left="23" w:right="55"/>
              <w:jc w:val="left"/>
              <w:rPr>
                <w:rFonts w:ascii="宋体" w:hAnsi="宋体" w:cs="宋体" w:eastAsia="宋体" w:hint="default"/>
                <w:sz w:val="18"/>
                <w:szCs w:val="18"/>
              </w:rPr>
            </w:pPr>
            <w:r>
              <w:rPr>
                <w:rFonts w:ascii="宋体" w:hAnsi="宋体" w:cs="宋体" w:eastAsia="宋体" w:hint="default"/>
                <w:sz w:val="18"/>
                <w:szCs w:val="18"/>
              </w:rPr>
              <w:t>承诺人严格信守承诺， 未出现违犯承诺的情况</w:t>
            </w: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z w:val="18"/>
                <w:szCs w:val="18"/>
              </w:rPr>
              <w:t>邦明</w:t>
            </w:r>
            <w:r>
              <w:rPr>
                <w:rFonts w:ascii="宋体" w:hAnsi="宋体" w:cs="宋体" w:eastAsia="宋体" w:hint="default"/>
                <w:spacing w:val="1"/>
                <w:sz w:val="18"/>
                <w:szCs w:val="18"/>
              </w:rPr>
              <w:t> </w:t>
            </w:r>
            <w:r>
              <w:rPr>
                <w:rFonts w:ascii="宋体" w:hAnsi="宋体" w:cs="宋体" w:eastAsia="宋体" w:hint="default"/>
                <w:sz w:val="18"/>
                <w:szCs w:val="18"/>
              </w:rPr>
              <w:t>、</w:t>
            </w: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构的相关要求时，本人承诺届时将按照相关规定出具补充</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z w:val="18"/>
                <w:szCs w:val="18"/>
              </w:rPr>
              <w:t>王晓东、刘小</w:t>
            </w: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承诺。如违反上述承诺，本人将遵守如下约束措施</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1" w:right="0"/>
              <w:jc w:val="left"/>
              <w:rPr>
                <w:rFonts w:ascii="宋体" w:hAnsi="宋体" w:cs="宋体" w:eastAsia="宋体" w:hint="default"/>
                <w:sz w:val="18"/>
                <w:szCs w:val="18"/>
              </w:rPr>
            </w:pPr>
            <w:r>
              <w:rPr>
                <w:rFonts w:ascii="宋体" w:hAnsi="宋体" w:cs="宋体" w:eastAsia="宋体" w:hint="default"/>
                <w:sz w:val="18"/>
                <w:szCs w:val="18"/>
              </w:rPr>
              <w:t>兵</w:t>
            </w: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1" w:right="0"/>
              <w:jc w:val="left"/>
              <w:rPr>
                <w:rFonts w:ascii="宋体" w:hAnsi="宋体" w:cs="宋体" w:eastAsia="宋体" w:hint="default"/>
                <w:sz w:val="18"/>
                <w:szCs w:val="18"/>
              </w:rPr>
            </w:pPr>
            <w:r>
              <w:rPr>
                <w:rFonts w:ascii="宋体" w:hAnsi="宋体" w:cs="宋体" w:eastAsia="宋体" w:hint="default"/>
                <w:sz w:val="18"/>
                <w:szCs w:val="18"/>
              </w:rPr>
              <w:t>在监管机构指定媒体上公开说明未履行承诺的原因，并向</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投资者道歉</w:t>
            </w:r>
            <w:r>
              <w:rPr>
                <w:rFonts w:ascii="宋体" w:hAnsi="宋体" w:cs="宋体" w:eastAsia="宋体" w:hint="default"/>
                <w:spacing w:val="-9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8"/>
                <w:sz w:val="18"/>
                <w:szCs w:val="18"/>
              </w:rPr>
              <w:t>）</w:t>
            </w:r>
            <w:r>
              <w:rPr>
                <w:rFonts w:ascii="宋体" w:hAnsi="宋体" w:cs="宋体" w:eastAsia="宋体" w:hint="default"/>
                <w:sz w:val="18"/>
                <w:szCs w:val="18"/>
              </w:rPr>
              <w:t>如因非不可</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且无法提供正当且合理的理由的，因此取得收益归发行人</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所有，公司有权要求本人于取得收益之日起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个工作日内</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将违反承诺所得支付到发行人指定账户</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）若因违反上</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述承诺给公司或者股东造成损失的，本人将依法承担补偿</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46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责任，且在本人履行上述相关义务之日前，公司有权暂时</w:t>
            </w:r>
          </w:p>
        </w:tc>
        <w:tc>
          <w:tcPr>
            <w:tcW w:w="108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891"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70" w:footer="977" w:top="1060" w:bottom="1160" w:left="1320" w:right="1320"/>
        </w:sectPr>
      </w:pPr>
    </w:p>
    <w:p>
      <w:pPr>
        <w:spacing w:line="240" w:lineRule="auto" w:before="11"/>
        <w:rPr>
          <w:rFonts w:ascii="Times New Roman" w:hAnsi="Times New Roman" w:cs="Times New Roman" w:eastAsia="Times New Roman" w:hint="default"/>
          <w:sz w:val="2"/>
          <w:szCs w:val="2"/>
        </w:rPr>
      </w:pPr>
      <w:r>
        <w:rPr/>
        <w:pict>
          <v:shape style="position:absolute;margin-left:372.11969pt;margin-top:75.240005pt;width:239.65pt;height:454.45pt;mso-position-horizontal-relative:page;mso-position-vertical-relative:page;z-index:-9861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5"/>
                      <w:szCs w:val="15"/>
                    </w:rPr>
                  </w:pPr>
                </w:p>
                <w:p>
                  <w:pPr>
                    <w:spacing w:line="316" w:lineRule="auto" w:before="0"/>
                    <w:ind w:left="0" w:right="1010" w:firstLine="1440"/>
                    <w:jc w:val="right"/>
                    <w:rPr>
                      <w:rFonts w:ascii="宋体" w:hAnsi="宋体" w:cs="宋体" w:eastAsia="宋体" w:hint="default"/>
                      <w:sz w:val="18"/>
                      <w:szCs w:val="18"/>
                    </w:rPr>
                  </w:pPr>
                  <w:r>
                    <w:rPr>
                      <w:rFonts w:ascii="宋体" w:hAnsi="宋体" w:cs="宋体" w:eastAsia="宋体" w:hint="default"/>
                      <w:sz w:val="18"/>
                      <w:szCs w:val="18"/>
                    </w:rPr>
                    <w:t>用股票股利进行利润分配的， 每股净资产的摊薄等真实合理因素；</w:t>
                  </w:r>
                </w:p>
                <w:p>
                  <w:pPr>
                    <w:spacing w:line="240" w:lineRule="auto" w:before="0"/>
                    <w:rPr>
                      <w:rFonts w:ascii="Times New Roman" w:hAnsi="Times New Roman" w:cs="Times New Roman" w:eastAsia="Times New Roman" w:hint="default"/>
                      <w:sz w:val="18"/>
                      <w:szCs w:val="18"/>
                    </w:rPr>
                  </w:pPr>
                </w:p>
                <w:p>
                  <w:pPr>
                    <w:spacing w:before="124"/>
                    <w:ind w:left="0" w:right="1010" w:firstLine="0"/>
                    <w:jc w:val="right"/>
                    <w:rPr>
                      <w:rFonts w:ascii="宋体" w:hAnsi="宋体" w:cs="宋体" w:eastAsia="宋体" w:hint="default"/>
                      <w:sz w:val="18"/>
                      <w:szCs w:val="18"/>
                    </w:rPr>
                  </w:pPr>
                  <w:r>
                    <w:rPr>
                      <w:rFonts w:ascii="宋体" w:hAnsi="宋体" w:cs="宋体" w:eastAsia="宋体" w:hint="default"/>
                      <w:sz w:val="18"/>
                      <w:szCs w:val="18"/>
                    </w:rPr>
                    <w:t>盈利水平以及是否有重大资金支出安排等因素，</w:t>
                  </w:r>
                </w:p>
              </w:txbxContent>
            </v:textbox>
            <w10:wrap type="none"/>
          </v:shape>
        </w:pict>
      </w:r>
      <w:r>
        <w:rPr/>
        <w:pict>
          <v:group style="position:absolute;margin-left:558.23999pt;margin-top:75.240005pt;width:53.55pt;height:454.45pt;mso-position-horizontal-relative:page;mso-position-vertical-relative:page;z-index:-986080" coordorigin="11165,1505" coordsize="1071,9089">
            <v:group style="position:absolute;left:11165;top:1505;width:1071;height:9089" coordorigin="11165,1505" coordsize="1071,9089">
              <v:shape style="position:absolute;left:11165;top:1505;width:1071;height:9089" coordorigin="11165,1505" coordsize="1071,9089" path="m11165,10594l12235,10594,12235,1505,11165,1505,11165,10594xe" filled="true" fillcolor="#ffffff" stroked="false">
                <v:path arrowok="t"/>
                <v:fill type="solid"/>
              </v:shape>
            </v:group>
            <v:group style="position:absolute;left:11189;top:5698;width:1023;height:353" coordorigin="11189,5698" coordsize="1023,353">
              <v:shape style="position:absolute;left:11189;top:5698;width:1023;height:353" coordorigin="11189,5698" coordsize="1023,353" path="m11189,6050l12211,6050,12211,5698,11189,5698,11189,6050xe" filled="true" fillcolor="#ffffff" stroked="false">
                <v:path arrowok="t"/>
                <v:fill type="solid"/>
              </v:shape>
            </v:group>
            <v:group style="position:absolute;left:11189;top:6050;width:1023;height:351" coordorigin="11189,6050" coordsize="1023,351">
              <v:shape style="position:absolute;left:11189;top:6050;width:1023;height:351" coordorigin="11189,6050" coordsize="1023,351" path="m11189,6401l12211,6401,12211,6050,11189,6050,11189,6401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837"/>
        <w:gridCol w:w="1123"/>
        <w:gridCol w:w="1128"/>
        <w:gridCol w:w="4632"/>
        <w:gridCol w:w="1080"/>
        <w:gridCol w:w="1260"/>
        <w:gridCol w:w="1891"/>
      </w:tblGrid>
      <w:tr>
        <w:trPr>
          <w:trHeight w:val="377" w:hRule="exact"/>
        </w:trPr>
        <w:tc>
          <w:tcPr>
            <w:tcW w:w="2837" w:type="dxa"/>
            <w:vMerge w:val="restart"/>
            <w:tcBorders>
              <w:top w:val="single" w:sz="15" w:space="0" w:color="000000"/>
              <w:left w:val="single" w:sz="4" w:space="0" w:color="000000"/>
              <w:right w:val="single" w:sz="4" w:space="0" w:color="000000"/>
            </w:tcBorders>
            <w:shd w:val="clear" w:color="auto" w:fill="D4D4D4"/>
          </w:tcPr>
          <w:p>
            <w:pPr/>
          </w:p>
        </w:tc>
        <w:tc>
          <w:tcPr>
            <w:tcW w:w="1123" w:type="dxa"/>
            <w:tcBorders>
              <w:top w:val="single" w:sz="15" w:space="0" w:color="000000"/>
              <w:left w:val="single" w:sz="4" w:space="0" w:color="000000"/>
              <w:bottom w:val="single" w:sz="4" w:space="0" w:color="000000"/>
              <w:right w:val="single" w:sz="4" w:space="0" w:color="000000"/>
            </w:tcBorders>
          </w:tcPr>
          <w:p>
            <w:pPr/>
          </w:p>
        </w:tc>
        <w:tc>
          <w:tcPr>
            <w:tcW w:w="1128" w:type="dxa"/>
            <w:tcBorders>
              <w:top w:val="single" w:sz="15" w:space="0" w:color="000000"/>
              <w:left w:val="single" w:sz="4" w:space="0" w:color="000000"/>
              <w:bottom w:val="single" w:sz="4" w:space="0" w:color="000000"/>
              <w:right w:val="single" w:sz="4" w:space="0" w:color="000000"/>
            </w:tcBorders>
          </w:tcPr>
          <w:p>
            <w:pPr/>
          </w:p>
        </w:tc>
        <w:tc>
          <w:tcPr>
            <w:tcW w:w="463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扣留本人工资、薪酬和津贴。</w:t>
            </w:r>
          </w:p>
        </w:tc>
        <w:tc>
          <w:tcPr>
            <w:tcW w:w="1080" w:type="dxa"/>
            <w:tcBorders>
              <w:top w:val="single" w:sz="15" w:space="0" w:color="000000"/>
              <w:left w:val="single" w:sz="4" w:space="0" w:color="000000"/>
              <w:bottom w:val="single" w:sz="4" w:space="0" w:color="000000"/>
              <w:right w:val="single" w:sz="4" w:space="0" w:color="000000"/>
            </w:tcBorders>
          </w:tcPr>
          <w:p>
            <w:pPr/>
          </w:p>
        </w:tc>
        <w:tc>
          <w:tcPr>
            <w:tcW w:w="1260" w:type="dxa"/>
            <w:tcBorders>
              <w:top w:val="single" w:sz="15" w:space="0" w:color="000000"/>
              <w:left w:val="single" w:sz="4" w:space="0" w:color="000000"/>
              <w:bottom w:val="single" w:sz="4" w:space="0" w:color="000000"/>
              <w:right w:val="single" w:sz="4" w:space="0" w:color="000000"/>
            </w:tcBorders>
          </w:tcPr>
          <w:p>
            <w:pPr/>
          </w:p>
        </w:tc>
        <w:tc>
          <w:tcPr>
            <w:tcW w:w="1891" w:type="dxa"/>
            <w:tcBorders>
              <w:top w:val="single" w:sz="15" w:space="0" w:color="000000"/>
              <w:left w:val="single" w:sz="4" w:space="0" w:color="000000"/>
              <w:bottom w:val="single" w:sz="4" w:space="0" w:color="000000"/>
              <w:right w:val="single" w:sz="4" w:space="0" w:color="000000"/>
            </w:tcBorders>
          </w:tcPr>
          <w:p>
            <w:pPr/>
          </w:p>
        </w:tc>
      </w:tr>
      <w:tr>
        <w:trPr>
          <w:trHeight w:val="363" w:hRule="exact"/>
        </w:trPr>
        <w:tc>
          <w:tcPr>
            <w:tcW w:w="2837" w:type="dxa"/>
            <w:vMerge/>
            <w:tcBorders>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46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（一）本次发行后公司的利润分配政策。根据公司</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2014</w:t>
            </w:r>
          </w:p>
        </w:tc>
        <w:tc>
          <w:tcPr>
            <w:tcW w:w="108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891"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年第一次临时股东大会审议通过的上市后生效的《中科院</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成都信息技术股份有限公司章程（草案</w:t>
            </w:r>
            <w:r>
              <w:rPr>
                <w:rFonts w:ascii="宋体" w:hAnsi="宋体" w:cs="宋体" w:eastAsia="宋体" w:hint="default"/>
                <w:spacing w:val="-92"/>
                <w:sz w:val="18"/>
                <w:szCs w:val="18"/>
              </w:rPr>
              <w:t>）》</w:t>
            </w:r>
            <w:r>
              <w:rPr>
                <w:rFonts w:ascii="宋体" w:hAnsi="宋体" w:cs="宋体" w:eastAsia="宋体" w:hint="default"/>
                <w:sz w:val="18"/>
                <w:szCs w:val="18"/>
              </w:rPr>
              <w:t>，公司发行后的</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利润分配政策主要内容如下：</w:t>
            </w:r>
            <w:r>
              <w:rPr>
                <w:rFonts w:ascii="Times New Roman" w:hAnsi="Times New Roman" w:cs="Times New Roman" w:eastAsia="Times New Roman" w:hint="default"/>
                <w:sz w:val="18"/>
                <w:szCs w:val="18"/>
              </w:rPr>
              <w:t>1</w:t>
            </w:r>
            <w:r>
              <w:rPr>
                <w:rFonts w:ascii="宋体" w:hAnsi="宋体" w:cs="宋体" w:eastAsia="宋体" w:hint="default"/>
                <w:sz w:val="18"/>
                <w:szCs w:val="18"/>
              </w:rPr>
              <w:t>、利润分配原则。公司实行</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持续、稳定的利润分配政策，公司利润分配应重视对投资</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者的合理投资回报并兼顾公司的可持续发展。在符合利润</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分配原则、保证公司正常经营和长远发展的前提下，公司</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应注重现金分红。</w:t>
            </w:r>
            <w:r>
              <w:rPr>
                <w:rFonts w:ascii="Times New Roman" w:hAnsi="Times New Roman" w:cs="Times New Roman" w:eastAsia="Times New Roman" w:hint="default"/>
                <w:sz w:val="18"/>
                <w:szCs w:val="18"/>
              </w:rPr>
              <w:t>2</w:t>
            </w:r>
            <w:r>
              <w:rPr>
                <w:rFonts w:ascii="宋体" w:hAnsi="宋体" w:cs="宋体" w:eastAsia="宋体" w:hint="default"/>
                <w:sz w:val="18"/>
                <w:szCs w:val="18"/>
              </w:rPr>
              <w:t>、利润分配的形式和比例。公司可以采</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取现金、股票或现金和股票二者相结合的方式分配股利，</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并优先考虑采取现金方式分配利润；在满足购买原材料的</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资金需求、可预期的重大投资计划或重大现金支出的前提</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下，公司董事会可以根据公司当期经营利润和现金流情况</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进行中期分红，具体方案须经公司董事会审议后提交公司</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中科信息</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192"/>
              <w:jc w:val="left"/>
              <w:rPr>
                <w:rFonts w:ascii="宋体" w:hAnsi="宋体" w:cs="宋体" w:eastAsia="宋体" w:hint="default"/>
                <w:sz w:val="18"/>
                <w:szCs w:val="18"/>
              </w:rPr>
            </w:pPr>
            <w:r>
              <w:rPr>
                <w:rFonts w:ascii="宋体" w:hAnsi="宋体" w:cs="宋体" w:eastAsia="宋体" w:hint="default"/>
                <w:sz w:val="18"/>
                <w:szCs w:val="18"/>
              </w:rPr>
              <w:t>利润分配政 策的承诺</w:t>
            </w: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1" w:right="19"/>
              <w:jc w:val="left"/>
              <w:rPr>
                <w:rFonts w:ascii="宋体" w:hAnsi="宋体" w:cs="宋体" w:eastAsia="宋体" w:hint="default"/>
                <w:sz w:val="18"/>
                <w:szCs w:val="18"/>
              </w:rPr>
            </w:pPr>
            <w:r>
              <w:rPr>
                <w:rFonts w:ascii="宋体" w:hAnsi="宋体" w:cs="宋体" w:eastAsia="宋体" w:hint="default"/>
                <w:spacing w:val="-4"/>
                <w:sz w:val="18"/>
                <w:szCs w:val="18"/>
              </w:rPr>
              <w:t>股东大会批准。</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、利润分配的具体政策。（</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）利润分配的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具体条件。公司在当年度盈利且累计未分配利润为正的情 况下，采取现金方式分红；采</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19"/>
              <w:jc w:val="left"/>
              <w:rPr>
                <w:rFonts w:ascii="宋体" w:hAnsi="宋体" w:cs="宋体" w:eastAsia="宋体" w:hint="default"/>
                <w:sz w:val="18"/>
                <w:szCs w:val="18"/>
              </w:rPr>
            </w:pPr>
            <w:r>
              <w:rPr>
                <w:rFonts w:ascii="宋体" w:hAnsi="宋体" w:cs="宋体" w:eastAsia="宋体" w:hint="default"/>
                <w:spacing w:val="-8"/>
                <w:sz w:val="18"/>
                <w:szCs w:val="18"/>
              </w:rPr>
              <w:t>作出承诺时，至</w:t>
            </w:r>
            <w:r>
              <w:rPr>
                <w:rFonts w:ascii="宋体" w:hAnsi="宋体" w:cs="宋体" w:eastAsia="宋体" w:hint="default"/>
                <w:sz w:val="18"/>
                <w:szCs w:val="18"/>
              </w:rPr>
              <w:t> 承诺履行完毕</w:t>
            </w:r>
          </w:p>
        </w:tc>
        <w:tc>
          <w:tcPr>
            <w:tcW w:w="1891"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55"/>
              <w:jc w:val="left"/>
              <w:rPr>
                <w:rFonts w:ascii="宋体" w:hAnsi="宋体" w:cs="宋体" w:eastAsia="宋体" w:hint="default"/>
                <w:sz w:val="18"/>
                <w:szCs w:val="18"/>
              </w:rPr>
            </w:pPr>
            <w:r>
              <w:rPr>
                <w:rFonts w:ascii="宋体" w:hAnsi="宋体" w:cs="宋体" w:eastAsia="宋体" w:hint="default"/>
                <w:sz w:val="18"/>
                <w:szCs w:val="18"/>
              </w:rPr>
              <w:t>承诺人严格信守承诺， 未出现违犯承诺的情况</w:t>
            </w: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应当具有公司成长性、</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公司董事会应当综合考虑所处行业特点、发展阶段、自身</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经营模式、</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区分下列情形，并按照本章程规定的程序，提出差异化的</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现金分红政策：①公司发展阶段属成熟期且无重大资金支</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出安排的，进行利润分配时，现金分红在本次利润分配中</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所占比例最低应达到</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；②公司发展阶段属成熟期且有</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重大资金支出安排的，进行利润分配时，现金分红在本次</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利润分配中所占比例最低应达到</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；③公司发展阶段属</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成长期且有重大资金支出安排的，进行利润分配时，现金</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分红在本次利润分配中所占比例最低应达到</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。公司发</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展阶段不易区分但有重大资金支出安排的，按照前项规定</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46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处理。重大资金支出指公司未来十二个月内拟对外投资、</w:t>
            </w:r>
          </w:p>
        </w:tc>
        <w:tc>
          <w:tcPr>
            <w:tcW w:w="108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891"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70" w:footer="977" w:top="1060" w:bottom="1160" w:left="1320" w:right="1320"/>
        </w:sectPr>
      </w:pPr>
    </w:p>
    <w:p>
      <w:pPr>
        <w:spacing w:line="240" w:lineRule="auto" w:before="11"/>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837"/>
        <w:gridCol w:w="1123"/>
        <w:gridCol w:w="1128"/>
        <w:gridCol w:w="4632"/>
        <w:gridCol w:w="1080"/>
        <w:gridCol w:w="1260"/>
        <w:gridCol w:w="1891"/>
      </w:tblGrid>
      <w:tr>
        <w:trPr>
          <w:trHeight w:val="334" w:hRule="exact"/>
        </w:trPr>
        <w:tc>
          <w:tcPr>
            <w:tcW w:w="2837" w:type="dxa"/>
            <w:vMerge w:val="restart"/>
            <w:tcBorders>
              <w:top w:val="single" w:sz="15" w:space="0" w:color="000000"/>
              <w:left w:val="single" w:sz="4" w:space="0" w:color="000000"/>
              <w:right w:val="single" w:sz="4" w:space="0" w:color="000000"/>
            </w:tcBorders>
            <w:shd w:val="clear" w:color="auto" w:fill="D4D4D4"/>
          </w:tcPr>
          <w:p>
            <w:pPr/>
          </w:p>
        </w:tc>
        <w:tc>
          <w:tcPr>
            <w:tcW w:w="1123" w:type="dxa"/>
            <w:vMerge w:val="restart"/>
            <w:tcBorders>
              <w:top w:val="single" w:sz="15" w:space="0" w:color="000000"/>
              <w:left w:val="single" w:sz="4" w:space="0" w:color="000000"/>
              <w:right w:val="single" w:sz="4" w:space="0" w:color="000000"/>
            </w:tcBorders>
          </w:tcPr>
          <w:p>
            <w:pPr/>
          </w:p>
        </w:tc>
        <w:tc>
          <w:tcPr>
            <w:tcW w:w="1128" w:type="dxa"/>
            <w:vMerge w:val="restart"/>
            <w:tcBorders>
              <w:top w:val="single" w:sz="15" w:space="0" w:color="000000"/>
              <w:left w:val="single" w:sz="4" w:space="0" w:color="000000"/>
              <w:right w:val="single" w:sz="4" w:space="0" w:color="000000"/>
            </w:tcBorders>
          </w:tcPr>
          <w:p>
            <w:pPr/>
          </w:p>
        </w:tc>
        <w:tc>
          <w:tcPr>
            <w:tcW w:w="463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收购资产或者购买设备等的累计支出达到或者超过公司最</w:t>
            </w:r>
          </w:p>
        </w:tc>
        <w:tc>
          <w:tcPr>
            <w:tcW w:w="1080" w:type="dxa"/>
            <w:vMerge w:val="restart"/>
            <w:tcBorders>
              <w:top w:val="single" w:sz="15" w:space="0" w:color="000000"/>
              <w:left w:val="single" w:sz="4" w:space="0" w:color="000000"/>
              <w:right w:val="single" w:sz="4" w:space="0" w:color="000000"/>
            </w:tcBorders>
          </w:tcPr>
          <w:p>
            <w:pPr/>
          </w:p>
        </w:tc>
        <w:tc>
          <w:tcPr>
            <w:tcW w:w="1260" w:type="dxa"/>
            <w:vMerge w:val="restart"/>
            <w:tcBorders>
              <w:top w:val="single" w:sz="15" w:space="0" w:color="000000"/>
              <w:left w:val="single" w:sz="4" w:space="0" w:color="000000"/>
              <w:right w:val="single" w:sz="4" w:space="0" w:color="000000"/>
            </w:tcBorders>
          </w:tcPr>
          <w:p>
            <w:pPr/>
          </w:p>
        </w:tc>
        <w:tc>
          <w:tcPr>
            <w:tcW w:w="1891" w:type="dxa"/>
            <w:vMerge w:val="restart"/>
            <w:tcBorders>
              <w:top w:val="single" w:sz="15" w:space="0" w:color="000000"/>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近一期经审计净资产的百分之三十</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）现金分红条件。</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公司采取现金方式分配股利，应符合下述条件：①公司该</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年度或半年度实现的可分配利润（即公司弥补亏损、提取</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公积金后所余的税后利润）为正值、且现金流充裕，实施</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现金分红不会影响公司后续持续经营；②公司累计可供分</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配利润为正值；③审计机构对公司的该年度财务报告出具</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标准无保留意见的审计报告；④公司无重大投资计划或重</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大现金支出等事项发</w:t>
            </w:r>
            <w:r>
              <w:rPr>
                <w:rFonts w:ascii="宋体" w:hAnsi="宋体" w:cs="宋体" w:eastAsia="宋体" w:hint="default"/>
                <w:spacing w:val="-8"/>
                <w:sz w:val="18"/>
                <w:szCs w:val="18"/>
              </w:rPr>
              <w:t>生</w:t>
            </w:r>
            <w:r>
              <w:rPr>
                <w:rFonts w:ascii="宋体" w:hAnsi="宋体" w:cs="宋体" w:eastAsia="宋体" w:hint="default"/>
                <w:sz w:val="18"/>
                <w:szCs w:val="18"/>
              </w:rPr>
              <w:t>（募集资金项目除外</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重大投资计</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划或重大现金支出是指公司未来十二个月内拟对外投资、</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收购资产或者购买设备的累计支出达到或者超过公司最近</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一期经审计总资产的</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。上述现金分红条件中的第①</w:t>
            </w:r>
            <w:r>
              <w:rPr>
                <w:rFonts w:ascii="Times New Roman" w:hAnsi="Times New Roman" w:cs="Times New Roman" w:eastAsia="Times New Roman" w:hint="default"/>
                <w:sz w:val="18"/>
                <w:szCs w:val="18"/>
              </w:rPr>
              <w:t>-</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③项系公司实施现金分红条件的必备条件；经股东大会审</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议通过，上述现金分红条件中的第④项应不影响公司实施</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现金分红</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）现金分红比例。原则上公司按年度将可供</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分配的利润进行分配，必要时公司也可以进行中期利润分</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配。公司最近三年以现金方式累计分配的利润不少于最近</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三年实现的年均可分配利润的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。每年具体的现金分红</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比例预案由董事会根据前述规定、结合公司经营状况及相</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关规定拟定，并提交股东大会表决</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）利润分配的期间</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间隔。每年度进行一次分红，在有条件的情况下，公司可</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以进行中期现金分红。</w:t>
            </w:r>
            <w:r>
              <w:rPr>
                <w:rFonts w:ascii="Times New Roman" w:hAnsi="Times New Roman" w:cs="Times New Roman" w:eastAsia="Times New Roman" w:hint="default"/>
                <w:sz w:val="18"/>
                <w:szCs w:val="18"/>
              </w:rPr>
              <w:t>4</w:t>
            </w:r>
            <w:r>
              <w:rPr>
                <w:rFonts w:ascii="宋体" w:hAnsi="宋体" w:cs="宋体" w:eastAsia="宋体" w:hint="default"/>
                <w:sz w:val="18"/>
                <w:szCs w:val="18"/>
              </w:rPr>
              <w:t>、利润分配政策的决策程序：公司</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董事会拟定现金股利分配方案的，由股东大会经普通决议</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的方式表决通过；公司董事会拟定股票股利分配方案的，</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由股东大会经特别决议的方式表决通过。公司监事会应当</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对董事会编制的股利分配方案进行审核并提出书面审核意</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见。公司在制定现金分红具体方案时，董事会应当认真研</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究和论证公司现金分红的时机、条件和最低比例、调整的</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条件及其决策程序要求等事宜，独立董事应当发表明确意</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bottom w:val="single" w:sz="4" w:space="0" w:color="000000"/>
              <w:right w:val="single" w:sz="4" w:space="0" w:color="000000"/>
            </w:tcBorders>
            <w:shd w:val="clear" w:color="auto" w:fill="D4D4D4"/>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46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见。独立董事可以征集中小股东的意见，提出分红提案，</w:t>
            </w:r>
          </w:p>
        </w:tc>
        <w:tc>
          <w:tcPr>
            <w:tcW w:w="108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891"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70" w:footer="977" w:top="1060" w:bottom="1160" w:left="1320" w:right="1320"/>
        </w:sectPr>
      </w:pPr>
    </w:p>
    <w:p>
      <w:pPr>
        <w:spacing w:line="240" w:lineRule="auto" w:before="11"/>
        <w:rPr>
          <w:rFonts w:ascii="Times New Roman" w:hAnsi="Times New Roman" w:cs="Times New Roman" w:eastAsia="Times New Roman" w:hint="default"/>
          <w:sz w:val="2"/>
          <w:szCs w:val="2"/>
        </w:rPr>
      </w:pPr>
      <w:r>
        <w:rPr/>
        <w:pict>
          <v:shape style="position:absolute;margin-left:444.11972pt;margin-top:57.240005pt;width:167.65pt;height:468pt;mso-position-horizontal-relative:page;mso-position-vertical-relative:page;z-index:-9860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9"/>
                    <w:ind w:left="0" w:right="0" w:firstLine="0"/>
                    <w:jc w:val="left"/>
                    <w:rPr>
                      <w:rFonts w:ascii="宋体" w:hAnsi="宋体" w:cs="宋体" w:eastAsia="宋体" w:hint="default"/>
                      <w:sz w:val="18"/>
                      <w:szCs w:val="18"/>
                    </w:rPr>
                  </w:pPr>
                  <w:r>
                    <w:rPr>
                      <w:rFonts w:ascii="宋体" w:hAnsi="宋体" w:cs="宋体" w:eastAsia="宋体" w:hint="default"/>
                      <w:sz w:val="18"/>
                      <w:szCs w:val="18"/>
                    </w:rPr>
                    <w:t>公司在选择利润分配方式时，</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2837"/>
        <w:gridCol w:w="1123"/>
        <w:gridCol w:w="1128"/>
        <w:gridCol w:w="4632"/>
        <w:gridCol w:w="1080"/>
        <w:gridCol w:w="1260"/>
        <w:gridCol w:w="1891"/>
      </w:tblGrid>
      <w:tr>
        <w:trPr>
          <w:trHeight w:val="334" w:hRule="exact"/>
        </w:trPr>
        <w:tc>
          <w:tcPr>
            <w:tcW w:w="2837" w:type="dxa"/>
            <w:vMerge w:val="restart"/>
            <w:tcBorders>
              <w:top w:val="single" w:sz="15" w:space="0" w:color="000000"/>
              <w:left w:val="single" w:sz="4" w:space="0" w:color="000000"/>
              <w:right w:val="single" w:sz="4" w:space="0" w:color="000000"/>
            </w:tcBorders>
            <w:shd w:val="clear" w:color="auto" w:fill="D4D4D4"/>
          </w:tcPr>
          <w:p>
            <w:pPr/>
          </w:p>
        </w:tc>
        <w:tc>
          <w:tcPr>
            <w:tcW w:w="1123" w:type="dxa"/>
            <w:vMerge w:val="restart"/>
            <w:tcBorders>
              <w:top w:val="single" w:sz="15" w:space="0" w:color="000000"/>
              <w:left w:val="single" w:sz="4" w:space="0" w:color="000000"/>
              <w:right w:val="single" w:sz="4" w:space="0" w:color="000000"/>
            </w:tcBorders>
          </w:tcPr>
          <w:p>
            <w:pPr/>
          </w:p>
        </w:tc>
        <w:tc>
          <w:tcPr>
            <w:tcW w:w="1128" w:type="dxa"/>
            <w:vMerge w:val="restart"/>
            <w:tcBorders>
              <w:top w:val="single" w:sz="15" w:space="0" w:color="000000"/>
              <w:left w:val="single" w:sz="4" w:space="0" w:color="000000"/>
              <w:right w:val="single" w:sz="4" w:space="0" w:color="000000"/>
            </w:tcBorders>
          </w:tcPr>
          <w:p>
            <w:pPr/>
          </w:p>
        </w:tc>
        <w:tc>
          <w:tcPr>
            <w:tcW w:w="463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并直接提交董事会审议。股东大会对现金分红具体方案进</w:t>
            </w:r>
          </w:p>
        </w:tc>
        <w:tc>
          <w:tcPr>
            <w:tcW w:w="1080" w:type="dxa"/>
            <w:vMerge w:val="restart"/>
            <w:tcBorders>
              <w:top w:val="single" w:sz="15" w:space="0" w:color="000000"/>
              <w:left w:val="single" w:sz="4" w:space="0" w:color="000000"/>
              <w:right w:val="single" w:sz="4" w:space="0" w:color="000000"/>
            </w:tcBorders>
          </w:tcPr>
          <w:p>
            <w:pPr>
              <w:pStyle w:val="TableParagraph"/>
              <w:spacing w:line="93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53.55pt;height:468pt;mso-position-horizontal-relative:char;mso-position-vertical-relative:line" coordorigin="0,0" coordsize="1071,9360">
                  <v:group style="position:absolute;left:0;top:0;width:1071;height:9360" coordorigin="0,0" coordsize="1071,9360">
                    <v:shape style="position:absolute;left:0;top:0;width:1071;height:9360" coordorigin="0,0" coordsize="1071,9360" path="m0,9360l1070,9360,1070,0,0,0,0,936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260" w:type="dxa"/>
            <w:vMerge w:val="restart"/>
            <w:tcBorders>
              <w:top w:val="single" w:sz="15" w:space="0" w:color="000000"/>
              <w:left w:val="single" w:sz="4" w:space="0" w:color="000000"/>
              <w:right w:val="single" w:sz="4" w:space="0" w:color="000000"/>
            </w:tcBorders>
          </w:tcPr>
          <w:p>
            <w:pPr/>
          </w:p>
        </w:tc>
        <w:tc>
          <w:tcPr>
            <w:tcW w:w="1891" w:type="dxa"/>
            <w:vMerge w:val="restart"/>
            <w:tcBorders>
              <w:top w:val="single" w:sz="15"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行审议前，公司应当通过多种渠道主动与股东特别是中小</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股东进行沟通和交流，充分听取中小股东的意见和诉求，</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及时答复中小股东关心的问题。公司在上一个会计年度实</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现盈利，但公司董事会在上一会计年度结束后未提出现金</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利润分配预案的，应当在定期报告中详细说明未分红的原</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因、未用于分红的资金留存公司的用途，独立董事还应当</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对此发表独立意见。公司若当年不进行或低于本章程规定</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的现金分红比例进行利润分配的，公司董事会应当在定期</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报告中披露原因，独立董事应当对此发表独立意见，有关</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利润分配的议案需经公司董事会审议后提交股东大会批</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准，并在股东大会提案中详细论证说明原因及留存资金的</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具体用途，且公司需提供网络投票的方式，由股东大会以</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特别决议的方式表决通过。</w:t>
            </w:r>
            <w:r>
              <w:rPr>
                <w:rFonts w:ascii="Times New Roman" w:hAnsi="Times New Roman" w:cs="Times New Roman" w:eastAsia="Times New Roman" w:hint="default"/>
                <w:sz w:val="18"/>
                <w:szCs w:val="18"/>
              </w:rPr>
              <w:t>5</w:t>
            </w:r>
            <w:r>
              <w:rPr>
                <w:rFonts w:ascii="宋体" w:hAnsi="宋体" w:cs="宋体" w:eastAsia="宋体" w:hint="default"/>
                <w:sz w:val="18"/>
                <w:szCs w:val="18"/>
              </w:rPr>
              <w:t>、利润分配政策的调整机制。</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公司根据生产经营情况、投资规划和长期发展的需要，需</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调整利润分配政策的，调整后的利润分配政策应以股东权</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益保护为出发点，不得违反中国证监会和证券交易所的有</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关规定，独立董事应当对此发表独立意见，有关调整利润</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分配政策的议案需经公司董事会审议后提交公司股东大会</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批准，并在股东大会提案中详细论证和说明原因，且公司</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需提供网络投票的方式，由股东大会以特别决议的方式表</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决通过</w:t>
            </w:r>
            <w:r>
              <w:rPr>
                <w:rFonts w:ascii="宋体" w:hAnsi="宋体" w:cs="宋体" w:eastAsia="宋体" w:hint="default"/>
                <w:spacing w:val="-96"/>
                <w:sz w:val="18"/>
                <w:szCs w:val="18"/>
              </w:rPr>
              <w:t>。</w:t>
            </w:r>
            <w:r>
              <w:rPr>
                <w:rFonts w:ascii="宋体" w:hAnsi="宋体" w:cs="宋体" w:eastAsia="宋体" w:hint="default"/>
                <w:sz w:val="18"/>
                <w:szCs w:val="18"/>
              </w:rPr>
              <w:t>（二</w:t>
            </w:r>
            <w:r>
              <w:rPr>
                <w:rFonts w:ascii="宋体" w:hAnsi="宋体" w:cs="宋体" w:eastAsia="宋体" w:hint="default"/>
                <w:spacing w:val="-5"/>
                <w:sz w:val="18"/>
                <w:szCs w:val="18"/>
              </w:rPr>
              <w:t>）</w:t>
            </w:r>
            <w:r>
              <w:rPr>
                <w:rFonts w:ascii="宋体" w:hAnsi="宋体" w:cs="宋体" w:eastAsia="宋体" w:hint="default"/>
                <w:sz w:val="18"/>
                <w:szCs w:val="18"/>
              </w:rPr>
              <w:t>未来分红回报</w:t>
            </w:r>
            <w:r>
              <w:rPr>
                <w:rFonts w:ascii="宋体" w:hAnsi="宋体" w:cs="宋体" w:eastAsia="宋体" w:hint="default"/>
                <w:spacing w:val="2"/>
                <w:sz w:val="18"/>
                <w:szCs w:val="18"/>
              </w:rPr>
              <w:t>规</w:t>
            </w:r>
            <w:r>
              <w:rPr>
                <w:rFonts w:ascii="宋体" w:hAnsi="宋体" w:cs="宋体" w:eastAsia="宋体" w:hint="default"/>
                <w:sz w:val="18"/>
                <w:szCs w:val="18"/>
              </w:rPr>
              <w:t>划</w:t>
            </w:r>
            <w:r>
              <w:rPr>
                <w:rFonts w:ascii="宋体" w:hAnsi="宋体" w:cs="宋体" w:eastAsia="宋体" w:hint="default"/>
                <w:spacing w:val="-5"/>
                <w:sz w:val="18"/>
                <w:szCs w:val="18"/>
              </w:rPr>
              <w:t>。</w:t>
            </w:r>
            <w:r>
              <w:rPr>
                <w:rFonts w:ascii="宋体" w:hAnsi="宋体" w:cs="宋体" w:eastAsia="宋体" w:hint="default"/>
                <w:sz w:val="18"/>
                <w:szCs w:val="18"/>
              </w:rPr>
              <w:t>公司股票上市后未来三</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年，利润分配可采取现金、股票、现金与股票相结合或者</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法律、法规允许的其他方式。</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相对于股票股利等分配方式优先采用现金分红的利润分配</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方式。根据公司现金流状况、业务成长性、每股净资产规</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模等真实合理因素，公司可以采用发放股票股利方式进行</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利润分配。公司具备现金分红条件的，公司应当采取现金</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4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方式分配股利，公司最近三年以现金方式累计分配的利润</w:t>
            </w: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891"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bottom w:val="single" w:sz="4" w:space="0" w:color="000000"/>
              <w:right w:val="single" w:sz="4" w:space="0" w:color="000000"/>
            </w:tcBorders>
            <w:shd w:val="clear" w:color="auto" w:fill="D4D4D4"/>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46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不少于最近三年实现的年均可分配利润的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；公司在实</w:t>
            </w:r>
          </w:p>
        </w:tc>
        <w:tc>
          <w:tcPr>
            <w:tcW w:w="108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891"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70" w:footer="977" w:top="1060" w:bottom="1160" w:left="1320" w:right="1320"/>
        </w:sectPr>
      </w:pPr>
    </w:p>
    <w:p>
      <w:pPr>
        <w:spacing w:line="240" w:lineRule="auto" w:before="11"/>
        <w:rPr>
          <w:rFonts w:ascii="Times New Roman" w:hAnsi="Times New Roman" w:cs="Times New Roman" w:eastAsia="Times New Roman" w:hint="default"/>
          <w:sz w:val="2"/>
          <w:szCs w:val="2"/>
        </w:rPr>
      </w:pPr>
      <w:r>
        <w:rPr/>
        <w:pict>
          <v:shape style="position:absolute;margin-left:534.119995pt;margin-top:369.600006pt;width:77.650pt;height:158.050pt;mso-position-horizontal-relative:page;mso-position-vertical-relative:page;z-index:-9859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股份；</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2837"/>
        <w:gridCol w:w="1123"/>
        <w:gridCol w:w="1128"/>
        <w:gridCol w:w="4632"/>
        <w:gridCol w:w="1080"/>
        <w:gridCol w:w="1260"/>
        <w:gridCol w:w="1891"/>
      </w:tblGrid>
      <w:tr>
        <w:trPr>
          <w:trHeight w:val="1313" w:hRule="exact"/>
        </w:trPr>
        <w:tc>
          <w:tcPr>
            <w:tcW w:w="2837" w:type="dxa"/>
            <w:vMerge w:val="restart"/>
            <w:tcBorders>
              <w:top w:val="single" w:sz="15" w:space="0" w:color="000000"/>
              <w:left w:val="single" w:sz="4" w:space="0" w:color="000000"/>
              <w:right w:val="single" w:sz="4" w:space="0" w:color="000000"/>
            </w:tcBorders>
            <w:shd w:val="clear" w:color="auto" w:fill="D4D4D4"/>
          </w:tcPr>
          <w:p>
            <w:pPr/>
          </w:p>
        </w:tc>
        <w:tc>
          <w:tcPr>
            <w:tcW w:w="1123" w:type="dxa"/>
            <w:tcBorders>
              <w:top w:val="single" w:sz="15" w:space="0" w:color="000000"/>
              <w:left w:val="single" w:sz="4" w:space="0" w:color="000000"/>
              <w:bottom w:val="single" w:sz="4" w:space="0" w:color="000000"/>
              <w:right w:val="single" w:sz="4" w:space="0" w:color="000000"/>
            </w:tcBorders>
          </w:tcPr>
          <w:p>
            <w:pPr/>
          </w:p>
        </w:tc>
        <w:tc>
          <w:tcPr>
            <w:tcW w:w="1128" w:type="dxa"/>
            <w:tcBorders>
              <w:top w:val="single" w:sz="15" w:space="0" w:color="000000"/>
              <w:left w:val="single" w:sz="4" w:space="0" w:color="000000"/>
              <w:bottom w:val="single" w:sz="4" w:space="0" w:color="000000"/>
              <w:right w:val="single" w:sz="4" w:space="0" w:color="000000"/>
            </w:tcBorders>
          </w:tcPr>
          <w:p>
            <w:pPr/>
          </w:p>
        </w:tc>
        <w:tc>
          <w:tcPr>
            <w:tcW w:w="4632"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3"/>
              <w:ind w:left="21" w:right="98"/>
              <w:jc w:val="both"/>
              <w:rPr>
                <w:rFonts w:ascii="宋体" w:hAnsi="宋体" w:cs="宋体" w:eastAsia="宋体" w:hint="default"/>
                <w:sz w:val="18"/>
                <w:szCs w:val="18"/>
              </w:rPr>
            </w:pPr>
            <w:r>
              <w:rPr>
                <w:rFonts w:ascii="宋体" w:hAnsi="宋体" w:cs="宋体" w:eastAsia="宋体" w:hint="default"/>
                <w:sz w:val="18"/>
                <w:szCs w:val="18"/>
              </w:rPr>
              <w:t>施上述现金分配股利的同时，可以派发股票股利。为了回 报股东，同时考虑募集资金投资项目建设及公司业务发展 需要，公司在进行利润分配时，现金分红在本次利润分配 中所占比例最低应达到</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080" w:type="dxa"/>
            <w:tcBorders>
              <w:top w:val="single" w:sz="15" w:space="0" w:color="000000"/>
              <w:left w:val="single" w:sz="4" w:space="0" w:color="000000"/>
              <w:bottom w:val="single" w:sz="4" w:space="0" w:color="000000"/>
              <w:right w:val="single" w:sz="4" w:space="0" w:color="000000"/>
            </w:tcBorders>
          </w:tcPr>
          <w:p>
            <w:pPr/>
          </w:p>
        </w:tc>
        <w:tc>
          <w:tcPr>
            <w:tcW w:w="1260" w:type="dxa"/>
            <w:tcBorders>
              <w:top w:val="single" w:sz="15" w:space="0" w:color="000000"/>
              <w:left w:val="single" w:sz="4" w:space="0" w:color="000000"/>
              <w:bottom w:val="single" w:sz="4" w:space="0" w:color="000000"/>
              <w:right w:val="single" w:sz="4" w:space="0" w:color="000000"/>
            </w:tcBorders>
          </w:tcPr>
          <w:p>
            <w:pPr/>
          </w:p>
        </w:tc>
        <w:tc>
          <w:tcPr>
            <w:tcW w:w="1891" w:type="dxa"/>
            <w:tcBorders>
              <w:top w:val="single" w:sz="15" w:space="0" w:color="000000"/>
              <w:left w:val="single" w:sz="4" w:space="0" w:color="000000"/>
              <w:bottom w:val="single" w:sz="4" w:space="0" w:color="000000"/>
              <w:right w:val="single" w:sz="4" w:space="0" w:color="000000"/>
            </w:tcBorders>
          </w:tcPr>
          <w:p>
            <w:pPr/>
          </w:p>
        </w:tc>
      </w:tr>
      <w:tr>
        <w:trPr>
          <w:trHeight w:val="2275" w:hRule="exact"/>
        </w:trPr>
        <w:tc>
          <w:tcPr>
            <w:tcW w:w="2837" w:type="dxa"/>
            <w:vMerge/>
            <w:tcBorders>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1" w:right="0"/>
              <w:jc w:val="left"/>
              <w:rPr>
                <w:rFonts w:ascii="宋体" w:hAnsi="宋体" w:cs="宋体" w:eastAsia="宋体" w:hint="default"/>
                <w:sz w:val="18"/>
                <w:szCs w:val="18"/>
              </w:rPr>
            </w:pPr>
            <w:r>
              <w:rPr>
                <w:rFonts w:ascii="宋体" w:hAnsi="宋体" w:cs="宋体" w:eastAsia="宋体" w:hint="default"/>
                <w:sz w:val="18"/>
                <w:szCs w:val="18"/>
              </w:rPr>
              <w:t>国科控股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92"/>
              <w:jc w:val="both"/>
              <w:rPr>
                <w:rFonts w:ascii="宋体" w:hAnsi="宋体" w:cs="宋体" w:eastAsia="宋体" w:hint="default"/>
                <w:sz w:val="18"/>
                <w:szCs w:val="18"/>
              </w:rPr>
            </w:pPr>
            <w:r>
              <w:rPr>
                <w:rFonts w:ascii="宋体" w:hAnsi="宋体" w:cs="宋体" w:eastAsia="宋体" w:hint="default"/>
                <w:sz w:val="18"/>
                <w:szCs w:val="18"/>
              </w:rPr>
              <w:t>持股意向及 减持意向的 承诺</w:t>
            </w:r>
          </w:p>
        </w:tc>
        <w:tc>
          <w:tcPr>
            <w:tcW w:w="46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both"/>
              <w:rPr>
                <w:rFonts w:ascii="宋体" w:hAnsi="宋体" w:cs="宋体" w:eastAsia="宋体" w:hint="default"/>
                <w:sz w:val="18"/>
                <w:szCs w:val="18"/>
              </w:rPr>
            </w:pPr>
            <w:r>
              <w:rPr>
                <w:rFonts w:ascii="宋体" w:hAnsi="宋体" w:cs="宋体" w:eastAsia="宋体" w:hint="default"/>
                <w:sz w:val="18"/>
                <w:szCs w:val="18"/>
              </w:rPr>
              <w:t>在本公司所持中科信息股份锁定期届满后，且不丧失对发 行人控制权及违反已作出承诺的前提下，本公司可依法减 持所持有的公司股份，具体减持意向为：所持中科信息股 份在锁定期满后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年内减持的，每年减持的股份合计不超 过所持有公司首次公开发行时的股份数的百分之二十，减 持价格不低于发行价（如遇除权除息，减持价格进行相应 </w:t>
            </w:r>
            <w:r>
              <w:rPr>
                <w:rFonts w:ascii="宋体" w:hAnsi="宋体" w:cs="宋体" w:eastAsia="宋体" w:hint="default"/>
                <w:spacing w:val="-12"/>
                <w:sz w:val="18"/>
                <w:szCs w:val="18"/>
              </w:rPr>
              <w:t>调整），且将提前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个交易日予以公告。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8"/>
                <w:sz w:val="18"/>
                <w:szCs w:val="18"/>
              </w:rPr>
              <w:t>作出承诺时，至</w:t>
            </w:r>
            <w:r>
              <w:rPr>
                <w:rFonts w:ascii="宋体" w:hAnsi="宋体" w:cs="宋体" w:eastAsia="宋体" w:hint="default"/>
                <w:sz w:val="18"/>
                <w:szCs w:val="18"/>
              </w:rPr>
              <w:t> 承诺履行完毕</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承诺人严格信守承诺， 未出现违犯承诺的情况</w:t>
            </w:r>
          </w:p>
        </w:tc>
      </w:tr>
      <w:tr>
        <w:trPr>
          <w:trHeight w:val="1337" w:hRule="exact"/>
        </w:trPr>
        <w:tc>
          <w:tcPr>
            <w:tcW w:w="2837" w:type="dxa"/>
            <w:vMerge/>
            <w:tcBorders>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1" w:right="0"/>
              <w:jc w:val="left"/>
              <w:rPr>
                <w:rFonts w:ascii="宋体" w:hAnsi="宋体" w:cs="宋体" w:eastAsia="宋体" w:hint="default"/>
                <w:sz w:val="18"/>
                <w:szCs w:val="18"/>
              </w:rPr>
            </w:pPr>
            <w:r>
              <w:rPr>
                <w:rFonts w:ascii="宋体" w:hAnsi="宋体" w:cs="宋体" w:eastAsia="宋体" w:hint="default"/>
                <w:sz w:val="18"/>
                <w:szCs w:val="18"/>
              </w:rPr>
              <w:t>宇中投资</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92"/>
              <w:jc w:val="both"/>
              <w:rPr>
                <w:rFonts w:ascii="宋体" w:hAnsi="宋体" w:cs="宋体" w:eastAsia="宋体" w:hint="default"/>
                <w:sz w:val="18"/>
                <w:szCs w:val="18"/>
              </w:rPr>
            </w:pPr>
            <w:r>
              <w:rPr>
                <w:rFonts w:ascii="宋体" w:hAnsi="宋体" w:cs="宋体" w:eastAsia="宋体" w:hint="default"/>
                <w:sz w:val="18"/>
                <w:szCs w:val="18"/>
              </w:rPr>
              <w:t>持股意向及 减持意向的 承诺</w:t>
            </w:r>
          </w:p>
        </w:tc>
        <w:tc>
          <w:tcPr>
            <w:tcW w:w="46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1" w:right="96"/>
              <w:jc w:val="both"/>
              <w:rPr>
                <w:rFonts w:ascii="宋体" w:hAnsi="宋体" w:cs="宋体" w:eastAsia="宋体" w:hint="default"/>
                <w:sz w:val="18"/>
                <w:szCs w:val="18"/>
              </w:rPr>
            </w:pPr>
            <w:r>
              <w:rPr>
                <w:rFonts w:ascii="宋体" w:hAnsi="宋体" w:cs="宋体" w:eastAsia="宋体" w:hint="default"/>
                <w:sz w:val="18"/>
                <w:szCs w:val="18"/>
              </w:rPr>
              <w:t>所持中科信息股份在锁定期满后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年内减持的，每年减持 的股份合计不超过所持有公司首次公开发行时的股份数的 百分之五十，减持价格不低于发行价（如遇除权除息，减 </w:t>
            </w:r>
            <w:r>
              <w:rPr>
                <w:rFonts w:ascii="宋体" w:hAnsi="宋体" w:cs="宋体" w:eastAsia="宋体" w:hint="default"/>
                <w:spacing w:val="-6"/>
                <w:sz w:val="18"/>
                <w:szCs w:val="18"/>
              </w:rPr>
              <w:t>持价格进行相应调整），且将提前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个交易日予以公告。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9"/>
              <w:jc w:val="left"/>
              <w:rPr>
                <w:rFonts w:ascii="宋体" w:hAnsi="宋体" w:cs="宋体" w:eastAsia="宋体" w:hint="default"/>
                <w:sz w:val="18"/>
                <w:szCs w:val="18"/>
              </w:rPr>
            </w:pPr>
            <w:r>
              <w:rPr>
                <w:rFonts w:ascii="宋体" w:hAnsi="宋体" w:cs="宋体" w:eastAsia="宋体" w:hint="default"/>
                <w:spacing w:val="-8"/>
                <w:sz w:val="18"/>
                <w:szCs w:val="18"/>
              </w:rPr>
              <w:t>作出承诺时，至</w:t>
            </w:r>
            <w:r>
              <w:rPr>
                <w:rFonts w:ascii="宋体" w:hAnsi="宋体" w:cs="宋体" w:eastAsia="宋体" w:hint="default"/>
                <w:sz w:val="18"/>
                <w:szCs w:val="18"/>
              </w:rPr>
              <w:t> 承诺履行完毕</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55"/>
              <w:jc w:val="left"/>
              <w:rPr>
                <w:rFonts w:ascii="宋体" w:hAnsi="宋体" w:cs="宋体" w:eastAsia="宋体" w:hint="default"/>
                <w:sz w:val="18"/>
                <w:szCs w:val="18"/>
              </w:rPr>
            </w:pPr>
            <w:r>
              <w:rPr>
                <w:rFonts w:ascii="宋体" w:hAnsi="宋体" w:cs="宋体" w:eastAsia="宋体" w:hint="default"/>
                <w:sz w:val="18"/>
                <w:szCs w:val="18"/>
              </w:rPr>
              <w:t>承诺人严格信守承诺， 未出现违犯承诺的情况</w:t>
            </w:r>
          </w:p>
        </w:tc>
      </w:tr>
      <w:tr>
        <w:trPr>
          <w:trHeight w:val="1339" w:hRule="exact"/>
        </w:trPr>
        <w:tc>
          <w:tcPr>
            <w:tcW w:w="2837" w:type="dxa"/>
            <w:vMerge/>
            <w:tcBorders>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1" w:right="0"/>
              <w:jc w:val="left"/>
              <w:rPr>
                <w:rFonts w:ascii="宋体" w:hAnsi="宋体" w:cs="宋体" w:eastAsia="宋体" w:hint="default"/>
                <w:sz w:val="18"/>
                <w:szCs w:val="18"/>
              </w:rPr>
            </w:pPr>
            <w:r>
              <w:rPr>
                <w:rFonts w:ascii="宋体" w:hAnsi="宋体" w:cs="宋体" w:eastAsia="宋体" w:hint="default"/>
                <w:sz w:val="18"/>
                <w:szCs w:val="18"/>
              </w:rPr>
              <w:t>埃德凯森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92"/>
              <w:jc w:val="both"/>
              <w:rPr>
                <w:rFonts w:ascii="宋体" w:hAnsi="宋体" w:cs="宋体" w:eastAsia="宋体" w:hint="default"/>
                <w:sz w:val="18"/>
                <w:szCs w:val="18"/>
              </w:rPr>
            </w:pPr>
            <w:r>
              <w:rPr>
                <w:rFonts w:ascii="宋体" w:hAnsi="宋体" w:cs="宋体" w:eastAsia="宋体" w:hint="default"/>
                <w:sz w:val="18"/>
                <w:szCs w:val="18"/>
              </w:rPr>
              <w:t>持股意向及 减持意向的 承诺</w:t>
            </w:r>
          </w:p>
        </w:tc>
        <w:tc>
          <w:tcPr>
            <w:tcW w:w="46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1" w:right="96"/>
              <w:jc w:val="both"/>
              <w:rPr>
                <w:rFonts w:ascii="宋体" w:hAnsi="宋体" w:cs="宋体" w:eastAsia="宋体" w:hint="default"/>
                <w:sz w:val="18"/>
                <w:szCs w:val="18"/>
              </w:rPr>
            </w:pPr>
            <w:r>
              <w:rPr>
                <w:rFonts w:ascii="宋体" w:hAnsi="宋体" w:cs="宋体" w:eastAsia="宋体" w:hint="default"/>
                <w:sz w:val="18"/>
                <w:szCs w:val="18"/>
              </w:rPr>
              <w:t>所持中科信息股份在锁定期满后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年内减持的，每年减持 的股份合计不超过所持有公司首次公开发行时的股份数的 百分之八十，减持价格不低于发行价（如遇除权除息，减 </w:t>
            </w:r>
            <w:r>
              <w:rPr>
                <w:rFonts w:ascii="宋体" w:hAnsi="宋体" w:cs="宋体" w:eastAsia="宋体" w:hint="default"/>
                <w:spacing w:val="-6"/>
                <w:sz w:val="18"/>
                <w:szCs w:val="18"/>
              </w:rPr>
              <w:t>持价格进行相应调整），且将提前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个交易日予以公告。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9"/>
              <w:jc w:val="left"/>
              <w:rPr>
                <w:rFonts w:ascii="宋体" w:hAnsi="宋体" w:cs="宋体" w:eastAsia="宋体" w:hint="default"/>
                <w:sz w:val="18"/>
                <w:szCs w:val="18"/>
              </w:rPr>
            </w:pPr>
            <w:r>
              <w:rPr>
                <w:rFonts w:ascii="宋体" w:hAnsi="宋体" w:cs="宋体" w:eastAsia="宋体" w:hint="default"/>
                <w:spacing w:val="-8"/>
                <w:sz w:val="18"/>
                <w:szCs w:val="18"/>
              </w:rPr>
              <w:t>作出承诺时，至</w:t>
            </w:r>
            <w:r>
              <w:rPr>
                <w:rFonts w:ascii="宋体" w:hAnsi="宋体" w:cs="宋体" w:eastAsia="宋体" w:hint="default"/>
                <w:sz w:val="18"/>
                <w:szCs w:val="18"/>
              </w:rPr>
              <w:t> 承诺履行完毕</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55"/>
              <w:jc w:val="left"/>
              <w:rPr>
                <w:rFonts w:ascii="宋体" w:hAnsi="宋体" w:cs="宋体" w:eastAsia="宋体" w:hint="default"/>
                <w:sz w:val="18"/>
                <w:szCs w:val="18"/>
              </w:rPr>
            </w:pPr>
            <w:r>
              <w:rPr>
                <w:rFonts w:ascii="宋体" w:hAnsi="宋体" w:cs="宋体" w:eastAsia="宋体" w:hint="default"/>
                <w:sz w:val="18"/>
                <w:szCs w:val="18"/>
              </w:rPr>
              <w:t>承诺人严格信守承诺， 未出现违犯承诺的情况</w:t>
            </w:r>
          </w:p>
        </w:tc>
      </w:tr>
      <w:tr>
        <w:trPr>
          <w:trHeight w:val="3170" w:hRule="exact"/>
        </w:trPr>
        <w:tc>
          <w:tcPr>
            <w:tcW w:w="2837"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国科控股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3" w:right="192"/>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46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、本公司或本公司实际控制的公司目前没有、将来也不会 以任何方式在中国境内外直接或间接开展任何导致或可能 导致与中科信息（包括其控股子公司及深圳市中钞科信金 融科技有限公司）现有主营业务产生竞争的业务或活动， 亦不生产任何与中科信息现有产品相同或相似的产品。</w:t>
            </w:r>
            <w:r>
              <w:rPr>
                <w:rFonts w:ascii="Times New Roman" w:hAnsi="Times New Roman" w:cs="Times New Roman" w:eastAsia="Times New Roman" w:hint="default"/>
                <w:sz w:val="18"/>
                <w:szCs w:val="18"/>
              </w:rPr>
              <w:t>2</w:t>
            </w:r>
            <w:r>
              <w:rPr>
                <w:rFonts w:ascii="宋体" w:hAnsi="宋体" w:cs="宋体" w:eastAsia="宋体" w:hint="default"/>
                <w:sz w:val="18"/>
                <w:szCs w:val="18"/>
              </w:rPr>
              <w:t>、 如本公司以及本公司控制的其他公司未来取得可能与中科 信息现有主营业务及现有产品构成竞争关系的企业权益， 则本公司同意将该等资产或业务通过适当的、有效的方式 及时进行处理，以消除同业竞争的情形，处理方式包括但 </w:t>
            </w:r>
            <w:r>
              <w:rPr>
                <w:rFonts w:ascii="宋体" w:hAnsi="宋体" w:cs="宋体" w:eastAsia="宋体" w:hint="default"/>
                <w:spacing w:val="-7"/>
                <w:sz w:val="18"/>
                <w:szCs w:val="18"/>
              </w:rPr>
              <w:t>不限于（</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）向第三方转让、出售在该等企业中的股权</w:t>
            </w:r>
            <w:r>
              <w:rPr>
                <w:rFonts w:ascii="Times New Roman" w:hAnsi="Times New Roman" w:cs="Times New Roman" w:eastAsia="Times New Roman" w:hint="default"/>
                <w:spacing w:val="-7"/>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31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2"/>
                <w:sz w:val="20"/>
                <w:szCs w:val="20"/>
              </w:rPr>
              <w:pict>
                <v:group style="width:53.55pt;height:158.050pt;mso-position-horizontal-relative:char;mso-position-vertical-relative:line" coordorigin="0,0" coordsize="1071,3161">
                  <v:group style="position:absolute;left:0;top:0;width:1071;height:3161" coordorigin="0,0" coordsize="1071,3161">
                    <v:shape style="position:absolute;left:0;top:0;width:1071;height:3161" coordorigin="0,0" coordsize="1071,3161" path="m0,3161l1070,3161,1070,0,0,0,0,3161xe" filled="true" fillcolor="#ffffff" stroked="false">
                      <v:path arrowok="t"/>
                      <v:fill type="solid"/>
                    </v:shape>
                  </v:group>
                  <v:group style="position:absolute;left:24;top:1229;width:1023;height:351" coordorigin="24,1229" coordsize="1023,351">
                    <v:shape style="position:absolute;left:24;top:1229;width:1023;height:351" coordorigin="24,1229" coordsize="1023,351" path="m24,1579l1046,1579,1046,1229,24,1229,24,1579xe" filled="true" fillcolor="#ffffff" stroked="false">
                      <v:path arrowok="t"/>
                      <v:fill type="solid"/>
                    </v:shape>
                  </v:group>
                  <v:group style="position:absolute;left:24;top:1579;width:1023;height:353" coordorigin="24,1579" coordsize="1023,353">
                    <v:shape style="position:absolute;left:24;top:1579;width:1023;height:353" coordorigin="24,1579" coordsize="1023,353" path="m24,1932l1046,1932,1046,1579,24,1579,24,1932xe" filled="true" fillcolor="#ffffff" stroked="false">
                      <v:path arrowok="t"/>
                      <v:fill type="solid"/>
                    </v:shape>
                  </v:group>
                </v:group>
              </w:pict>
            </w:r>
            <w:r>
              <w:rPr>
                <w:rFonts w:ascii="Times New Roman" w:hAnsi="Times New Roman" w:cs="Times New Roman" w:eastAsia="Times New Roman" w:hint="default"/>
                <w:position w:val="-62"/>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pacing w:val="-8"/>
                <w:sz w:val="18"/>
                <w:szCs w:val="18"/>
              </w:rPr>
              <w:t>作出承诺时，至</w:t>
            </w:r>
            <w:r>
              <w:rPr>
                <w:rFonts w:ascii="宋体" w:hAnsi="宋体" w:cs="宋体" w:eastAsia="宋体" w:hint="default"/>
                <w:sz w:val="18"/>
                <w:szCs w:val="18"/>
              </w:rPr>
              <w:t> 承诺履行完毕</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4" w:lineRule="auto"/>
              <w:ind w:left="23" w:right="55"/>
              <w:jc w:val="left"/>
              <w:rPr>
                <w:rFonts w:ascii="宋体" w:hAnsi="宋体" w:cs="宋体" w:eastAsia="宋体" w:hint="default"/>
                <w:sz w:val="18"/>
                <w:szCs w:val="18"/>
              </w:rPr>
            </w:pPr>
            <w:r>
              <w:rPr>
                <w:rFonts w:ascii="宋体" w:hAnsi="宋体" w:cs="宋体" w:eastAsia="宋体" w:hint="default"/>
                <w:sz w:val="18"/>
                <w:szCs w:val="18"/>
              </w:rPr>
              <w:t>承诺人严格信守承诺， 未出现违犯承诺的情况</w:t>
            </w:r>
          </w:p>
        </w:tc>
      </w:tr>
    </w:tbl>
    <w:p>
      <w:pPr>
        <w:spacing w:after="0" w:line="314" w:lineRule="auto"/>
        <w:jc w:val="left"/>
        <w:rPr>
          <w:rFonts w:ascii="宋体" w:hAnsi="宋体" w:cs="宋体" w:eastAsia="宋体" w:hint="default"/>
          <w:sz w:val="18"/>
          <w:szCs w:val="18"/>
        </w:rPr>
        <w:sectPr>
          <w:pgSz w:w="16840" w:h="11910" w:orient="landscape"/>
          <w:pgMar w:header="870" w:footer="977" w:top="1060" w:bottom="1160" w:left="1320" w:right="1320"/>
        </w:sectPr>
      </w:pPr>
    </w:p>
    <w:p>
      <w:pPr>
        <w:spacing w:line="240" w:lineRule="auto" w:before="11"/>
        <w:rPr>
          <w:rFonts w:ascii="Times New Roman" w:hAnsi="Times New Roman" w:cs="Times New Roman" w:eastAsia="Times New Roman" w:hint="default"/>
          <w:sz w:val="2"/>
          <w:szCs w:val="2"/>
        </w:rPr>
      </w:pPr>
      <w:r>
        <w:rPr/>
        <w:pict>
          <v:shape style="position:absolute;margin-left:444.11972pt;margin-top:184.440002pt;width:167.65pt;height:222.5pt;mso-position-horizontal-relative:page;mso-position-vertical-relative:page;z-index:-9859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国家物价部门无相关规定时，</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2837"/>
        <w:gridCol w:w="1123"/>
        <w:gridCol w:w="1128"/>
        <w:gridCol w:w="4632"/>
        <w:gridCol w:w="1080"/>
        <w:gridCol w:w="1260"/>
        <w:gridCol w:w="1891"/>
      </w:tblGrid>
      <w:tr>
        <w:trPr>
          <w:trHeight w:val="2561" w:hRule="exact"/>
        </w:trPr>
        <w:tc>
          <w:tcPr>
            <w:tcW w:w="2837" w:type="dxa"/>
            <w:vMerge w:val="restart"/>
            <w:tcBorders>
              <w:top w:val="single" w:sz="15" w:space="0" w:color="000000"/>
              <w:left w:val="single" w:sz="4" w:space="0" w:color="000000"/>
              <w:right w:val="single" w:sz="4" w:space="0" w:color="000000"/>
            </w:tcBorders>
            <w:shd w:val="clear" w:color="auto" w:fill="D4D4D4"/>
          </w:tcPr>
          <w:p>
            <w:pPr/>
          </w:p>
        </w:tc>
        <w:tc>
          <w:tcPr>
            <w:tcW w:w="1123" w:type="dxa"/>
            <w:tcBorders>
              <w:top w:val="single" w:sz="15" w:space="0" w:color="000000"/>
              <w:left w:val="single" w:sz="4" w:space="0" w:color="000000"/>
              <w:bottom w:val="single" w:sz="4" w:space="0" w:color="000000"/>
              <w:right w:val="single" w:sz="4" w:space="0" w:color="000000"/>
            </w:tcBorders>
          </w:tcPr>
          <w:p>
            <w:pPr/>
          </w:p>
        </w:tc>
        <w:tc>
          <w:tcPr>
            <w:tcW w:w="1128" w:type="dxa"/>
            <w:tcBorders>
              <w:top w:val="single" w:sz="15" w:space="0" w:color="000000"/>
              <w:left w:val="single" w:sz="4" w:space="0" w:color="000000"/>
              <w:bottom w:val="single" w:sz="4" w:space="0" w:color="000000"/>
              <w:right w:val="single" w:sz="4" w:space="0" w:color="000000"/>
            </w:tcBorders>
          </w:tcPr>
          <w:p>
            <w:pPr/>
          </w:p>
        </w:tc>
        <w:tc>
          <w:tcPr>
            <w:tcW w:w="4632" w:type="dxa"/>
            <w:tcBorders>
              <w:top w:val="single" w:sz="15" w:space="0" w:color="000000"/>
              <w:left w:val="single" w:sz="4" w:space="0" w:color="000000"/>
              <w:bottom w:val="single" w:sz="4" w:space="0" w:color="000000"/>
              <w:right w:val="single" w:sz="4" w:space="0" w:color="000000"/>
            </w:tcBorders>
          </w:tcPr>
          <w:p>
            <w:pPr>
              <w:pStyle w:val="TableParagraph"/>
              <w:spacing w:line="307" w:lineRule="auto" w:before="13"/>
              <w:ind w:left="21" w:right="23"/>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）在条件允许的情形下，将该等资产及业务纳入中科信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息之经营或资产体系；（</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）在条件允许的情形下，由中科</w:t>
            </w:r>
            <w:r>
              <w:rPr>
                <w:rFonts w:ascii="宋体" w:hAnsi="宋体" w:cs="宋体" w:eastAsia="宋体" w:hint="default"/>
                <w:spacing w:val="-77"/>
                <w:sz w:val="18"/>
                <w:szCs w:val="18"/>
              </w:rPr>
              <w:t> </w:t>
            </w:r>
            <w:r>
              <w:rPr>
                <w:rFonts w:ascii="宋体" w:hAnsi="宋体" w:cs="宋体" w:eastAsia="宋体" w:hint="default"/>
                <w:sz w:val="18"/>
                <w:szCs w:val="18"/>
              </w:rPr>
              <w:t>信息购买该等资产，并将尽最大努力促使该交易的价格公 </w:t>
            </w:r>
            <w:r>
              <w:rPr>
                <w:rFonts w:ascii="宋体" w:hAnsi="宋体" w:cs="宋体" w:eastAsia="宋体" w:hint="default"/>
                <w:spacing w:val="-1"/>
                <w:sz w:val="18"/>
                <w:szCs w:val="18"/>
              </w:rPr>
              <w:t>平合理。</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、如本公司以及本公司控制的其他公司出现违背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以上承诺的情况，给中科信息带来的任何损失均由本公司 承担，以使中科信息恢复到产生损失或者承担责任之前的 </w:t>
            </w:r>
            <w:r>
              <w:rPr>
                <w:rFonts w:ascii="宋体" w:hAnsi="宋体" w:cs="宋体" w:eastAsia="宋体" w:hint="default"/>
                <w:spacing w:val="-1"/>
                <w:sz w:val="18"/>
                <w:szCs w:val="18"/>
              </w:rPr>
              <w:t>状态。</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、本承诺函的有效期自签署之日起至本公司不再是</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中科信息之控股股东止。</w:t>
            </w:r>
          </w:p>
        </w:tc>
        <w:tc>
          <w:tcPr>
            <w:tcW w:w="1080" w:type="dxa"/>
            <w:tcBorders>
              <w:top w:val="single" w:sz="15" w:space="0" w:color="000000"/>
              <w:left w:val="single" w:sz="4" w:space="0" w:color="000000"/>
              <w:bottom w:val="single" w:sz="4" w:space="0" w:color="000000"/>
              <w:right w:val="single" w:sz="4" w:space="0" w:color="000000"/>
            </w:tcBorders>
          </w:tcPr>
          <w:p>
            <w:pPr/>
          </w:p>
        </w:tc>
        <w:tc>
          <w:tcPr>
            <w:tcW w:w="1260" w:type="dxa"/>
            <w:tcBorders>
              <w:top w:val="single" w:sz="15" w:space="0" w:color="000000"/>
              <w:left w:val="single" w:sz="4" w:space="0" w:color="000000"/>
              <w:bottom w:val="single" w:sz="4" w:space="0" w:color="000000"/>
              <w:right w:val="single" w:sz="4" w:space="0" w:color="000000"/>
            </w:tcBorders>
          </w:tcPr>
          <w:p>
            <w:pPr/>
          </w:p>
        </w:tc>
        <w:tc>
          <w:tcPr>
            <w:tcW w:w="1891" w:type="dxa"/>
            <w:tcBorders>
              <w:top w:val="single" w:sz="15" w:space="0" w:color="000000"/>
              <w:left w:val="single" w:sz="4" w:space="0" w:color="000000"/>
              <w:bottom w:val="single" w:sz="4" w:space="0" w:color="000000"/>
              <w:right w:val="single" w:sz="4" w:space="0" w:color="000000"/>
            </w:tcBorders>
          </w:tcPr>
          <w:p>
            <w:pPr/>
          </w:p>
        </w:tc>
      </w:tr>
      <w:tr>
        <w:trPr>
          <w:trHeight w:val="4459" w:hRule="exact"/>
        </w:trPr>
        <w:tc>
          <w:tcPr>
            <w:tcW w:w="2837"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国科控股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192"/>
              <w:jc w:val="both"/>
              <w:rPr>
                <w:rFonts w:ascii="宋体" w:hAnsi="宋体" w:cs="宋体" w:eastAsia="宋体" w:hint="default"/>
                <w:sz w:val="18"/>
                <w:szCs w:val="18"/>
              </w:rPr>
            </w:pPr>
            <w:r>
              <w:rPr>
                <w:rFonts w:ascii="宋体" w:hAnsi="宋体" w:cs="宋体" w:eastAsia="宋体" w:hint="default"/>
                <w:sz w:val="18"/>
                <w:szCs w:val="18"/>
              </w:rPr>
              <w:t>关于减少及 规范关联交 易的承诺函</w:t>
            </w:r>
          </w:p>
        </w:tc>
        <w:tc>
          <w:tcPr>
            <w:tcW w:w="46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23"/>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）本公司和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或本公司关联方将尽最大可能避免与中科信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息发生关联交易。（</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）如果在今后的经营活动中，中科信</w:t>
            </w:r>
            <w:r>
              <w:rPr>
                <w:rFonts w:ascii="宋体" w:hAnsi="宋体" w:cs="宋体" w:eastAsia="宋体" w:hint="default"/>
                <w:spacing w:val="-77"/>
                <w:sz w:val="18"/>
                <w:szCs w:val="18"/>
              </w:rPr>
              <w:t> </w:t>
            </w:r>
            <w:r>
              <w:rPr>
                <w:rFonts w:ascii="宋体" w:hAnsi="宋体" w:cs="宋体" w:eastAsia="宋体" w:hint="default"/>
                <w:sz w:val="18"/>
                <w:szCs w:val="18"/>
              </w:rPr>
              <w:t>息确需与本公司或本公司关联方发生任何关联交易的，则 本公司将促使上述交易按照公平合理和正常商业交易的条 件进行，并且严格按照国家有关法律法规、公司章程的规 定履行有关程序；涉及需要回避表决的，本公司及本公司 关联方将严格执行回避表决制度，并不会干涉其他董事和</w:t>
            </w:r>
            <w:r>
              <w:rPr>
                <w:rFonts w:ascii="Times New Roman" w:hAnsi="Times New Roman" w:cs="Times New Roman" w:eastAsia="Times New Roman" w:hint="default"/>
                <w:sz w:val="18"/>
                <w:szCs w:val="18"/>
              </w:rPr>
              <w:t>/ </w:t>
            </w:r>
            <w:r>
              <w:rPr>
                <w:rFonts w:ascii="宋体" w:hAnsi="宋体" w:cs="宋体" w:eastAsia="宋体" w:hint="default"/>
                <w:sz w:val="18"/>
                <w:szCs w:val="18"/>
              </w:rPr>
              <w:t>或股东对关联交易的审议。关联交易价格在国家物价部门 有规定时，执行国家价格；在 按照不高于同类交易的市场价格、市场条件，由交易双方 协商确定，以维护公司及其他股东的合法权益。本公司及 本公司关联方还将严格和善意的履行与中科信息签订的各 种关联交易协议。本公司承诺将不会向中科信息谋求或给 予任何超出上述协议规定以外的利益或收益。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444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8"/>
                <w:sz w:val="20"/>
                <w:szCs w:val="20"/>
              </w:rPr>
              <w:pict>
                <v:group style="width:53.55pt;height:222.5pt;mso-position-horizontal-relative:char;mso-position-vertical-relative:line" coordorigin="0,0" coordsize="1071,4450">
                  <v:group style="position:absolute;left:0;top:0;width:1071;height:4450" coordorigin="0,0" coordsize="1071,4450">
                    <v:shape style="position:absolute;left:0;top:0;width:1071;height:4450" coordorigin="0,0" coordsize="1071,4450" path="m0,4450l1070,4450,1070,0,0,0,0,4450xe" filled="true" fillcolor="#ffffff" stroked="false">
                      <v:path arrowok="t"/>
                      <v:fill type="solid"/>
                    </v:shape>
                  </v:group>
                  <v:group style="position:absolute;left:24;top:1872;width:1023;height:353" coordorigin="24,1872" coordsize="1023,353">
                    <v:shape style="position:absolute;left:24;top:1872;width:1023;height:353" coordorigin="24,1872" coordsize="1023,353" path="m24,2225l1046,2225,1046,1872,24,1872,24,2225xe" filled="true" fillcolor="#ffffff" stroked="false">
                      <v:path arrowok="t"/>
                      <v:fill type="solid"/>
                    </v:shape>
                  </v:group>
                  <v:group style="position:absolute;left:24;top:2225;width:1023;height:353" coordorigin="24,2225" coordsize="1023,353">
                    <v:shape style="position:absolute;left:24;top:2225;width:1023;height:353" coordorigin="24,2225" coordsize="1023,353" path="m24,2578l1046,2578,1046,2225,24,2225,24,2578xe" filled="true" fillcolor="#ffffff" stroked="false">
                      <v:path arrowok="t"/>
                      <v:fill type="solid"/>
                    </v:shape>
                  </v:group>
                </v:group>
              </w:pict>
            </w:r>
            <w:r>
              <w:rPr>
                <w:rFonts w:ascii="Times New Roman" w:hAnsi="Times New Roman" w:cs="Times New Roman" w:eastAsia="Times New Roman" w:hint="default"/>
                <w:position w:val="-88"/>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8"/>
                <w:sz w:val="18"/>
                <w:szCs w:val="18"/>
              </w:rPr>
              <w:t>作出承诺时，至</w:t>
            </w:r>
            <w:r>
              <w:rPr>
                <w:rFonts w:ascii="宋体" w:hAnsi="宋体" w:cs="宋体" w:eastAsia="宋体" w:hint="default"/>
                <w:sz w:val="18"/>
                <w:szCs w:val="18"/>
              </w:rPr>
              <w:t> 承诺履行完毕</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承诺人严格信守承诺， 未出现违犯承诺的情况</w:t>
            </w: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8" w:type="dxa"/>
            <w:tcBorders>
              <w:top w:val="single" w:sz="4" w:space="0" w:color="000000"/>
              <w:left w:val="single" w:sz="4" w:space="0" w:color="000000"/>
              <w:bottom w:val="single" w:sz="4" w:space="0" w:color="000000"/>
              <w:right w:val="single" w:sz="4" w:space="0" w:color="000000"/>
            </w:tcBorders>
          </w:tcPr>
          <w:p>
            <w:pPr/>
          </w:p>
        </w:tc>
        <w:tc>
          <w:tcPr>
            <w:tcW w:w="463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8" w:type="dxa"/>
            <w:tcBorders>
              <w:top w:val="single" w:sz="4" w:space="0" w:color="000000"/>
              <w:left w:val="single" w:sz="4" w:space="0" w:color="000000"/>
              <w:bottom w:val="single" w:sz="4" w:space="0" w:color="000000"/>
              <w:right w:val="single" w:sz="4" w:space="0" w:color="000000"/>
            </w:tcBorders>
          </w:tcPr>
          <w:p>
            <w:pPr/>
          </w:p>
        </w:tc>
        <w:tc>
          <w:tcPr>
            <w:tcW w:w="463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1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28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3"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111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6840" w:h="11910" w:orient="landscape"/>
          <w:pgMar w:header="870" w:footer="977" w:top="1060" w:bottom="1160" w:left="1320" w:right="13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59" w:lineRule="auto" w:before="157"/>
        <w:ind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499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355" w:lineRule="auto" w:before="80"/>
        <w:ind w:left="572" w:right="0"/>
        <w:jc w:val="left"/>
      </w:pPr>
      <w:r>
        <w:rPr>
          <w:rFonts w:ascii="Times New Roman" w:hAnsi="Times New Roman" w:cs="Times New Roman" w:eastAsia="Times New Roman" w:hint="default"/>
        </w:rPr>
        <w:t>1</w:t>
      </w:r>
      <w:r>
        <w:rPr/>
        <w:t>、会计政策变更</w:t>
      </w:r>
      <w:r>
        <w:rPr>
          <w:spacing w:val="-3"/>
          <w:w w:val="100"/>
        </w:rPr>
        <w:t> </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日召开第二届董事会第十七次会议，审议通过了《关于会计政策变更的议案》、</w:t>
      </w:r>
    </w:p>
    <w:p>
      <w:pPr>
        <w:pStyle w:val="BodyText"/>
        <w:spacing w:line="386" w:lineRule="auto" w:before="65"/>
        <w:ind w:right="1027"/>
        <w:jc w:val="both"/>
        <w:rPr>
          <w:rFonts w:ascii="宋体" w:hAnsi="宋体" w:cs="宋体" w:eastAsia="宋体" w:hint="default"/>
        </w:rPr>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日召开第二届董事会第十九次会议，审议通过了《关于变更会计政策的议案》，详细披露</w:t>
      </w:r>
      <w:r>
        <w:rPr>
          <w:spacing w:val="-28"/>
        </w:rPr>
        <w:t> </w:t>
      </w:r>
      <w:r>
        <w:rPr>
          <w:spacing w:val="-28"/>
        </w:rPr>
      </w:r>
      <w:r>
        <w:rPr/>
        <w:t>了变更的原因、影响以及其他有关事项，详情可参见公司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日发布的《关于会计政策变更的公</w:t>
      </w:r>
      <w:r>
        <w:rPr>
          <w:spacing w:val="-29"/>
        </w:rPr>
        <w:t> </w:t>
      </w:r>
      <w:r>
        <w:rPr>
          <w:spacing w:val="-29"/>
        </w:rPr>
      </w:r>
      <w:r>
        <w:rPr>
          <w:spacing w:val="-10"/>
          <w:w w:val="100"/>
        </w:rPr>
        <w:t>告》（公告编号：</w:t>
      </w:r>
      <w:r>
        <w:rPr>
          <w:rFonts w:ascii="Times New Roman" w:hAnsi="Times New Roman" w:cs="Times New Roman" w:eastAsia="Times New Roman" w:hint="default"/>
          <w:spacing w:val="-10"/>
          <w:w w:val="100"/>
        </w:rPr>
        <w:t>2019-011</w:t>
      </w:r>
      <w:r>
        <w:rPr>
          <w:spacing w:val="-10"/>
          <w:w w:val="100"/>
        </w:rPr>
        <w:t>）、</w:t>
      </w:r>
      <w:r>
        <w:rPr>
          <w:rFonts w:ascii="Times New Roman" w:hAnsi="Times New Roman" w:cs="Times New Roman" w:eastAsia="Times New Roman" w:hint="default"/>
          <w:spacing w:val="-10"/>
          <w:w w:val="100"/>
        </w:rPr>
        <w:t>2019</w:t>
      </w:r>
      <w:r>
        <w:rPr>
          <w:spacing w:val="-10"/>
          <w:w w:val="100"/>
        </w:rPr>
        <w:t>年</w:t>
      </w:r>
      <w:r>
        <w:rPr>
          <w:rFonts w:ascii="Times New Roman" w:hAnsi="Times New Roman" w:cs="Times New Roman" w:eastAsia="Times New Roman" w:hint="default"/>
          <w:spacing w:val="-10"/>
          <w:w w:val="100"/>
        </w:rPr>
        <w:t>6</w:t>
      </w:r>
      <w:r>
        <w:rPr>
          <w:spacing w:val="-10"/>
          <w:w w:val="100"/>
        </w:rPr>
        <w:t>月</w:t>
      </w:r>
      <w:r>
        <w:rPr>
          <w:rFonts w:ascii="Times New Roman" w:hAnsi="Times New Roman" w:cs="Times New Roman" w:eastAsia="Times New Roman" w:hint="default"/>
          <w:spacing w:val="-10"/>
          <w:w w:val="100"/>
        </w:rPr>
        <w:t>27</w:t>
      </w:r>
      <w:r>
        <w:rPr>
          <w:spacing w:val="-10"/>
          <w:w w:val="100"/>
        </w:rPr>
        <w:t>日发布的《关于会计政策变更的公告》（公告编号：</w:t>
      </w:r>
      <w:r>
        <w:rPr>
          <w:rFonts w:ascii="Times New Roman" w:hAnsi="Times New Roman" w:cs="Times New Roman" w:eastAsia="Times New Roman" w:hint="default"/>
          <w:spacing w:val="-10"/>
          <w:w w:val="100"/>
        </w:rPr>
        <w:t>2019-052</w:t>
      </w:r>
      <w:r>
        <w:rPr>
          <w:spacing w:val="-10"/>
          <w:w w:val="100"/>
        </w:rPr>
        <w:t>）。</w:t>
      </w:r>
      <w:r>
        <w:rPr>
          <w:rFonts w:ascii="宋体" w:hAnsi="宋体" w:cs="宋体" w:eastAsia="宋体" w:hint="default"/>
          <w:w w:val="100"/>
        </w:rPr>
        <w:t> </w:t>
      </w:r>
    </w:p>
    <w:p>
      <w:pPr>
        <w:pStyle w:val="BodyText"/>
        <w:spacing w:line="386" w:lineRule="auto" w:before="35"/>
        <w:ind w:left="572" w:right="0"/>
        <w:jc w:val="left"/>
      </w:pPr>
      <w:r>
        <w:rPr>
          <w:rFonts w:ascii="Times New Roman" w:hAnsi="Times New Roman" w:cs="Times New Roman" w:eastAsia="Times New Roman" w:hint="default"/>
        </w:rPr>
        <w:t>2</w:t>
      </w:r>
      <w:r>
        <w:rPr/>
        <w:t>、会计估计变更</w:t>
      </w:r>
      <w:r>
        <w:rPr>
          <w:spacing w:val="-3"/>
          <w:w w:val="100"/>
        </w:rPr>
        <w:t> </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日召开第三届董事会第五次会议，审议通过了《关于会计估计变更的议案》，详</w:t>
      </w:r>
    </w:p>
    <w:p>
      <w:pPr>
        <w:pStyle w:val="BodyText"/>
        <w:spacing w:line="386" w:lineRule="auto" w:before="35"/>
        <w:ind w:right="1132"/>
        <w:jc w:val="left"/>
      </w:pPr>
      <w:r>
        <w:rPr>
          <w:spacing w:val="-2"/>
        </w:rPr>
        <w:t>细披露了变更的原因、影响以及其他有关事项，详情可参见公司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11</w:t>
      </w:r>
      <w:r>
        <w:rPr>
          <w:spacing w:val="-2"/>
        </w:rPr>
        <w:t>日发布的《关于会计估计变</w:t>
      </w:r>
      <w:r>
        <w:rPr>
          <w:spacing w:val="-42"/>
        </w:rPr>
        <w:t> </w:t>
      </w:r>
      <w:r>
        <w:rPr>
          <w:spacing w:val="-42"/>
        </w:rPr>
      </w:r>
      <w:r>
        <w:rPr/>
        <w:t>更的公告》（公告编号：</w:t>
      </w:r>
      <w:r>
        <w:rPr>
          <w:rFonts w:ascii="Times New Roman" w:hAnsi="Times New Roman" w:cs="Times New Roman" w:eastAsia="Times New Roman" w:hint="default"/>
        </w:rPr>
        <w:t>2019-127</w:t>
      </w:r>
      <w:r>
        <w:rPr/>
        <w:t>）。</w:t>
      </w:r>
    </w:p>
    <w:p>
      <w:pPr>
        <w:spacing w:line="240" w:lineRule="auto" w:before="13"/>
        <w:rPr>
          <w:rFonts w:ascii="宋体" w:hAnsi="宋体" w:cs="宋体" w:eastAsia="宋体" w:hint="default"/>
          <w:sz w:val="17"/>
          <w:szCs w:val="17"/>
        </w:rPr>
      </w:pPr>
    </w:p>
    <w:p>
      <w:pPr>
        <w:pStyle w:val="Heading2"/>
        <w:spacing w:line="240" w:lineRule="auto"/>
        <w:ind w:right="0"/>
        <w:jc w:val="both"/>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15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公司报告期无合并报表范围发生变化的情况。</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现聘任的会计事务所</w:t>
      </w:r>
    </w:p>
    <w:p>
      <w:pPr>
        <w:spacing w:after="0"/>
        <w:jc w:val="both"/>
        <w:rPr>
          <w:rFonts w:ascii="宋体" w:hAnsi="宋体" w:cs="宋体" w:eastAsia="宋体" w:hint="default"/>
          <w:sz w:val="18"/>
          <w:szCs w:val="18"/>
        </w:rPr>
        <w:sectPr>
          <w:headerReference w:type="default" r:id="rId26"/>
          <w:footerReference w:type="default" r:id="rId27"/>
          <w:pgSz w:w="11910" w:h="16840"/>
          <w:pgMar w:header="880" w:footer="977" w:top="1060" w:bottom="1160" w:left="980" w:right="0"/>
          <w:pgNumType w:start="77"/>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9"/>
        <w:gridCol w:w="4778"/>
      </w:tblGrid>
      <w:tr>
        <w:trPr>
          <w:trHeight w:val="402"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天职国际会计师事务所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42</w:t>
            </w:r>
          </w:p>
        </w:tc>
      </w:tr>
      <w:tr>
        <w:trPr>
          <w:trHeight w:val="402"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申军、刘浪</w:t>
            </w:r>
          </w:p>
        </w:tc>
      </w:tr>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5"/>
        <w:ind w:left="152" w:right="625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69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87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87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45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after="0" w:line="338" w:lineRule="auto"/>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12"/>
        <w:rPr>
          <w:rFonts w:ascii="宋体" w:hAnsi="宋体" w:cs="宋体" w:eastAsia="宋体" w:hint="default"/>
          <w:sz w:val="19"/>
          <w:szCs w:val="19"/>
        </w:rPr>
      </w:pPr>
    </w:p>
    <w:p>
      <w:pPr>
        <w:pStyle w:val="Heading2"/>
        <w:spacing w:line="240" w:lineRule="auto" w:before="26"/>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57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6"/>
          <w:szCs w:val="26"/>
        </w:rPr>
      </w:pPr>
    </w:p>
    <w:p>
      <w:pPr>
        <w:spacing w:line="340" w:lineRule="auto" w:before="0"/>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6"/>
          <w:szCs w:val="26"/>
        </w:rPr>
      </w:pPr>
    </w:p>
    <w:p>
      <w:pPr>
        <w:spacing w:line="340" w:lineRule="auto" w:before="0"/>
        <w:ind w:left="152" w:right="805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41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41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13"/>
        <w:rPr>
          <w:rFonts w:ascii="宋体" w:hAnsi="宋体" w:cs="宋体" w:eastAsia="宋体" w:hint="default"/>
          <w:sz w:val="21"/>
          <w:szCs w:val="21"/>
        </w:rPr>
      </w:pPr>
    </w:p>
    <w:p>
      <w:pPr>
        <w:spacing w:before="44"/>
        <w:ind w:left="152" w:right="0" w:firstLine="0"/>
        <w:jc w:val="both"/>
        <w:rPr>
          <w:rFonts w:ascii="宋体" w:hAnsi="宋体" w:cs="宋体" w:eastAsia="宋体" w:hint="default"/>
          <w:sz w:val="18"/>
          <w:szCs w:val="18"/>
        </w:rPr>
      </w:pPr>
      <w:r>
        <w:rPr>
          <w:rFonts w:ascii="宋体" w:hAnsi="宋体" w:cs="宋体" w:eastAsia="宋体" w:hint="default"/>
          <w:sz w:val="18"/>
          <w:szCs w:val="18"/>
        </w:rPr>
        <w:t>公司报告期不存在租赁情况。</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78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公司报告期不存在担保情况。</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41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公司报告期不存在委托理财。</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805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bookmarkStart w:name="十七、社会责任情况" w:id="95"/>
      <w:bookmarkEnd w:id="95"/>
      <w:r>
        <w:rPr>
          <w:b w:val="0"/>
          <w:bCs w:val="0"/>
        </w:rPr>
      </w:r>
      <w:r>
        <w:rPr/>
        <w:t>十七、社会责任情况</w:t>
      </w:r>
      <w:r>
        <w:rPr>
          <w:b w:val="0"/>
          <w:bCs w:val="0"/>
        </w:rPr>
      </w:r>
    </w:p>
    <w:p>
      <w:pPr>
        <w:pStyle w:val="BodyText"/>
        <w:spacing w:line="688" w:lineRule="exact" w:before="18"/>
        <w:ind w:left="572" w:right="0" w:hanging="420"/>
        <w:jc w:val="left"/>
      </w:pPr>
      <w:bookmarkStart w:name="1、履行社会责任情况" w:id="96"/>
      <w:bookmarkEnd w:id="96"/>
      <w:r>
        <w:rPr/>
      </w: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w w:val="100"/>
        </w:rPr>
        <w:t> </w:t>
      </w:r>
      <w:r>
        <w:rPr>
          <w:spacing w:val="-6"/>
        </w:rPr>
        <w:t>公司以</w:t>
      </w:r>
      <w:r>
        <w:rPr>
          <w:rFonts w:ascii="Times New Roman" w:hAnsi="Times New Roman" w:cs="Times New Roman" w:eastAsia="Times New Roman" w:hint="default"/>
          <w:spacing w:val="-6"/>
        </w:rPr>
        <w:t>“</w:t>
      </w:r>
      <w:r>
        <w:rPr>
          <w:spacing w:val="-6"/>
        </w:rPr>
        <w:t>服务客户、成就员工、回报股东、贡献社会</w:t>
      </w:r>
      <w:r>
        <w:rPr>
          <w:rFonts w:ascii="Times New Roman" w:hAnsi="Times New Roman" w:cs="Times New Roman" w:eastAsia="Times New Roman" w:hint="default"/>
          <w:spacing w:val="-6"/>
        </w:rPr>
        <w:t>”</w:t>
      </w:r>
      <w:r>
        <w:rPr>
          <w:spacing w:val="-6"/>
        </w:rPr>
        <w:t>为宗旨，努力维护全体股东的利益，严格按照《中</w:t>
      </w:r>
    </w:p>
    <w:p>
      <w:pPr>
        <w:pStyle w:val="BodyText"/>
        <w:spacing w:line="408" w:lineRule="auto" w:before="85"/>
        <w:ind w:right="1128"/>
        <w:jc w:val="both"/>
      </w:pPr>
      <w:r>
        <w:rPr>
          <w:spacing w:val="-2"/>
        </w:rPr>
        <w:t>华人民共和国公司法》《中华人民共和国证券法》《深圳证券交易所创业板股票上市规则》《深圳证券交</w:t>
      </w:r>
      <w:r>
        <w:rPr>
          <w:spacing w:val="-41"/>
        </w:rPr>
        <w:t> </w:t>
      </w:r>
      <w:r>
        <w:rPr>
          <w:spacing w:val="-41"/>
        </w:rPr>
      </w:r>
      <w:r>
        <w:rPr>
          <w:spacing w:val="-2"/>
        </w:rPr>
        <w:t>易所创业板上市规范运作指引》等法律法规、规范性文件和公司《章程》等规定和要求，规范股东大会召</w:t>
      </w:r>
      <w:r>
        <w:rPr>
          <w:spacing w:val="-43"/>
        </w:rPr>
        <w:t> </w:t>
      </w:r>
      <w:r>
        <w:rPr>
          <w:spacing w:val="-43"/>
        </w:rPr>
      </w:r>
      <w:r>
        <w:rPr>
          <w:spacing w:val="-2"/>
        </w:rPr>
        <w:t>集、召开、表决程序，确保所有股东享有平等权利，让中小投资者充分行使自己的权利；严格执行分红政</w:t>
      </w:r>
      <w:r>
        <w:rPr>
          <w:spacing w:val="-43"/>
        </w:rPr>
        <w:t> </w:t>
      </w:r>
      <w:r>
        <w:rPr>
          <w:spacing w:val="-43"/>
        </w:rPr>
      </w:r>
      <w:r>
        <w:rPr>
          <w:spacing w:val="-2"/>
        </w:rPr>
        <w:t>策，确保股东实现投资回报。公司严格按照相关法律法规的要求，通过法定信息披露媒体真实、准确、完</w:t>
      </w:r>
      <w:r>
        <w:rPr>
          <w:spacing w:val="-43"/>
        </w:rPr>
        <w:t> </w:t>
      </w:r>
      <w:r>
        <w:rPr>
          <w:spacing w:val="-43"/>
        </w:rPr>
      </w:r>
      <w:r>
        <w:rPr>
          <w:spacing w:val="-2"/>
        </w:rPr>
        <w:t>整、及时、公平地进行信息披露，通过电话和投资者关系互动平台等多种方式与投资者进行沟通交流，提</w:t>
      </w:r>
      <w:r>
        <w:rPr>
          <w:spacing w:val="-44"/>
        </w:rPr>
        <w:t> </w:t>
      </w:r>
      <w:r>
        <w:rPr>
          <w:spacing w:val="-44"/>
        </w:rPr>
      </w:r>
      <w:r>
        <w:rPr>
          <w:spacing w:val="-2"/>
        </w:rPr>
        <w:t>高了公司的透明度和诚信度。公司财务政策稳健，与供应商及其他债权人保持长期的良好合作，保证了供</w:t>
      </w:r>
      <w:r>
        <w:rPr>
          <w:spacing w:val="-42"/>
        </w:rPr>
        <w:t> </w:t>
      </w:r>
      <w:r>
        <w:rPr>
          <w:spacing w:val="-42"/>
        </w:rPr>
      </w:r>
      <w:r>
        <w:rPr/>
        <w:t>应商及债权人的利益。</w:t>
      </w:r>
    </w:p>
    <w:p>
      <w:pPr>
        <w:pStyle w:val="BodyText"/>
        <w:spacing w:line="386" w:lineRule="auto" w:before="46"/>
        <w:ind w:left="572" w:right="0"/>
        <w:jc w:val="left"/>
      </w:pPr>
      <w:r>
        <w:rPr/>
        <w:t>（</w:t>
      </w:r>
      <w:r>
        <w:rPr>
          <w:rFonts w:ascii="Times New Roman" w:hAnsi="Times New Roman" w:cs="Times New Roman" w:eastAsia="Times New Roman" w:hint="default"/>
        </w:rPr>
        <w:t>1</w:t>
      </w:r>
      <w:r>
        <w:rPr/>
        <w:t>）职工权益保护</w:t>
      </w:r>
      <w:r>
        <w:rPr>
          <w:w w:val="100"/>
        </w:rPr>
        <w:t> </w:t>
      </w:r>
      <w:r>
        <w:rPr>
          <w:spacing w:val="-1"/>
        </w:rPr>
        <w:t>公司始终坚持</w:t>
      </w:r>
      <w:r>
        <w:rPr>
          <w:rFonts w:ascii="Times New Roman" w:hAnsi="Times New Roman" w:cs="Times New Roman" w:eastAsia="Times New Roman" w:hint="default"/>
          <w:spacing w:val="-1"/>
        </w:rPr>
        <w:t>“</w:t>
      </w:r>
      <w:r>
        <w:rPr>
          <w:spacing w:val="-1"/>
        </w:rPr>
        <w:t>以人为本</w:t>
      </w:r>
      <w:r>
        <w:rPr>
          <w:rFonts w:ascii="Times New Roman" w:hAnsi="Times New Roman" w:cs="Times New Roman" w:eastAsia="Times New Roman" w:hint="default"/>
          <w:spacing w:val="-1"/>
        </w:rPr>
        <w:t>”</w:t>
      </w:r>
      <w:r>
        <w:rPr>
          <w:spacing w:val="-1"/>
        </w:rPr>
        <w:t>理念，大力倡导</w:t>
      </w:r>
      <w:r>
        <w:rPr>
          <w:rFonts w:ascii="Times New Roman" w:hAnsi="Times New Roman" w:cs="Times New Roman" w:eastAsia="Times New Roman" w:hint="default"/>
          <w:spacing w:val="-1"/>
        </w:rPr>
        <w:t>“</w:t>
      </w:r>
      <w:r>
        <w:rPr>
          <w:spacing w:val="-1"/>
        </w:rPr>
        <w:t>关注员工成长，关怀员工健康</w:t>
      </w:r>
      <w:r>
        <w:rPr>
          <w:rFonts w:ascii="Times New Roman" w:hAnsi="Times New Roman" w:cs="Times New Roman" w:eastAsia="Times New Roman" w:hint="default"/>
          <w:spacing w:val="-1"/>
        </w:rPr>
        <w:t>”</w:t>
      </w:r>
      <w:r>
        <w:rPr>
          <w:spacing w:val="-1"/>
        </w:rPr>
        <w:t>，持续发挥工会在公司经营</w:t>
      </w:r>
    </w:p>
    <w:p>
      <w:pPr>
        <w:pStyle w:val="BodyText"/>
        <w:spacing w:line="240" w:lineRule="auto" w:before="35"/>
        <w:ind w:right="0"/>
        <w:jc w:val="both"/>
      </w:pPr>
      <w:r>
        <w:rPr/>
        <w:t>管理中的作用，通过工会切实维护职工合法权益，充分给予职工参与公司民主决策、民主管理和民主监督</w:t>
      </w:r>
    </w:p>
    <w:p>
      <w:pPr>
        <w:spacing w:after="0" w:line="240" w:lineRule="auto"/>
        <w:jc w:val="both"/>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0" w:lineRule="auto" w:before="36"/>
        <w:ind w:right="1127"/>
        <w:jc w:val="both"/>
      </w:pPr>
      <w:r>
        <w:rPr>
          <w:spacing w:val="-2"/>
        </w:rPr>
        <w:t>的权力，尊重员工，积极采纳员工合理化建议，听取职工的意见和要求，关心职工生活，帮助职工解决困</w:t>
      </w:r>
      <w:r>
        <w:rPr>
          <w:spacing w:val="-43"/>
        </w:rPr>
        <w:t> </w:t>
      </w:r>
      <w:r>
        <w:rPr>
          <w:spacing w:val="-43"/>
        </w:rPr>
      </w:r>
      <w:r>
        <w:rPr>
          <w:spacing w:val="-2"/>
        </w:rPr>
        <w:t>难。公司不断改善工作环境，为员工提供安全、环保、优美的工作环境；关心员工身心健康，定期组织员</w:t>
      </w:r>
      <w:r>
        <w:rPr>
          <w:spacing w:val="-42"/>
        </w:rPr>
        <w:t> </w:t>
      </w:r>
      <w:r>
        <w:rPr>
          <w:spacing w:val="-42"/>
        </w:rPr>
      </w:r>
      <w:r>
        <w:rPr>
          <w:spacing w:val="-2"/>
        </w:rPr>
        <w:t>工体检，为员工提供</w:t>
      </w:r>
      <w:r>
        <w:rPr>
          <w:rFonts w:ascii="Times New Roman" w:hAnsi="Times New Roman" w:cs="Times New Roman" w:eastAsia="Times New Roman" w:hint="default"/>
          <w:spacing w:val="-2"/>
        </w:rPr>
        <w:t>“</w:t>
      </w:r>
      <w:r>
        <w:rPr>
          <w:spacing w:val="-2"/>
        </w:rPr>
        <w:t>五险一金</w:t>
      </w:r>
      <w:r>
        <w:rPr>
          <w:rFonts w:ascii="Times New Roman" w:hAnsi="Times New Roman" w:cs="Times New Roman" w:eastAsia="Times New Roman" w:hint="default"/>
          <w:spacing w:val="-2"/>
        </w:rPr>
        <w:t>”</w:t>
      </w:r>
      <w:r>
        <w:rPr>
          <w:spacing w:val="-2"/>
        </w:rPr>
        <w:t>保障；不断完善人力资源管理体系与考核激励机制，打造职工职业晋升通</w:t>
      </w:r>
      <w:r>
        <w:rPr>
          <w:spacing w:val="-18"/>
        </w:rPr>
        <w:t> </w:t>
      </w:r>
      <w:r>
        <w:rPr>
          <w:spacing w:val="-18"/>
        </w:rPr>
      </w:r>
      <w:r>
        <w:rPr/>
        <w:t>道，为其提供施展才华的平台，帮助职工实现自我价值。</w:t>
      </w:r>
    </w:p>
    <w:p>
      <w:pPr>
        <w:pStyle w:val="BodyText"/>
        <w:spacing w:line="386" w:lineRule="auto" w:before="52"/>
        <w:ind w:left="572" w:right="0"/>
        <w:jc w:val="left"/>
      </w:pPr>
      <w:r>
        <w:rPr/>
        <w:t>（</w:t>
      </w:r>
      <w:r>
        <w:rPr>
          <w:rFonts w:ascii="Times New Roman" w:hAnsi="Times New Roman" w:cs="Times New Roman" w:eastAsia="Times New Roman" w:hint="default"/>
        </w:rPr>
        <w:t>2</w:t>
      </w:r>
      <w:r>
        <w:rPr/>
        <w:t>）客户和消费者权益保护</w:t>
      </w:r>
      <w:r>
        <w:rPr>
          <w:spacing w:val="-3"/>
          <w:w w:val="100"/>
        </w:rPr>
        <w:t> </w:t>
      </w:r>
      <w:r>
        <w:rPr>
          <w:spacing w:val="-2"/>
        </w:rPr>
        <w:t>公司坚持</w:t>
      </w:r>
      <w:r>
        <w:rPr>
          <w:rFonts w:ascii="Times New Roman" w:hAnsi="Times New Roman" w:cs="Times New Roman" w:eastAsia="Times New Roman" w:hint="default"/>
          <w:spacing w:val="-2"/>
        </w:rPr>
        <w:t>“</w:t>
      </w:r>
      <w:r>
        <w:rPr>
          <w:spacing w:val="-2"/>
        </w:rPr>
        <w:t>市场为先，客户至上</w:t>
      </w:r>
      <w:r>
        <w:rPr>
          <w:rFonts w:ascii="Times New Roman" w:hAnsi="Times New Roman" w:cs="Times New Roman" w:eastAsia="Times New Roman" w:hint="default"/>
          <w:spacing w:val="-2"/>
        </w:rPr>
        <w:t>”</w:t>
      </w:r>
      <w:r>
        <w:rPr>
          <w:spacing w:val="-2"/>
        </w:rPr>
        <w:t>，视产品与服务质量为生命，信守承诺，诚信经营，竭诚为客户提供</w:t>
      </w:r>
    </w:p>
    <w:p>
      <w:pPr>
        <w:pStyle w:val="BodyText"/>
        <w:spacing w:line="400" w:lineRule="auto" w:before="35"/>
        <w:ind w:right="0"/>
        <w:jc w:val="left"/>
      </w:pPr>
      <w:r>
        <w:rPr>
          <w:spacing w:val="-5"/>
        </w:rPr>
        <w:t>优质产品和及时、细致、周到的服务，定期开展客户满意度调查，跟踪考察项目实施情况，确保项目质量。</w:t>
      </w:r>
      <w:r>
        <w:rPr>
          <w:spacing w:val="-6"/>
        </w:rPr>
        <w:t> </w:t>
      </w:r>
      <w:r>
        <w:rPr>
          <w:spacing w:val="-6"/>
        </w:rPr>
      </w:r>
      <w:r>
        <w:rPr/>
        <w:t>加强员工技能培训，不断提升业务水平，坚持</w:t>
      </w:r>
      <w:r>
        <w:rPr>
          <w:rFonts w:ascii="Times New Roman" w:hAnsi="Times New Roman" w:cs="Times New Roman" w:eastAsia="Times New Roman" w:hint="default"/>
        </w:rPr>
        <w:t>“</w:t>
      </w:r>
      <w:r>
        <w:rPr/>
        <w:t>高标准、严要求</w:t>
      </w:r>
      <w:r>
        <w:rPr>
          <w:rFonts w:ascii="Times New Roman" w:hAnsi="Times New Roman" w:cs="Times New Roman" w:eastAsia="Times New Roman" w:hint="default"/>
        </w:rPr>
        <w:t>”</w:t>
      </w:r>
      <w:r>
        <w:rPr/>
        <w:t>，倡导做精品工程，引导员工精益求精、</w:t>
      </w:r>
      <w:r>
        <w:rPr>
          <w:w w:val="100"/>
        </w:rPr>
        <w:t> </w:t>
      </w:r>
      <w:r>
        <w:rPr>
          <w:spacing w:val="-2"/>
        </w:rPr>
        <w:t>追求卓越。报告期内，各业务部门多次收到客户发来的感谢信、表扬信，获得了充分的信赖与肯定，合作</w:t>
      </w:r>
      <w:r>
        <w:rPr>
          <w:spacing w:val="-43"/>
        </w:rPr>
        <w:t> </w:t>
      </w:r>
      <w:r>
        <w:rPr>
          <w:spacing w:val="-43"/>
        </w:rPr>
      </w:r>
      <w:r>
        <w:rPr/>
        <w:t>关系保持长期良好发展。</w:t>
      </w:r>
    </w:p>
    <w:p>
      <w:pPr>
        <w:pStyle w:val="BodyText"/>
        <w:spacing w:line="386" w:lineRule="auto" w:before="52"/>
        <w:ind w:left="572" w:right="0"/>
        <w:jc w:val="left"/>
      </w:pPr>
      <w:r>
        <w:rPr/>
        <w:t>（</w:t>
      </w:r>
      <w:r>
        <w:rPr>
          <w:rFonts w:ascii="Times New Roman" w:hAnsi="Times New Roman" w:cs="Times New Roman" w:eastAsia="Times New Roman" w:hint="default"/>
        </w:rPr>
        <w:t>3</w:t>
      </w:r>
      <w:r>
        <w:rPr/>
        <w:t>）履行其他社会责任</w:t>
      </w:r>
      <w:r>
        <w:rPr>
          <w:w w:val="100"/>
        </w:rPr>
        <w:t> </w:t>
      </w:r>
      <w:r>
        <w:rPr>
          <w:spacing w:val="-2"/>
        </w:rPr>
        <w:t>公司践行</w:t>
      </w:r>
      <w:r>
        <w:rPr>
          <w:rFonts w:ascii="Times New Roman" w:hAnsi="Times New Roman" w:cs="Times New Roman" w:eastAsia="Times New Roman" w:hint="default"/>
          <w:spacing w:val="-2"/>
        </w:rPr>
        <w:t>“</w:t>
      </w:r>
      <w:r>
        <w:rPr>
          <w:spacing w:val="-2"/>
        </w:rPr>
        <w:t>服务国家，回报社会</w:t>
      </w:r>
      <w:r>
        <w:rPr>
          <w:rFonts w:ascii="Times New Roman" w:hAnsi="Times New Roman" w:cs="Times New Roman" w:eastAsia="Times New Roman" w:hint="default"/>
          <w:spacing w:val="-2"/>
        </w:rPr>
        <w:t>”</w:t>
      </w:r>
      <w:r>
        <w:rPr>
          <w:spacing w:val="-2"/>
        </w:rPr>
        <w:t>，通过长期开展院地合作，带动地方企业提高经济效益，创造了较高</w:t>
      </w:r>
    </w:p>
    <w:p>
      <w:pPr>
        <w:pStyle w:val="BodyText"/>
        <w:spacing w:line="398" w:lineRule="auto" w:before="35"/>
        <w:ind w:right="1128"/>
        <w:jc w:val="both"/>
      </w:pPr>
      <w:r>
        <w:rPr>
          <w:spacing w:val="-2"/>
        </w:rPr>
        <w:t>的社会效益；积极参与中科院科教融合工作，代中国科学院大学开展计算机软件与理论等专业方向的研究</w:t>
      </w:r>
      <w:r>
        <w:rPr>
          <w:spacing w:val="-42"/>
        </w:rPr>
        <w:t> </w:t>
      </w:r>
      <w:r>
        <w:rPr>
          <w:spacing w:val="-42"/>
        </w:rPr>
      </w:r>
      <w:r>
        <w:rPr/>
        <w:t>生培养，报告期内为社会输送博士研究生</w:t>
      </w:r>
      <w:r>
        <w:rPr>
          <w:rFonts w:ascii="Times New Roman" w:hAnsi="Times New Roman" w:cs="Times New Roman" w:eastAsia="Times New Roman" w:hint="default"/>
        </w:rPr>
        <w:t>5</w:t>
      </w:r>
      <w:r>
        <w:rPr/>
        <w:t>人，硕士研究生</w:t>
      </w:r>
      <w:r>
        <w:rPr>
          <w:rFonts w:ascii="Times New Roman" w:hAnsi="Times New Roman" w:cs="Times New Roman" w:eastAsia="Times New Roman" w:hint="default"/>
        </w:rPr>
        <w:t>18</w:t>
      </w:r>
      <w:r>
        <w:rPr/>
        <w:t>人；同时还积极参与行业协会管理工作，长</w:t>
      </w:r>
      <w:r>
        <w:rPr>
          <w:spacing w:val="-26"/>
        </w:rPr>
        <w:t> </w:t>
      </w:r>
      <w:r>
        <w:rPr>
          <w:spacing w:val="-26"/>
        </w:rPr>
      </w:r>
      <w:r>
        <w:rPr>
          <w:spacing w:val="-2"/>
        </w:rPr>
        <w:t>期担任四川省计算机协会理事长单位；支撑政府相关部门的科技和产业政策咨询与研究，派出专家主持了</w:t>
      </w:r>
    </w:p>
    <w:p>
      <w:pPr>
        <w:pStyle w:val="BodyText"/>
        <w:spacing w:line="398" w:lineRule="auto" w:before="54"/>
        <w:ind w:right="1128" w:hanging="1"/>
        <w:jc w:val="both"/>
      </w:pPr>
      <w:r>
        <w:rPr>
          <w:spacing w:val="-2"/>
        </w:rPr>
        <w:t>《四川省数字经济产业技术路线图研究》，《四川省</w:t>
      </w:r>
      <w:r>
        <w:rPr>
          <w:rFonts w:ascii="Times New Roman" w:hAnsi="Times New Roman" w:cs="Times New Roman" w:eastAsia="Times New Roman" w:hint="default"/>
          <w:spacing w:val="-2"/>
        </w:rPr>
        <w:t>“</w:t>
      </w:r>
      <w:r>
        <w:rPr>
          <w:spacing w:val="-2"/>
        </w:rPr>
        <w:t>十四五</w:t>
      </w:r>
      <w:r>
        <w:rPr>
          <w:rFonts w:ascii="Times New Roman" w:hAnsi="Times New Roman" w:cs="Times New Roman" w:eastAsia="Times New Roman" w:hint="default"/>
          <w:spacing w:val="-2"/>
        </w:rPr>
        <w:t>”</w:t>
      </w:r>
      <w:r>
        <w:rPr>
          <w:spacing w:val="-2"/>
        </w:rPr>
        <w:t>及中长期电子信息领域科技发展战略研究》</w:t>
      </w:r>
      <w:r>
        <w:rPr>
          <w:spacing w:val="-17"/>
        </w:rPr>
        <w:t> </w:t>
      </w:r>
      <w:r>
        <w:rPr>
          <w:spacing w:val="-17"/>
        </w:rPr>
      </w:r>
      <w:r>
        <w:rPr>
          <w:spacing w:val="-2"/>
        </w:rPr>
        <w:t>编制，参与指导了《成都国家新一代人工智能创新发展试验区建设方案》的编制和汇报工作，推荐多名专</w:t>
      </w:r>
      <w:r>
        <w:rPr>
          <w:spacing w:val="-48"/>
        </w:rPr>
        <w:t> </w:t>
      </w:r>
      <w:r>
        <w:rPr>
          <w:spacing w:val="-48"/>
        </w:rPr>
      </w:r>
      <w:r>
        <w:rPr>
          <w:spacing w:val="-2"/>
        </w:rPr>
        <w:t>家担任国家核心科技期刊《计算机应用》杂志的编委，公司的社会影响力也进一步提升。公司积极依法纳</w:t>
      </w:r>
      <w:r>
        <w:rPr>
          <w:spacing w:val="-48"/>
        </w:rPr>
        <w:t> </w:t>
      </w:r>
      <w:r>
        <w:rPr>
          <w:spacing w:val="-48"/>
        </w:rPr>
      </w:r>
      <w:r>
        <w:rPr>
          <w:spacing w:val="-2"/>
        </w:rPr>
        <w:t>税，贯彻国家环保政策，为残疾人提供就业机会。响应国家精准扶贫号召，帮助精准扶贫对口单位</w:t>
      </w:r>
      <w:r>
        <w:rPr>
          <w:rFonts w:ascii="Times New Roman" w:hAnsi="Times New Roman" w:cs="Times New Roman" w:eastAsia="Times New Roman" w:hint="default"/>
          <w:spacing w:val="-2"/>
        </w:rPr>
        <w:t>—</w:t>
      </w:r>
      <w:r>
        <w:rPr>
          <w:spacing w:val="-2"/>
        </w:rPr>
        <w:t>四川</w:t>
      </w:r>
      <w:r>
        <w:rPr>
          <w:spacing w:val="-48"/>
        </w:rPr>
        <w:t> </w:t>
      </w:r>
      <w:r>
        <w:rPr>
          <w:spacing w:val="-2"/>
        </w:rPr>
        <w:t>省广元市利州区大石镇青岭村建档立卡的</w:t>
      </w:r>
      <w:r>
        <w:rPr>
          <w:rFonts w:ascii="Times New Roman" w:hAnsi="Times New Roman" w:cs="Times New Roman" w:eastAsia="Times New Roman" w:hint="default"/>
          <w:spacing w:val="-2"/>
        </w:rPr>
        <w:t>54</w:t>
      </w:r>
      <w:r>
        <w:rPr>
          <w:spacing w:val="-2"/>
        </w:rPr>
        <w:t>户贫困户在</w:t>
      </w:r>
      <w:r>
        <w:rPr>
          <w:rFonts w:ascii="Times New Roman" w:hAnsi="Times New Roman" w:cs="Times New Roman" w:eastAsia="Times New Roman" w:hint="default"/>
          <w:spacing w:val="-2"/>
        </w:rPr>
        <w:t>2017</w:t>
      </w:r>
      <w:r>
        <w:rPr>
          <w:spacing w:val="-2"/>
        </w:rPr>
        <w:t>年全部脱贫。持续开展精准扶贫活动，通过开</w:t>
      </w:r>
      <w:r>
        <w:rPr>
          <w:spacing w:val="-38"/>
        </w:rPr>
        <w:t> </w:t>
      </w:r>
      <w:r>
        <w:rPr>
          <w:spacing w:val="-38"/>
        </w:rPr>
      </w:r>
      <w:r>
        <w:rPr>
          <w:spacing w:val="-2"/>
        </w:rPr>
        <w:t>展稻鱼混养、小麦种植技术指导和培训等扶贫项目，引导贫困村发展优势产业，以实际行动帮助其提高收</w:t>
      </w:r>
      <w:r>
        <w:rPr>
          <w:spacing w:val="-44"/>
        </w:rPr>
        <w:t> </w:t>
      </w:r>
      <w:r>
        <w:rPr>
          <w:spacing w:val="-44"/>
        </w:rPr>
      </w:r>
      <w:r>
        <w:rPr/>
        <w:t>入。</w:t>
      </w:r>
    </w:p>
    <w:p>
      <w:pPr>
        <w:pStyle w:val="BodyText"/>
        <w:spacing w:line="386" w:lineRule="auto" w:before="54"/>
        <w:ind w:left="153" w:right="1129" w:firstLine="419"/>
        <w:jc w:val="left"/>
      </w:pPr>
      <w:r>
        <w:rPr>
          <w:spacing w:val="-2"/>
        </w:rPr>
        <w:t>本公司编制了《</w:t>
      </w:r>
      <w:r>
        <w:rPr>
          <w:rFonts w:ascii="Times New Roman" w:hAnsi="Times New Roman" w:cs="Times New Roman" w:eastAsia="Times New Roman" w:hint="default"/>
          <w:spacing w:val="-2"/>
        </w:rPr>
        <w:t>2019</w:t>
      </w:r>
      <w:r>
        <w:rPr>
          <w:spacing w:val="-2"/>
        </w:rPr>
        <w:t>年度社会责任报告》，将提交董事会议审议批准后与《</w:t>
      </w:r>
      <w:r>
        <w:rPr>
          <w:rFonts w:ascii="Times New Roman" w:hAnsi="Times New Roman" w:cs="Times New Roman" w:eastAsia="Times New Roman" w:hint="default"/>
          <w:spacing w:val="-2"/>
        </w:rPr>
        <w:t>2019</w:t>
      </w:r>
      <w:r>
        <w:rPr>
          <w:spacing w:val="-2"/>
        </w:rPr>
        <w:t>年年度报告》一并全</w:t>
      </w:r>
      <w:r>
        <w:rPr>
          <w:w w:val="100"/>
        </w:rPr>
        <w:t> </w:t>
      </w:r>
      <w:r>
        <w:rPr/>
        <w:t>文公告。</w:t>
      </w:r>
    </w:p>
    <w:p>
      <w:pPr>
        <w:spacing w:line="240" w:lineRule="auto" w:before="0"/>
        <w:rPr>
          <w:rFonts w:ascii="宋体" w:hAnsi="宋体" w:cs="宋体" w:eastAsia="宋体" w:hint="default"/>
          <w:sz w:val="22"/>
          <w:szCs w:val="22"/>
        </w:rPr>
      </w:pPr>
    </w:p>
    <w:p>
      <w:pPr>
        <w:pStyle w:val="Heading3"/>
        <w:spacing w:line="240" w:lineRule="auto"/>
        <w:ind w:left="153" w:right="0"/>
        <w:jc w:val="both"/>
        <w:rPr>
          <w:b w:val="0"/>
          <w:bCs w:val="0"/>
        </w:rPr>
      </w:pPr>
      <w:bookmarkStart w:name="2、履行精准扶贫社会责任情况" w:id="97"/>
      <w:bookmarkEnd w:id="97"/>
      <w:r>
        <w:rPr>
          <w:b w:val="0"/>
          <w:bCs w:val="0"/>
        </w:rPr>
      </w:r>
      <w:r>
        <w:rPr>
          <w:rFonts w:ascii="Times New Roman" w:hAnsi="Times New Roman" w:cs="Times New Roman" w:eastAsia="Times New Roman" w:hint="default"/>
        </w:rPr>
        <w:t>2</w:t>
      </w:r>
      <w:r>
        <w:rPr/>
        <w:t>、履行精准扶贫社会责任情况</w:t>
      </w:r>
      <w:r>
        <w:rPr>
          <w:b w:val="0"/>
          <w:bCs w:val="0"/>
        </w:rPr>
      </w:r>
    </w:p>
    <w:p>
      <w:pPr>
        <w:pStyle w:val="BodyText"/>
        <w:spacing w:line="692" w:lineRule="exact" w:before="12"/>
        <w:ind w:left="572" w:right="0" w:hanging="420"/>
        <w:jc w:val="left"/>
      </w:pPr>
      <w:bookmarkStart w:name="（1）精准扶贫规划" w:id="98"/>
      <w:bookmarkEnd w:id="98"/>
      <w:r>
        <w:rPr/>
      </w: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）精准扶贫规划</w:t>
      </w:r>
      <w:r>
        <w:rPr>
          <w:rFonts w:ascii="宋体" w:hAnsi="宋体" w:cs="宋体" w:eastAsia="宋体" w:hint="default"/>
          <w:b/>
          <w:bCs/>
          <w:spacing w:val="-104"/>
        </w:rPr>
        <w:t> </w:t>
      </w:r>
      <w:r>
        <w:rPr>
          <w:spacing w:val="-2"/>
        </w:rPr>
        <w:t>报告期内，公司进一步强化精准扶贫工作责任意识，继续按照国家扶贫战略部署，根据四川省扶贫办</w:t>
      </w:r>
      <w:r>
        <w:rPr/>
      </w:r>
    </w:p>
    <w:p>
      <w:pPr>
        <w:pStyle w:val="BodyText"/>
        <w:spacing w:line="240" w:lineRule="auto" w:before="84"/>
        <w:ind w:right="0"/>
        <w:jc w:val="both"/>
      </w:pPr>
      <w:r>
        <w:rPr/>
        <w:t>和成都分院扶贫工作领导小组的要求，结合青岭村帮扶需要，全身心投入，认真扎实地推进，重点开展了</w:t>
      </w:r>
    </w:p>
    <w:p>
      <w:pPr>
        <w:spacing w:after="0" w:line="240" w:lineRule="auto"/>
        <w:jc w:val="both"/>
        <w:sectPr>
          <w:pgSz w:w="11910" w:h="16840"/>
          <w:pgMar w:header="880" w:footer="977" w:top="1100" w:bottom="1160" w:left="980" w:right="0"/>
        </w:sectPr>
      </w:pPr>
    </w:p>
    <w:p>
      <w:pPr>
        <w:spacing w:line="240" w:lineRule="auto" w:before="12"/>
        <w:rPr>
          <w:rFonts w:ascii="宋体" w:hAnsi="宋体" w:cs="宋体" w:eastAsia="宋体" w:hint="default"/>
          <w:sz w:val="26"/>
          <w:szCs w:val="26"/>
        </w:rPr>
      </w:pPr>
    </w:p>
    <w:p>
      <w:pPr>
        <w:pStyle w:val="BodyText"/>
        <w:spacing w:line="240" w:lineRule="auto" w:before="36"/>
        <w:ind w:right="0"/>
        <w:jc w:val="left"/>
      </w:pPr>
      <w:r>
        <w:rPr/>
        <w:t>以下工作：</w:t>
      </w:r>
    </w:p>
    <w:p>
      <w:pPr>
        <w:spacing w:line="240" w:lineRule="auto" w:before="9"/>
        <w:rPr>
          <w:rFonts w:ascii="宋体" w:hAnsi="宋体" w:cs="宋体" w:eastAsia="宋体" w:hint="default"/>
          <w:sz w:val="17"/>
          <w:szCs w:val="17"/>
        </w:rPr>
      </w:pPr>
    </w:p>
    <w:p>
      <w:pPr>
        <w:pStyle w:val="BodyText"/>
        <w:spacing w:line="398" w:lineRule="auto"/>
        <w:ind w:right="1131" w:firstLine="420"/>
        <w:jc w:val="both"/>
      </w:pPr>
      <w:r>
        <w:rPr>
          <w:rFonts w:ascii="Times New Roman" w:hAnsi="Times New Roman" w:cs="Times New Roman" w:eastAsia="Times New Roman" w:hint="default"/>
          <w:spacing w:val="-2"/>
        </w:rPr>
        <w:t>1.</w:t>
      </w:r>
      <w:r>
        <w:rPr>
          <w:spacing w:val="-2"/>
        </w:rPr>
        <w:t>加强组织协调，落实乡村振兴战略。积极参与协调青岭村乡村振兴战略示范村建设工作，持续开展</w:t>
      </w:r>
      <w:r>
        <w:rPr>
          <w:w w:val="100"/>
        </w:rPr>
        <w:t> </w:t>
      </w:r>
      <w:r>
        <w:rPr>
          <w:spacing w:val="-2"/>
        </w:rPr>
        <w:t>稻鱼混养、小麦种植技术指导和培训，协助村民开展民宿、农家乐等乡村旅游建设，协调开展厨师培训工</w:t>
      </w:r>
      <w:r>
        <w:rPr>
          <w:spacing w:val="-50"/>
        </w:rPr>
        <w:t> </w:t>
      </w:r>
      <w:r>
        <w:rPr>
          <w:spacing w:val="-50"/>
        </w:rPr>
      </w:r>
      <w:r>
        <w:rPr/>
        <w:t>作。</w:t>
      </w:r>
    </w:p>
    <w:p>
      <w:pPr>
        <w:pStyle w:val="BodyText"/>
        <w:spacing w:line="388" w:lineRule="auto" w:before="90"/>
        <w:ind w:right="0" w:firstLine="420"/>
        <w:jc w:val="left"/>
      </w:pPr>
      <w:r>
        <w:rPr>
          <w:rFonts w:ascii="Times New Roman" w:hAnsi="Times New Roman" w:cs="Times New Roman" w:eastAsia="Times New Roman" w:hint="default"/>
          <w:spacing w:val="-2"/>
        </w:rPr>
        <w:t>2.</w:t>
      </w:r>
      <w:r>
        <w:rPr>
          <w:spacing w:val="-2"/>
        </w:rPr>
        <w:t>开展党支部共建，发挥党支部战斗堡垒作用。计划与村党支部开展共建活动，支部成员与村</w:t>
      </w:r>
      <w:r>
        <w:rPr>
          <w:rFonts w:ascii="Times New Roman" w:hAnsi="Times New Roman" w:cs="Times New Roman" w:eastAsia="Times New Roman" w:hint="default"/>
          <w:spacing w:val="-2"/>
        </w:rPr>
        <w:t>29</w:t>
      </w:r>
      <w:r>
        <w:rPr>
          <w:spacing w:val="-2"/>
        </w:rPr>
        <w:t>户贫</w:t>
      </w:r>
      <w:r>
        <w:rPr>
          <w:w w:val="100"/>
        </w:rPr>
        <w:t> </w:t>
      </w:r>
      <w:r>
        <w:rPr/>
        <w:t>困户结对帮扶，开展活动，切实为贫困户解困，提升其生产、生活水平，共同奔小康。</w:t>
      </w:r>
    </w:p>
    <w:p>
      <w:pPr>
        <w:pStyle w:val="BodyText"/>
        <w:spacing w:line="388" w:lineRule="auto" w:before="101"/>
        <w:ind w:right="0" w:firstLine="420"/>
        <w:jc w:val="left"/>
      </w:pPr>
      <w:r>
        <w:rPr>
          <w:rFonts w:ascii="Times New Roman" w:hAnsi="Times New Roman" w:cs="Times New Roman" w:eastAsia="Times New Roman" w:hint="default"/>
          <w:spacing w:val="-2"/>
        </w:rPr>
        <w:t>3.</w:t>
      </w:r>
      <w:r>
        <w:rPr>
          <w:spacing w:val="-2"/>
        </w:rPr>
        <w:t>加强文化下乡，走访慰问活动。策划组织文化联谊活动，把先进文化送到青岭村民心中。公司领导</w:t>
      </w:r>
      <w:r>
        <w:rPr>
          <w:w w:val="100"/>
        </w:rPr>
        <w:t> </w:t>
      </w:r>
      <w:r>
        <w:rPr/>
        <w:t>和驻村帮扶干部坚持勤下乡、勤走访、勤慰问，多了解情况，多帮扶困难，确保扶贫工作务实高效。</w:t>
      </w:r>
    </w:p>
    <w:p>
      <w:pPr>
        <w:spacing w:line="240" w:lineRule="auto" w:before="9"/>
        <w:rPr>
          <w:rFonts w:ascii="宋体" w:hAnsi="宋体" w:cs="宋体" w:eastAsia="宋体" w:hint="default"/>
          <w:sz w:val="21"/>
          <w:szCs w:val="21"/>
        </w:rPr>
      </w:pPr>
    </w:p>
    <w:p>
      <w:pPr>
        <w:pStyle w:val="Heading3"/>
        <w:spacing w:line="240" w:lineRule="auto"/>
        <w:ind w:right="0"/>
        <w:jc w:val="left"/>
        <w:rPr>
          <w:b w:val="0"/>
          <w:bCs w:val="0"/>
        </w:rPr>
      </w:pPr>
      <w:bookmarkStart w:name="（2）年度精准扶贫概要" w:id="99"/>
      <w:bookmarkEnd w:id="99"/>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8"/>
        <w:rPr>
          <w:rFonts w:ascii="宋体" w:hAnsi="宋体" w:cs="宋体" w:eastAsia="宋体" w:hint="default"/>
          <w:b/>
          <w:bCs/>
          <w:sz w:val="30"/>
          <w:szCs w:val="30"/>
        </w:rPr>
      </w:pPr>
    </w:p>
    <w:p>
      <w:pPr>
        <w:pStyle w:val="BodyText"/>
        <w:spacing w:line="391" w:lineRule="auto"/>
        <w:ind w:right="0" w:firstLine="420"/>
        <w:jc w:val="left"/>
      </w:pPr>
      <w:r>
        <w:rPr>
          <w:spacing w:val="-3"/>
        </w:rPr>
        <w:t>报告期内，公司通过帮助、指导青岭村发展高效农业、绿色稻麦及稻鱼混养等生态特色产业，实现稻</w:t>
      </w:r>
      <w:r>
        <w:rPr>
          <w:spacing w:val="-3"/>
          <w:w w:val="100"/>
        </w:rPr>
        <w:t> </w:t>
      </w:r>
      <w:r>
        <w:rPr>
          <w:spacing w:val="-2"/>
        </w:rPr>
        <w:t>鱼共生种植基地面积</w:t>
      </w:r>
      <w:r>
        <w:rPr>
          <w:rFonts w:ascii="Times New Roman" w:hAnsi="Times New Roman" w:cs="Times New Roman" w:eastAsia="Times New Roman" w:hint="default"/>
          <w:spacing w:val="-2"/>
        </w:rPr>
        <w:t>640</w:t>
      </w:r>
      <w:r>
        <w:rPr>
          <w:spacing w:val="-2"/>
        </w:rPr>
        <w:t>亩、果蔬基地</w:t>
      </w:r>
      <w:r>
        <w:rPr>
          <w:rFonts w:ascii="Times New Roman" w:hAnsi="Times New Roman" w:cs="Times New Roman" w:eastAsia="Times New Roman" w:hint="default"/>
          <w:spacing w:val="-2"/>
        </w:rPr>
        <w:t>240</w:t>
      </w:r>
      <w:r>
        <w:rPr>
          <w:spacing w:val="-2"/>
        </w:rPr>
        <w:t>亩。为带动乡村旅游、产业增收，组织实施旅游扶贫示范村、环</w:t>
      </w:r>
      <w:r>
        <w:rPr>
          <w:spacing w:val="-41"/>
        </w:rPr>
        <w:t> </w:t>
      </w:r>
      <w:r>
        <w:rPr>
          <w:spacing w:val="-41"/>
        </w:rPr>
      </w:r>
      <w:r>
        <w:rPr/>
        <w:t>境优美示范村等项目，帮助</w:t>
      </w:r>
      <w:r>
        <w:rPr>
          <w:rFonts w:ascii="Times New Roman" w:hAnsi="Times New Roman" w:cs="Times New Roman" w:eastAsia="Times New Roman" w:hint="default"/>
        </w:rPr>
        <w:t>1</w:t>
      </w:r>
      <w:r>
        <w:rPr/>
        <w:t>户村民开展民宿旅游项目，效益明显。针对稻鱼混养、种植技术、旅游示范</w:t>
      </w:r>
      <w:r>
        <w:rPr>
          <w:spacing w:val="-3"/>
          <w:w w:val="100"/>
        </w:rPr>
        <w:t> </w:t>
      </w:r>
      <w:r>
        <w:rPr/>
        <w:t>村等项目开展农业科技培训，受训人员</w:t>
      </w:r>
      <w:r>
        <w:rPr>
          <w:rFonts w:ascii="Times New Roman" w:hAnsi="Times New Roman" w:cs="Times New Roman" w:eastAsia="Times New Roman" w:hint="default"/>
        </w:rPr>
        <w:t>300</w:t>
      </w:r>
      <w:r>
        <w:rPr/>
        <w:t>余人次。同时公司还坚持开展党支部结对共建活动，以党建促</w:t>
      </w:r>
      <w:r>
        <w:rPr>
          <w:spacing w:val="-3"/>
          <w:w w:val="100"/>
        </w:rPr>
        <w:t> </w:t>
      </w:r>
      <w:r>
        <w:rPr>
          <w:spacing w:val="-2"/>
        </w:rPr>
        <w:t>扶贫，为村民排忧解难；开展走访慰问活动，完成春节走访慰问贫困户</w:t>
      </w:r>
      <w:r>
        <w:rPr>
          <w:rFonts w:ascii="Times New Roman" w:hAnsi="Times New Roman" w:cs="Times New Roman" w:eastAsia="Times New Roman" w:hint="default"/>
          <w:spacing w:val="-2"/>
        </w:rPr>
        <w:t>54</w:t>
      </w:r>
      <w:r>
        <w:rPr>
          <w:spacing w:val="-2"/>
        </w:rPr>
        <w:t>户；完成与利州区体育局、旅游</w:t>
      </w:r>
      <w:r>
        <w:rPr>
          <w:spacing w:val="-41"/>
        </w:rPr>
        <w:t> </w:t>
      </w:r>
      <w:r>
        <w:rPr>
          <w:spacing w:val="-41"/>
        </w:rPr>
      </w:r>
      <w:r>
        <w:rPr>
          <w:spacing w:val="-2"/>
        </w:rPr>
        <w:t>局、青岭村委会联合开展的送文化下乡活动，丰富了青岭村村民的物质文化生活。投入扶贫资金物资、以</w:t>
      </w:r>
      <w:r>
        <w:rPr>
          <w:spacing w:val="-47"/>
        </w:rPr>
        <w:t> </w:t>
      </w:r>
      <w:r>
        <w:rPr>
          <w:spacing w:val="-47"/>
        </w:rPr>
      </w:r>
      <w:r>
        <w:rPr>
          <w:spacing w:val="-2"/>
        </w:rPr>
        <w:t>培代扶合作项目、消费扶贫经费等共计</w:t>
      </w:r>
      <w:r>
        <w:rPr>
          <w:rFonts w:ascii="Times New Roman" w:hAnsi="Times New Roman" w:cs="Times New Roman" w:eastAsia="Times New Roman" w:hint="default"/>
          <w:spacing w:val="-2"/>
        </w:rPr>
        <w:t>20</w:t>
      </w:r>
      <w:r>
        <w:rPr>
          <w:spacing w:val="-2"/>
        </w:rPr>
        <w:t>余万元。通过公司开展的精准扶贫工作，</w:t>
      </w:r>
      <w:r>
        <w:rPr>
          <w:rFonts w:ascii="Times New Roman" w:hAnsi="Times New Roman" w:cs="Times New Roman" w:eastAsia="Times New Roman" w:hint="default"/>
          <w:spacing w:val="-2"/>
        </w:rPr>
        <w:t>2019</w:t>
      </w:r>
      <w:r>
        <w:rPr>
          <w:spacing w:val="-2"/>
        </w:rPr>
        <w:t>年全村实现人均收</w:t>
      </w:r>
      <w:r>
        <w:rPr>
          <w:spacing w:val="-41"/>
        </w:rPr>
        <w:t> </w:t>
      </w:r>
      <w:r>
        <w:rPr>
          <w:spacing w:val="-41"/>
        </w:rPr>
      </w:r>
      <w:r>
        <w:rPr>
          <w:spacing w:val="-4"/>
        </w:rPr>
        <w:t>入</w:t>
      </w:r>
      <w:r>
        <w:rPr>
          <w:rFonts w:ascii="Times New Roman" w:hAnsi="Times New Roman" w:cs="Times New Roman" w:eastAsia="Times New Roman" w:hint="default"/>
          <w:spacing w:val="-4"/>
        </w:rPr>
        <w:t>13460</w:t>
      </w:r>
      <w:r>
        <w:rPr>
          <w:spacing w:val="-4"/>
        </w:rPr>
        <w:t>元，贫困户人均收入</w:t>
      </w:r>
      <w:r>
        <w:rPr>
          <w:rFonts w:ascii="Times New Roman" w:hAnsi="Times New Roman" w:cs="Times New Roman" w:eastAsia="Times New Roman" w:hint="default"/>
          <w:spacing w:val="-4"/>
        </w:rPr>
        <w:t>8670</w:t>
      </w:r>
      <w:r>
        <w:rPr>
          <w:spacing w:val="-4"/>
        </w:rPr>
        <w:t>元。公司被四川省上市公司协会表彰为</w:t>
      </w:r>
      <w:r>
        <w:rPr>
          <w:rFonts w:ascii="Times New Roman" w:hAnsi="Times New Roman" w:cs="Times New Roman" w:eastAsia="Times New Roman" w:hint="default"/>
          <w:spacing w:val="-4"/>
        </w:rPr>
        <w:t>“</w:t>
      </w:r>
      <w:r>
        <w:rPr>
          <w:spacing w:val="-4"/>
        </w:rPr>
        <w:t>扶贫先进单位</w:t>
      </w:r>
      <w:r>
        <w:rPr>
          <w:rFonts w:ascii="Times New Roman" w:hAnsi="Times New Roman" w:cs="Times New Roman" w:eastAsia="Times New Roman" w:hint="default"/>
          <w:spacing w:val="-4"/>
        </w:rPr>
        <w:t>”</w:t>
      </w:r>
      <w:r>
        <w:rPr>
          <w:spacing w:val="-4"/>
        </w:rPr>
        <w:t>，派出的扶贫干部</w:t>
      </w:r>
      <w:r>
        <w:rPr>
          <w:spacing w:val="-21"/>
        </w:rPr>
        <w:t> </w:t>
      </w:r>
      <w:r>
        <w:rPr>
          <w:spacing w:val="-21"/>
        </w:rPr>
      </w:r>
      <w:r>
        <w:rPr/>
        <w:t>被中共广元市利州区委组织部表彰为</w:t>
      </w:r>
      <w:r>
        <w:rPr>
          <w:rFonts w:ascii="Times New Roman" w:hAnsi="Times New Roman" w:cs="Times New Roman" w:eastAsia="Times New Roman" w:hint="default"/>
        </w:rPr>
        <w:t>“</w:t>
      </w:r>
      <w:r>
        <w:rPr/>
        <w:t>优秀</w:t>
      </w:r>
      <w:r>
        <w:rPr>
          <w:rFonts w:ascii="Times New Roman" w:hAnsi="Times New Roman" w:cs="Times New Roman" w:eastAsia="Times New Roman" w:hint="default"/>
        </w:rPr>
        <w:t>”</w:t>
      </w:r>
      <w:r>
        <w:rPr/>
        <w:t>等次驻村工作队队员。</w:t>
      </w:r>
    </w:p>
    <w:p>
      <w:pPr>
        <w:spacing w:line="240" w:lineRule="auto" w:before="5"/>
        <w:rPr>
          <w:rFonts w:ascii="宋体" w:hAnsi="宋体" w:cs="宋体" w:eastAsia="宋体" w:hint="default"/>
          <w:sz w:val="19"/>
          <w:szCs w:val="19"/>
        </w:rPr>
      </w:pPr>
    </w:p>
    <w:p>
      <w:pPr>
        <w:pStyle w:val="Heading3"/>
        <w:spacing w:line="240" w:lineRule="auto"/>
        <w:ind w:right="0"/>
        <w:jc w:val="left"/>
        <w:rPr>
          <w:b w:val="0"/>
          <w:bCs w:val="0"/>
        </w:rPr>
      </w:pPr>
      <w:bookmarkStart w:name="（3）精准扶贫成效" w:id="100"/>
      <w:bookmarkEnd w:id="100"/>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624"/>
        <w:gridCol w:w="1553"/>
        <w:gridCol w:w="4392"/>
      </w:tblGrid>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物资折款</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7.7</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z w:val="18"/>
                <w:szCs w:val="18"/>
              </w:rPr>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产业发展脱贫项目类型</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农林产业扶贫</w:t>
            </w:r>
            <w:r>
              <w:rPr>
                <w:rFonts w:ascii="Times New Roman" w:hAnsi="Times New Roman" w:cs="Times New Roman" w:eastAsia="Times New Roman" w:hint="default"/>
                <w:sz w:val="18"/>
                <w:szCs w:val="18"/>
              </w:rPr>
              <w:t>;</w:t>
            </w:r>
            <w:r>
              <w:rPr>
                <w:rFonts w:ascii="宋体" w:hAnsi="宋体" w:cs="宋体" w:eastAsia="宋体" w:hint="default"/>
                <w:sz w:val="18"/>
                <w:szCs w:val="18"/>
              </w:rPr>
              <w:t>科技扶贫</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产业发展脱贫项目个数</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产业发展脱贫项目投入金额</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10.14</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帮助建档立卡贫困人口脱贫数</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624"/>
        <w:gridCol w:w="1553"/>
        <w:gridCol w:w="4392"/>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z w:val="18"/>
                <w:szCs w:val="18"/>
              </w:rPr>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职业技能培训投入金额</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0.43</w:t>
            </w:r>
            <w:r>
              <w:rPr>
                <w:rFonts w:ascii="Times New Roman"/>
                <w:sz w:val="18"/>
              </w:rPr>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职业技能培训人数</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人次</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200</w:t>
            </w:r>
          </w:p>
        </w:tc>
      </w:tr>
      <w:tr>
        <w:trPr>
          <w:trHeight w:val="719" w:hRule="exact"/>
        </w:trPr>
        <w:tc>
          <w:tcPr>
            <w:tcW w:w="3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2"/>
              <w:ind w:left="24" w:right="7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帮助建档立卡贫困户实现就业 人数</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3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8"/>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8"/>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7" w:hRule="exact"/>
        </w:trPr>
        <w:tc>
          <w:tcPr>
            <w:tcW w:w="3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4"/>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719" w:hRule="exact"/>
        </w:trPr>
        <w:tc>
          <w:tcPr>
            <w:tcW w:w="3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6"/>
              <w:ind w:left="24" w:right="7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改善贫困地区教育资源投入金 额</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w:t>
            </w:r>
            <w:r>
              <w:rPr>
                <w:rFonts w:ascii="Times New Roman"/>
                <w:sz w:val="18"/>
              </w:rPr>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4"/>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4"/>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定点扶贫工作投入金额</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2.72</w:t>
            </w:r>
            <w:r>
              <w:rPr>
                <w:rFonts w:ascii="Times New Roman"/>
                <w:sz w:val="18"/>
              </w:rPr>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Times New Roman" w:hAnsi="Times New Roman" w:cs="Times New Roman" w:eastAsia="Times New Roman" w:hint="default"/>
                <w:sz w:val="18"/>
                <w:szCs w:val="18"/>
              </w:rPr>
              <w:t>9.1.</w:t>
            </w:r>
            <w:r>
              <w:rPr>
                <w:rFonts w:ascii="宋体" w:hAnsi="宋体" w:cs="宋体" w:eastAsia="宋体" w:hint="default"/>
                <w:sz w:val="18"/>
                <w:szCs w:val="18"/>
              </w:rPr>
              <w:t>项目个数</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9.2.</w:t>
            </w:r>
            <w:r>
              <w:rPr>
                <w:rFonts w:ascii="宋体" w:hAnsi="宋体" w:cs="宋体" w:eastAsia="宋体" w:hint="default"/>
                <w:sz w:val="18"/>
                <w:szCs w:val="18"/>
              </w:rPr>
              <w:t>投入金额</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7.41</w:t>
            </w:r>
            <w:r>
              <w:rPr>
                <w:rFonts w:ascii="Times New Roman"/>
                <w:sz w:val="18"/>
              </w:rPr>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9.3.</w:t>
            </w:r>
            <w:r>
              <w:rPr>
                <w:rFonts w:ascii="宋体" w:hAnsi="宋体" w:cs="宋体" w:eastAsia="宋体" w:hint="default"/>
                <w:sz w:val="18"/>
                <w:szCs w:val="18"/>
              </w:rPr>
              <w:t>帮助建档立卡贫困人口脱贫数</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715" w:hRule="exact"/>
        </w:trPr>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四川省上市公司协会人授予的</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度扶贫先进单位</w:t>
            </w:r>
            <w:r>
              <w:rPr>
                <w:rFonts w:ascii="Times New Roman" w:hAnsi="Times New Roman" w:cs="Times New Roman" w:eastAsia="Times New Roman" w:hint="default"/>
                <w:sz w:val="18"/>
                <w:szCs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w:t>
            </w:r>
          </w:p>
        </w:tc>
      </w:tr>
      <w:tr>
        <w:trPr>
          <w:trHeight w:val="715" w:hRule="exact"/>
        </w:trPr>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1"/>
              <w:jc w:val="left"/>
              <w:rPr>
                <w:rFonts w:ascii="宋体" w:hAnsi="宋体" w:cs="宋体" w:eastAsia="宋体" w:hint="default"/>
                <w:sz w:val="18"/>
                <w:szCs w:val="18"/>
              </w:rPr>
            </w:pPr>
            <w:r>
              <w:rPr>
                <w:rFonts w:ascii="宋体" w:hAnsi="宋体" w:cs="宋体" w:eastAsia="宋体" w:hint="default"/>
                <w:sz w:val="18"/>
                <w:szCs w:val="18"/>
              </w:rPr>
              <w:t>中共广元市利州区委组织部表彰</w:t>
            </w:r>
            <w:r>
              <w:rPr>
                <w:rFonts w:ascii="Times New Roman" w:hAnsi="Times New Roman" w:cs="Times New Roman" w:eastAsia="Times New Roman" w:hint="default"/>
                <w:sz w:val="18"/>
                <w:szCs w:val="18"/>
              </w:rPr>
              <w:t>“</w:t>
            </w:r>
            <w:r>
              <w:rPr>
                <w:rFonts w:ascii="宋体" w:hAnsi="宋体" w:cs="宋体" w:eastAsia="宋体" w:hint="default"/>
                <w:sz w:val="18"/>
                <w:szCs w:val="18"/>
              </w:rPr>
              <w:t>优秀</w:t>
            </w:r>
            <w:r>
              <w:rPr>
                <w:rFonts w:ascii="Times New Roman" w:hAnsi="Times New Roman" w:cs="Times New Roman" w:eastAsia="Times New Roman" w:hint="default"/>
                <w:sz w:val="18"/>
                <w:szCs w:val="18"/>
              </w:rPr>
              <w:t>”</w:t>
            </w:r>
            <w:r>
              <w:rPr>
                <w:rFonts w:ascii="宋体" w:hAnsi="宋体" w:cs="宋体" w:eastAsia="宋体" w:hint="default"/>
                <w:sz w:val="18"/>
                <w:szCs w:val="18"/>
              </w:rPr>
              <w:t>等次 驻村工作队队员</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4）后续精准扶贫计划" w:id="101"/>
      <w:bookmarkEnd w:id="101"/>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5"/>
        <w:rPr>
          <w:rFonts w:ascii="宋体" w:hAnsi="宋体" w:cs="宋体" w:eastAsia="宋体" w:hint="default"/>
          <w:b/>
          <w:bCs/>
          <w:sz w:val="30"/>
          <w:szCs w:val="30"/>
        </w:rPr>
      </w:pPr>
    </w:p>
    <w:p>
      <w:pPr>
        <w:pStyle w:val="BodyText"/>
        <w:spacing w:line="400" w:lineRule="auto"/>
        <w:ind w:right="1106" w:firstLine="420"/>
        <w:jc w:val="both"/>
      </w:pPr>
      <w:r>
        <w:rPr>
          <w:rFonts w:ascii="Times New Roman" w:hAnsi="Times New Roman" w:cs="Times New Roman" w:eastAsia="Times New Roman" w:hint="default"/>
          <w:spacing w:val="-2"/>
        </w:rPr>
        <w:t>2020</w:t>
      </w:r>
      <w:r>
        <w:rPr>
          <w:spacing w:val="-2"/>
        </w:rPr>
        <w:t>年，公司继续将坚持以习近平新时代中国特色社会主义思想为指导，深入学习宣传贯彻党的十九</w:t>
      </w:r>
      <w:r>
        <w:rPr>
          <w:w w:val="100"/>
        </w:rPr>
        <w:t> </w:t>
      </w:r>
      <w:r>
        <w:rPr>
          <w:spacing w:val="-2"/>
        </w:rPr>
        <w:t>届四中全会精神，认真落实党中央和四川省委、院党组关于扶贫攻坚工作精神，进一步提高思想认识，按</w:t>
      </w:r>
      <w:r>
        <w:rPr>
          <w:spacing w:val="-47"/>
        </w:rPr>
        <w:t> </w:t>
      </w:r>
      <w:r>
        <w:rPr>
          <w:spacing w:val="-47"/>
        </w:rPr>
      </w:r>
      <w:r>
        <w:rPr>
          <w:spacing w:val="-2"/>
        </w:rPr>
        <w:t>照四川省扶贫办和成都分院扶贫工作领导小组的要求，结合青岭村帮扶需要，认真扎实地开展扶贫工作，</w:t>
      </w:r>
      <w:r>
        <w:rPr>
          <w:spacing w:val="-21"/>
        </w:rPr>
        <w:t> </w:t>
      </w:r>
      <w:r>
        <w:rPr>
          <w:spacing w:val="-21"/>
        </w:rPr>
      </w:r>
      <w:r>
        <w:rPr/>
        <w:t>计划做好以下工作：</w:t>
      </w:r>
    </w:p>
    <w:p>
      <w:pPr>
        <w:pStyle w:val="BodyText"/>
        <w:spacing w:line="398" w:lineRule="auto" w:before="91"/>
        <w:ind w:right="1128" w:firstLine="419"/>
        <w:jc w:val="both"/>
      </w:pPr>
      <w:r>
        <w:rPr>
          <w:rFonts w:ascii="Times New Roman" w:hAnsi="Times New Roman" w:cs="Times New Roman" w:eastAsia="Times New Roman" w:hint="default"/>
          <w:spacing w:val="-2"/>
        </w:rPr>
        <w:t>1.</w:t>
      </w:r>
      <w:r>
        <w:rPr>
          <w:spacing w:val="-2"/>
        </w:rPr>
        <w:t>加强组织协调，落实乡村振兴战略。积极参与协调青岭村乡村振兴战略示范村建设工作，持续开展</w:t>
      </w:r>
      <w:r>
        <w:rPr>
          <w:w w:val="100"/>
        </w:rPr>
        <w:t> </w:t>
      </w:r>
      <w:r>
        <w:rPr>
          <w:spacing w:val="-2"/>
        </w:rPr>
        <w:t>稻鱼混养、小麦西瓜桃子李子高产高效种植技术指导和培训；为村民购买果树苗，发展产业经济；协助村</w:t>
      </w:r>
      <w:r>
        <w:rPr>
          <w:spacing w:val="-47"/>
        </w:rPr>
        <w:t> </w:t>
      </w:r>
      <w:r>
        <w:rPr>
          <w:spacing w:val="-47"/>
        </w:rPr>
      </w:r>
      <w:r>
        <w:rPr/>
        <w:t>民开展民宿、农家乐等乡村旅游建设项目建设；继续开展厨师培训工作。</w:t>
      </w:r>
    </w:p>
    <w:p>
      <w:pPr>
        <w:pStyle w:val="BodyText"/>
        <w:spacing w:line="240" w:lineRule="auto" w:before="93"/>
        <w:ind w:left="572" w:right="0"/>
        <w:jc w:val="left"/>
      </w:pPr>
      <w:r>
        <w:rPr>
          <w:rFonts w:ascii="Times New Roman" w:hAnsi="Times New Roman" w:cs="Times New Roman" w:eastAsia="Times New Roman" w:hint="default"/>
        </w:rPr>
        <w:t>2.</w:t>
      </w:r>
      <w:r>
        <w:rPr/>
        <w:t>运用信息技术，进行科技扶贫。继续做好利州区信息综合应用平台项目建设任务。</w:t>
      </w:r>
    </w:p>
    <w:p>
      <w:pPr>
        <w:spacing w:after="0" w:line="240" w:lineRule="auto"/>
        <w:jc w:val="left"/>
        <w:sectPr>
          <w:pgSz w:w="11910" w:h="16840"/>
          <w:pgMar w:header="880" w:footer="977" w:top="1100" w:bottom="1160" w:left="980" w:right="0"/>
        </w:sectPr>
      </w:pPr>
    </w:p>
    <w:p>
      <w:pPr>
        <w:spacing w:line="240" w:lineRule="auto" w:before="12"/>
        <w:rPr>
          <w:rFonts w:ascii="宋体" w:hAnsi="宋体" w:cs="宋体" w:eastAsia="宋体" w:hint="default"/>
          <w:sz w:val="26"/>
          <w:szCs w:val="26"/>
        </w:rPr>
      </w:pPr>
    </w:p>
    <w:p>
      <w:pPr>
        <w:pStyle w:val="BodyText"/>
        <w:spacing w:line="240" w:lineRule="auto" w:before="36"/>
        <w:ind w:left="572" w:right="0"/>
        <w:jc w:val="left"/>
      </w:pPr>
      <w:r>
        <w:rPr>
          <w:rFonts w:ascii="Times New Roman" w:hAnsi="Times New Roman" w:cs="Times New Roman" w:eastAsia="Times New Roman" w:hint="default"/>
        </w:rPr>
        <w:t>3.</w:t>
      </w:r>
      <w:r>
        <w:rPr/>
        <w:t>以购代扶，积极购买扶贫产品，进一步提高扶贫村的自主造血能力，促进村民致富奔小康。</w:t>
      </w:r>
    </w:p>
    <w:p>
      <w:pPr>
        <w:spacing w:line="240" w:lineRule="auto" w:before="6"/>
        <w:rPr>
          <w:rFonts w:ascii="宋体" w:hAnsi="宋体" w:cs="宋体" w:eastAsia="宋体" w:hint="default"/>
          <w:sz w:val="16"/>
          <w:szCs w:val="16"/>
        </w:rPr>
      </w:pPr>
    </w:p>
    <w:p>
      <w:pPr>
        <w:pStyle w:val="BodyText"/>
        <w:spacing w:line="398" w:lineRule="auto"/>
        <w:ind w:right="1128" w:firstLine="420"/>
        <w:jc w:val="both"/>
      </w:pPr>
      <w:r>
        <w:rPr>
          <w:rFonts w:ascii="Times New Roman" w:hAnsi="Times New Roman" w:cs="Times New Roman" w:eastAsia="Times New Roman" w:hint="default"/>
          <w:spacing w:val="-2"/>
        </w:rPr>
        <w:t>4.</w:t>
      </w:r>
      <w:r>
        <w:rPr>
          <w:spacing w:val="-2"/>
        </w:rPr>
        <w:t>继续开展党支部结对共建活动。以共抓基层党建、共同服务群众、共建美丽乡村为重点，全面加强</w:t>
      </w:r>
      <w:r>
        <w:rPr>
          <w:w w:val="100"/>
        </w:rPr>
        <w:t> </w:t>
      </w:r>
      <w:r>
        <w:rPr>
          <w:spacing w:val="-2"/>
        </w:rPr>
        <w:t>基层党组织建设和党员队伍建设，将党建与扶贫有机结合，努力形成党建扶贫互促、资源优势互补的基层</w:t>
      </w:r>
      <w:r>
        <w:rPr>
          <w:spacing w:val="-42"/>
        </w:rPr>
        <w:t> </w:t>
      </w:r>
      <w:r>
        <w:rPr>
          <w:spacing w:val="-42"/>
        </w:rPr>
      </w:r>
      <w:r>
        <w:rPr/>
        <w:t>党建工作格局。</w:t>
      </w:r>
    </w:p>
    <w:p>
      <w:pPr>
        <w:pStyle w:val="BodyText"/>
        <w:spacing w:line="388" w:lineRule="auto" w:before="90"/>
        <w:ind w:right="0" w:firstLine="420"/>
        <w:jc w:val="left"/>
      </w:pPr>
      <w:r>
        <w:rPr>
          <w:rFonts w:ascii="Times New Roman" w:hAnsi="Times New Roman" w:cs="Times New Roman" w:eastAsia="Times New Roman" w:hint="default"/>
        </w:rPr>
        <w:t>5.</w:t>
      </w:r>
      <w:r>
        <w:rPr/>
        <w:t>加强文化下乡，继续开展走访慰问活动。根据实际开展各类帮扶，向青岭村送政策、送信息、送技</w:t>
      </w:r>
      <w:r>
        <w:rPr>
          <w:w w:val="100"/>
        </w:rPr>
        <w:t> </w:t>
      </w:r>
      <w:r>
        <w:rPr>
          <w:spacing w:val="-5"/>
        </w:rPr>
        <w:t>术、送温暖。继续开展文化下乡联谊活动和走访慰问活动，把组织的关怀和先进文化送到青岭村村民心中。</w:t>
      </w:r>
    </w:p>
    <w:p>
      <w:pPr>
        <w:spacing w:line="240" w:lineRule="auto" w:before="9"/>
        <w:rPr>
          <w:rFonts w:ascii="宋体" w:hAnsi="宋体" w:cs="宋体" w:eastAsia="宋体" w:hint="default"/>
          <w:sz w:val="21"/>
          <w:szCs w:val="21"/>
        </w:rPr>
      </w:pPr>
    </w:p>
    <w:p>
      <w:pPr>
        <w:pStyle w:val="Heading3"/>
        <w:spacing w:line="240" w:lineRule="auto"/>
        <w:ind w:right="0"/>
        <w:jc w:val="left"/>
        <w:rPr>
          <w:b w:val="0"/>
          <w:bCs w:val="0"/>
        </w:rPr>
      </w:pPr>
      <w:bookmarkStart w:name="3、环境保护相关的情况" w:id="102"/>
      <w:bookmarkEnd w:id="102"/>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5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w:t>
      </w:r>
    </w:p>
    <w:p>
      <w:pPr>
        <w:pStyle w:val="BodyText"/>
        <w:spacing w:line="240" w:lineRule="auto" w:before="2"/>
        <w:ind w:right="0"/>
        <w:jc w:val="left"/>
      </w:pPr>
      <w:r>
        <w:rPr/>
        <w:t>本公司及其子公司均不属于环境保护部门公布的重点排污单位。</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八、其他重大事项的说明" w:id="103"/>
      <w:bookmarkEnd w:id="103"/>
      <w:r>
        <w:rPr>
          <w:b w:val="0"/>
          <w:bCs w:val="0"/>
        </w:rPr>
      </w:r>
      <w:r>
        <w:rPr/>
        <w:t>十八、其他重大事项的说明</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15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公司报告期不存在需要说明的其他重大事项。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十九、公司子公司重大事项" w:id="104"/>
      <w:bookmarkEnd w:id="104"/>
      <w:r>
        <w:rPr>
          <w:b w:val="0"/>
          <w:bCs w:val="0"/>
        </w:rPr>
      </w:r>
      <w:r>
        <w:rPr/>
        <w:t>十九、公司子公司重大事项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044" w:right="0"/>
        <w:jc w:val="left"/>
        <w:rPr>
          <w:b w:val="0"/>
          <w:bCs w:val="0"/>
        </w:rPr>
      </w:pPr>
      <w:bookmarkStart w:name="_TOC_250006" w:id="105"/>
      <w:bookmarkStart w:name="第六节股份变动及股东情况" w:id="106"/>
      <w:r>
        <w:rPr>
          <w:b w:val="0"/>
          <w:bCs w:val="0"/>
        </w:rPr>
      </w:r>
      <w:r>
        <w:rPr/>
        <w:t>第六节股份变动及股东情况</w:t>
      </w:r>
      <w:bookmarkEnd w:id="10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股份变动情况" w:id="107"/>
      <w:bookmarkEnd w:id="107"/>
      <w:r>
        <w:rPr>
          <w:b w:val="0"/>
          <w:bCs w:val="0"/>
        </w:rPr>
      </w:r>
      <w:r>
        <w:rPr/>
        <w:t>一、股份变动情况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946"/>
        <w:gridCol w:w="991"/>
        <w:gridCol w:w="809"/>
        <w:gridCol w:w="811"/>
        <w:gridCol w:w="629"/>
        <w:gridCol w:w="720"/>
        <w:gridCol w:w="1080"/>
        <w:gridCol w:w="996"/>
        <w:gridCol w:w="895"/>
        <w:gridCol w:w="694"/>
      </w:tblGrid>
      <w:tr>
        <w:trPr>
          <w:trHeight w:val="403" w:hRule="exact"/>
        </w:trPr>
        <w:tc>
          <w:tcPr>
            <w:tcW w:w="1946" w:type="dxa"/>
            <w:vMerge w:val="restart"/>
            <w:tcBorders>
              <w:top w:val="single" w:sz="4" w:space="0" w:color="000000"/>
              <w:left w:val="single" w:sz="4" w:space="0" w:color="000000"/>
              <w:right w:val="single" w:sz="4" w:space="0" w:color="000000"/>
            </w:tcBorders>
            <w:shd w:val="clear" w:color="auto" w:fill="D4D4D4"/>
          </w:tcPr>
          <w:p>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36"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2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3" w:hRule="exact"/>
        </w:trPr>
        <w:tc>
          <w:tcPr>
            <w:tcW w:w="1946" w:type="dxa"/>
            <w:vMerge/>
            <w:tcBorders>
              <w:left w:val="single" w:sz="4" w:space="0" w:color="000000"/>
              <w:bottom w:val="single" w:sz="4" w:space="0" w:color="000000"/>
              <w:right w:val="single" w:sz="4" w:space="0" w:color="000000"/>
            </w:tcBorders>
            <w:shd w:val="clear" w:color="auto" w:fill="D4D4D4"/>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6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75" w:right="83"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0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96,680,250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53.71%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-23,807,250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-23,807,250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72,873,000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40.49%</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64,638,000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35.91%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64,638,000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35.91%</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32,042,250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17.80%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-23,807,250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-23,807,250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8,235,000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4.58%</w:t>
            </w: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32,042,250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17.80%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-23,807,250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-23,807,250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8,235,000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4.58%</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境外自然人持股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1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83,319,750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46.29%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23,807,250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23,807,250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107,127,00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59.51%</w:t>
            </w:r>
          </w:p>
        </w:tc>
      </w:tr>
      <w:tr>
        <w:trPr>
          <w:trHeight w:val="715" w:hRule="exact"/>
        </w:trPr>
        <w:tc>
          <w:tcPr>
            <w:tcW w:w="1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83,319,750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46.29%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23,807,250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23,807,250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107,127,00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59.51%</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386" w:lineRule="auto" w:before="157"/>
        <w:ind w:right="1022" w:firstLine="419"/>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日，菏泽宇中企业管理咨询中心（有限合伙）所持首发前限售股锁定期届满，股份解除</w:t>
      </w:r>
      <w:r>
        <w:rPr>
          <w:spacing w:val="-3"/>
          <w:w w:val="100"/>
        </w:rPr>
        <w:t> </w:t>
      </w:r>
      <w:r>
        <w:rPr>
          <w:spacing w:val="-4"/>
        </w:rPr>
        <w:t>锁定，自</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5</w:t>
      </w:r>
      <w:r>
        <w:rPr>
          <w:spacing w:val="-4"/>
        </w:rPr>
        <w:t>日起可上市流通。具体详见公司于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1</w:t>
      </w:r>
      <w:r>
        <w:rPr>
          <w:spacing w:val="-4"/>
        </w:rPr>
        <w:t>日在巨潮网披露的相关公告（公告编号：</w:t>
      </w:r>
      <w:r>
        <w:rPr>
          <w:spacing w:val="-28"/>
        </w:rPr>
        <w:t> </w:t>
      </w:r>
      <w:r>
        <w:rPr>
          <w:spacing w:val="-28"/>
        </w:rPr>
      </w:r>
      <w:r>
        <w:rPr>
          <w:rFonts w:ascii="Times New Roman" w:hAnsi="Times New Roman" w:cs="Times New Roman" w:eastAsia="Times New Roman" w:hint="default"/>
        </w:rPr>
        <w:t>2019-063</w:t>
      </w:r>
      <w:r>
        <w:rPr/>
        <w:t>号）。</w:t>
      </w:r>
    </w:p>
    <w:p>
      <w:pPr>
        <w:spacing w:before="22"/>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13"/>
        <w:rPr>
          <w:rFonts w:ascii="宋体" w:hAnsi="宋体" w:cs="宋体" w:eastAsia="宋体" w:hint="default"/>
          <w:sz w:val="21"/>
          <w:szCs w:val="21"/>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38" w:lineRule="auto" w:before="117"/>
        <w:ind w:left="152" w:right="877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股份回购的实施进展情况</w:t>
      </w:r>
    </w:p>
    <w:p>
      <w:pPr>
        <w:spacing w:line="340" w:lineRule="auto" w:before="43"/>
        <w:ind w:left="153" w:right="6973"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采用集中竞价方式减持回购股份的实施进展情况</w:t>
      </w:r>
    </w:p>
    <w:p>
      <w:pPr>
        <w:spacing w:line="340" w:lineRule="auto" w:before="39"/>
        <w:ind w:left="153" w:right="1393"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38" w:lineRule="auto" w:before="41"/>
        <w:ind w:left="153" w:right="6793"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7"/>
        <w:gridCol w:w="1488"/>
        <w:gridCol w:w="1488"/>
        <w:gridCol w:w="1488"/>
        <w:gridCol w:w="1488"/>
        <w:gridCol w:w="1202"/>
        <w:gridCol w:w="1205"/>
      </w:tblGrid>
      <w:tr>
        <w:trPr>
          <w:trHeight w:val="713" w:hRule="exact"/>
        </w:trPr>
        <w:tc>
          <w:tcPr>
            <w:tcW w:w="12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650" w:right="10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650" w:right="10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2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506" w:right="55" w:hanging="449"/>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1027"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24" w:right="91"/>
              <w:jc w:val="left"/>
              <w:rPr>
                <w:rFonts w:ascii="宋体" w:hAnsi="宋体" w:cs="宋体" w:eastAsia="宋体" w:hint="default"/>
                <w:sz w:val="18"/>
                <w:szCs w:val="18"/>
              </w:rPr>
            </w:pPr>
            <w:r>
              <w:rPr>
                <w:rFonts w:ascii="宋体" w:hAnsi="宋体" w:cs="宋体" w:eastAsia="宋体" w:hint="default"/>
                <w:sz w:val="18"/>
                <w:szCs w:val="18"/>
              </w:rPr>
              <w:t>中国科学院控 股有限公司）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60,318,434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60,318,434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拟于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300" w:lineRule="auto" w:before="60"/>
              <w:ind w:left="23" w:right="1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日解除限 售</w:t>
            </w:r>
          </w:p>
        </w:tc>
      </w:tr>
      <w:tr>
        <w:trPr>
          <w:trHeight w:val="1025"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1"/>
              <w:jc w:val="left"/>
              <w:rPr>
                <w:rFonts w:ascii="宋体" w:hAnsi="宋体" w:cs="宋体" w:eastAsia="宋体" w:hint="default"/>
                <w:sz w:val="18"/>
                <w:szCs w:val="18"/>
              </w:rPr>
            </w:pPr>
            <w:r>
              <w:rPr>
                <w:rFonts w:ascii="宋体" w:hAnsi="宋体" w:cs="宋体" w:eastAsia="宋体" w:hint="default"/>
                <w:sz w:val="18"/>
                <w:szCs w:val="18"/>
              </w:rPr>
              <w:t>菏泽宇中企业 管理咨询中心</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23,807,250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23,807,250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1027"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24" w:right="91"/>
              <w:jc w:val="left"/>
              <w:rPr>
                <w:rFonts w:ascii="宋体" w:hAnsi="宋体" w:cs="宋体" w:eastAsia="宋体" w:hint="default"/>
                <w:sz w:val="18"/>
                <w:szCs w:val="18"/>
              </w:rPr>
            </w:pPr>
            <w:r>
              <w:rPr>
                <w:rFonts w:ascii="宋体" w:hAnsi="宋体" w:cs="宋体" w:eastAsia="宋体" w:hint="default"/>
                <w:sz w:val="18"/>
                <w:szCs w:val="18"/>
              </w:rPr>
              <w:t>四川埃德凯森 科技有限公司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8,235,000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8,235,000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拟于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300" w:lineRule="auto" w:before="60"/>
              <w:ind w:left="23" w:right="1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日解除限 售</w:t>
            </w:r>
          </w:p>
        </w:tc>
      </w:tr>
      <w:tr>
        <w:trPr>
          <w:trHeight w:val="1025"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1"/>
              <w:jc w:val="both"/>
              <w:rPr>
                <w:rFonts w:ascii="宋体" w:hAnsi="宋体" w:cs="宋体" w:eastAsia="宋体" w:hint="default"/>
                <w:sz w:val="18"/>
                <w:szCs w:val="18"/>
              </w:rPr>
            </w:pPr>
            <w:r>
              <w:rPr>
                <w:rFonts w:ascii="宋体" w:hAnsi="宋体" w:cs="宋体" w:eastAsia="宋体" w:hint="default"/>
                <w:sz w:val="18"/>
                <w:szCs w:val="18"/>
              </w:rPr>
              <w:t>全国社会保障 基金理事会转 持一户</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4,319,566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4,319,566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拟于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300"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日解除限 售</w:t>
            </w:r>
          </w:p>
        </w:tc>
      </w:tr>
      <w:tr>
        <w:trPr>
          <w:trHeight w:val="403" w:hRule="exact"/>
        </w:trPr>
        <w:tc>
          <w:tcPr>
            <w:tcW w:w="12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96,680,250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23,807,250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72,873,000</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pict>
          <v:group style="position:absolute;margin-left:329.640015pt;margin-top:19.671709pt;width:52.6pt;height:82.1pt;mso-position-horizontal-relative:page;mso-position-vertical-relative:paragraph;z-index:-985912" coordorigin="6593,393" coordsize="1052,1642">
            <v:group style="position:absolute;left:6593;top:393;width:1052;height:1642" coordorigin="6593,393" coordsize="1052,1642">
              <v:shape style="position:absolute;left:6593;top:393;width:1052;height:1642" coordorigin="6593,393" coordsize="1052,1642" path="m6593,2035l7644,2035,7644,393,6593,393,6593,2035xe" filled="true" fillcolor="#ffffff" stroked="false">
                <v:path arrowok="t"/>
                <v:fill type="solid"/>
              </v:shape>
            </v:group>
            <v:group style="position:absolute;left:6614;top:1017;width:1008;height:394" coordorigin="6614,1017" coordsize="1008,394">
              <v:shape style="position:absolute;left:6614;top:1017;width:1008;height:394" coordorigin="6614,1017" coordsize="1008,394" path="m6614,1411l7622,1411,7622,1017,6614,1017,6614,1411xe" filled="true" fillcolor="#ffffff" stroked="false">
                <v:path arrowok="t"/>
                <v:fill type="solid"/>
              </v:shape>
            </v:group>
            <w10:wrap type="none"/>
          </v:group>
        </w:pict>
      </w: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1198"/>
        <w:gridCol w:w="929"/>
        <w:gridCol w:w="1064"/>
        <w:gridCol w:w="1063"/>
        <w:gridCol w:w="1064"/>
        <w:gridCol w:w="926"/>
        <w:gridCol w:w="1068"/>
        <w:gridCol w:w="1058"/>
      </w:tblGrid>
      <w:tr>
        <w:trPr>
          <w:trHeight w:val="1656" w:hRule="exact"/>
        </w:trPr>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71" w:right="0"/>
              <w:jc w:val="left"/>
              <w:rPr>
                <w:rFonts w:ascii="Times New Roman" w:hAnsi="Times New Roman" w:cs="Times New Roman" w:eastAsia="Times New Roman" w:hint="default"/>
                <w:sz w:val="18"/>
                <w:szCs w:val="18"/>
              </w:rPr>
            </w:pPr>
            <w:r>
              <w:rPr>
                <w:rFonts w:ascii="Times New Roman"/>
                <w:sz w:val="18"/>
              </w:rPr>
              <w:t>19,681</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20,081</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3"/>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99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3" w:hRule="exact"/>
        </w:trPr>
        <w:tc>
          <w:tcPr>
            <w:tcW w:w="120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6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76" w:right="75"/>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97" w:right="96"/>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2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200"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929" w:type="dxa"/>
            <w:vMerge/>
            <w:tcBorders>
              <w:left w:val="single" w:sz="4" w:space="0" w:color="000000"/>
              <w:bottom w:val="single" w:sz="4" w:space="0" w:color="000000"/>
              <w:right w:val="single" w:sz="4" w:space="0" w:color="000000"/>
            </w:tcBorders>
            <w:shd w:val="clear" w:color="auto" w:fill="D4D4D4"/>
          </w:tcPr>
          <w:p>
            <w:pPr/>
          </w:p>
        </w:tc>
        <w:tc>
          <w:tcPr>
            <w:tcW w:w="1064"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064" w:type="dxa"/>
            <w:vMerge/>
            <w:tcBorders>
              <w:left w:val="single" w:sz="4" w:space="0" w:color="000000"/>
              <w:bottom w:val="single" w:sz="4" w:space="0" w:color="000000"/>
              <w:right w:val="single" w:sz="4" w:space="0" w:color="000000"/>
            </w:tcBorders>
            <w:shd w:val="clear" w:color="auto" w:fill="D4D4D4"/>
          </w:tcPr>
          <w:p>
            <w:pPr/>
          </w:p>
        </w:tc>
        <w:tc>
          <w:tcPr>
            <w:tcW w:w="926" w:type="dxa"/>
            <w:vMerge/>
            <w:tcBorders>
              <w:left w:val="single" w:sz="4" w:space="0" w:color="000000"/>
              <w:bottom w:val="single" w:sz="4" w:space="0" w:color="000000"/>
              <w:right w:val="single" w:sz="4" w:space="0" w:color="000000"/>
            </w:tcBorders>
            <w:shd w:val="clear" w:color="auto" w:fill="D4D4D4"/>
          </w:tcPr>
          <w:p>
            <w:pPr/>
          </w:p>
        </w:tc>
        <w:tc>
          <w:tcPr>
            <w:tcW w:w="1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1"/>
              <w:ind w:left="17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中国科学院控 股有限公司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60,318,434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60,318,434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菏泽宇中企业 管理咨询中心</w:t>
            </w:r>
          </w:p>
          <w:p>
            <w:pPr>
              <w:pStyle w:val="TableParagraph"/>
              <w:spacing w:line="240" w:lineRule="auto" w:before="18"/>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45,594,569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-2,019,931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45,594,569</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四川埃德凯森 科技有限公司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8,235,000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8,235,000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全国社会保障 基金理事会转 持一户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4,319,566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-180,434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4,319,566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深圳市恒合经 纬投资管理合 伙企业（有限 合伙）</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3,082,598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-3,599,902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3,082,598</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227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中国建设银行 股份有限公司</w:t>
            </w:r>
          </w:p>
          <w:p>
            <w:pPr>
              <w:pStyle w:val="TableParagraph"/>
              <w:spacing w:line="316" w:lineRule="auto" w:before="18"/>
              <w:ind w:left="24" w:right="84"/>
              <w:jc w:val="both"/>
              <w:rPr>
                <w:rFonts w:ascii="宋体" w:hAnsi="宋体" w:cs="宋体" w:eastAsia="宋体" w:hint="default"/>
                <w:sz w:val="18"/>
                <w:szCs w:val="18"/>
              </w:rPr>
            </w:pPr>
            <w:r>
              <w:rPr>
                <w:rFonts w:ascii="宋体" w:hAnsi="宋体" w:cs="宋体" w:eastAsia="宋体" w:hint="default"/>
                <w:sz w:val="18"/>
                <w:szCs w:val="18"/>
              </w:rPr>
              <w:t>－华夏中证四 川国企改革交 易型开放式指 数证券投资基 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832,320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832,320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832,320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卢玉美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675,100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675,100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675,100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607,900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607,900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607,900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00"/>
        <w:gridCol w:w="1198"/>
        <w:gridCol w:w="929"/>
        <w:gridCol w:w="1063"/>
        <w:gridCol w:w="1063"/>
        <w:gridCol w:w="1063"/>
        <w:gridCol w:w="926"/>
        <w:gridCol w:w="1068"/>
        <w:gridCol w:w="1058"/>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蔡正芳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510,300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294,580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510,300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高辉臣</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404,660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404,660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404,660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71" w:type="dxa"/>
            <w:gridSpan w:val="7"/>
            <w:tcBorders>
              <w:top w:val="single" w:sz="4" w:space="0" w:color="000000"/>
              <w:left w:val="single" w:sz="9" w:space="0" w:color="D4D4D4"/>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23"/>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1" w:type="dxa"/>
            <w:gridSpan w:val="7"/>
            <w:tcBorders>
              <w:top w:val="single" w:sz="4" w:space="0" w:color="000000"/>
              <w:left w:val="single" w:sz="9" w:space="0" w:color="D4D4D4"/>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398"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5045" w:type="dxa"/>
            <w:gridSpan w:val="5"/>
            <w:tcBorders>
              <w:top w:val="single" w:sz="4" w:space="0" w:color="000000"/>
              <w:left w:val="single" w:sz="4" w:space="0" w:color="000000"/>
              <w:bottom w:val="nil" w:sz="6" w:space="0" w:color="auto"/>
              <w:right w:val="single" w:sz="4" w:space="0" w:color="000000"/>
            </w:tcBorders>
            <w:shd w:val="clear" w:color="auto" w:fill="D4D4D4"/>
          </w:tcPr>
          <w:p>
            <w:pPr/>
          </w:p>
        </w:tc>
        <w:tc>
          <w:tcPr>
            <w:tcW w:w="21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398"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5" w:type="dxa"/>
            <w:gridSpan w:val="5"/>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16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26" w:type="dxa"/>
            <w:gridSpan w:val="2"/>
            <w:vMerge/>
            <w:tcBorders>
              <w:left w:val="single" w:sz="4" w:space="0" w:color="000000"/>
              <w:bottom w:val="single" w:sz="4" w:space="0" w:color="000000"/>
              <w:right w:val="single" w:sz="4" w:space="0" w:color="000000"/>
            </w:tcBorders>
            <w:shd w:val="clear" w:color="auto" w:fill="D4D4D4"/>
          </w:tcPr>
          <w:p>
            <w:pPr/>
          </w:p>
        </w:tc>
      </w:tr>
      <w:tr>
        <w:trPr>
          <w:trHeight w:val="197" w:hRule="exact"/>
        </w:trPr>
        <w:tc>
          <w:tcPr>
            <w:tcW w:w="2398" w:type="dxa"/>
            <w:gridSpan w:val="2"/>
            <w:vMerge/>
            <w:tcBorders>
              <w:left w:val="single" w:sz="4" w:space="0" w:color="000000"/>
              <w:bottom w:val="nil" w:sz="6" w:space="0" w:color="auto"/>
              <w:right w:val="single" w:sz="4" w:space="0" w:color="000000"/>
            </w:tcBorders>
            <w:shd w:val="clear" w:color="auto" w:fill="D4D4D4"/>
          </w:tcPr>
          <w:p>
            <w:pPr/>
          </w:p>
        </w:tc>
        <w:tc>
          <w:tcPr>
            <w:tcW w:w="5045" w:type="dxa"/>
            <w:gridSpan w:val="5"/>
            <w:vMerge/>
            <w:tcBorders>
              <w:left w:val="single" w:sz="4" w:space="0" w:color="000000"/>
              <w:bottom w:val="nil" w:sz="6" w:space="0" w:color="auto"/>
              <w:right w:val="single" w:sz="4" w:space="0" w:color="000000"/>
            </w:tcBorders>
            <w:shd w:val="clear" w:color="auto" w:fill="D4D4D4"/>
          </w:tcPr>
          <w:p>
            <w:pPr/>
          </w:p>
        </w:tc>
        <w:tc>
          <w:tcPr>
            <w:tcW w:w="10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398"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5045" w:type="dxa"/>
            <w:gridSpan w:val="5"/>
            <w:tcBorders>
              <w:top w:val="nil" w:sz="6" w:space="0" w:color="auto"/>
              <w:left w:val="single" w:sz="4" w:space="0" w:color="000000"/>
              <w:bottom w:val="single" w:sz="4" w:space="0" w:color="000000"/>
              <w:right w:val="single" w:sz="4" w:space="0" w:color="000000"/>
            </w:tcBorders>
            <w:shd w:val="clear" w:color="auto" w:fill="D4D4D4"/>
          </w:tcPr>
          <w:p>
            <w:pPr/>
          </w:p>
        </w:tc>
        <w:tc>
          <w:tcPr>
            <w:tcW w:w="1068" w:type="dxa"/>
            <w:vMerge/>
            <w:tcBorders>
              <w:left w:val="single" w:sz="4" w:space="0" w:color="000000"/>
              <w:bottom w:val="single" w:sz="4" w:space="0" w:color="000000"/>
              <w:right w:val="single" w:sz="4" w:space="0" w:color="000000"/>
            </w:tcBorders>
            <w:shd w:val="clear" w:color="auto" w:fill="D4D4D4"/>
          </w:tcPr>
          <w:p>
            <w:pPr/>
          </w:p>
        </w:tc>
        <w:tc>
          <w:tcPr>
            <w:tcW w:w="1058"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菏泽宇中企业管理咨询中心</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50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45,594,569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45,594,569</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深圳市恒合经纬投资管理合伙 企业（有限合伙）</w:t>
            </w:r>
          </w:p>
        </w:tc>
        <w:tc>
          <w:tcPr>
            <w:tcW w:w="50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3,082,598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3,082,598</w:t>
            </w:r>
          </w:p>
        </w:tc>
      </w:tr>
      <w:tr>
        <w:trPr>
          <w:trHeight w:val="1027"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3"/>
              <w:jc w:val="both"/>
              <w:rPr>
                <w:rFonts w:ascii="宋体" w:hAnsi="宋体" w:cs="宋体" w:eastAsia="宋体" w:hint="default"/>
                <w:sz w:val="18"/>
                <w:szCs w:val="18"/>
              </w:rPr>
            </w:pPr>
            <w:r>
              <w:rPr>
                <w:rFonts w:ascii="宋体" w:hAnsi="宋体" w:cs="宋体" w:eastAsia="宋体" w:hint="default"/>
                <w:sz w:val="18"/>
                <w:szCs w:val="18"/>
              </w:rPr>
              <w:t>中国建设银行股份有限公司－ 华夏中证四川国企改革交易型 开放式指数证券投资基金</w:t>
            </w:r>
          </w:p>
        </w:tc>
        <w:tc>
          <w:tcPr>
            <w:tcW w:w="50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832,320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832,320</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卢玉美</w:t>
            </w:r>
          </w:p>
        </w:tc>
        <w:tc>
          <w:tcPr>
            <w:tcW w:w="50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675,100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274,900</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张娟</w:t>
            </w:r>
          </w:p>
        </w:tc>
        <w:tc>
          <w:tcPr>
            <w:tcW w:w="50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607,900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607,900</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蔡正芳</w:t>
            </w:r>
          </w:p>
        </w:tc>
        <w:tc>
          <w:tcPr>
            <w:tcW w:w="50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510,300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510,300</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高辉臣</w:t>
            </w:r>
          </w:p>
        </w:tc>
        <w:tc>
          <w:tcPr>
            <w:tcW w:w="50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404,660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404,660</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麦明潮</w:t>
            </w:r>
          </w:p>
        </w:tc>
        <w:tc>
          <w:tcPr>
            <w:tcW w:w="50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303,800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303,800</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徐晔</w:t>
            </w:r>
          </w:p>
        </w:tc>
        <w:tc>
          <w:tcPr>
            <w:tcW w:w="50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276,600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276,600</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张健昌</w:t>
            </w:r>
          </w:p>
        </w:tc>
        <w:tc>
          <w:tcPr>
            <w:tcW w:w="50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274,900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274,900</w:t>
            </w:r>
          </w:p>
        </w:tc>
      </w:tr>
      <w:tr>
        <w:trPr>
          <w:trHeight w:val="1339"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63"/>
              <w:ind w:left="24" w:right="108"/>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9"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23"/>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公司股东麦明潮通过普通证券账户持有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通过申万宏源证券有限公司客户信用交易担</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保证券账户持有 </w:t>
            </w:r>
            <w:r>
              <w:rPr>
                <w:rFonts w:ascii="Times New Roman" w:hAnsi="Times New Roman" w:cs="Times New Roman" w:eastAsia="Times New Roman" w:hint="default"/>
                <w:sz w:val="18"/>
                <w:szCs w:val="18"/>
              </w:rPr>
              <w:t>303,800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实际合计持有 </w:t>
            </w:r>
            <w:r>
              <w:rPr>
                <w:rFonts w:ascii="Times New Roman" w:hAnsi="Times New Roman" w:cs="Times New Roman" w:eastAsia="Times New Roman" w:hint="default"/>
                <w:sz w:val="18"/>
                <w:szCs w:val="18"/>
              </w:rPr>
              <w:t>303,800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股；公司股东徐晔通过普通证券账户持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有 </w:t>
            </w:r>
            <w:r>
              <w:rPr>
                <w:rFonts w:ascii="Times New Roman" w:hAnsi="Times New Roman" w:cs="Times New Roman" w:eastAsia="Times New Roman" w:hint="default"/>
                <w:sz w:val="18"/>
                <w:szCs w:val="18"/>
              </w:rPr>
              <w:t>275,000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通过申万宏源证券有限公司客户信用交易担保证券账户持有 </w:t>
            </w: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合计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276,600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0"/>
        <w:rPr>
          <w:rFonts w:ascii="Times New Roman" w:hAnsi="Times New Roman" w:cs="Times New Roman" w:eastAsia="Times New Roman"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1"/>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52" w:right="8414" w:firstLine="0"/>
        <w:jc w:val="left"/>
        <w:rPr>
          <w:rFonts w:ascii="宋体" w:hAnsi="宋体" w:cs="宋体" w:eastAsia="宋体" w:hint="default"/>
          <w:sz w:val="18"/>
          <w:szCs w:val="18"/>
        </w:rPr>
      </w:pPr>
      <w:r>
        <w:rPr>
          <w:rFonts w:ascii="宋体" w:hAnsi="宋体" w:cs="宋体" w:eastAsia="宋体" w:hint="default"/>
          <w:sz w:val="18"/>
          <w:szCs w:val="18"/>
        </w:rPr>
        <w:t>控股股东性质：中央国有控股 控股股东类型：法人</w:t>
      </w:r>
    </w:p>
    <w:tbl>
      <w:tblPr>
        <w:tblW w:w="0" w:type="auto"/>
        <w:jc w:val="left"/>
        <w:tblInd w:w="148" w:type="dxa"/>
        <w:tblLayout w:type="fixed"/>
        <w:tblCellMar>
          <w:top w:w="0" w:type="dxa"/>
          <w:left w:w="0" w:type="dxa"/>
          <w:bottom w:w="0" w:type="dxa"/>
          <w:right w:w="0" w:type="dxa"/>
        </w:tblCellMar>
        <w:tblLook w:val="01E0"/>
      </w:tblPr>
      <w:tblGrid>
        <w:gridCol w:w="2198"/>
        <w:gridCol w:w="1793"/>
        <w:gridCol w:w="1594"/>
        <w:gridCol w:w="1752"/>
        <w:gridCol w:w="2232"/>
      </w:tblGrid>
      <w:tr>
        <w:trPr>
          <w:trHeight w:val="715" w:hRule="exact"/>
        </w:trPr>
        <w:tc>
          <w:tcPr>
            <w:tcW w:w="2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801"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27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中国科学院控股有限公司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索继栓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41"/>
              <w:jc w:val="center"/>
              <w:rPr>
                <w:rFonts w:ascii="Times New Roman" w:hAnsi="Times New Roman" w:cs="Times New Roman" w:eastAsia="Times New Roman" w:hint="default"/>
                <w:sz w:val="18"/>
                <w:szCs w:val="18"/>
              </w:rPr>
            </w:pPr>
            <w:r>
              <w:rPr>
                <w:rFonts w:ascii="Times New Roman"/>
                <w:sz w:val="18"/>
              </w:rPr>
              <w:t>91110000736450952Q</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6"/>
              <w:jc w:val="both"/>
              <w:rPr>
                <w:rFonts w:ascii="宋体" w:hAnsi="宋体" w:cs="宋体" w:eastAsia="宋体" w:hint="default"/>
                <w:sz w:val="18"/>
                <w:szCs w:val="18"/>
              </w:rPr>
            </w:pPr>
            <w:r>
              <w:rPr>
                <w:rFonts w:ascii="宋体" w:hAnsi="宋体" w:cs="宋体" w:eastAsia="宋体" w:hint="default"/>
                <w:sz w:val="18"/>
                <w:szCs w:val="18"/>
              </w:rPr>
              <w:t>国有资产的管理与经营；项 目投资；投资管理；投资咨 询；企业管理咨询；高新技 术项目的研发；技术开发； 技术转让；技术咨询；技术 服务；技术推广；技术推广 培训；技术中介服务。</w:t>
            </w:r>
          </w:p>
        </w:tc>
      </w:tr>
      <w:tr>
        <w:trPr>
          <w:trHeight w:val="1027" w:hRule="exact"/>
        </w:trPr>
        <w:tc>
          <w:tcPr>
            <w:tcW w:w="2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82"/>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中国科学院控股有限公司参股联想控股股份有限公司</w:t>
            </w:r>
            <w:r>
              <w:rPr>
                <w:rFonts w:ascii="宋体" w:hAnsi="宋体" w:cs="宋体" w:eastAsia="宋体" w:hint="default"/>
                <w:spacing w:val="-92"/>
                <w:sz w:val="18"/>
                <w:szCs w:val="18"/>
              </w:rPr>
              <w:t>，</w:t>
            </w: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pacing w:val="1"/>
                <w:sz w:val="18"/>
                <w:szCs w:val="18"/>
              </w:rPr>
              <w:t>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日持股</w:t>
            </w:r>
            <w:r>
              <w:rPr>
                <w:rFonts w:ascii="宋体" w:hAnsi="宋体" w:cs="宋体" w:eastAsia="宋体" w:hint="default"/>
                <w:spacing w:val="-50"/>
                <w:sz w:val="18"/>
                <w:szCs w:val="18"/>
              </w:rPr>
              <w:t> </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34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股；中国科学院控股有限公司参股中国科技出版传媒股份有限公司，截至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5,881,364 </w:t>
            </w:r>
            <w:r>
              <w:rPr>
                <w:rFonts w:ascii="宋体" w:hAnsi="宋体" w:cs="宋体" w:eastAsia="宋体" w:hint="default"/>
                <w:sz w:val="18"/>
                <w:szCs w:val="18"/>
              </w:rPr>
              <w:t>股。</w:t>
            </w:r>
          </w:p>
        </w:tc>
      </w:tr>
    </w:tbl>
    <w:p>
      <w:pPr>
        <w:spacing w:before="65"/>
        <w:ind w:left="1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2" w:right="78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及其一致行动人" w:id="117"/>
      <w:bookmarkEnd w:id="117"/>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7874" w:firstLine="0"/>
        <w:jc w:val="left"/>
        <w:rPr>
          <w:rFonts w:ascii="宋体" w:hAnsi="宋体" w:cs="宋体" w:eastAsia="宋体" w:hint="default"/>
          <w:sz w:val="18"/>
          <w:szCs w:val="18"/>
        </w:rPr>
      </w:pPr>
      <w:r>
        <w:rPr>
          <w:rFonts w:ascii="宋体" w:hAnsi="宋体" w:cs="宋体" w:eastAsia="宋体" w:hint="default"/>
          <w:sz w:val="18"/>
          <w:szCs w:val="18"/>
        </w:rPr>
        <w:t>实际控制人性质：中央国资管理机构 实际控制人类型：法人</w:t>
      </w:r>
    </w:p>
    <w:tbl>
      <w:tblPr>
        <w:tblW w:w="0" w:type="auto"/>
        <w:jc w:val="left"/>
        <w:tblInd w:w="148" w:type="dxa"/>
        <w:tblLayout w:type="fixed"/>
        <w:tblCellMar>
          <w:top w:w="0" w:type="dxa"/>
          <w:left w:w="0" w:type="dxa"/>
          <w:bottom w:w="0" w:type="dxa"/>
          <w:right w:w="0" w:type="dxa"/>
        </w:tblCellMar>
        <w:tblLook w:val="01E0"/>
      </w:tblPr>
      <w:tblGrid>
        <w:gridCol w:w="2198"/>
        <w:gridCol w:w="1793"/>
        <w:gridCol w:w="1433"/>
        <w:gridCol w:w="1594"/>
        <w:gridCol w:w="2551"/>
      </w:tblGrid>
      <w:tr>
        <w:trPr>
          <w:trHeight w:val="713" w:hRule="exact"/>
        </w:trPr>
        <w:tc>
          <w:tcPr>
            <w:tcW w:w="2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801"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6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中国科学院控股有限公司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索继栓</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91110000736450952</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w w:val="99"/>
                <w:sz w:val="18"/>
              </w:rPr>
              <w:t>Q</w:t>
            </w:r>
            <w:r>
              <w:rPr>
                <w:rFonts w:ascii="Times New Roman"/>
                <w:sz w:val="18"/>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2"/>
                <w:sz w:val="18"/>
                <w:szCs w:val="18"/>
              </w:rPr>
              <w:t>国有资产的管理与经营；项目投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资；投资管理；投资咨询；企业</w:t>
            </w:r>
            <w:r>
              <w:rPr>
                <w:rFonts w:ascii="宋体" w:hAnsi="宋体" w:cs="宋体" w:eastAsia="宋体" w:hint="default"/>
                <w:sz w:val="18"/>
                <w:szCs w:val="18"/>
              </w:rPr>
              <w:t> 管理咨询；高新技术项目的研 </w:t>
            </w:r>
            <w:r>
              <w:rPr>
                <w:rFonts w:ascii="宋体" w:hAnsi="宋体" w:cs="宋体" w:eastAsia="宋体" w:hint="default"/>
                <w:spacing w:val="-2"/>
                <w:sz w:val="18"/>
                <w:szCs w:val="18"/>
              </w:rPr>
              <w:t>究；技术开发；技术转让；技术</w:t>
            </w:r>
            <w:r>
              <w:rPr>
                <w:rFonts w:ascii="宋体" w:hAnsi="宋体" w:cs="宋体" w:eastAsia="宋体" w:hint="default"/>
                <w:sz w:val="18"/>
                <w:szCs w:val="18"/>
              </w:rPr>
              <w:t> </w:t>
            </w:r>
            <w:r>
              <w:rPr>
                <w:rFonts w:ascii="宋体" w:hAnsi="宋体" w:cs="宋体" w:eastAsia="宋体" w:hint="default"/>
                <w:spacing w:val="-2"/>
                <w:sz w:val="18"/>
                <w:szCs w:val="18"/>
              </w:rPr>
              <w:t>咨询；技术服务；技术推广；技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术推广培训；技术中介服务。</w:t>
            </w:r>
          </w:p>
        </w:tc>
      </w:tr>
      <w:tr>
        <w:trPr>
          <w:trHeight w:val="1025" w:hRule="exact"/>
        </w:trPr>
        <w:tc>
          <w:tcPr>
            <w:tcW w:w="2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82"/>
              <w:jc w:val="both"/>
              <w:rPr>
                <w:rFonts w:ascii="宋体" w:hAnsi="宋体" w:cs="宋体" w:eastAsia="宋体" w:hint="default"/>
                <w:sz w:val="18"/>
                <w:szCs w:val="18"/>
              </w:rPr>
            </w:pPr>
            <w:r>
              <w:rPr>
                <w:rFonts w:ascii="宋体" w:hAnsi="宋体" w:cs="宋体" w:eastAsia="宋体" w:hint="default"/>
                <w:sz w:val="18"/>
                <w:szCs w:val="18"/>
              </w:rPr>
              <w:t>实际控制人报告期内控制 的其他境内外上市公司的 股权情况</w:t>
            </w:r>
          </w:p>
        </w:tc>
        <w:tc>
          <w:tcPr>
            <w:tcW w:w="73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中国科学院控股有限公司参股联想控股股份有限公司</w:t>
            </w:r>
            <w:r>
              <w:rPr>
                <w:rFonts w:ascii="宋体" w:hAnsi="宋体" w:cs="宋体" w:eastAsia="宋体" w:hint="default"/>
                <w:spacing w:val="-92"/>
                <w:sz w:val="18"/>
                <w:szCs w:val="18"/>
              </w:rPr>
              <w:t>，</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日持股</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34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股；中国科学院控股有限公司参股中国科技出版传媒股份有限公司，截至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5,881,364 </w:t>
            </w:r>
            <w:r>
              <w:rPr>
                <w:rFonts w:ascii="宋体" w:hAnsi="宋体" w:cs="宋体" w:eastAsia="宋体" w:hint="default"/>
                <w:sz w:val="18"/>
                <w:szCs w:val="18"/>
              </w:rPr>
              <w:t>股。</w:t>
            </w:r>
          </w:p>
        </w:tc>
      </w:tr>
    </w:tbl>
    <w:p>
      <w:pPr>
        <w:spacing w:before="68"/>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13"/>
        <w:rPr>
          <w:rFonts w:ascii="宋体" w:hAnsi="宋体" w:cs="宋体" w:eastAsia="宋体" w:hint="default"/>
          <w:sz w:val="21"/>
          <w:szCs w:val="21"/>
        </w:rPr>
      </w:pPr>
    </w:p>
    <w:p>
      <w:pPr>
        <w:spacing w:line="360" w:lineRule="auto" w:before="44"/>
        <w:ind w:left="152" w:right="6794" w:firstLine="0"/>
        <w:jc w:val="left"/>
        <w:rPr>
          <w:rFonts w:ascii="宋体" w:hAnsi="宋体" w:cs="宋体" w:eastAsia="宋体" w:hint="default"/>
          <w:sz w:val="18"/>
          <w:szCs w:val="18"/>
        </w:rPr>
      </w:pPr>
      <w:r>
        <w:rPr>
          <w:rFonts w:ascii="宋体" w:hAnsi="宋体" w:cs="宋体" w:eastAsia="宋体" w:hint="default"/>
          <w:sz w:val="18"/>
          <w:szCs w:val="18"/>
        </w:rPr>
        <w:t>公司报告期实际控制人未发生变更。 公司与实际控制人之间的产权及控制关系的方框图</w:t>
      </w:r>
    </w:p>
    <w:p>
      <w:pPr>
        <w:spacing w:line="240" w:lineRule="auto" w:before="11"/>
        <w:rPr>
          <w:rFonts w:ascii="宋体" w:hAnsi="宋体" w:cs="宋体" w:eastAsia="宋体" w:hint="default"/>
          <w:sz w:val="14"/>
          <w:szCs w:val="14"/>
        </w:rPr>
      </w:pPr>
    </w:p>
    <w:p>
      <w:pPr>
        <w:spacing w:line="3705" w:lineRule="exact"/>
        <w:ind w:left="1355"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4590446" cy="2352675"/>
            <wp:effectExtent l="0" t="0" r="0" b="0"/>
            <wp:docPr id="7" name="image8.jpeg" descr="?"/>
            <wp:cNvGraphicFramePr>
              <a:graphicFrameLocks noChangeAspect="1"/>
            </wp:cNvGraphicFramePr>
            <a:graphic>
              <a:graphicData uri="http://schemas.openxmlformats.org/drawingml/2006/picture">
                <pic:pic>
                  <pic:nvPicPr>
                    <pic:cNvPr id="8" name="image8.jpeg"/>
                    <pic:cNvPicPr/>
                  </pic:nvPicPr>
                  <pic:blipFill>
                    <a:blip r:embed="rId28" cstate="print"/>
                    <a:stretch>
                      <a:fillRect/>
                    </a:stretch>
                  </pic:blipFill>
                  <pic:spPr>
                    <a:xfrm>
                      <a:off x="0" y="0"/>
                      <a:ext cx="4590446" cy="2352675"/>
                    </a:xfrm>
                    <a:prstGeom prst="rect">
                      <a:avLst/>
                    </a:prstGeom>
                  </pic:spPr>
                </pic:pic>
              </a:graphicData>
            </a:graphic>
          </wp:inline>
        </w:drawing>
      </w:r>
      <w:r>
        <w:rPr>
          <w:rFonts w:ascii="宋体" w:hAnsi="宋体" w:cs="宋体" w:eastAsia="宋体" w:hint="default"/>
          <w:position w:val="-73"/>
          <w:sz w:val="20"/>
          <w:szCs w:val="20"/>
        </w:rPr>
      </w:r>
    </w:p>
    <w:p>
      <w:pPr>
        <w:spacing w:line="240" w:lineRule="auto" w:before="7"/>
        <w:rPr>
          <w:rFonts w:ascii="宋体" w:hAnsi="宋体" w:cs="宋体" w:eastAsia="宋体" w:hint="default"/>
          <w:sz w:val="17"/>
          <w:szCs w:val="1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before="44"/>
        <w:ind w:left="0" w:right="1140" w:firstLine="0"/>
        <w:jc w:val="right"/>
        <w:rPr>
          <w:rFonts w:ascii="宋体" w:hAnsi="宋体" w:cs="宋体" w:eastAsia="宋体" w:hint="default"/>
          <w:sz w:val="18"/>
          <w:szCs w:val="18"/>
        </w:rPr>
      </w:pPr>
      <w:r>
        <w:rPr/>
        <w:pict>
          <v:shape style="position:absolute;margin-left:56.400002pt;margin-top:-36.60928pt;width:479.2pt;height:149.9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80"/>
                    <w:gridCol w:w="1814"/>
                    <w:gridCol w:w="1414"/>
                    <w:gridCol w:w="1634"/>
                    <w:gridCol w:w="2126"/>
                  </w:tblGrid>
                  <w:tr>
                    <w:trPr>
                      <w:trHeight w:val="713" w:hRule="exact"/>
                    </w:trPr>
                    <w:tc>
                      <w:tcPr>
                        <w:tcW w:w="25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813" w:right="6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2275"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4" w:right="24"/>
                          <w:jc w:val="left"/>
                          <w:rPr>
                            <w:rFonts w:ascii="宋体" w:hAnsi="宋体" w:cs="宋体" w:eastAsia="宋体" w:hint="default"/>
                            <w:sz w:val="18"/>
                            <w:szCs w:val="18"/>
                          </w:rPr>
                        </w:pPr>
                        <w:r>
                          <w:rPr>
                            <w:rFonts w:ascii="宋体" w:hAnsi="宋体" w:cs="宋体" w:eastAsia="宋体" w:hint="default"/>
                            <w:sz w:val="18"/>
                            <w:szCs w:val="18"/>
                          </w:rPr>
                          <w:t>菏泽宇中企业管理咨询中心（有 限合伙）</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王晓宇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23,883,356.73</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0"/>
                          <w:jc w:val="both"/>
                          <w:rPr>
                            <w:rFonts w:ascii="宋体" w:hAnsi="宋体" w:cs="宋体" w:eastAsia="宋体" w:hint="default"/>
                            <w:sz w:val="18"/>
                            <w:szCs w:val="18"/>
                          </w:rPr>
                        </w:pPr>
                        <w:r>
                          <w:rPr>
                            <w:rFonts w:ascii="宋体" w:hAnsi="宋体" w:cs="宋体" w:eastAsia="宋体" w:hint="default"/>
                            <w:sz w:val="18"/>
                            <w:szCs w:val="18"/>
                          </w:rPr>
                          <w:t>企业管理服务；会议服务 展览展示服务，计算机技 术咨询、技术推广服务， 翻译服务，电子商务信息 咨询服务；品牌管理；市 场调查；设计、制作、代 理、发布广告。</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9"/>
        <w:ind w:right="0"/>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364" w:right="0"/>
        <w:jc w:val="left"/>
        <w:rPr>
          <w:b w:val="0"/>
          <w:bCs w:val="0"/>
        </w:rPr>
      </w:pPr>
      <w:bookmarkStart w:name="_TOC_250005" w:id="120"/>
      <w:bookmarkStart w:name="第七节优先股相关情况" w:id="121"/>
      <w:r>
        <w:rPr>
          <w:b w:val="0"/>
          <w:bCs w:val="0"/>
        </w:rPr>
      </w:r>
      <w:r>
        <w:rPr/>
        <w:t>第七节优先股相关情况</w:t>
      </w:r>
      <w:bookmarkEnd w:id="120"/>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859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2723" w:right="0"/>
        <w:jc w:val="left"/>
        <w:rPr>
          <w:b w:val="0"/>
          <w:bCs w:val="0"/>
        </w:rPr>
      </w:pPr>
      <w:bookmarkStart w:name="_TOC_250004" w:id="122"/>
      <w:bookmarkStart w:name="第八节可转换公司债券相关情况" w:id="123"/>
      <w:r>
        <w:rPr>
          <w:b w:val="0"/>
          <w:bCs w:val="0"/>
        </w:rPr>
      </w:r>
      <w:r>
        <w:rPr/>
        <w:t>第八节可转换公司债券相关情况</w:t>
      </w:r>
      <w:bookmarkEnd w:id="122"/>
      <w:r>
        <w:rPr>
          <w:b w:val="0"/>
          <w:bCs w:val="0"/>
        </w:rPr>
      </w:r>
    </w:p>
    <w:p>
      <w:pPr>
        <w:spacing w:line="240" w:lineRule="auto" w:before="9"/>
        <w:rPr>
          <w:rFonts w:ascii="宋体" w:hAnsi="宋体" w:cs="宋体" w:eastAsia="宋体" w:hint="default"/>
          <w:b/>
          <w:bCs/>
          <w:sz w:val="42"/>
          <w:szCs w:val="42"/>
        </w:rPr>
      </w:pPr>
    </w:p>
    <w:p>
      <w:pPr>
        <w:spacing w:line="338" w:lineRule="auto" w:before="0"/>
        <w:ind w:left="152" w:right="787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报告期公司不存在可转换公司债券。</w:t>
      </w:r>
    </w:p>
    <w:p>
      <w:pPr>
        <w:spacing w:after="0" w:line="338" w:lineRule="auto"/>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1758" w:right="0"/>
        <w:jc w:val="left"/>
        <w:rPr>
          <w:b w:val="0"/>
          <w:bCs w:val="0"/>
        </w:rPr>
      </w:pPr>
      <w:bookmarkStart w:name="_TOC_250003" w:id="124"/>
      <w:bookmarkStart w:name="第九节董事、监事、高级管理人员和员工情况" w:id="125"/>
      <w:r>
        <w:rPr>
          <w:b w:val="0"/>
          <w:bCs w:val="0"/>
        </w:rPr>
      </w:r>
      <w:r>
        <w:rPr/>
        <w:t>第九节董事、监事、高级管理人员和员工情况</w:t>
      </w:r>
      <w:bookmarkEnd w:id="124"/>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pict>
          <v:shape style="position:absolute;margin-left:473.160309pt;margin-top:32.855621pt;width:63.5pt;height:50.9pt;mso-position-horizontal-relative:page;mso-position-vertical-relative:paragraph;z-index:-98586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bookmarkStart w:name="一、董事、监事和高级管理人员持股变动" w:id="126"/>
      <w:bookmarkEnd w:id="126"/>
      <w:r>
        <w:rPr>
          <w:b w:val="0"/>
          <w:bCs w:val="0"/>
        </w:rPr>
      </w:r>
      <w:r>
        <w:rPr/>
        <w:t>一、董事、监事和高级管理人员持股变动</w:t>
      </w:r>
      <w:r>
        <w:rPr>
          <w:b w:val="0"/>
          <w:bCs w:val="0"/>
        </w:rPr>
      </w:r>
    </w:p>
    <w:p>
      <w:pPr>
        <w:spacing w:line="240" w:lineRule="auto" w:before="6"/>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797"/>
        <w:gridCol w:w="797"/>
        <w:gridCol w:w="797"/>
        <w:gridCol w:w="799"/>
        <w:gridCol w:w="797"/>
        <w:gridCol w:w="797"/>
        <w:gridCol w:w="799"/>
        <w:gridCol w:w="797"/>
        <w:gridCol w:w="799"/>
        <w:gridCol w:w="797"/>
        <w:gridCol w:w="799"/>
        <w:gridCol w:w="797"/>
      </w:tblGrid>
      <w:tr>
        <w:trPr>
          <w:trHeight w:val="1027"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35"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史志明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498,420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498,420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王晓宇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3,987,180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3,987,180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付忠良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2,093,220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2,093,220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周玮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李志蜀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曹德骏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黄泽永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赖肇庆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81" w:type="dxa"/>
        <w:tblLayout w:type="fixed"/>
        <w:tblCellMar>
          <w:top w:w="0" w:type="dxa"/>
          <w:left w:w="0" w:type="dxa"/>
          <w:bottom w:w="0" w:type="dxa"/>
          <w:right w:w="0" w:type="dxa"/>
        </w:tblCellMar>
        <w:tblLook w:val="01E0"/>
      </w:tblPr>
      <w:tblGrid>
        <w:gridCol w:w="797"/>
        <w:gridCol w:w="797"/>
        <w:gridCol w:w="797"/>
        <w:gridCol w:w="799"/>
        <w:gridCol w:w="797"/>
        <w:gridCol w:w="797"/>
        <w:gridCol w:w="799"/>
        <w:gridCol w:w="797"/>
        <w:gridCol w:w="799"/>
        <w:gridCol w:w="797"/>
        <w:gridCol w:w="799"/>
        <w:gridCol w:w="797"/>
      </w:tblGrid>
      <w:tr>
        <w:trPr>
          <w:trHeight w:val="674"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王伟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2,392,380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2,392,380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帅红涛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516,095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19,743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496,352</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傅敏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肖帆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516,060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7,698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508,362</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尹邦明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288,900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288,900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钟勇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543,420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19,737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523,683</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468,720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25,700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443,020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方伟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99,681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99,681</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刘小兵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486,000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486,000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w w:val="95"/>
                <w:sz w:val="18"/>
              </w:rPr>
              <w:t>11,890,07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72,878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w w:val="95"/>
                <w:sz w:val="18"/>
              </w:rPr>
              <w:t>11,817,19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bl>
    <w:p>
      <w:pPr>
        <w:spacing w:line="240" w:lineRule="auto" w:before="3"/>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7"/>
      <w:bookmarkEnd w:id="127"/>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8"/>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史志明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史志明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不再担任常务副总经理，改任总经理</w:t>
            </w:r>
          </w:p>
        </w:tc>
      </w:tr>
    </w:tbl>
    <w:p>
      <w:pPr>
        <w:spacing w:after="0" w:line="240" w:lineRule="auto"/>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8"/>
      </w:tblGrid>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付忠良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不再担任总经理，改任副董事长</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李志蜀</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选举独立董事</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曹德骏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选举独立董事</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帅红涛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选举</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第二届董事长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第二届监事会主 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黄泽永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第二届独立董事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赖肇庆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第二届独立董事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8"/>
      <w:bookmarkEnd w:id="128"/>
      <w:r>
        <w:rPr>
          <w:b w:val="0"/>
          <w:bCs w:val="0"/>
        </w:rPr>
      </w:r>
      <w:r>
        <w:rPr/>
        <w:t>三、任职情况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
        <w:rPr>
          <w:rFonts w:ascii="宋体" w:hAnsi="宋体" w:cs="宋体" w:eastAsia="宋体" w:hint="default"/>
          <w:sz w:val="13"/>
          <w:szCs w:val="13"/>
        </w:rPr>
      </w:pPr>
    </w:p>
    <w:p>
      <w:pPr>
        <w:pStyle w:val="Heading3"/>
        <w:spacing w:line="240" w:lineRule="auto"/>
        <w:ind w:right="0"/>
        <w:jc w:val="left"/>
        <w:rPr>
          <w:b w:val="0"/>
          <w:bCs w:val="0"/>
        </w:rPr>
      </w:pPr>
      <w:r>
        <w:rPr/>
        <w:t>董事：</w:t>
      </w:r>
      <w:r>
        <w:rPr>
          <w:b w:val="0"/>
          <w:bCs w:val="0"/>
        </w:rPr>
      </w:r>
    </w:p>
    <w:p>
      <w:pPr>
        <w:spacing w:line="240" w:lineRule="auto" w:before="10"/>
        <w:rPr>
          <w:rFonts w:ascii="宋体" w:hAnsi="宋体" w:cs="宋体" w:eastAsia="宋体" w:hint="default"/>
          <w:b/>
          <w:bCs/>
          <w:sz w:val="14"/>
          <w:szCs w:val="14"/>
        </w:rPr>
      </w:pPr>
    </w:p>
    <w:p>
      <w:pPr>
        <w:pStyle w:val="BodyText"/>
        <w:spacing w:line="400" w:lineRule="auto"/>
        <w:ind w:right="1128" w:firstLine="419"/>
        <w:jc w:val="both"/>
      </w:pPr>
      <w:r>
        <w:rPr>
          <w:spacing w:val="-2"/>
        </w:rPr>
        <w:t>史志明先生：</w:t>
      </w:r>
      <w:r>
        <w:rPr>
          <w:rFonts w:ascii="Times New Roman" w:hAnsi="Times New Roman" w:cs="Times New Roman" w:eastAsia="Times New Roman" w:hint="default"/>
          <w:spacing w:val="-2"/>
        </w:rPr>
        <w:t>1977</w:t>
      </w:r>
      <w:r>
        <w:rPr>
          <w:spacing w:val="-2"/>
        </w:rPr>
        <w:t>年出生，无境外永久居留权，四川大学信息管理系本科毕业，西南财经大学工商管</w:t>
      </w:r>
      <w:r>
        <w:rPr>
          <w:spacing w:val="-3"/>
          <w:w w:val="100"/>
        </w:rPr>
        <w:t> </w:t>
      </w:r>
      <w:r>
        <w:rPr>
          <w:spacing w:val="-2"/>
        </w:rPr>
        <w:t>理硕士，高级工程师。历任中科院成都信息技术有限公司办公自动化事业部经理、总经理助理、常务副总</w:t>
      </w:r>
      <w:r>
        <w:rPr>
          <w:spacing w:val="-44"/>
        </w:rPr>
        <w:t> </w:t>
      </w:r>
      <w:r>
        <w:rPr>
          <w:spacing w:val="-44"/>
        </w:rPr>
      </w:r>
      <w:r>
        <w:rPr>
          <w:spacing w:val="-2"/>
        </w:rPr>
        <w:t>经理等职。现任中科院成都信息技术股份有限公司董事，成都中科信息技术有限公司法定代表人、执行董</w:t>
      </w:r>
      <w:r>
        <w:rPr>
          <w:spacing w:val="-48"/>
        </w:rPr>
        <w:t> </w:t>
      </w:r>
      <w:r>
        <w:rPr>
          <w:spacing w:val="-48"/>
        </w:rPr>
      </w:r>
      <w:r>
        <w:rPr/>
        <w:t>事兼总经理，深圳中钞科信金融科技有限公司董事。于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日起，任中科院成都信息技术股份有</w:t>
      </w:r>
      <w:r>
        <w:rPr>
          <w:spacing w:val="-28"/>
        </w:rPr>
        <w:t> </w:t>
      </w:r>
      <w:r>
        <w:rPr>
          <w:spacing w:val="-28"/>
        </w:rPr>
      </w:r>
      <w:r>
        <w:rPr>
          <w:spacing w:val="-2"/>
        </w:rPr>
        <w:t>限公司董事长、党委书记、总经理、法定代表人，不再担任中科院成都信息技术股份有限公司常务副总经</w:t>
      </w:r>
      <w:r>
        <w:rPr>
          <w:spacing w:val="-44"/>
        </w:rPr>
        <w:t> </w:t>
      </w:r>
      <w:r>
        <w:rPr>
          <w:spacing w:val="-44"/>
        </w:rPr>
      </w:r>
      <w:r>
        <w:rPr/>
        <w:t>理。</w:t>
      </w:r>
    </w:p>
    <w:p>
      <w:pPr>
        <w:pStyle w:val="BodyText"/>
        <w:spacing w:line="400" w:lineRule="auto" w:before="52"/>
        <w:ind w:right="0" w:firstLine="422"/>
        <w:jc w:val="left"/>
      </w:pPr>
      <w:r>
        <w:rPr>
          <w:spacing w:val="-2"/>
        </w:rPr>
        <w:t>王晓宇先生：</w:t>
      </w:r>
      <w:r>
        <w:rPr>
          <w:rFonts w:ascii="Times New Roman" w:hAnsi="Times New Roman" w:cs="Times New Roman" w:eastAsia="Times New Roman" w:hint="default"/>
          <w:spacing w:val="-2"/>
        </w:rPr>
        <w:t>1955</w:t>
      </w:r>
      <w:r>
        <w:rPr>
          <w:spacing w:val="-2"/>
        </w:rPr>
        <w:t>年出生，无境外永久居留权，电子科技大学经济管理学院研究生毕业，工商管理硕</w:t>
      </w:r>
      <w:r>
        <w:rPr>
          <w:w w:val="100"/>
        </w:rPr>
        <w:t> </w:t>
      </w:r>
      <w:r>
        <w:rPr>
          <w:spacing w:val="-2"/>
        </w:rPr>
        <w:t>士，研究员，享受国务院政府特殊津贴专家。历任中科院成都信息技术有限公司副总经理、总经理、董事</w:t>
      </w:r>
      <w:r>
        <w:rPr>
          <w:spacing w:val="-43"/>
        </w:rPr>
        <w:t> </w:t>
      </w:r>
      <w:r>
        <w:rPr>
          <w:spacing w:val="-43"/>
        </w:rPr>
      </w:r>
      <w:r>
        <w:rPr>
          <w:spacing w:val="-2"/>
        </w:rPr>
        <w:t>长等职。现任中国科学院控股有限公司监事、中科院成都信息技术股份有限公司董事，成都中科石油工程</w:t>
      </w:r>
      <w:r>
        <w:rPr>
          <w:spacing w:val="-43"/>
        </w:rPr>
        <w:t> </w:t>
      </w:r>
      <w:r>
        <w:rPr>
          <w:spacing w:val="-43"/>
        </w:rPr>
      </w:r>
      <w:r>
        <w:rPr>
          <w:spacing w:val="-5"/>
        </w:rPr>
        <w:t>技术股份有限公司董事长，四川省计算机学会执行理事长，菏泽市蓉信企业管理咨询中心执行事务合伙人， </w:t>
      </w:r>
      <w:r>
        <w:rPr>
          <w:spacing w:val="-5"/>
        </w:rPr>
      </w:r>
      <w:r>
        <w:rPr/>
        <w:t>菏泽宇中企业管理咨询中心法定代表人，中国科学院曼谷创新合作中心常务理事。于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日起，</w:t>
      </w:r>
      <w:r>
        <w:rPr>
          <w:spacing w:val="-29"/>
        </w:rPr>
        <w:t> </w:t>
      </w:r>
      <w:r>
        <w:rPr/>
        <w:t>不再担任中科院成都信息技术股份有限公司董事长。</w:t>
      </w:r>
    </w:p>
    <w:p>
      <w:pPr>
        <w:spacing w:after="0" w:line="400"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0" w:lineRule="auto" w:before="36"/>
        <w:ind w:right="0" w:firstLine="419"/>
        <w:jc w:val="left"/>
      </w:pPr>
      <w:r>
        <w:rPr/>
        <w:t>付忠良先生：</w:t>
      </w:r>
      <w:r>
        <w:rPr>
          <w:rFonts w:ascii="Times New Roman" w:hAnsi="Times New Roman" w:cs="Times New Roman" w:eastAsia="Times New Roman" w:hint="default"/>
        </w:rPr>
        <w:t>1967</w:t>
      </w:r>
      <w:r>
        <w:rPr/>
        <w:t>年出生，无境外永久居留权，中科院成都计算所硕士研究生毕业，研究员，享受国</w:t>
      </w:r>
      <w:r>
        <w:rPr>
          <w:w w:val="100"/>
        </w:rPr>
        <w:t> </w:t>
      </w:r>
      <w:r>
        <w:rPr>
          <w:spacing w:val="-2"/>
        </w:rPr>
        <w:t>务院政府特殊津贴专家。历任中科院成都信息技术有限公司工业计算机应用事业部经理、副总经理、常务</w:t>
      </w:r>
      <w:r>
        <w:rPr>
          <w:spacing w:val="-42"/>
        </w:rPr>
        <w:t> </w:t>
      </w:r>
      <w:r>
        <w:rPr>
          <w:spacing w:val="-42"/>
        </w:rPr>
      </w:r>
      <w:r>
        <w:rPr>
          <w:spacing w:val="-2"/>
        </w:rPr>
        <w:t>副总经理、董事、总经理等职。现任中科院成都信息技术股份有限公司董事、深圳中钞科信金融科技有限</w:t>
      </w:r>
      <w:r>
        <w:rPr>
          <w:spacing w:val="-47"/>
        </w:rPr>
        <w:t> </w:t>
      </w:r>
      <w:r>
        <w:rPr>
          <w:spacing w:val="-47"/>
        </w:rPr>
      </w:r>
      <w:r>
        <w:rPr/>
        <w:t>公司副董事长，成都中科石油工程技术股份有限公司董事，菏泽科诚企业管理咨询中心执行事务合伙人，</w:t>
      </w:r>
      <w:r>
        <w:rPr>
          <w:w w:val="100"/>
        </w:rPr>
        <w:t> </w:t>
      </w:r>
      <w:r>
        <w:rPr>
          <w:spacing w:val="-2"/>
        </w:rPr>
        <w:t>中科院金华信息技术有限公司执行董事兼法定代表人，中国科学院大学博士生导师。于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29</w:t>
      </w:r>
      <w:r>
        <w:rPr>
          <w:spacing w:val="-2"/>
        </w:rPr>
        <w:t>日起，</w:t>
      </w:r>
      <w:r>
        <w:rPr>
          <w:spacing w:val="-33"/>
        </w:rPr>
        <w:t> </w:t>
      </w:r>
      <w:r>
        <w:rPr>
          <w:spacing w:val="-33"/>
        </w:rPr>
      </w:r>
      <w:r>
        <w:rPr/>
        <w:t>任中科院成都信息技术股份有限公司副董事长，不再担任中科院成都信息技术股份有限公司总经理。</w:t>
      </w:r>
    </w:p>
    <w:p>
      <w:pPr>
        <w:pStyle w:val="BodyText"/>
        <w:spacing w:line="403" w:lineRule="auto" w:before="52"/>
        <w:ind w:left="153" w:right="0" w:firstLine="419"/>
        <w:jc w:val="left"/>
      </w:pPr>
      <w:r>
        <w:rPr>
          <w:spacing w:val="-5"/>
        </w:rPr>
        <w:t>索继栓先生：</w:t>
      </w:r>
      <w:r>
        <w:rPr>
          <w:rFonts w:ascii="Times New Roman" w:hAnsi="Times New Roman" w:cs="Times New Roman" w:eastAsia="Times New Roman" w:hint="default"/>
          <w:spacing w:val="-5"/>
        </w:rPr>
        <w:t>1964</w:t>
      </w:r>
      <w:r>
        <w:rPr>
          <w:spacing w:val="-5"/>
        </w:rPr>
        <w:t>年出生，无境外永久居留权，中科院兰州化学物理所理学博士研究生毕业，研究员。</w:t>
      </w:r>
      <w:r>
        <w:rPr>
          <w:w w:val="100"/>
        </w:rPr>
        <w:t> </w:t>
      </w:r>
      <w:r>
        <w:rPr>
          <w:spacing w:val="-2"/>
        </w:rPr>
        <w:t>历任中科院兰州化学物理所研究员、所长助理、副所长，中科院兰州分院副院长，中国科学院成都有机化</w:t>
      </w:r>
      <w:r>
        <w:rPr>
          <w:spacing w:val="-47"/>
        </w:rPr>
        <w:t> </w:t>
      </w:r>
      <w:r>
        <w:rPr>
          <w:spacing w:val="-47"/>
        </w:rPr>
      </w:r>
      <w:r>
        <w:rPr>
          <w:spacing w:val="-3"/>
        </w:rPr>
        <w:t>学有限公司董事长，国科控股副总经理、总经理等职。现任中科院成都信息技术股份有限公司董事，国科</w:t>
      </w:r>
      <w:r>
        <w:rPr>
          <w:spacing w:val="-5"/>
        </w:rPr>
        <w:t> </w:t>
      </w:r>
      <w:r>
        <w:rPr>
          <w:spacing w:val="-5"/>
        </w:rPr>
      </w:r>
      <w:r>
        <w:rPr>
          <w:spacing w:val="-2"/>
        </w:rPr>
        <w:t>控股董事长，联想控股股份有限公司董事，上海碧科清洁能源技术有限公司董事，中信国科资产管理有限</w:t>
      </w:r>
      <w:r>
        <w:rPr>
          <w:spacing w:val="-44"/>
        </w:rPr>
        <w:t> </w:t>
      </w:r>
      <w:r>
        <w:rPr>
          <w:spacing w:val="-44"/>
        </w:rPr>
      </w:r>
      <w:r>
        <w:rPr>
          <w:spacing w:val="-2"/>
        </w:rPr>
        <w:t>公司董事，中国科技出版传媒股份有限公司董事，中科院广州化学有限公司董事，联泓新材料科技股份有</w:t>
      </w:r>
      <w:r>
        <w:rPr>
          <w:spacing w:val="-44"/>
        </w:rPr>
        <w:t> </w:t>
      </w:r>
      <w:r>
        <w:rPr>
          <w:spacing w:val="-44"/>
        </w:rPr>
      </w:r>
      <w:r>
        <w:rPr>
          <w:spacing w:val="-2"/>
        </w:rPr>
        <w:t>限公司董事，中科院新材料技术有限公司董事，国科离子医疗科技有限公司董事，国科科仪控股有限公司</w:t>
      </w:r>
      <w:r>
        <w:rPr>
          <w:spacing w:val="-44"/>
        </w:rPr>
        <w:t> </w:t>
      </w:r>
      <w:r>
        <w:rPr>
          <w:spacing w:val="-44"/>
        </w:rPr>
      </w:r>
      <w:r>
        <w:rPr/>
        <w:t>董事，中国科技产业投资管理有限公司董事。于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日起任中国科学院控股有限公司董事长，不</w:t>
      </w:r>
      <w:r>
        <w:rPr>
          <w:spacing w:val="-30"/>
        </w:rPr>
        <w:t> </w:t>
      </w:r>
      <w:r>
        <w:rPr>
          <w:spacing w:val="-30"/>
        </w:rPr>
      </w:r>
      <w:r>
        <w:rPr/>
        <w:t>再担任中国科学院控股有限公司总经理。</w:t>
      </w:r>
    </w:p>
    <w:p>
      <w:pPr>
        <w:pStyle w:val="BodyText"/>
        <w:spacing w:line="405" w:lineRule="auto" w:before="50"/>
        <w:ind w:left="153" w:right="1105" w:firstLine="419"/>
        <w:jc w:val="both"/>
      </w:pPr>
      <w:r>
        <w:rPr>
          <w:spacing w:val="-2"/>
        </w:rPr>
        <w:t>张勇先生：</w:t>
      </w:r>
      <w:r>
        <w:rPr>
          <w:rFonts w:ascii="Times New Roman" w:hAnsi="Times New Roman" w:cs="Times New Roman" w:eastAsia="Times New Roman" w:hint="default"/>
          <w:spacing w:val="-2"/>
        </w:rPr>
        <w:t>1970</w:t>
      </w:r>
      <w:r>
        <w:rPr>
          <w:spacing w:val="-2"/>
        </w:rPr>
        <w:t>年出生，无境外永久居留权，清华大学研究生毕业，工商管理硕士。历任北京中科科</w:t>
      </w:r>
      <w:r>
        <w:rPr>
          <w:w w:val="100"/>
        </w:rPr>
        <w:t> </w:t>
      </w:r>
      <w:r>
        <w:rPr>
          <w:spacing w:val="-2"/>
        </w:rPr>
        <w:t>仪技术发展有限责任公司董事兼总经理，国科控股监事、股权管理部总经理、上海碧科清洁能源技术有限</w:t>
      </w:r>
      <w:r>
        <w:rPr>
          <w:spacing w:val="-48"/>
        </w:rPr>
        <w:t> </w:t>
      </w:r>
      <w:r>
        <w:rPr>
          <w:spacing w:val="-48"/>
        </w:rPr>
      </w:r>
      <w:r>
        <w:rPr>
          <w:spacing w:val="-2"/>
        </w:rPr>
        <w:t>公司董事等职。现任中科院成都信息技术股份有限公司董事，国科控股副总经理，中科实业集团（控股）</w:t>
      </w:r>
      <w:r>
        <w:rPr>
          <w:spacing w:val="-21"/>
        </w:rPr>
        <w:t> </w:t>
      </w:r>
      <w:r>
        <w:rPr>
          <w:spacing w:val="-21"/>
        </w:rPr>
      </w:r>
      <w:r>
        <w:rPr>
          <w:spacing w:val="-2"/>
        </w:rPr>
        <w:t>有限公司董事，中国科技出版传媒集团有限公司董事，东方科仪控股集团有限公司董事，中国科技产业投</w:t>
      </w:r>
      <w:r>
        <w:rPr>
          <w:spacing w:val="-43"/>
        </w:rPr>
        <w:t> </w:t>
      </w:r>
      <w:r>
        <w:rPr>
          <w:spacing w:val="-43"/>
        </w:rPr>
      </w:r>
      <w:r>
        <w:rPr>
          <w:spacing w:val="-2"/>
        </w:rPr>
        <w:t>资管理有限公司董事，中国科学院沈阳科学仪器股份有限公司董事，中科院南京天文仪器有限公司董事，</w:t>
      </w:r>
      <w:r>
        <w:rPr>
          <w:spacing w:val="-21"/>
        </w:rPr>
        <w:t> </w:t>
      </w:r>
      <w:r>
        <w:rPr>
          <w:spacing w:val="-21"/>
        </w:rPr>
      </w:r>
      <w:r>
        <w:rPr>
          <w:spacing w:val="-2"/>
        </w:rPr>
        <w:t>国科嘉和（北京）投资管理有限公司董事，国科羲裕（上海）投资管理有限公司执行董事兼总经理、法定</w:t>
      </w:r>
      <w:r>
        <w:rPr>
          <w:spacing w:val="-42"/>
        </w:rPr>
        <w:t> </w:t>
      </w:r>
      <w:r>
        <w:rPr>
          <w:spacing w:val="-42"/>
        </w:rPr>
      </w:r>
      <w:r>
        <w:rPr>
          <w:spacing w:val="-2"/>
        </w:rPr>
        <w:t>代表人，上海联升创业投资有限公司董事，广东国科创业投资有限公司董事，上海联升承业创业投资有限</w:t>
      </w:r>
      <w:r>
        <w:rPr>
          <w:spacing w:val="-47"/>
        </w:rPr>
        <w:t> </w:t>
      </w:r>
      <w:r>
        <w:rPr>
          <w:spacing w:val="-47"/>
        </w:rPr>
      </w:r>
      <w:r>
        <w:rPr>
          <w:spacing w:val="-2"/>
        </w:rPr>
        <w:t>公司董事，中信国科资产管理有限公司监事会主席，中国科技出版传媒股份有限公司董事，北京中科科仪</w:t>
      </w:r>
      <w:r>
        <w:rPr>
          <w:spacing w:val="-48"/>
        </w:rPr>
        <w:t> </w:t>
      </w:r>
      <w:r>
        <w:rPr>
          <w:spacing w:val="-48"/>
        </w:rPr>
      </w:r>
      <w:r>
        <w:rPr/>
        <w:t>股份有限公司董事，中科院资本管理有限公司董事长，中科院创业投资管理有限公司董事长。</w:t>
      </w:r>
    </w:p>
    <w:p>
      <w:pPr>
        <w:pStyle w:val="BodyText"/>
        <w:spacing w:line="400" w:lineRule="auto" w:before="48"/>
        <w:ind w:left="153" w:right="0" w:firstLine="419"/>
        <w:jc w:val="left"/>
      </w:pPr>
      <w:r>
        <w:rPr/>
        <w:t>杨红梅女士：</w:t>
      </w:r>
      <w:r>
        <w:rPr>
          <w:rFonts w:ascii="Times New Roman" w:hAnsi="Times New Roman" w:cs="Times New Roman" w:eastAsia="Times New Roman" w:hint="default"/>
        </w:rPr>
        <w:t>1972</w:t>
      </w:r>
      <w:r>
        <w:rPr/>
        <w:t>年出生，无境外永久居留权，中国科学院大学硕士研究生毕业，高级工程师。历任</w:t>
      </w:r>
      <w:r>
        <w:rPr>
          <w:w w:val="100"/>
        </w:rPr>
        <w:t> </w:t>
      </w:r>
      <w:r>
        <w:rPr>
          <w:spacing w:val="-2"/>
        </w:rPr>
        <w:t>中科院国有资产经营有限责任公司部门总经理、高级经理，中国科学院控股有限公司监事等职。现任中科</w:t>
      </w:r>
      <w:r>
        <w:rPr>
          <w:spacing w:val="-43"/>
        </w:rPr>
        <w:t> </w:t>
      </w:r>
      <w:r>
        <w:rPr>
          <w:spacing w:val="-43"/>
        </w:rPr>
      </w:r>
      <w:r>
        <w:rPr/>
        <w:t>院成都信息技术股份有限公司董事，国科控股股权管理部总经理，中国科技出版传媒集团有限公司董事，</w:t>
      </w:r>
      <w:r>
        <w:rPr>
          <w:spacing w:val="-3"/>
          <w:w w:val="100"/>
        </w:rPr>
        <w:t> </w:t>
      </w:r>
      <w:r>
        <w:rPr>
          <w:spacing w:val="-2"/>
        </w:rPr>
        <w:t>东方科仪控股集团有限公司董事，中科院创新孵化投资有限责任公司董事，中国科学院沈阳科学仪器股份</w:t>
      </w:r>
      <w:r>
        <w:rPr>
          <w:spacing w:val="-42"/>
        </w:rPr>
        <w:t> </w:t>
      </w:r>
      <w:r>
        <w:rPr>
          <w:spacing w:val="-42"/>
        </w:rPr>
      </w:r>
      <w:r>
        <w:rPr>
          <w:spacing w:val="-5"/>
        </w:rPr>
        <w:t>有限公司董事，中国科学院沈阳计算技术研究所有限公司董事，沈阳高精数控智能技术股份有限公司董事， </w:t>
      </w:r>
      <w:r>
        <w:rPr>
          <w:spacing w:val="-5"/>
        </w:rPr>
      </w:r>
      <w:r>
        <w:rPr>
          <w:spacing w:val="-2"/>
        </w:rPr>
        <w:t>北京中科院软件中心有限公司董事，中科院资本管理有限公司监事。于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月不再担任中国科学院控</w:t>
      </w:r>
      <w:r>
        <w:rPr>
          <w:spacing w:val="-36"/>
        </w:rPr>
        <w:t> </w:t>
      </w:r>
      <w:r>
        <w:rPr>
          <w:spacing w:val="-36"/>
        </w:rPr>
      </w:r>
      <w:r>
        <w:rPr/>
        <w:t>股有限公司监事。</w:t>
      </w:r>
    </w:p>
    <w:p>
      <w:pPr>
        <w:spacing w:after="0" w:line="400"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393" w:lineRule="auto" w:before="36"/>
        <w:ind w:right="0" w:firstLine="422"/>
        <w:jc w:val="left"/>
      </w:pPr>
      <w:r>
        <w:rPr>
          <w:spacing w:val="-2"/>
        </w:rPr>
        <w:t>李志蜀先生：</w:t>
      </w:r>
      <w:r>
        <w:rPr>
          <w:rFonts w:ascii="Times New Roman" w:hAnsi="Times New Roman" w:cs="Times New Roman" w:eastAsia="Times New Roman" w:hint="default"/>
          <w:spacing w:val="-2"/>
        </w:rPr>
        <w:t>1946</w:t>
      </w:r>
      <w:r>
        <w:rPr>
          <w:spacing w:val="-2"/>
        </w:rPr>
        <w:t>年出生，无境外永久居留权，四川大学无线电系研究生毕业。历任四川大学计算机</w:t>
      </w:r>
      <w:r>
        <w:rPr>
          <w:w w:val="100"/>
        </w:rPr>
        <w:t> </w:t>
      </w:r>
      <w:r>
        <w:rPr>
          <w:spacing w:val="-5"/>
        </w:rPr>
        <w:t>系讲师、副教授、教授、博士生导师、计算机系主任、计算机学院院长，四川省计算机学会常务副理事长， </w:t>
      </w:r>
      <w:r>
        <w:rPr>
          <w:spacing w:val="-5"/>
        </w:rPr>
      </w:r>
      <w:r>
        <w:rPr/>
        <w:t>国家教委高等学校工科本科计算机课程教学指导委员会委员等职（</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月退休）。现任成都万联传感</w:t>
      </w:r>
      <w:r>
        <w:rPr>
          <w:spacing w:val="-28"/>
        </w:rPr>
        <w:t> </w:t>
      </w:r>
      <w:r>
        <w:rPr>
          <w:spacing w:val="-28"/>
        </w:rPr>
      </w:r>
      <w:r>
        <w:rPr/>
        <w:t>网络技术有限公司董事长，中科院成都信息技术股份有限公司独立董事。</w:t>
      </w:r>
    </w:p>
    <w:p>
      <w:pPr>
        <w:pStyle w:val="BodyText"/>
        <w:spacing w:line="400" w:lineRule="auto" w:before="59"/>
        <w:ind w:right="0" w:firstLine="422"/>
        <w:jc w:val="left"/>
      </w:pPr>
      <w:r>
        <w:rPr>
          <w:spacing w:val="-2"/>
        </w:rPr>
        <w:t>曹德骏先生：</w:t>
      </w:r>
      <w:r>
        <w:rPr>
          <w:rFonts w:ascii="Times New Roman" w:hAnsi="Times New Roman" w:cs="Times New Roman" w:eastAsia="Times New Roman" w:hint="default"/>
          <w:spacing w:val="-2"/>
        </w:rPr>
        <w:t>1953</w:t>
      </w:r>
      <w:r>
        <w:rPr>
          <w:spacing w:val="-2"/>
        </w:rPr>
        <w:t>年出生，无境外永久居留权，西南财经大学企业管理博士，西南财经大学教授、博</w:t>
      </w:r>
      <w:r>
        <w:rPr>
          <w:w w:val="100"/>
        </w:rPr>
        <w:t> </w:t>
      </w:r>
      <w:r>
        <w:rPr>
          <w:spacing w:val="-2"/>
        </w:rPr>
        <w:t>导。历任西南财经大学外语系副主任，旅游管理学院副院长，国际商学院副院长，西南财经大学国际商学</w:t>
      </w:r>
      <w:r>
        <w:rPr>
          <w:spacing w:val="-50"/>
        </w:rPr>
        <w:t> </w:t>
      </w:r>
      <w:r>
        <w:rPr>
          <w:spacing w:val="-50"/>
        </w:rPr>
      </w:r>
      <w:r>
        <w:rPr>
          <w:spacing w:val="-5"/>
        </w:rPr>
        <w:t>院教授委员会主席，西南财经大学外事处处长，西南财经大学－纽约州立奥尔巴尼大学孔子学院中方院长， </w:t>
      </w:r>
      <w:r>
        <w:rPr>
          <w:spacing w:val="-5"/>
        </w:rPr>
      </w:r>
      <w:r>
        <w:rPr>
          <w:spacing w:val="-2"/>
        </w:rPr>
        <w:t>中国企业管理研究会常务理事，四川省政府参事，卫士通公司独立董事。</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月办理退休。现仍任西</w:t>
      </w:r>
      <w:r>
        <w:rPr>
          <w:spacing w:val="-45"/>
        </w:rPr>
        <w:t> </w:t>
      </w:r>
      <w:r>
        <w:rPr>
          <w:spacing w:val="-45"/>
        </w:rPr>
      </w:r>
      <w:r>
        <w:rPr>
          <w:spacing w:val="-2"/>
        </w:rPr>
        <w:t>南财经大学中东欧与巴尔干地区研究中心主任，国务院参事室中国自贸区建设研究中心研究员，四川省政</w:t>
      </w:r>
      <w:r>
        <w:rPr>
          <w:spacing w:val="-42"/>
        </w:rPr>
        <w:t> </w:t>
      </w:r>
      <w:r>
        <w:rPr>
          <w:spacing w:val="-42"/>
        </w:rPr>
      </w:r>
      <w:r>
        <w:rPr/>
        <w:t>府参事室特约研究员，中科院成都信息技术股份有限公司独立董事。</w:t>
      </w:r>
    </w:p>
    <w:p>
      <w:pPr>
        <w:pStyle w:val="BodyText"/>
        <w:spacing w:line="398" w:lineRule="auto" w:before="52"/>
        <w:ind w:left="153" w:right="0" w:firstLine="422"/>
        <w:jc w:val="left"/>
      </w:pPr>
      <w:r>
        <w:rPr>
          <w:spacing w:val="-2"/>
        </w:rPr>
        <w:t>周玮先生：</w:t>
      </w:r>
      <w:r>
        <w:rPr>
          <w:rFonts w:ascii="Times New Roman" w:hAnsi="Times New Roman" w:cs="Times New Roman" w:eastAsia="Times New Roman" w:hint="default"/>
          <w:spacing w:val="-2"/>
        </w:rPr>
        <w:t>1980</w:t>
      </w:r>
      <w:r>
        <w:rPr>
          <w:spacing w:val="-2"/>
        </w:rPr>
        <w:t>年出生，无境外永久居留权，西南财经大学博士研究生毕业，会计学副研究员。现任</w:t>
      </w:r>
      <w:r>
        <w:rPr>
          <w:w w:val="100"/>
        </w:rPr>
        <w:t> </w:t>
      </w:r>
      <w:r>
        <w:rPr>
          <w:spacing w:val="-5"/>
        </w:rPr>
        <w:t>西南财经大学金融学院专业教师，四川大西洋焊接材料股份有限公司、成都卫士通信息产业股份有限公司、 </w:t>
      </w:r>
      <w:r>
        <w:rPr>
          <w:spacing w:val="-5"/>
        </w:rPr>
      </w:r>
      <w:r>
        <w:rPr/>
        <w:t>成都彩虹电器（集团）股份有限公司独立董事，中科院成都信息技术股份有限公司独立董事。</w:t>
      </w:r>
    </w:p>
    <w:p>
      <w:pPr>
        <w:pStyle w:val="Heading3"/>
        <w:spacing w:line="240" w:lineRule="auto" w:before="54"/>
        <w:ind w:right="0"/>
        <w:jc w:val="left"/>
        <w:rPr>
          <w:b w:val="0"/>
          <w:bCs w:val="0"/>
        </w:rPr>
      </w:pPr>
      <w:r>
        <w:rPr/>
        <w:t>监事：</w:t>
      </w:r>
      <w:r>
        <w:rPr>
          <w:b w:val="0"/>
          <w:bCs w:val="0"/>
        </w:rPr>
      </w:r>
    </w:p>
    <w:p>
      <w:pPr>
        <w:spacing w:line="240" w:lineRule="auto" w:before="10"/>
        <w:rPr>
          <w:rFonts w:ascii="宋体" w:hAnsi="宋体" w:cs="宋体" w:eastAsia="宋体" w:hint="default"/>
          <w:b/>
          <w:bCs/>
          <w:sz w:val="14"/>
          <w:szCs w:val="14"/>
        </w:rPr>
      </w:pPr>
    </w:p>
    <w:p>
      <w:pPr>
        <w:pStyle w:val="BodyText"/>
        <w:spacing w:line="400" w:lineRule="auto"/>
        <w:ind w:right="1128" w:firstLine="420"/>
        <w:jc w:val="both"/>
      </w:pPr>
      <w:r>
        <w:rPr/>
        <w:t>帅红涛先生：</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4</w:t>
      </w:r>
      <w:r>
        <w:rPr/>
        <w:t>月出生，无境外永久居留权，清华大学自动化系硕士研究生毕业，副研究员。</w:t>
      </w:r>
      <w:r>
        <w:rPr>
          <w:w w:val="100"/>
        </w:rPr>
        <w:t> </w:t>
      </w:r>
      <w:r>
        <w:rPr>
          <w:spacing w:val="-2"/>
        </w:rPr>
        <w:t>历任中国科学院成都计算机应用研究所综合部副主任，中科院成都信息技术有限公司工业部副经理、企业</w:t>
      </w:r>
      <w:r>
        <w:rPr>
          <w:spacing w:val="-42"/>
        </w:rPr>
        <w:t> </w:t>
      </w:r>
      <w:r>
        <w:rPr>
          <w:spacing w:val="-42"/>
        </w:rPr>
      </w:r>
      <w:r>
        <w:rPr>
          <w:spacing w:val="-2"/>
        </w:rPr>
        <w:t>管理部经理、职工监事、董事等职。现任中科院成都信息技术股份有限公司监事会主席、党委副书记、纪</w:t>
      </w:r>
      <w:r>
        <w:rPr>
          <w:spacing w:val="-43"/>
        </w:rPr>
        <w:t> </w:t>
      </w:r>
      <w:r>
        <w:rPr>
          <w:spacing w:val="-43"/>
        </w:rPr>
      </w:r>
      <w:r>
        <w:rPr/>
        <w:t>委书记。</w:t>
      </w:r>
    </w:p>
    <w:p>
      <w:pPr>
        <w:pStyle w:val="BodyText"/>
        <w:spacing w:line="398" w:lineRule="auto" w:before="52"/>
        <w:ind w:right="0" w:firstLine="419"/>
        <w:jc w:val="left"/>
      </w:pPr>
      <w:r>
        <w:rPr>
          <w:spacing w:val="-5"/>
        </w:rPr>
        <w:t>肖帆先生：</w:t>
      </w:r>
      <w:r>
        <w:rPr>
          <w:rFonts w:ascii="Times New Roman" w:hAnsi="Times New Roman" w:cs="Times New Roman" w:eastAsia="Times New Roman" w:hint="default"/>
          <w:spacing w:val="-5"/>
        </w:rPr>
        <w:t>1963</w:t>
      </w:r>
      <w:r>
        <w:rPr>
          <w:spacing w:val="-5"/>
        </w:rPr>
        <w:t>年出生，无境外永久居留权，中科院成都分院数理科学研究室研究生毕业，理学硕士，</w:t>
      </w:r>
      <w:r>
        <w:rPr>
          <w:w w:val="100"/>
        </w:rPr>
        <w:t> </w:t>
      </w:r>
      <w:r>
        <w:rPr>
          <w:spacing w:val="-2"/>
        </w:rPr>
        <w:t>高级工程师。历任中科院成都信息技术有限公司市场部常务副经理、经理等职。现任中科院成都信息技术</w:t>
      </w:r>
      <w:r>
        <w:rPr>
          <w:spacing w:val="-43"/>
        </w:rPr>
        <w:t> </w:t>
      </w:r>
      <w:r>
        <w:rPr>
          <w:spacing w:val="-43"/>
        </w:rPr>
      </w:r>
      <w:r>
        <w:rPr/>
        <w:t>股份有限公司职工代表监事兼市场部经理，成都中科信息技术有限公司监事。</w:t>
      </w:r>
    </w:p>
    <w:p>
      <w:pPr>
        <w:pStyle w:val="BodyText"/>
        <w:spacing w:line="403" w:lineRule="auto" w:before="54"/>
        <w:ind w:right="1129" w:firstLine="420"/>
        <w:jc w:val="left"/>
        <w:rPr>
          <w:rFonts w:ascii="宋体" w:hAnsi="宋体" w:cs="宋体" w:eastAsia="宋体" w:hint="default"/>
        </w:rPr>
      </w:pPr>
      <w:r>
        <w:rPr>
          <w:spacing w:val="-2"/>
        </w:rPr>
        <w:t>傅敏先生：</w:t>
      </w:r>
      <w:r>
        <w:rPr>
          <w:rFonts w:ascii="Times New Roman" w:hAnsi="Times New Roman" w:cs="Times New Roman" w:eastAsia="Times New Roman" w:hint="default"/>
          <w:spacing w:val="-2"/>
        </w:rPr>
        <w:t>1965</w:t>
      </w:r>
      <w:r>
        <w:rPr>
          <w:spacing w:val="-2"/>
        </w:rPr>
        <w:t>年出生，无境外永久居留权，中国科学院力学研究所博士研究生毕业，高级工程师。</w:t>
      </w:r>
      <w:r>
        <w:rPr>
          <w:w w:val="100"/>
        </w:rPr>
        <w:t> </w:t>
      </w:r>
      <w:r>
        <w:rPr>
          <w:spacing w:val="-2"/>
        </w:rPr>
        <w:t>历任中国科学院院部机关处长，江西省科学院副院长、党组成员等职。现任中科院成都信息技术股份有限</w:t>
      </w:r>
      <w:r>
        <w:rPr>
          <w:spacing w:val="-44"/>
        </w:rPr>
        <w:t> </w:t>
      </w:r>
      <w:r>
        <w:rPr>
          <w:spacing w:val="-44"/>
        </w:rPr>
      </w:r>
      <w:r>
        <w:rPr>
          <w:spacing w:val="-2"/>
        </w:rPr>
        <w:t>公司监事，中国科学院京区企业党委办公室主任，中科院建筑设计研究院有限公司董事，北京中科院软件</w:t>
      </w:r>
      <w:r>
        <w:rPr>
          <w:spacing w:val="-43"/>
        </w:rPr>
        <w:t> </w:t>
      </w:r>
      <w:r>
        <w:rPr>
          <w:spacing w:val="-43"/>
        </w:rPr>
      </w:r>
      <w:r>
        <w:rPr/>
        <w:t>中心有限公司董事，中科院广州电子技术有限公司董事，中科院沈阳科学仪器股份有限公司监事。</w:t>
      </w:r>
      <w:r>
        <w:rPr>
          <w:w w:val="100"/>
        </w:rPr>
        <w:t> </w:t>
      </w:r>
      <w:r>
        <w:rPr>
          <w:rFonts w:ascii="宋体" w:hAnsi="宋体" w:cs="宋体" w:eastAsia="宋体" w:hint="default"/>
          <w:b/>
          <w:bCs/>
        </w:rPr>
        <w:t>高级管理人员：</w:t>
      </w:r>
      <w:r>
        <w:rPr>
          <w:rFonts w:ascii="宋体" w:hAnsi="宋体" w:cs="宋体" w:eastAsia="宋体" w:hint="default"/>
        </w:rPr>
      </w:r>
    </w:p>
    <w:p>
      <w:pPr>
        <w:pStyle w:val="BodyText"/>
        <w:spacing w:line="408" w:lineRule="auto" w:before="50"/>
        <w:ind w:left="572" w:right="2501"/>
        <w:jc w:val="left"/>
      </w:pPr>
      <w:r>
        <w:rPr>
          <w:spacing w:val="-2"/>
        </w:rPr>
        <w:t>史志明先生：简历见上述董事会成员介绍。</w:t>
      </w:r>
      <w:r>
        <w:rPr>
          <w:spacing w:val="-69"/>
        </w:rPr>
        <w:t> </w:t>
      </w:r>
      <w:r>
        <w:rPr>
          <w:spacing w:val="-69"/>
        </w:rPr>
      </w:r>
      <w:r>
        <w:rPr>
          <w:spacing w:val="-2"/>
        </w:rPr>
        <w:t>付忠良先生：简历见上述董事会成员介绍。</w:t>
      </w:r>
    </w:p>
    <w:p>
      <w:pPr>
        <w:pStyle w:val="BodyText"/>
        <w:spacing w:line="386" w:lineRule="auto" w:before="46"/>
        <w:ind w:right="0" w:firstLine="422"/>
        <w:jc w:val="left"/>
      </w:pPr>
      <w:r>
        <w:rPr>
          <w:spacing w:val="-2"/>
        </w:rPr>
        <w:t>尹邦明先生：</w:t>
      </w:r>
      <w:r>
        <w:rPr>
          <w:rFonts w:ascii="Times New Roman" w:hAnsi="Times New Roman" w:cs="Times New Roman" w:eastAsia="Times New Roman" w:hint="default"/>
          <w:spacing w:val="-2"/>
        </w:rPr>
        <w:t>1972</w:t>
      </w:r>
      <w:r>
        <w:rPr>
          <w:spacing w:val="-2"/>
        </w:rPr>
        <w:t>年出生，无境外永久居留权，兰州大学中文系毕业，文学学士。历任中科院成都信</w:t>
      </w:r>
      <w:r>
        <w:rPr>
          <w:spacing w:val="-3"/>
          <w:w w:val="100"/>
        </w:rPr>
        <w:t> </w:t>
      </w:r>
      <w:r>
        <w:rPr>
          <w:spacing w:val="-2"/>
        </w:rPr>
        <w:t>息技术有限公司办公室秘书、办公室副主任、董事会秘书、总经理助理等职。现任中科院成都信息技术股</w:t>
      </w:r>
    </w:p>
    <w:p>
      <w:pPr>
        <w:spacing w:after="0" w:line="386"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left="575" w:right="0" w:hanging="423"/>
        <w:jc w:val="left"/>
      </w:pPr>
      <w:r>
        <w:rPr/>
        <w:t>份有限公司副总经理兼董事会秘书，深圳中钞科信金融科技有限公司董事。</w:t>
      </w:r>
      <w:r>
        <w:rPr>
          <w:w w:val="100"/>
        </w:rPr>
        <w:t> </w:t>
      </w:r>
      <w:r>
        <w:rPr>
          <w:spacing w:val="-2"/>
        </w:rPr>
        <w:t>钟勇先生：</w:t>
      </w:r>
      <w:r>
        <w:rPr>
          <w:rFonts w:ascii="Times New Roman" w:hAnsi="Times New Roman" w:cs="Times New Roman" w:eastAsia="Times New Roman" w:hint="default"/>
          <w:spacing w:val="-2"/>
        </w:rPr>
        <w:t>1966</w:t>
      </w:r>
      <w:r>
        <w:rPr>
          <w:spacing w:val="-2"/>
        </w:rPr>
        <w:t>年出生，无境外永久居留权，中国科学院研究生院博士研究生毕业，研究员。历任中</w:t>
      </w:r>
    </w:p>
    <w:p>
      <w:pPr>
        <w:pStyle w:val="BodyText"/>
        <w:spacing w:line="408" w:lineRule="auto" w:before="14"/>
        <w:ind w:left="153" w:right="0"/>
        <w:jc w:val="left"/>
      </w:pPr>
      <w:r>
        <w:rPr>
          <w:spacing w:val="-2"/>
        </w:rPr>
        <w:t>科院成都信息技术有限公司总工程师等职。现任中科院成都信息技术股份有限公司副总经理、总工程师，</w:t>
      </w:r>
      <w:r>
        <w:rPr>
          <w:spacing w:val="-21"/>
        </w:rPr>
        <w:t> </w:t>
      </w:r>
      <w:r>
        <w:rPr>
          <w:spacing w:val="-21"/>
        </w:rPr>
      </w:r>
      <w:r>
        <w:rPr/>
        <w:t>中国科学院大学博士生导师。</w:t>
      </w:r>
    </w:p>
    <w:p>
      <w:pPr>
        <w:pStyle w:val="BodyText"/>
        <w:spacing w:line="398" w:lineRule="auto" w:before="46"/>
        <w:ind w:left="153" w:right="1128" w:firstLine="422"/>
        <w:jc w:val="both"/>
      </w:pPr>
      <w:r>
        <w:rPr>
          <w:spacing w:val="-2"/>
        </w:rPr>
        <w:t>王晓东先生：</w:t>
      </w:r>
      <w:r>
        <w:rPr>
          <w:rFonts w:ascii="Times New Roman" w:hAnsi="Times New Roman" w:cs="Times New Roman" w:eastAsia="Times New Roman" w:hint="default"/>
          <w:spacing w:val="-2"/>
        </w:rPr>
        <w:t>1973</w:t>
      </w:r>
      <w:r>
        <w:rPr>
          <w:spacing w:val="-2"/>
        </w:rPr>
        <w:t>年出生，无境外永久居留权，北京航空航天大学本科毕业，高级工程师。历任中科</w:t>
      </w:r>
      <w:r>
        <w:rPr>
          <w:spacing w:val="-3"/>
          <w:w w:val="100"/>
        </w:rPr>
        <w:t> </w:t>
      </w:r>
      <w:r>
        <w:rPr>
          <w:spacing w:val="-2"/>
        </w:rPr>
        <w:t>院成都信息技术有限公司总经理助理等职。现任中科院成都信息技术股份有限公司副总经理兼工业计算机</w:t>
      </w:r>
      <w:r>
        <w:rPr>
          <w:spacing w:val="-42"/>
        </w:rPr>
        <w:t> </w:t>
      </w:r>
      <w:r>
        <w:rPr>
          <w:spacing w:val="-42"/>
        </w:rPr>
      </w:r>
      <w:r>
        <w:rPr/>
        <w:t>应用事业部经理，中科院金华信息技术有限公司监事。</w:t>
      </w:r>
    </w:p>
    <w:p>
      <w:pPr>
        <w:pStyle w:val="BodyText"/>
        <w:spacing w:line="398" w:lineRule="auto" w:before="54"/>
        <w:ind w:left="153" w:right="1128" w:firstLine="422"/>
        <w:jc w:val="both"/>
      </w:pPr>
      <w:r>
        <w:rPr/>
        <w:t>方伟先生：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3</w:t>
      </w:r>
      <w:r>
        <w:rPr/>
        <w:t>月出生，无境外永久居留权，四川大学物理系毕业，理学学士，高级工程师。历</w:t>
      </w:r>
      <w:r>
        <w:rPr>
          <w:w w:val="100"/>
        </w:rPr>
        <w:t> </w:t>
      </w:r>
      <w:r>
        <w:rPr>
          <w:spacing w:val="-2"/>
        </w:rPr>
        <w:t>任成都电子研究所技术员、托普软件股份有限公司社保事业部高级经理、成都激动数码科技有限公司市场</w:t>
      </w:r>
      <w:r>
        <w:rPr>
          <w:spacing w:val="-42"/>
        </w:rPr>
        <w:t> </w:t>
      </w:r>
      <w:r>
        <w:rPr>
          <w:spacing w:val="-42"/>
        </w:rPr>
      </w:r>
      <w:r>
        <w:rPr>
          <w:spacing w:val="-2"/>
        </w:rPr>
        <w:t>部经理。</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10</w:t>
      </w:r>
      <w:r>
        <w:rPr>
          <w:spacing w:val="-2"/>
        </w:rPr>
        <w:t>月起先后任中科院成都信息技术有限公司市场部客户经理、油气市场部副经理、油气信</w:t>
      </w:r>
      <w:r>
        <w:rPr>
          <w:spacing w:val="-38"/>
        </w:rPr>
        <w:t> </w:t>
      </w:r>
      <w:r>
        <w:rPr>
          <w:spacing w:val="-38"/>
        </w:rPr>
      </w:r>
      <w:r>
        <w:rPr>
          <w:spacing w:val="-2"/>
        </w:rPr>
        <w:t>息化事业部副经理、油气信息化事业部经理。现任中科院成都信息技术股份有限公司副总经理兼油气事业</w:t>
      </w:r>
      <w:r>
        <w:rPr>
          <w:spacing w:val="-42"/>
        </w:rPr>
        <w:t> </w:t>
      </w:r>
      <w:r>
        <w:rPr>
          <w:spacing w:val="-42"/>
        </w:rPr>
      </w:r>
      <w:r>
        <w:rPr/>
        <w:t>部经理、成都中科石油工程技术股份有限公司董事、总经理。</w:t>
      </w:r>
    </w:p>
    <w:p>
      <w:pPr>
        <w:pStyle w:val="BodyText"/>
        <w:spacing w:line="400" w:lineRule="auto" w:before="54"/>
        <w:ind w:left="153" w:right="1128" w:firstLine="422"/>
        <w:jc w:val="both"/>
      </w:pPr>
      <w:r>
        <w:rPr>
          <w:spacing w:val="-2"/>
        </w:rPr>
        <w:t>刘小兵先生：</w:t>
      </w:r>
      <w:r>
        <w:rPr>
          <w:rFonts w:ascii="Times New Roman" w:hAnsi="Times New Roman" w:cs="Times New Roman" w:eastAsia="Times New Roman" w:hint="default"/>
          <w:spacing w:val="-2"/>
        </w:rPr>
        <w:t>1970</w:t>
      </w:r>
      <w:r>
        <w:rPr>
          <w:spacing w:val="-2"/>
        </w:rPr>
        <w:t>年出生，无境外永久居留权，四川大学本科毕业。历任中科院成都信息技术有限公</w:t>
      </w:r>
      <w:r>
        <w:rPr>
          <w:w w:val="100"/>
        </w:rPr>
        <w:t> </w:t>
      </w:r>
      <w:r>
        <w:rPr>
          <w:spacing w:val="-2"/>
        </w:rPr>
        <w:t>司财务部副经理、财务副总监兼财务部经理等职。现任中科院成都信息技术股份有限公司财务总监，成都</w:t>
      </w:r>
      <w:r>
        <w:rPr>
          <w:spacing w:val="-43"/>
        </w:rPr>
        <w:t> </w:t>
      </w:r>
      <w:r>
        <w:rPr>
          <w:spacing w:val="-43"/>
        </w:rPr>
      </w:r>
      <w:r>
        <w:rPr>
          <w:spacing w:val="-2"/>
        </w:rPr>
        <w:t>中科信息技术有限公司财务经理，中科院金华信息技术有限公司财务经理，深圳中钞科信金融科技有限公</w:t>
      </w:r>
      <w:r>
        <w:rPr>
          <w:spacing w:val="-42"/>
        </w:rPr>
        <w:t> </w:t>
      </w:r>
      <w:r>
        <w:rPr>
          <w:spacing w:val="-42"/>
        </w:rPr>
      </w:r>
      <w:r>
        <w:rPr/>
        <w:t>司监事长。</w:t>
      </w:r>
    </w:p>
    <w:p>
      <w:pPr>
        <w:spacing w:before="39"/>
        <w:ind w:left="15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中国科学院控股有限公司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中国科学院控股有限公司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中国科学院控股有限公司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中国科学院控股有限公司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部门总经理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9"/>
        <w:gridCol w:w="3192"/>
        <w:gridCol w:w="1063"/>
        <w:gridCol w:w="1195"/>
        <w:gridCol w:w="1325"/>
        <w:gridCol w:w="1594"/>
      </w:tblGrid>
      <w:tr>
        <w:trPr>
          <w:trHeight w:val="403" w:hRule="exact"/>
        </w:trPr>
        <w:tc>
          <w:tcPr>
            <w:tcW w:w="11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3"/>
              <w:ind w:left="76" w:right="0"/>
              <w:jc w:val="left"/>
              <w:rPr>
                <w:rFonts w:ascii="宋体" w:hAnsi="宋体" w:cs="宋体" w:eastAsia="宋体" w:hint="default"/>
                <w:sz w:val="18"/>
                <w:szCs w:val="18"/>
              </w:rPr>
            </w:pPr>
            <w:r>
              <w:rPr>
                <w:rFonts w:ascii="宋体" w:hAnsi="宋体" w:cs="宋体" w:eastAsia="宋体" w:hint="default"/>
                <w:sz w:val="18"/>
                <w:szCs w:val="18"/>
              </w:rPr>
              <w:t>在其他单位</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3"/>
              <w:ind w:left="71" w:right="0"/>
              <w:jc w:val="left"/>
              <w:rPr>
                <w:rFonts w:ascii="宋体" w:hAnsi="宋体" w:cs="宋体" w:eastAsia="宋体" w:hint="default"/>
                <w:sz w:val="18"/>
                <w:szCs w:val="18"/>
              </w:rPr>
            </w:pPr>
            <w:r>
              <w:rPr>
                <w:rFonts w:ascii="宋体" w:hAnsi="宋体" w:cs="宋体" w:eastAsia="宋体" w:hint="default"/>
                <w:sz w:val="18"/>
                <w:szCs w:val="18"/>
              </w:rPr>
              <w:t>在其他单位是否领</w:t>
            </w:r>
          </w:p>
        </w:tc>
      </w:tr>
    </w:tbl>
    <w:p>
      <w:pPr>
        <w:spacing w:after="0" w:line="240" w:lineRule="auto"/>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362" w:hRule="exact"/>
        </w:trPr>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76"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史志明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成都中科信息技术有限公司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史志明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深圳中钞科信金融科技有限公司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四川省计算机学会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执行理事长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菏泽市蓉信企业管理咨询中心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菏泽宇中企业管理咨询中心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中国科学院曼谷创新合作中心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成都中科石油工程技术股份有限公司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付忠良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成都中科石油工程技术股份有限公司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付忠良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菏泽科诚企业管理咨询中心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付忠良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中科院金华信息技术有限公司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执行董事兼 法定代表人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付忠良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深圳中钞科信金融科技有限公司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付忠良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中国科学院大学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博士生导师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联想控股股份有限公司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上海碧科清洁能源技术有限公司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中信国科资产管理有限公司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中国科技出版传媒股份有限公司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中科院广州化学有限公司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联泓新材料科技股份有限公司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中科院新材料技术有限公司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国科离子医疗科技有限公司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国科科仪控股有限公司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中国科技产业投资管理有限公司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中科实业集团（控股）有限公司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中国科技出版传媒集团有限公司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东方科仪控股集团有限公司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中国科技产业投资管理有限公司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中国科学院沈阳科学仪器股份有限公司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中科院南京天文仪器有限公司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国科嘉和（北京）投资管理有限公司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国科羲裕（上海）投资管理有限公司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上海联升创业投资有限公司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广东国科创业投资有限公司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上海联升承业创业投资有限公司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中信国科资产管理有限公司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中国科技出版传媒股份有限公司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北京中科科仪股份有限公司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中科院资本管理有限公司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中科院创业投资管理有限公司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29"/>
          <w:pgSz w:w="11910" w:h="16840"/>
          <w:pgMar w:footer="977" w:header="8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中国科技出版传媒集团有限公司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东方科仪控股集团有限公司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中科院创新孵化投资有限责任公司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中科院沈阳科学仪器股份有限公司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95"/>
              <w:jc w:val="left"/>
              <w:rPr>
                <w:rFonts w:ascii="宋体" w:hAnsi="宋体" w:cs="宋体" w:eastAsia="宋体" w:hint="default"/>
                <w:sz w:val="18"/>
                <w:szCs w:val="18"/>
              </w:rPr>
            </w:pPr>
            <w:r>
              <w:rPr>
                <w:rFonts w:ascii="宋体" w:hAnsi="宋体" w:cs="宋体" w:eastAsia="宋体" w:hint="default"/>
                <w:sz w:val="18"/>
                <w:szCs w:val="18"/>
              </w:rPr>
              <w:t>中国科学院沈阳计算技术研究所有限公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沈阳高精数控智能技术股份有限公司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北京中科院软件中心有限公司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中科院资本管理有限公司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李志蜀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成都万联传感网络技术有限公司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曹德骏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西南财经大学国际商学院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西南财经大学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四川大西洋焊接材料股份有限公司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成都彩虹电器（集团）股份有限公司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成都中科信息技术有限公司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中科院建筑设计研究院有限公司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北京中科院软件中心有限公司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中科院广州电子技术有限公司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中科院沈阳科学仪器股份有限公司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30"/>
          <w:pgSz w:w="11910" w:h="16840"/>
          <w:pgMar w:footer="977" w:header="880" w:top="1100" w:bottom="1160" w:left="980" w:right="0"/>
          <w:pgNumType w:start="101"/>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尹邦明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深圳中钞科信金融科技有限公司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刘小兵</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成都中科石油工程技术股份有限公司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刘小兵</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成都中科信息技术有限公司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刘小兵</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中科院金华信息技术有限公司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刘小兵</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深圳中钞科信金融科技有限公司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中国科学院大学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博士生导师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中国科学院大学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硕士生导师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中科院金华信息技术有限公司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 </w:t>
            </w:r>
            <w:r>
              <w:rPr>
                <w:rFonts w:ascii="宋体" w:hAnsi="宋体" w:cs="宋体" w:eastAsia="宋体" w:hint="default"/>
                <w:spacing w:val="2"/>
                <w:sz w:val="18"/>
                <w:szCs w:val="18"/>
              </w:rPr>
              <w:t> </w:t>
            </w:r>
            <w:r>
              <w:rPr>
                <w:rFonts w:ascii="宋体" w:hAnsi="宋体" w:cs="宋体" w:eastAsia="宋体" w:hint="default"/>
                <w:sz w:val="18"/>
                <w:szCs w:val="18"/>
              </w:rPr>
              <w:t>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成都中科石油工程技术股份有限公司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9"/>
      <w:bookmarkEnd w:id="129"/>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
        <w:rPr>
          <w:rFonts w:ascii="宋体" w:hAnsi="宋体" w:cs="宋体" w:eastAsia="宋体" w:hint="default"/>
          <w:sz w:val="13"/>
          <w:szCs w:val="13"/>
        </w:rPr>
      </w:pPr>
    </w:p>
    <w:p>
      <w:pPr>
        <w:pStyle w:val="BodyText"/>
        <w:spacing w:line="240" w:lineRule="auto"/>
        <w:ind w:left="572" w:right="0"/>
        <w:jc w:val="left"/>
      </w:pPr>
      <w:r>
        <w:rPr/>
        <w:t>（一）由国科控股提名但不在公司担任具体管理职务的董事和监事，均不在公司领取薪酬。</w:t>
      </w:r>
    </w:p>
    <w:p>
      <w:pPr>
        <w:spacing w:line="240" w:lineRule="auto" w:before="10"/>
        <w:rPr>
          <w:rFonts w:ascii="宋体" w:hAnsi="宋体" w:cs="宋体" w:eastAsia="宋体" w:hint="default"/>
          <w:sz w:val="14"/>
          <w:szCs w:val="14"/>
        </w:rPr>
      </w:pPr>
    </w:p>
    <w:p>
      <w:pPr>
        <w:pStyle w:val="BodyText"/>
        <w:spacing w:line="240" w:lineRule="auto"/>
        <w:ind w:left="572" w:right="0"/>
        <w:jc w:val="left"/>
      </w:pPr>
      <w:r>
        <w:rPr/>
        <w:t>（二）经公司</w:t>
      </w:r>
      <w:r>
        <w:rPr>
          <w:rFonts w:ascii="Times New Roman" w:hAnsi="Times New Roman" w:cs="Times New Roman" w:eastAsia="Times New Roman" w:hint="default"/>
        </w:rPr>
        <w:t>2019</w:t>
      </w:r>
      <w:r>
        <w:rPr/>
        <w:t>年第一次临时股东大会审议通过，向独立董事每人发放</w:t>
      </w:r>
      <w:r>
        <w:rPr>
          <w:rFonts w:ascii="Times New Roman" w:hAnsi="Times New Roman" w:cs="Times New Roman" w:eastAsia="Times New Roman" w:hint="default"/>
        </w:rPr>
        <w:t>7</w:t>
      </w:r>
      <w:r>
        <w:rPr/>
        <w:t>万元</w:t>
      </w:r>
      <w:r>
        <w:rPr>
          <w:rFonts w:ascii="Times New Roman" w:hAnsi="Times New Roman" w:cs="Times New Roman" w:eastAsia="Times New Roman" w:hint="default"/>
        </w:rPr>
        <w:t>/</w:t>
      </w:r>
      <w:r>
        <w:rPr/>
        <w:t>年的独立董事津贴。</w:t>
      </w:r>
    </w:p>
    <w:p>
      <w:pPr>
        <w:pStyle w:val="BodyText"/>
        <w:spacing w:line="408" w:lineRule="auto" w:before="177"/>
        <w:ind w:right="1129" w:firstLine="420"/>
        <w:jc w:val="both"/>
      </w:pPr>
      <w:r>
        <w:rPr>
          <w:spacing w:val="-2"/>
        </w:rPr>
        <w:t>（三）在本公司担任职务的职工监事，根据公司《岗位薪酬制度》及其在所担任的行政职务发放薪级</w:t>
      </w:r>
      <w:r>
        <w:rPr>
          <w:w w:val="100"/>
        </w:rPr>
        <w:t> </w:t>
      </w:r>
      <w:r>
        <w:rPr/>
        <w:t>工资，年终依据公司对个人的考评结果发放绩效薪酬。</w:t>
      </w:r>
    </w:p>
    <w:p>
      <w:pPr>
        <w:pStyle w:val="BodyText"/>
        <w:spacing w:line="398" w:lineRule="auto" w:before="46"/>
        <w:ind w:right="1106" w:firstLine="420"/>
        <w:jc w:val="both"/>
      </w:pPr>
      <w:r>
        <w:rPr>
          <w:spacing w:val="-2"/>
        </w:rPr>
        <w:t>（四）根据</w:t>
      </w:r>
      <w:r>
        <w:rPr>
          <w:rFonts w:ascii="Times New Roman" w:hAnsi="Times New Roman" w:cs="Times New Roman" w:eastAsia="Times New Roman" w:hint="default"/>
          <w:spacing w:val="-2"/>
        </w:rPr>
        <w:t>2017</w:t>
      </w:r>
      <w:r>
        <w:rPr>
          <w:spacing w:val="-2"/>
        </w:rPr>
        <w:t>年度股东大会审议通过的《高管人员经营业绩考核暂行办法》，对公司高管人员实施</w:t>
      </w:r>
      <w:r>
        <w:rPr>
          <w:w w:val="100"/>
        </w:rPr>
        <w:t> </w:t>
      </w:r>
      <w:r>
        <w:rPr>
          <w:spacing w:val="-2"/>
        </w:rPr>
        <w:t>年薪制（公司</w:t>
      </w:r>
      <w:r>
        <w:rPr>
          <w:rFonts w:ascii="Times New Roman" w:hAnsi="Times New Roman" w:cs="Times New Roman" w:eastAsia="Times New Roman" w:hint="default"/>
          <w:spacing w:val="-2"/>
        </w:rPr>
        <w:t>“</w:t>
      </w:r>
      <w:r>
        <w:rPr>
          <w:spacing w:val="-2"/>
        </w:rPr>
        <w:t>高管人员</w:t>
      </w:r>
      <w:r>
        <w:rPr>
          <w:rFonts w:ascii="Times New Roman" w:hAnsi="Times New Roman" w:cs="Times New Roman" w:eastAsia="Times New Roman" w:hint="default"/>
          <w:spacing w:val="-2"/>
        </w:rPr>
        <w:t>”</w:t>
      </w:r>
      <w:r>
        <w:rPr>
          <w:spacing w:val="-2"/>
        </w:rPr>
        <w:t>特指：在本公司支取薪酬的董事（不包括独立董事）、监事会主席、党委书记、</w:t>
      </w:r>
      <w:r>
        <w:rPr>
          <w:spacing w:val="-18"/>
        </w:rPr>
        <w:t> </w:t>
      </w:r>
      <w:r>
        <w:rPr>
          <w:spacing w:val="-18"/>
        </w:rPr>
      </w:r>
      <w:r>
        <w:rPr>
          <w:spacing w:val="-2"/>
        </w:rPr>
        <w:t>党委副书记、纪委书记，董事会聘任的总经理、副总经理、董事会秘书、财务负责人及公司章程认定的其</w:t>
      </w:r>
      <w:r>
        <w:rPr>
          <w:spacing w:val="-43"/>
        </w:rPr>
        <w:t> </w:t>
      </w:r>
      <w:r>
        <w:rPr>
          <w:spacing w:val="-43"/>
        </w:rPr>
      </w:r>
      <w:r>
        <w:rPr>
          <w:spacing w:val="-2"/>
        </w:rPr>
        <w:t>他高级管理人员）。上述高管人员经营业绩考核以年度考核为主，辅以任期考核，任期考核以激励为主，</w:t>
      </w:r>
      <w:r>
        <w:rPr>
          <w:spacing w:val="-21"/>
        </w:rPr>
        <w:t> </w:t>
      </w:r>
      <w:r>
        <w:rPr>
          <w:spacing w:val="-21"/>
        </w:rPr>
      </w:r>
      <w:r>
        <w:rPr/>
        <w:t>考核结果与年度薪酬和任期激励挂钩。经营业绩考核工作遵循以下原则：</w:t>
      </w:r>
    </w:p>
    <w:p>
      <w:pPr>
        <w:pStyle w:val="BodyText"/>
        <w:spacing w:line="240" w:lineRule="auto" w:before="54"/>
        <w:ind w:left="573" w:right="0"/>
        <w:jc w:val="left"/>
      </w:pPr>
      <w:r>
        <w:rPr>
          <w:rFonts w:ascii="Times New Roman" w:hAnsi="Times New Roman" w:cs="Times New Roman" w:eastAsia="Times New Roman" w:hint="default"/>
        </w:rPr>
        <w:t>1</w:t>
      </w:r>
      <w:r>
        <w:rPr/>
        <w:t>、有利于国有资产保值增值和公司价值最大化。</w:t>
      </w:r>
    </w:p>
    <w:p>
      <w:pPr>
        <w:spacing w:after="0" w:line="240"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left="572" w:right="0"/>
        <w:jc w:val="left"/>
      </w:pPr>
      <w:r>
        <w:rPr>
          <w:rFonts w:ascii="Times New Roman" w:hAnsi="Times New Roman" w:cs="Times New Roman" w:eastAsia="Times New Roman" w:hint="default"/>
        </w:rPr>
        <w:t>2</w:t>
      </w:r>
      <w:r>
        <w:rPr/>
        <w:t>、有利于公司提高战略管理能力和自主创新水平，不断增强公司核心竞争力和可持续发展能力。</w:t>
      </w:r>
    </w:p>
    <w:p>
      <w:pPr>
        <w:pStyle w:val="BodyText"/>
        <w:spacing w:line="386" w:lineRule="auto" w:before="177"/>
        <w:ind w:right="1133" w:firstLine="420"/>
        <w:jc w:val="both"/>
      </w:pPr>
      <w:r>
        <w:rPr>
          <w:rFonts w:ascii="Times New Roman" w:hAnsi="Times New Roman" w:cs="Times New Roman" w:eastAsia="Times New Roman" w:hint="default"/>
        </w:rPr>
        <w:t>3</w:t>
      </w:r>
      <w:r>
        <w:rPr/>
        <w:t>、有利于推动公司建立健全绩效管理体系，增强公司管控力和执行力，确保国有资产保值增值责任</w:t>
      </w:r>
      <w:r>
        <w:rPr>
          <w:w w:val="100"/>
        </w:rPr>
        <w:t> </w:t>
      </w:r>
      <w:r>
        <w:rPr/>
        <w:t>层层落实。</w:t>
      </w:r>
    </w:p>
    <w:p>
      <w:pPr>
        <w:pStyle w:val="BodyText"/>
        <w:spacing w:line="398" w:lineRule="auto" w:before="65"/>
        <w:ind w:left="572" w:right="1129"/>
        <w:jc w:val="left"/>
      </w:pPr>
      <w:r>
        <w:rPr>
          <w:rFonts w:ascii="Times New Roman" w:hAnsi="Times New Roman" w:cs="Times New Roman" w:eastAsia="Times New Roman" w:hint="default"/>
        </w:rPr>
        <w:t>4</w:t>
      </w:r>
      <w:r>
        <w:rPr/>
        <w:t>、有利于落实公司发展规划，提高考核的针对性和有效性。</w:t>
      </w:r>
      <w:r>
        <w:rPr>
          <w:w w:val="100"/>
        </w:rPr>
        <w:t> </w:t>
      </w:r>
      <w:r>
        <w:rPr/>
        <w:t>上述高管人员年度经营业绩考核程序为：</w:t>
      </w:r>
      <w:r>
        <w:rPr>
          <w:w w:val="100"/>
        </w:rPr>
        <w:t> </w:t>
      </w:r>
      <w:r>
        <w:rPr>
          <w:rFonts w:ascii="Times New Roman" w:hAnsi="Times New Roman" w:cs="Times New Roman" w:eastAsia="Times New Roman" w:hint="default"/>
        </w:rPr>
        <w:t>1</w:t>
      </w:r>
      <w:r>
        <w:rPr/>
        <w:t>、在相关董事会会议召开前，董事会薪酬与考核委员会应将审核后的公司年度经营业绩考核结果提</w:t>
      </w:r>
    </w:p>
    <w:p>
      <w:pPr>
        <w:pStyle w:val="BodyText"/>
        <w:spacing w:line="240" w:lineRule="auto" w:before="24"/>
        <w:ind w:right="0"/>
        <w:jc w:val="left"/>
      </w:pPr>
      <w:r>
        <w:rPr/>
        <w:t>交监事会主席复核，监事会主席在复核后的考核结果书面文件上签字确认。</w:t>
      </w:r>
    </w:p>
    <w:p>
      <w:pPr>
        <w:spacing w:line="240" w:lineRule="auto" w:before="10"/>
        <w:rPr>
          <w:rFonts w:ascii="宋体" w:hAnsi="宋体" w:cs="宋体" w:eastAsia="宋体" w:hint="default"/>
          <w:sz w:val="14"/>
          <w:szCs w:val="14"/>
        </w:rPr>
      </w:pPr>
    </w:p>
    <w:p>
      <w:pPr>
        <w:pStyle w:val="BodyText"/>
        <w:spacing w:line="386" w:lineRule="auto"/>
        <w:ind w:right="1133" w:firstLine="420"/>
        <w:jc w:val="both"/>
      </w:pPr>
      <w:r>
        <w:rPr>
          <w:rFonts w:ascii="Times New Roman" w:hAnsi="Times New Roman" w:cs="Times New Roman" w:eastAsia="Times New Roman" w:hint="default"/>
        </w:rPr>
        <w:t>2</w:t>
      </w:r>
      <w:r>
        <w:rPr/>
        <w:t>、董事会薪酬与考核委员会根据考核结果及董事长、总经理的相关奖惩提议，提出正式的考核与奖</w:t>
      </w:r>
      <w:r>
        <w:rPr>
          <w:w w:val="100"/>
        </w:rPr>
        <w:t> </w:t>
      </w:r>
      <w:r>
        <w:rPr/>
        <w:t>惩专项议案提交董事会议审议通过后执行。</w:t>
      </w:r>
    </w:p>
    <w:p>
      <w:pPr>
        <w:pStyle w:val="BodyText"/>
        <w:spacing w:line="386" w:lineRule="auto" w:before="65"/>
        <w:ind w:right="1128" w:firstLine="420"/>
        <w:jc w:val="both"/>
      </w:pPr>
      <w:r>
        <w:rPr>
          <w:rFonts w:ascii="Times New Roman" w:hAnsi="Times New Roman" w:cs="Times New Roman" w:eastAsia="Times New Roman" w:hint="default"/>
        </w:rPr>
        <w:t>3</w:t>
      </w:r>
      <w:r>
        <w:rPr/>
        <w:t>、董事会应指定专人将董事会最终审定的考核与奖惩结果反馈给上述高管人员。高管人员对考核结</w:t>
      </w:r>
      <w:r>
        <w:rPr>
          <w:w w:val="100"/>
        </w:rPr>
        <w:t> </w:t>
      </w:r>
      <w:r>
        <w:rPr>
          <w:spacing w:val="-2"/>
        </w:rPr>
        <w:t>果有异议的，可在</w:t>
      </w:r>
      <w:r>
        <w:rPr>
          <w:rFonts w:ascii="Times New Roman" w:hAnsi="Times New Roman" w:cs="Times New Roman" w:eastAsia="Times New Roman" w:hint="default"/>
          <w:spacing w:val="-2"/>
        </w:rPr>
        <w:t>10</w:t>
      </w:r>
      <w:r>
        <w:rPr>
          <w:spacing w:val="-2"/>
        </w:rPr>
        <w:t>日内向董事会或监事会书面反映，董事会须根据反映情况或监事会提议及时作出书面</w:t>
      </w:r>
      <w:r>
        <w:rPr>
          <w:spacing w:val="-41"/>
        </w:rPr>
        <w:t> </w:t>
      </w:r>
      <w:r>
        <w:rPr>
          <w:spacing w:val="-41"/>
        </w:rPr>
      </w:r>
      <w:r>
        <w:rPr/>
        <w:t>答复。</w:t>
      </w:r>
    </w:p>
    <w:p>
      <w:pPr>
        <w:spacing w:before="128"/>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line="240" w:lineRule="auto" w:before="11"/>
        <w:rPr>
          <w:rFonts w:ascii="宋体" w:hAnsi="宋体" w:cs="宋体" w:eastAsia="宋体" w:hint="default"/>
          <w:sz w:val="14"/>
          <w:szCs w:val="14"/>
        </w:rPr>
      </w:pPr>
    </w:p>
    <w:p>
      <w:pPr>
        <w:spacing w:before="0"/>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史志明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63.59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王晓宇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89.63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素继栓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付忠良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李志蜀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曹德骏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黄泽永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赖肇庆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帅红涛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80.02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傅敏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肖帆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18.73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尹邦明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副总经理、董事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53.35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会秘书</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钟勇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56.22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52.49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刘小兵</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53.35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方伟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620.99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公司员工情况" w:id="130"/>
      <w:bookmarkEnd w:id="130"/>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31"/>
      <w:bookmarkEnd w:id="131"/>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293</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480</w:t>
            </w:r>
          </w:p>
        </w:tc>
      </w:tr>
      <w:tr>
        <w:trPr>
          <w:trHeight w:val="408"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218</w:t>
            </w:r>
          </w:p>
        </w:tc>
      </w:tr>
      <w:tr>
        <w:trPr>
          <w:trHeight w:val="396"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332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6"/>
              <w:jc w:val="right"/>
              <w:rPr>
                <w:rFonts w:ascii="Times New Roman" w:hAnsi="Times New Roman" w:cs="Times New Roman" w:eastAsia="Times New Roman" w:hint="default"/>
                <w:sz w:val="18"/>
                <w:szCs w:val="18"/>
              </w:rPr>
            </w:pPr>
            <w:r>
              <w:rPr>
                <w:rFonts w:ascii="Times New Roman"/>
                <w:spacing w:val="-6"/>
                <w:w w:val="95"/>
                <w:sz w:val="18"/>
              </w:rPr>
              <w:t>111</w:t>
            </w:r>
            <w:r>
              <w:rPr>
                <w:rFonts w:ascii="Times New Roman"/>
                <w:w w:val="95"/>
                <w:sz w:val="18"/>
              </w:rPr>
            </w:r>
          </w:p>
        </w:tc>
      </w:tr>
      <w:tr>
        <w:trPr>
          <w:trHeight w:val="408"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480</w:t>
            </w:r>
          </w:p>
        </w:tc>
      </w:tr>
      <w:tr>
        <w:trPr>
          <w:trHeight w:val="396"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480</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薪酬政策" w:id="132"/>
      <w:bookmarkEnd w:id="132"/>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firstLine="420"/>
        <w:jc w:val="left"/>
      </w:pPr>
      <w:r>
        <w:rPr>
          <w:spacing w:val="-2"/>
        </w:rPr>
        <w:t>公司薪酬与考核体系严格遵守国家法律规定，根据公司战略发展方向及人力资源职能战略要求，结合</w:t>
      </w:r>
      <w:r>
        <w:rPr>
          <w:w w:val="100"/>
        </w:rPr>
        <w:t> </w:t>
      </w:r>
      <w:r>
        <w:rPr>
          <w:spacing w:val="-2"/>
        </w:rPr>
        <w:t>公司发展现状制定。在制定过程中，我们以地区薪酬水平为基础，广泛参考了同行业高科技企业的薪酬水</w:t>
      </w:r>
    </w:p>
    <w:p>
      <w:pPr>
        <w:spacing w:after="0" w:line="408"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024"/>
        <w:jc w:val="left"/>
      </w:pPr>
      <w:r>
        <w:rPr>
          <w:spacing w:val="-5"/>
        </w:rPr>
        <w:t>平，同时结合公司业务战略的预期目标，使公司整体薪酬政策体现出了综合竞争性，以此稳定和吸引人才。 </w:t>
      </w:r>
      <w:r>
        <w:rPr>
          <w:spacing w:val="-2"/>
        </w:rPr>
        <w:t>为建立内部公平性，公司主要根据员工从事岗位的绩效情况，员工所具备的业务技能水平以及对公司的长</w:t>
      </w:r>
      <w:r>
        <w:rPr>
          <w:spacing w:val="-42"/>
        </w:rPr>
        <w:t> </w:t>
      </w:r>
      <w:r>
        <w:rPr>
          <w:spacing w:val="-42"/>
        </w:rPr>
      </w:r>
      <w:r>
        <w:rPr>
          <w:spacing w:val="-5"/>
        </w:rPr>
        <w:t>期贡献度，综合确定员工的薪酬水平，体现出稳定性、差异性和合理性。同时，作为一家上市高科技企业，</w:t>
      </w:r>
      <w:r>
        <w:rPr>
          <w:spacing w:val="-7"/>
        </w:rPr>
        <w:t> </w:t>
      </w:r>
      <w:r>
        <w:rPr>
          <w:spacing w:val="-7"/>
        </w:rPr>
      </w:r>
      <w:r>
        <w:rPr>
          <w:spacing w:val="-2"/>
        </w:rPr>
        <w:t>公司积极鼓励员工创新，设计创新激励方案，实行创新专项奖励，以推动公司各项工作的创新水平不断发</w:t>
      </w:r>
      <w:r>
        <w:rPr>
          <w:spacing w:val="-43"/>
        </w:rPr>
        <w:t> </w:t>
      </w:r>
      <w:r>
        <w:rPr>
          <w:spacing w:val="-43"/>
        </w:rPr>
      </w:r>
      <w:r>
        <w:rPr/>
        <w:t>展。</w:t>
      </w:r>
    </w:p>
    <w:p>
      <w:pPr>
        <w:spacing w:before="110"/>
        <w:ind w:left="15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12"/>
        <w:rPr>
          <w:rFonts w:ascii="宋体" w:hAnsi="宋体" w:cs="宋体" w:eastAsia="宋体" w:hint="default"/>
          <w:sz w:val="17"/>
          <w:szCs w:val="17"/>
        </w:rPr>
      </w:pPr>
    </w:p>
    <w:p>
      <w:pPr>
        <w:pStyle w:val="BodyText"/>
        <w:spacing w:line="240" w:lineRule="auto"/>
        <w:ind w:left="572" w:right="0"/>
        <w:jc w:val="left"/>
      </w:pPr>
      <w:r>
        <w:rPr/>
        <w:t>报告期内，公司人工成本占营业成本比重为</w:t>
      </w:r>
      <w:r>
        <w:rPr>
          <w:rFonts w:ascii="Times New Roman" w:hAnsi="Times New Roman" w:cs="Times New Roman" w:eastAsia="Times New Roman" w:hint="default"/>
        </w:rPr>
        <w:t>14.05%</w:t>
      </w:r>
      <w:r>
        <w:rPr/>
        <w:t>，同比增加</w:t>
      </w:r>
      <w:r>
        <w:rPr>
          <w:rFonts w:ascii="Times New Roman" w:hAnsi="Times New Roman" w:cs="Times New Roman" w:eastAsia="Times New Roman" w:hint="default"/>
        </w:rPr>
        <w:t>0.74%</w:t>
      </w:r>
      <w:r>
        <w:rPr/>
        <w:t>。核心人员数量占员工总数的</w:t>
      </w:r>
    </w:p>
    <w:p>
      <w:pPr>
        <w:pStyle w:val="BodyText"/>
        <w:spacing w:line="240" w:lineRule="auto" w:before="177"/>
        <w:ind w:right="0"/>
        <w:jc w:val="left"/>
      </w:pPr>
      <w:r>
        <w:rPr>
          <w:rFonts w:ascii="Times New Roman" w:hAnsi="Times New Roman" w:cs="Times New Roman" w:eastAsia="Times New Roman" w:hint="default"/>
        </w:rPr>
        <w:t>1.88%</w:t>
      </w:r>
      <w:r>
        <w:rPr/>
        <w:t>，核心人员薪酬占员工薪酬总数比重为</w:t>
      </w:r>
      <w:r>
        <w:rPr>
          <w:rFonts w:ascii="Times New Roman" w:hAnsi="Times New Roman" w:cs="Times New Roman" w:eastAsia="Times New Roman" w:hint="default"/>
        </w:rPr>
        <w:t>15.65%</w:t>
      </w:r>
      <w:r>
        <w:rPr/>
        <w:t>。</w:t>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bookmarkStart w:name="3、培训计划" w:id="133"/>
      <w:bookmarkEnd w:id="133"/>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9"/>
        <w:rPr>
          <w:rFonts w:ascii="宋体" w:hAnsi="宋体" w:cs="宋体" w:eastAsia="宋体" w:hint="default"/>
          <w:b/>
          <w:bCs/>
          <w:sz w:val="25"/>
          <w:szCs w:val="25"/>
        </w:rPr>
      </w:pPr>
    </w:p>
    <w:tbl>
      <w:tblPr>
        <w:tblW w:w="0" w:type="auto"/>
        <w:jc w:val="left"/>
        <w:tblInd w:w="150" w:type="dxa"/>
        <w:tblLayout w:type="fixed"/>
        <w:tblCellMar>
          <w:top w:w="0" w:type="dxa"/>
          <w:left w:w="0" w:type="dxa"/>
          <w:bottom w:w="0" w:type="dxa"/>
          <w:right w:w="0" w:type="dxa"/>
        </w:tblCellMar>
        <w:tblLook w:val="01E0"/>
      </w:tblPr>
      <w:tblGrid>
        <w:gridCol w:w="622"/>
        <w:gridCol w:w="622"/>
        <w:gridCol w:w="1272"/>
        <w:gridCol w:w="1498"/>
        <w:gridCol w:w="2227"/>
        <w:gridCol w:w="994"/>
        <w:gridCol w:w="1474"/>
        <w:gridCol w:w="677"/>
      </w:tblGrid>
      <w:tr>
        <w:trPr>
          <w:trHeight w:val="346"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培训名称</w:t>
            </w:r>
            <w:r>
              <w:rPr>
                <w:rFonts w:ascii="宋体" w:hAnsi="宋体" w:cs="宋体" w:eastAsia="宋体" w:hint="default"/>
                <w:sz w:val="18"/>
                <w:szCs w:val="18"/>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9" w:right="0"/>
              <w:jc w:val="left"/>
              <w:rPr>
                <w:rFonts w:ascii="宋体" w:hAnsi="宋体" w:cs="宋体" w:eastAsia="宋体" w:hint="default"/>
                <w:sz w:val="18"/>
                <w:szCs w:val="18"/>
              </w:rPr>
            </w:pPr>
            <w:r>
              <w:rPr>
                <w:rFonts w:ascii="宋体" w:hAnsi="宋体" w:cs="宋体" w:eastAsia="宋体" w:hint="default"/>
                <w:b/>
                <w:bCs/>
                <w:sz w:val="18"/>
                <w:szCs w:val="18"/>
              </w:rPr>
              <w:t>培训目的</w:t>
            </w:r>
            <w:r>
              <w:rPr>
                <w:rFonts w:ascii="宋体" w:hAnsi="宋体" w:cs="宋体" w:eastAsia="宋体" w:hint="default"/>
                <w:sz w:val="18"/>
                <w:szCs w:val="18"/>
              </w:rPr>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培训内容</w:t>
            </w:r>
            <w:r>
              <w:rPr>
                <w:rFonts w:ascii="宋体" w:hAnsi="宋体" w:cs="宋体" w:eastAsia="宋体" w:hint="default"/>
                <w:sz w:val="18"/>
                <w:szCs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培训对象</w:t>
            </w:r>
            <w:r>
              <w:rPr>
                <w:rFonts w:ascii="宋体" w:hAnsi="宋体" w:cs="宋体" w:eastAsia="宋体" w:hint="default"/>
                <w:sz w:val="18"/>
                <w:szCs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7" w:right="0"/>
              <w:jc w:val="left"/>
              <w:rPr>
                <w:rFonts w:ascii="宋体" w:hAnsi="宋体" w:cs="宋体" w:eastAsia="宋体" w:hint="default"/>
                <w:sz w:val="18"/>
                <w:szCs w:val="18"/>
              </w:rPr>
            </w:pPr>
            <w:r>
              <w:rPr>
                <w:rFonts w:ascii="宋体" w:hAnsi="宋体" w:cs="宋体" w:eastAsia="宋体" w:hint="default"/>
                <w:b/>
                <w:bCs/>
                <w:sz w:val="18"/>
                <w:szCs w:val="18"/>
              </w:rPr>
              <w:t>预计经费</w:t>
            </w:r>
            <w:r>
              <w:rPr>
                <w:rFonts w:ascii="宋体" w:hAnsi="宋体" w:cs="宋体" w:eastAsia="宋体" w:hint="default"/>
                <w:sz w:val="18"/>
                <w:szCs w:val="18"/>
              </w:rPr>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51"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1596" w:hRule="exact"/>
        </w:trPr>
        <w:tc>
          <w:tcPr>
            <w:tcW w:w="622" w:type="dxa"/>
            <w:vMerge w:val="restart"/>
            <w:tcBorders>
              <w:top w:val="single" w:sz="6" w:space="0" w:color="000000"/>
              <w:left w:val="single" w:sz="6" w:space="0" w:color="000000"/>
              <w:right w:val="single" w:sz="6" w:space="0" w:color="000000"/>
            </w:tcBorders>
          </w:tcPr>
          <w:p>
            <w:pPr>
              <w:pStyle w:val="TableParagraph"/>
              <w:spacing w:line="316" w:lineRule="auto" w:before="22"/>
              <w:ind w:left="216" w:right="209"/>
              <w:jc w:val="both"/>
              <w:rPr>
                <w:rFonts w:ascii="宋体" w:hAnsi="宋体" w:cs="宋体" w:eastAsia="宋体" w:hint="default"/>
                <w:sz w:val="18"/>
                <w:szCs w:val="18"/>
              </w:rPr>
            </w:pPr>
            <w:r>
              <w:rPr>
                <w:rFonts w:ascii="宋体" w:hAnsi="宋体" w:cs="宋体" w:eastAsia="宋体" w:hint="default"/>
                <w:b/>
                <w:bCs/>
                <w:sz w:val="18"/>
                <w:szCs w:val="18"/>
              </w:rPr>
              <w:t>内</w:t>
            </w:r>
            <w:r>
              <w:rPr>
                <w:rFonts w:ascii="宋体" w:hAnsi="宋体" w:cs="宋体" w:eastAsia="宋体" w:hint="default"/>
                <w:b/>
                <w:bCs/>
                <w:w w:val="99"/>
                <w:sz w:val="18"/>
                <w:szCs w:val="18"/>
              </w:rPr>
              <w:t> </w:t>
            </w:r>
            <w:r>
              <w:rPr>
                <w:rFonts w:ascii="宋体" w:hAnsi="宋体" w:cs="宋体" w:eastAsia="宋体" w:hint="default"/>
                <w:b/>
                <w:bCs/>
                <w:sz w:val="18"/>
                <w:szCs w:val="18"/>
              </w:rPr>
              <w:t>部</w:t>
            </w:r>
            <w:r>
              <w:rPr>
                <w:rFonts w:ascii="宋体" w:hAnsi="宋体" w:cs="宋体" w:eastAsia="宋体" w:hint="default"/>
                <w:b/>
                <w:bCs/>
                <w:w w:val="99"/>
                <w:sz w:val="18"/>
                <w:szCs w:val="18"/>
              </w:rPr>
              <w:t> </w:t>
            </w:r>
            <w:r>
              <w:rPr>
                <w:rFonts w:ascii="宋体" w:hAnsi="宋体" w:cs="宋体" w:eastAsia="宋体" w:hint="default"/>
                <w:b/>
                <w:bCs/>
                <w:sz w:val="18"/>
                <w:szCs w:val="18"/>
              </w:rPr>
              <w:t>培</w:t>
            </w:r>
            <w:r>
              <w:rPr>
                <w:rFonts w:ascii="宋体" w:hAnsi="宋体" w:cs="宋体" w:eastAsia="宋体" w:hint="default"/>
                <w:b/>
                <w:bCs/>
                <w:w w:val="99"/>
                <w:sz w:val="18"/>
                <w:szCs w:val="18"/>
              </w:rPr>
              <w:t> </w:t>
            </w:r>
            <w:r>
              <w:rPr>
                <w:rFonts w:ascii="宋体" w:hAnsi="宋体" w:cs="宋体" w:eastAsia="宋体" w:hint="default"/>
                <w:b/>
                <w:bCs/>
                <w:sz w:val="18"/>
                <w:szCs w:val="18"/>
              </w:rPr>
              <w:t>训</w:t>
            </w:r>
            <w:r>
              <w:rPr>
                <w:rFonts w:ascii="宋体" w:hAnsi="宋体" w:cs="宋体" w:eastAsia="宋体" w:hint="default"/>
                <w:sz w:val="18"/>
                <w:szCs w:val="18"/>
              </w:rPr>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1</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540" w:right="86" w:hanging="452"/>
              <w:jc w:val="left"/>
              <w:rPr>
                <w:rFonts w:ascii="宋体" w:hAnsi="宋体" w:cs="宋体" w:eastAsia="宋体" w:hint="default"/>
                <w:sz w:val="18"/>
                <w:szCs w:val="18"/>
              </w:rPr>
            </w:pPr>
            <w:r>
              <w:rPr>
                <w:rFonts w:ascii="宋体" w:hAnsi="宋体" w:cs="宋体" w:eastAsia="宋体" w:hint="default"/>
                <w:sz w:val="18"/>
                <w:szCs w:val="18"/>
              </w:rPr>
              <w:t>新员工入职培 训</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 w:right="38"/>
              <w:jc w:val="both"/>
              <w:rPr>
                <w:rFonts w:ascii="宋体" w:hAnsi="宋体" w:cs="宋体" w:eastAsia="宋体" w:hint="default"/>
                <w:sz w:val="18"/>
                <w:szCs w:val="18"/>
              </w:rPr>
            </w:pPr>
            <w:r>
              <w:rPr>
                <w:rFonts w:ascii="宋体" w:hAnsi="宋体" w:cs="宋体" w:eastAsia="宋体" w:hint="default"/>
                <w:sz w:val="18"/>
                <w:szCs w:val="18"/>
              </w:rPr>
              <w:t>促进新入职员工融 入企业文化，了解 企业制度，提升岗 位胜任能力。</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2"/>
              <w:ind w:left="2" w:right="-41"/>
              <w:jc w:val="left"/>
              <w:rPr>
                <w:rFonts w:ascii="宋体" w:hAnsi="宋体" w:cs="宋体" w:eastAsia="宋体" w:hint="default"/>
                <w:sz w:val="18"/>
                <w:szCs w:val="18"/>
              </w:rPr>
            </w:pPr>
            <w:r>
              <w:rPr>
                <w:rFonts w:ascii="宋体" w:hAnsi="宋体" w:cs="宋体" w:eastAsia="宋体" w:hint="default"/>
                <w:sz w:val="18"/>
                <w:szCs w:val="18"/>
              </w:rPr>
              <w:t>培训时间为新员工集中入职 的第一周，一般在</w:t>
            </w:r>
            <w:r>
              <w:rPr>
                <w:rFonts w:ascii="Times New Roman" w:hAnsi="Times New Roman" w:cs="Times New Roman" w:eastAsia="Times New Roman" w:hint="default"/>
                <w:sz w:val="18"/>
                <w:szCs w:val="18"/>
              </w:rPr>
              <w:t>7</w:t>
            </w:r>
            <w:r>
              <w:rPr>
                <w:rFonts w:ascii="宋体" w:hAnsi="宋体" w:cs="宋体" w:eastAsia="宋体" w:hint="default"/>
                <w:sz w:val="18"/>
                <w:szCs w:val="18"/>
              </w:rPr>
              <w:t>月上旬。 课程内容为企业文化、规章 制度、安全和保密教育、职 场素养及户外拓展训练等。</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p>
            <w:pPr>
              <w:pStyle w:val="TableParagraph"/>
              <w:spacing w:line="300" w:lineRule="auto" w:before="62"/>
              <w:ind w:left="40" w:right="31" w:hanging="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宋体" w:hAnsi="宋体" w:cs="宋体" w:eastAsia="宋体" w:hint="default"/>
                <w:w w:val="99"/>
                <w:sz w:val="18"/>
                <w:szCs w:val="18"/>
              </w:rPr>
              <w:t> </w:t>
            </w:r>
            <w:r>
              <w:rPr>
                <w:rFonts w:ascii="宋体" w:hAnsi="宋体" w:cs="宋体" w:eastAsia="宋体" w:hint="default"/>
                <w:sz w:val="18"/>
                <w:szCs w:val="18"/>
              </w:rPr>
              <w:t>入职新员工</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p>
            <w:pPr>
              <w:pStyle w:val="TableParagraph"/>
              <w:spacing w:line="300" w:lineRule="auto" w:before="62"/>
              <w:ind w:left="2" w:right="5"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月入职新</w:t>
            </w:r>
            <w:r>
              <w:rPr>
                <w:rFonts w:ascii="宋体" w:hAnsi="宋体" w:cs="宋体" w:eastAsia="宋体" w:hint="default"/>
                <w:w w:val="99"/>
                <w:sz w:val="18"/>
                <w:szCs w:val="18"/>
              </w:rPr>
              <w:t> </w:t>
            </w:r>
            <w:r>
              <w:rPr>
                <w:rFonts w:ascii="宋体" w:hAnsi="宋体" w:cs="宋体" w:eastAsia="宋体" w:hint="default"/>
                <w:sz w:val="18"/>
                <w:szCs w:val="18"/>
              </w:rPr>
              <w:t>员工人数确定。</w:t>
            </w:r>
          </w:p>
        </w:tc>
        <w:tc>
          <w:tcPr>
            <w:tcW w:w="677" w:type="dxa"/>
            <w:tcBorders>
              <w:top w:val="single" w:sz="6" w:space="0" w:color="000000"/>
              <w:left w:val="single" w:sz="6" w:space="0" w:color="000000"/>
              <w:bottom w:val="single" w:sz="6" w:space="0" w:color="000000"/>
              <w:right w:val="single" w:sz="6" w:space="0" w:color="000000"/>
            </w:tcBorders>
          </w:tcPr>
          <w:p>
            <w:pPr/>
          </w:p>
        </w:tc>
      </w:tr>
      <w:tr>
        <w:trPr>
          <w:trHeight w:val="1908" w:hRule="exact"/>
        </w:trPr>
        <w:tc>
          <w:tcPr>
            <w:tcW w:w="622" w:type="dxa"/>
            <w:vMerge/>
            <w:tcBorders>
              <w:left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80" w:right="86" w:hanging="92"/>
              <w:jc w:val="left"/>
              <w:rPr>
                <w:rFonts w:ascii="宋体" w:hAnsi="宋体" w:cs="宋体" w:eastAsia="宋体" w:hint="default"/>
                <w:sz w:val="18"/>
                <w:szCs w:val="18"/>
              </w:rPr>
            </w:pPr>
            <w:r>
              <w:rPr>
                <w:rFonts w:ascii="宋体" w:hAnsi="宋体" w:cs="宋体" w:eastAsia="宋体" w:hint="default"/>
                <w:sz w:val="18"/>
                <w:szCs w:val="18"/>
              </w:rPr>
              <w:t>内训会、交流 会、研讨会</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8"/>
              <w:jc w:val="both"/>
              <w:rPr>
                <w:rFonts w:ascii="宋体" w:hAnsi="宋体" w:cs="宋体" w:eastAsia="宋体" w:hint="default"/>
                <w:sz w:val="18"/>
                <w:szCs w:val="18"/>
              </w:rPr>
            </w:pPr>
            <w:r>
              <w:rPr>
                <w:rFonts w:ascii="宋体" w:hAnsi="宋体" w:cs="宋体" w:eastAsia="宋体" w:hint="default"/>
                <w:sz w:val="18"/>
                <w:szCs w:val="18"/>
              </w:rPr>
              <w:t>促进员工间的知识 与经验交流，实现 技术传承和经验沉 淀。提升员工对行 业技术和发展趋势 的关注</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48"/>
              <w:jc w:val="both"/>
              <w:rPr>
                <w:rFonts w:ascii="宋体" w:hAnsi="宋体" w:cs="宋体" w:eastAsia="宋体" w:hint="default"/>
                <w:sz w:val="18"/>
                <w:szCs w:val="18"/>
              </w:rPr>
            </w:pPr>
            <w:r>
              <w:rPr>
                <w:rFonts w:ascii="宋体" w:hAnsi="宋体" w:cs="宋体" w:eastAsia="宋体" w:hint="default"/>
                <w:sz w:val="18"/>
                <w:szCs w:val="18"/>
              </w:rPr>
              <w:t>与内部讲师制度相结合，视 企业发展和员工成长需要适 时开展。培训内容为技能传 授、管理能力、经验分享、 前沿技术探讨等。</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公司员工</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9"/>
              <w:ind w:left="2" w:right="14"/>
              <w:jc w:val="left"/>
              <w:rPr>
                <w:rFonts w:ascii="宋体" w:hAnsi="宋体" w:cs="宋体" w:eastAsia="宋体" w:hint="default"/>
                <w:sz w:val="18"/>
                <w:szCs w:val="18"/>
              </w:rPr>
            </w:pPr>
            <w:r>
              <w:rPr>
                <w:rFonts w:ascii="宋体" w:hAnsi="宋体" w:cs="宋体" w:eastAsia="宋体" w:hint="default"/>
                <w:sz w:val="18"/>
                <w:szCs w:val="18"/>
              </w:rPr>
              <w:t>按照《中科院成都 信息技术股份有限 公司培训管理制 度》中关于讲师和 课程的管理办法执 行</w:t>
            </w:r>
          </w:p>
        </w:tc>
        <w:tc>
          <w:tcPr>
            <w:tcW w:w="677" w:type="dxa"/>
            <w:tcBorders>
              <w:top w:val="single" w:sz="6" w:space="0" w:color="000000"/>
              <w:left w:val="single" w:sz="6" w:space="0" w:color="000000"/>
              <w:bottom w:val="single" w:sz="6" w:space="0" w:color="000000"/>
              <w:right w:val="single" w:sz="6" w:space="0" w:color="000000"/>
            </w:tcBorders>
          </w:tcPr>
          <w:p>
            <w:pPr/>
          </w:p>
        </w:tc>
      </w:tr>
      <w:tr>
        <w:trPr>
          <w:trHeight w:val="2218" w:hRule="exact"/>
        </w:trPr>
        <w:tc>
          <w:tcPr>
            <w:tcW w:w="622" w:type="dxa"/>
            <w:vMerge/>
            <w:tcBorders>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40" w:right="86" w:hanging="452"/>
              <w:jc w:val="left"/>
              <w:rPr>
                <w:rFonts w:ascii="宋体" w:hAnsi="宋体" w:cs="宋体" w:eastAsia="宋体" w:hint="default"/>
                <w:sz w:val="18"/>
                <w:szCs w:val="18"/>
              </w:rPr>
            </w:pPr>
            <w:r>
              <w:rPr>
                <w:rFonts w:ascii="宋体" w:hAnsi="宋体" w:cs="宋体" w:eastAsia="宋体" w:hint="default"/>
                <w:sz w:val="18"/>
                <w:szCs w:val="18"/>
              </w:rPr>
              <w:t>保密教育和培 训</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8"/>
              <w:jc w:val="both"/>
              <w:rPr>
                <w:rFonts w:ascii="宋体" w:hAnsi="宋体" w:cs="宋体" w:eastAsia="宋体" w:hint="default"/>
                <w:sz w:val="18"/>
                <w:szCs w:val="18"/>
              </w:rPr>
            </w:pPr>
            <w:r>
              <w:rPr>
                <w:rFonts w:ascii="宋体" w:hAnsi="宋体" w:cs="宋体" w:eastAsia="宋体" w:hint="default"/>
                <w:sz w:val="18"/>
                <w:szCs w:val="18"/>
              </w:rPr>
              <w:t>根据保密工作和涉 密资质的管理要求 开展</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48"/>
              <w:jc w:val="left"/>
              <w:rPr>
                <w:rFonts w:ascii="宋体" w:hAnsi="宋体" w:cs="宋体" w:eastAsia="宋体" w:hint="default"/>
                <w:sz w:val="18"/>
                <w:szCs w:val="18"/>
              </w:rPr>
            </w:pPr>
            <w:r>
              <w:rPr>
                <w:rFonts w:ascii="宋体" w:hAnsi="宋体" w:cs="宋体" w:eastAsia="宋体" w:hint="default"/>
                <w:sz w:val="18"/>
                <w:szCs w:val="18"/>
              </w:rPr>
              <w:t>国家保密工作法规和公司保 密工作规则制度。</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0" w:right="36"/>
              <w:jc w:val="center"/>
              <w:rPr>
                <w:rFonts w:ascii="宋体" w:hAnsi="宋体" w:cs="宋体" w:eastAsia="宋体" w:hint="default"/>
                <w:sz w:val="18"/>
                <w:szCs w:val="18"/>
              </w:rPr>
            </w:pPr>
            <w:r>
              <w:rPr>
                <w:rFonts w:ascii="宋体" w:hAnsi="宋体" w:cs="宋体" w:eastAsia="宋体" w:hint="default"/>
                <w:sz w:val="18"/>
                <w:szCs w:val="18"/>
              </w:rPr>
              <w:t>全体员工， 重点针对公 司、子公司 的涉密人员 和专、兼职 保密管理工 作人员</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9"/>
              <w:ind w:left="9" w:right="7"/>
              <w:jc w:val="center"/>
              <w:rPr>
                <w:rFonts w:ascii="宋体" w:hAnsi="宋体" w:cs="宋体" w:eastAsia="宋体" w:hint="default"/>
                <w:sz w:val="18"/>
                <w:szCs w:val="18"/>
              </w:rPr>
            </w:pPr>
            <w:r>
              <w:rPr>
                <w:rFonts w:ascii="宋体" w:hAnsi="宋体" w:cs="宋体" w:eastAsia="宋体" w:hint="default"/>
                <w:sz w:val="18"/>
                <w:szCs w:val="18"/>
              </w:rPr>
              <w:t>按照《中科院成都 信息技术股份有限 公司培训管理制 度》中关于讲师和 课程的管理办法执 行</w:t>
            </w:r>
          </w:p>
        </w:tc>
        <w:tc>
          <w:tcPr>
            <w:tcW w:w="677" w:type="dxa"/>
            <w:tcBorders>
              <w:top w:val="single" w:sz="6" w:space="0" w:color="000000"/>
              <w:left w:val="single" w:sz="6" w:space="0" w:color="000000"/>
              <w:bottom w:val="single" w:sz="6" w:space="0" w:color="000000"/>
              <w:right w:val="single" w:sz="6" w:space="0" w:color="000000"/>
            </w:tcBorders>
          </w:tcPr>
          <w:p>
            <w:pPr/>
          </w:p>
        </w:tc>
      </w:tr>
      <w:tr>
        <w:trPr>
          <w:trHeight w:val="1908" w:hRule="exact"/>
        </w:trPr>
        <w:tc>
          <w:tcPr>
            <w:tcW w:w="622" w:type="dxa"/>
            <w:vMerge w:val="restart"/>
            <w:tcBorders>
              <w:top w:val="single" w:sz="6" w:space="0" w:color="000000"/>
              <w:left w:val="single" w:sz="6" w:space="0" w:color="000000"/>
              <w:right w:val="single" w:sz="6" w:space="0" w:color="000000"/>
            </w:tcBorders>
          </w:tcPr>
          <w:p>
            <w:pPr>
              <w:pStyle w:val="TableParagraph"/>
              <w:spacing w:line="316" w:lineRule="auto" w:before="22"/>
              <w:ind w:left="216" w:right="209"/>
              <w:jc w:val="both"/>
              <w:rPr>
                <w:rFonts w:ascii="宋体" w:hAnsi="宋体" w:cs="宋体" w:eastAsia="宋体" w:hint="default"/>
                <w:sz w:val="18"/>
                <w:szCs w:val="18"/>
              </w:rPr>
            </w:pPr>
            <w:r>
              <w:rPr>
                <w:rFonts w:ascii="宋体" w:hAnsi="宋体" w:cs="宋体" w:eastAsia="宋体" w:hint="default"/>
                <w:b/>
                <w:bCs/>
                <w:sz w:val="18"/>
                <w:szCs w:val="18"/>
              </w:rPr>
              <w:t>外</w:t>
            </w:r>
            <w:r>
              <w:rPr>
                <w:rFonts w:ascii="宋体" w:hAnsi="宋体" w:cs="宋体" w:eastAsia="宋体" w:hint="default"/>
                <w:b/>
                <w:bCs/>
                <w:w w:val="99"/>
                <w:sz w:val="18"/>
                <w:szCs w:val="18"/>
              </w:rPr>
              <w:t> </w:t>
            </w:r>
            <w:r>
              <w:rPr>
                <w:rFonts w:ascii="宋体" w:hAnsi="宋体" w:cs="宋体" w:eastAsia="宋体" w:hint="default"/>
                <w:b/>
                <w:bCs/>
                <w:sz w:val="18"/>
                <w:szCs w:val="18"/>
              </w:rPr>
              <w:t>部</w:t>
            </w:r>
            <w:r>
              <w:rPr>
                <w:rFonts w:ascii="宋体" w:hAnsi="宋体" w:cs="宋体" w:eastAsia="宋体" w:hint="default"/>
                <w:b/>
                <w:bCs/>
                <w:w w:val="99"/>
                <w:sz w:val="18"/>
                <w:szCs w:val="18"/>
              </w:rPr>
              <w:t> </w:t>
            </w:r>
            <w:r>
              <w:rPr>
                <w:rFonts w:ascii="宋体" w:hAnsi="宋体" w:cs="宋体" w:eastAsia="宋体" w:hint="default"/>
                <w:b/>
                <w:bCs/>
                <w:sz w:val="18"/>
                <w:szCs w:val="18"/>
              </w:rPr>
              <w:t>培</w:t>
            </w:r>
            <w:r>
              <w:rPr>
                <w:rFonts w:ascii="宋体" w:hAnsi="宋体" w:cs="宋体" w:eastAsia="宋体" w:hint="default"/>
                <w:b/>
                <w:bCs/>
                <w:w w:val="99"/>
                <w:sz w:val="18"/>
                <w:szCs w:val="18"/>
              </w:rPr>
              <w:t> </w:t>
            </w:r>
            <w:r>
              <w:rPr>
                <w:rFonts w:ascii="宋体" w:hAnsi="宋体" w:cs="宋体" w:eastAsia="宋体" w:hint="default"/>
                <w:b/>
                <w:bCs/>
                <w:sz w:val="18"/>
                <w:szCs w:val="18"/>
              </w:rPr>
              <w:t>训</w:t>
            </w:r>
            <w:r>
              <w:rPr>
                <w:rFonts w:ascii="宋体" w:hAnsi="宋体" w:cs="宋体" w:eastAsia="宋体" w:hint="default"/>
                <w:sz w:val="18"/>
                <w:szCs w:val="18"/>
              </w:rPr>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1</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益策公开课</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 w:right="38"/>
              <w:jc w:val="left"/>
              <w:rPr>
                <w:rFonts w:ascii="宋体" w:hAnsi="宋体" w:cs="宋体" w:eastAsia="宋体" w:hint="default"/>
                <w:sz w:val="18"/>
                <w:szCs w:val="18"/>
              </w:rPr>
            </w:pPr>
            <w:r>
              <w:rPr>
                <w:rFonts w:ascii="宋体" w:hAnsi="宋体" w:cs="宋体" w:eastAsia="宋体" w:hint="default"/>
                <w:sz w:val="18"/>
                <w:szCs w:val="18"/>
              </w:rPr>
              <w:t>提高员工综合素 质，为员工建立正 确价值观，了解前 沿技术，掌握先进 管理办法提供学习 渠道。</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 w:right="48"/>
              <w:jc w:val="both"/>
              <w:rPr>
                <w:rFonts w:ascii="宋体" w:hAnsi="宋体" w:cs="宋体" w:eastAsia="宋体" w:hint="default"/>
                <w:sz w:val="18"/>
                <w:szCs w:val="18"/>
              </w:rPr>
            </w:pPr>
            <w:r>
              <w:rPr>
                <w:rFonts w:ascii="宋体" w:hAnsi="宋体" w:cs="宋体" w:eastAsia="宋体" w:hint="default"/>
                <w:sz w:val="18"/>
                <w:szCs w:val="18"/>
              </w:rPr>
              <w:t>课程内容主要为价值观、前 沿技术、思维方法、团队建 设，管理工具等</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309" w:right="36" w:hanging="269"/>
              <w:jc w:val="left"/>
              <w:rPr>
                <w:rFonts w:ascii="宋体" w:hAnsi="宋体" w:cs="宋体" w:eastAsia="宋体" w:hint="default"/>
                <w:sz w:val="18"/>
                <w:szCs w:val="18"/>
              </w:rPr>
            </w:pPr>
            <w:r>
              <w:rPr>
                <w:rFonts w:ascii="宋体" w:hAnsi="宋体" w:cs="宋体" w:eastAsia="宋体" w:hint="default"/>
                <w:sz w:val="18"/>
                <w:szCs w:val="18"/>
              </w:rPr>
              <w:t>各部门骨干 员工</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76" w:right="7" w:hanging="68"/>
              <w:jc w:val="left"/>
              <w:rPr>
                <w:rFonts w:ascii="宋体" w:hAnsi="宋体" w:cs="宋体" w:eastAsia="宋体" w:hint="default"/>
                <w:sz w:val="18"/>
                <w:szCs w:val="18"/>
              </w:rPr>
            </w:pPr>
            <w:r>
              <w:rPr>
                <w:rFonts w:ascii="宋体" w:hAnsi="宋体" w:cs="宋体" w:eastAsia="宋体" w:hint="default"/>
                <w:sz w:val="18"/>
                <w:szCs w:val="18"/>
              </w:rPr>
              <w:t>购买年度套餐，价 格为：</w:t>
            </w:r>
            <w:r>
              <w:rPr>
                <w:rFonts w:ascii="Times New Roman" w:hAnsi="Times New Roman" w:cs="Times New Roman" w:eastAsia="Times New Roman" w:hint="default"/>
                <w:sz w:val="18"/>
                <w:szCs w:val="18"/>
              </w:rPr>
              <w:t>128,888</w:t>
            </w:r>
            <w:r>
              <w:rPr>
                <w:rFonts w:ascii="宋体" w:hAnsi="宋体" w:cs="宋体" w:eastAsia="宋体" w:hint="default"/>
                <w:sz w:val="18"/>
                <w:szCs w:val="18"/>
              </w:rPr>
              <w:t>元</w:t>
            </w:r>
          </w:p>
        </w:tc>
        <w:tc>
          <w:tcPr>
            <w:tcW w:w="677" w:type="dxa"/>
            <w:tcBorders>
              <w:top w:val="single" w:sz="6" w:space="0" w:color="000000"/>
              <w:left w:val="single" w:sz="6" w:space="0" w:color="000000"/>
              <w:bottom w:val="single" w:sz="6" w:space="0" w:color="000000"/>
              <w:right w:val="single" w:sz="6" w:space="0" w:color="000000"/>
            </w:tcBorders>
          </w:tcPr>
          <w:p>
            <w:pPr/>
          </w:p>
        </w:tc>
      </w:tr>
      <w:tr>
        <w:trPr>
          <w:trHeight w:val="972" w:hRule="exact"/>
        </w:trPr>
        <w:tc>
          <w:tcPr>
            <w:tcW w:w="622" w:type="dxa"/>
            <w:vMerge/>
            <w:tcBorders>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智联公开课</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2" w:right="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、提高员工综合素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质，为员工建立正 确价值观，了解前</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48"/>
              <w:jc w:val="both"/>
              <w:rPr>
                <w:rFonts w:ascii="宋体" w:hAnsi="宋体" w:cs="宋体" w:eastAsia="宋体" w:hint="default"/>
                <w:sz w:val="18"/>
                <w:szCs w:val="18"/>
              </w:rPr>
            </w:pPr>
            <w:r>
              <w:rPr>
                <w:rFonts w:ascii="宋体" w:hAnsi="宋体" w:cs="宋体" w:eastAsia="宋体" w:hint="default"/>
                <w:sz w:val="18"/>
                <w:szCs w:val="18"/>
              </w:rPr>
              <w:t>课程内容主要为价值观、前 沿技术、思维方法、团队建 设，管理工具等</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09" w:right="36" w:hanging="269"/>
              <w:jc w:val="left"/>
              <w:rPr>
                <w:rFonts w:ascii="宋体" w:hAnsi="宋体" w:cs="宋体" w:eastAsia="宋体" w:hint="default"/>
                <w:sz w:val="18"/>
                <w:szCs w:val="18"/>
              </w:rPr>
            </w:pPr>
            <w:r>
              <w:rPr>
                <w:rFonts w:ascii="宋体" w:hAnsi="宋体" w:cs="宋体" w:eastAsia="宋体" w:hint="default"/>
                <w:sz w:val="18"/>
                <w:szCs w:val="18"/>
              </w:rPr>
              <w:t>各部门骨干 员工</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11" w:right="7" w:hanging="202"/>
              <w:jc w:val="left"/>
              <w:rPr>
                <w:rFonts w:ascii="宋体" w:hAnsi="宋体" w:cs="宋体" w:eastAsia="宋体" w:hint="default"/>
                <w:sz w:val="18"/>
                <w:szCs w:val="18"/>
              </w:rPr>
            </w:pPr>
            <w:r>
              <w:rPr>
                <w:rFonts w:ascii="宋体" w:hAnsi="宋体" w:cs="宋体" w:eastAsia="宋体" w:hint="default"/>
                <w:sz w:val="18"/>
                <w:szCs w:val="18"/>
              </w:rPr>
              <w:t>购买年度套餐，价 格为</w:t>
            </w:r>
            <w:r>
              <w:rPr>
                <w:rFonts w:ascii="Times New Roman" w:hAnsi="Times New Roman" w:cs="Times New Roman" w:eastAsia="Times New Roman" w:hint="default"/>
                <w:sz w:val="18"/>
                <w:szCs w:val="18"/>
              </w:rPr>
              <w:t>23,980</w:t>
            </w:r>
            <w:r>
              <w:rPr>
                <w:rFonts w:ascii="宋体" w:hAnsi="宋体" w:cs="宋体" w:eastAsia="宋体" w:hint="default"/>
                <w:sz w:val="18"/>
                <w:szCs w:val="18"/>
              </w:rPr>
              <w:t>元</w:t>
            </w:r>
          </w:p>
        </w:tc>
        <w:tc>
          <w:tcPr>
            <w:tcW w:w="67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0" w:footer="977" w:top="1100" w:bottom="1160" w:left="980" w:right="0"/>
        </w:sectPr>
      </w:pPr>
    </w:p>
    <w:p>
      <w:pPr>
        <w:spacing w:line="240" w:lineRule="auto" w:before="1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0" w:footer="977" w:top="1100" w:bottom="1160" w:left="980" w:right="0"/>
        </w:sect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23"/>
          <w:szCs w:val="23"/>
        </w:rPr>
      </w:pPr>
    </w:p>
    <w:p>
      <w:pPr>
        <w:tabs>
          <w:tab w:pos="1496" w:val="left" w:leader="none"/>
        </w:tabs>
        <w:spacing w:before="0"/>
        <w:ind w:left="1045"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tab/>
      </w:r>
      <w:r>
        <w:rPr>
          <w:rFonts w:ascii="宋体" w:hAnsi="宋体" w:cs="宋体" w:eastAsia="宋体" w:hint="default"/>
          <w:sz w:val="18"/>
          <w:szCs w:val="18"/>
        </w:rPr>
        <w:t>执业教育与培</w:t>
      </w:r>
    </w:p>
    <w:p>
      <w:pPr>
        <w:spacing w:line="314" w:lineRule="auto" w:before="44"/>
        <w:ind w:left="65" w:right="6748" w:firstLine="0"/>
        <w:jc w:val="left"/>
        <w:rPr>
          <w:rFonts w:ascii="宋体" w:hAnsi="宋体" w:cs="宋体" w:eastAsia="宋体" w:hint="default"/>
          <w:sz w:val="18"/>
          <w:szCs w:val="18"/>
        </w:rPr>
      </w:pPr>
      <w:r>
        <w:rPr/>
        <w:br w:type="column"/>
      </w:r>
      <w:r>
        <w:rPr>
          <w:rFonts w:ascii="宋体" w:hAnsi="宋体" w:cs="宋体" w:eastAsia="宋体" w:hint="default"/>
          <w:sz w:val="18"/>
          <w:szCs w:val="18"/>
        </w:rPr>
        <w:t>沿技术，掌握先进 管理办法提供学习 渠道。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、扩大公开课选择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面，实现与益策资 源的互补。</w:t>
      </w:r>
    </w:p>
    <w:p>
      <w:pPr>
        <w:spacing w:before="56"/>
        <w:ind w:left="65" w:right="0" w:firstLine="0"/>
        <w:jc w:val="left"/>
        <w:rPr>
          <w:rFonts w:ascii="宋体" w:hAnsi="宋体" w:cs="宋体" w:eastAsia="宋体" w:hint="default"/>
          <w:sz w:val="18"/>
          <w:szCs w:val="18"/>
        </w:rPr>
      </w:pPr>
      <w:r>
        <w:rPr/>
        <w:pict>
          <v:group style="position:absolute;margin-left:56.52pt;margin-top:-94.689255pt;width:469.95pt;height:587.450pt;mso-position-horizontal-relative:page;mso-position-vertical-relative:paragraph;z-index:-985840" coordorigin="1130,-1894" coordsize="9399,11749">
            <v:group style="position:absolute;left:1145;top:-1879;width:608;height:2" coordorigin="1145,-1879" coordsize="608,2">
              <v:shape style="position:absolute;left:1145;top:-1879;width:608;height:2" coordorigin="1145,-1879" coordsize="608,0" path="m1145,-1879l1752,-1879e" filled="false" stroked="true" strokeweight=".72pt" strokecolor="#000000">
                <v:path arrowok="t"/>
              </v:shape>
            </v:group>
            <v:group style="position:absolute;left:1766;top:-1879;width:608;height:2" coordorigin="1766,-1879" coordsize="608,2">
              <v:shape style="position:absolute;left:1766;top:-1879;width:608;height:2" coordorigin="1766,-1879" coordsize="608,0" path="m1766,-1879l2374,-1879e" filled="false" stroked="true" strokeweight=".72pt" strokecolor="#000000">
                <v:path arrowok="t"/>
              </v:shape>
            </v:group>
            <v:group style="position:absolute;left:2388;top:-1879;width:1258;height:2" coordorigin="2388,-1879" coordsize="1258,2">
              <v:shape style="position:absolute;left:2388;top:-1879;width:1258;height:2" coordorigin="2388,-1879" coordsize="1258,0" path="m2388,-1879l3646,-1879e" filled="false" stroked="true" strokeweight=".72pt" strokecolor="#000000">
                <v:path arrowok="t"/>
              </v:shape>
            </v:group>
            <v:group style="position:absolute;left:3660;top:-1879;width:1484;height:2" coordorigin="3660,-1879" coordsize="1484,2">
              <v:shape style="position:absolute;left:3660;top:-1879;width:1484;height:2" coordorigin="3660,-1879" coordsize="1484,0" path="m3660,-1879l5143,-1879e" filled="false" stroked="true" strokeweight=".72pt" strokecolor="#000000">
                <v:path arrowok="t"/>
              </v:shape>
            </v:group>
            <v:group style="position:absolute;left:5158;top:-1879;width:2213;height:2" coordorigin="5158,-1879" coordsize="2213,2">
              <v:shape style="position:absolute;left:5158;top:-1879;width:2213;height:2" coordorigin="5158,-1879" coordsize="2213,0" path="m5158,-1879l7370,-1879e" filled="false" stroked="true" strokeweight=".72pt" strokecolor="#000000">
                <v:path arrowok="t"/>
              </v:shape>
            </v:group>
            <v:group style="position:absolute;left:7385;top:-1879;width:980;height:2" coordorigin="7385,-1879" coordsize="980,2">
              <v:shape style="position:absolute;left:7385;top:-1879;width:980;height:2" coordorigin="7385,-1879" coordsize="980,0" path="m7385,-1879l8364,-1879e" filled="false" stroked="true" strokeweight=".72pt" strokecolor="#000000">
                <v:path arrowok="t"/>
              </v:shape>
            </v:group>
            <v:group style="position:absolute;left:8378;top:-1879;width:1460;height:2" coordorigin="8378,-1879" coordsize="1460,2">
              <v:shape style="position:absolute;left:8378;top:-1879;width:1460;height:2" coordorigin="8378,-1879" coordsize="1460,0" path="m8378,-1879l9838,-1879e" filled="false" stroked="true" strokeweight=".72pt" strokecolor="#000000">
                <v:path arrowok="t"/>
              </v:shape>
            </v:group>
            <v:group style="position:absolute;left:9852;top:-1879;width:663;height:2" coordorigin="9852,-1879" coordsize="663,2">
              <v:shape style="position:absolute;left:9852;top:-1879;width:663;height:2" coordorigin="9852,-1879" coordsize="663,0" path="m9852,-1879l10514,-1879e" filled="false" stroked="true" strokeweight=".72pt" strokecolor="#000000">
                <v:path arrowok="t"/>
              </v:shape>
            </v:group>
            <v:group style="position:absolute;left:1145;top:1310;width:608;height:2" coordorigin="1145,1310" coordsize="608,2">
              <v:shape style="position:absolute;left:1145;top:1310;width:608;height:2" coordorigin="1145,1310" coordsize="608,0" path="m1145,1310l1752,1310e" filled="false" stroked="true" strokeweight=".72pt" strokecolor="#000000">
                <v:path arrowok="t"/>
              </v:shape>
            </v:group>
            <v:group style="position:absolute;left:1766;top:1310;width:608;height:2" coordorigin="1766,1310" coordsize="608,2">
              <v:shape style="position:absolute;left:1766;top:1310;width:608;height:2" coordorigin="1766,1310" coordsize="608,0" path="m1766,1310l2374,1310e" filled="false" stroked="true" strokeweight=".72pt" strokecolor="#000000">
                <v:path arrowok="t"/>
              </v:shape>
            </v:group>
            <v:group style="position:absolute;left:2388;top:1310;width:1258;height:2" coordorigin="2388,1310" coordsize="1258,2">
              <v:shape style="position:absolute;left:2388;top:1310;width:1258;height:2" coordorigin="2388,1310" coordsize="1258,0" path="m2388,1310l3646,1310e" filled="false" stroked="true" strokeweight=".72pt" strokecolor="#000000">
                <v:path arrowok="t"/>
              </v:shape>
            </v:group>
            <v:group style="position:absolute;left:3660;top:1310;width:1484;height:2" coordorigin="3660,1310" coordsize="1484,2">
              <v:shape style="position:absolute;left:3660;top:1310;width:1484;height:2" coordorigin="3660,1310" coordsize="1484,0" path="m3660,1310l5143,1310e" filled="false" stroked="true" strokeweight=".72pt" strokecolor="#000000">
                <v:path arrowok="t"/>
              </v:shape>
            </v:group>
            <v:group style="position:absolute;left:5158;top:1310;width:2213;height:2" coordorigin="5158,1310" coordsize="2213,2">
              <v:shape style="position:absolute;left:5158;top:1310;width:2213;height:2" coordorigin="5158,1310" coordsize="2213,0" path="m5158,1310l7370,1310e" filled="false" stroked="true" strokeweight=".72pt" strokecolor="#000000">
                <v:path arrowok="t"/>
              </v:shape>
            </v:group>
            <v:group style="position:absolute;left:7385;top:1310;width:980;height:2" coordorigin="7385,1310" coordsize="980,2">
              <v:shape style="position:absolute;left:7385;top:1310;width:980;height:2" coordorigin="7385,1310" coordsize="980,0" path="m7385,1310l8364,1310e" filled="false" stroked="true" strokeweight=".72pt" strokecolor="#000000">
                <v:path arrowok="t"/>
              </v:shape>
            </v:group>
            <v:group style="position:absolute;left:8378;top:1310;width:1460;height:2" coordorigin="8378,1310" coordsize="1460,2">
              <v:shape style="position:absolute;left:8378;top:1310;width:1460;height:2" coordorigin="8378,1310" coordsize="1460,0" path="m8378,1310l9838,1310e" filled="false" stroked="true" strokeweight=".72pt" strokecolor="#000000">
                <v:path arrowok="t"/>
              </v:shape>
            </v:group>
            <v:group style="position:absolute;left:9852;top:1310;width:663;height:2" coordorigin="9852,1310" coordsize="663,2">
              <v:shape style="position:absolute;left:9852;top:1310;width:663;height:2" coordorigin="9852,1310" coordsize="663,0" path="m9852,1310l10514,1310e" filled="false" stroked="true" strokeweight=".72pt" strokecolor="#000000">
                <v:path arrowok="t"/>
              </v:shape>
            </v:group>
            <v:group style="position:absolute;left:1145;top:5402;width:608;height:2" coordorigin="1145,5402" coordsize="608,2">
              <v:shape style="position:absolute;left:1145;top:5402;width:608;height:2" coordorigin="1145,5402" coordsize="608,0" path="m1145,5402l1752,5402e" filled="false" stroked="true" strokeweight=".72pt" strokecolor="#000000">
                <v:path arrowok="t"/>
              </v:shape>
            </v:group>
            <v:group style="position:absolute;left:1766;top:5402;width:608;height:2" coordorigin="1766,5402" coordsize="608,2">
              <v:shape style="position:absolute;left:1766;top:5402;width:608;height:2" coordorigin="1766,5402" coordsize="608,0" path="m1766,5402l2374,5402e" filled="false" stroked="true" strokeweight=".72pt" strokecolor="#000000">
                <v:path arrowok="t"/>
              </v:shape>
            </v:group>
            <v:group style="position:absolute;left:2388;top:5402;width:1258;height:2" coordorigin="2388,5402" coordsize="1258,2">
              <v:shape style="position:absolute;left:2388;top:5402;width:1258;height:2" coordorigin="2388,5402" coordsize="1258,0" path="m2388,5402l3646,5402e" filled="false" stroked="true" strokeweight=".72pt" strokecolor="#000000">
                <v:path arrowok="t"/>
              </v:shape>
            </v:group>
            <v:group style="position:absolute;left:3660;top:5402;width:1484;height:2" coordorigin="3660,5402" coordsize="1484,2">
              <v:shape style="position:absolute;left:3660;top:5402;width:1484;height:2" coordorigin="3660,5402" coordsize="1484,0" path="m3660,5402l5143,5402e" filled="false" stroked="true" strokeweight=".72pt" strokecolor="#000000">
                <v:path arrowok="t"/>
              </v:shape>
            </v:group>
            <v:group style="position:absolute;left:5158;top:5402;width:2213;height:2" coordorigin="5158,5402" coordsize="2213,2">
              <v:shape style="position:absolute;left:5158;top:5402;width:2213;height:2" coordorigin="5158,5402" coordsize="2213,0" path="m5158,5402l7370,5402e" filled="false" stroked="true" strokeweight=".72pt" strokecolor="#000000">
                <v:path arrowok="t"/>
              </v:shape>
            </v:group>
            <v:group style="position:absolute;left:7385;top:5402;width:980;height:2" coordorigin="7385,5402" coordsize="980,2">
              <v:shape style="position:absolute;left:7385;top:5402;width:980;height:2" coordorigin="7385,5402" coordsize="980,0" path="m7385,5402l8364,5402e" filled="false" stroked="true" strokeweight=".72pt" strokecolor="#000000">
                <v:path arrowok="t"/>
              </v:shape>
            </v:group>
            <v:group style="position:absolute;left:8378;top:5402;width:1460;height:2" coordorigin="8378,5402" coordsize="1460,2">
              <v:shape style="position:absolute;left:8378;top:5402;width:1460;height:2" coordorigin="8378,5402" coordsize="1460,0" path="m8378,5402l9838,5402e" filled="false" stroked="true" strokeweight=".72pt" strokecolor="#000000">
                <v:path arrowok="t"/>
              </v:shape>
            </v:group>
            <v:group style="position:absolute;left:9852;top:5402;width:663;height:2" coordorigin="9852,5402" coordsize="663,2">
              <v:shape style="position:absolute;left:9852;top:5402;width:663;height:2" coordorigin="9852,5402" coordsize="663,0" path="m9852,5402l10514,5402e" filled="false" stroked="true" strokeweight=".72pt" strokecolor="#000000">
                <v:path arrowok="t"/>
              </v:shape>
            </v:group>
            <v:group style="position:absolute;left:1138;top:-1887;width:2;height:11734" coordorigin="1138,-1887" coordsize="2,11734">
              <v:shape style="position:absolute;left:1138;top:-1887;width:2;height:11734" coordorigin="1138,-1887" coordsize="0,11734" path="m1138,-1887l1138,9847e" filled="false" stroked="true" strokeweight=".72pt" strokecolor="#000000">
                <v:path arrowok="t"/>
              </v:shape>
            </v:group>
            <v:group style="position:absolute;left:1145;top:9840;width:608;height:2" coordorigin="1145,9840" coordsize="608,2">
              <v:shape style="position:absolute;left:1145;top:9840;width:608;height:2" coordorigin="1145,9840" coordsize="608,0" path="m1145,9840l1752,9840e" filled="false" stroked="true" strokeweight=".72pt" strokecolor="#000000">
                <v:path arrowok="t"/>
              </v:shape>
            </v:group>
            <v:group style="position:absolute;left:1766;top:29;width:608;height:2" coordorigin="1766,29" coordsize="608,2">
              <v:shape style="position:absolute;left:1766;top:29;width:608;height:2" coordorigin="1766,29" coordsize="608,0" path="m1766,29l2374,29e" filled="false" stroked="true" strokeweight=".72pt" strokecolor="#000000">
                <v:path arrowok="t"/>
              </v:shape>
            </v:group>
            <v:group style="position:absolute;left:2388;top:29;width:1258;height:2" coordorigin="2388,29" coordsize="1258,2">
              <v:shape style="position:absolute;left:2388;top:29;width:1258;height:2" coordorigin="2388,29" coordsize="1258,0" path="m2388,29l3646,29e" filled="false" stroked="true" strokeweight=".72pt" strokecolor="#000000">
                <v:path arrowok="t"/>
              </v:shape>
            </v:group>
            <v:group style="position:absolute;left:3660;top:29;width:1484;height:2" coordorigin="3660,29" coordsize="1484,2">
              <v:shape style="position:absolute;left:3660;top:29;width:1484;height:2" coordorigin="3660,29" coordsize="1484,0" path="m3660,29l5143,29e" filled="false" stroked="true" strokeweight=".72pt" strokecolor="#000000">
                <v:path arrowok="t"/>
              </v:shape>
            </v:group>
            <v:group style="position:absolute;left:5158;top:29;width:2213;height:2" coordorigin="5158,29" coordsize="2213,2">
              <v:shape style="position:absolute;left:5158;top:29;width:2213;height:2" coordorigin="5158,29" coordsize="2213,0" path="m5158,29l7370,29e" filled="false" stroked="true" strokeweight=".72pt" strokecolor="#000000">
                <v:path arrowok="t"/>
              </v:shape>
            </v:group>
            <v:group style="position:absolute;left:7385;top:29;width:980;height:2" coordorigin="7385,29" coordsize="980,2">
              <v:shape style="position:absolute;left:7385;top:29;width:980;height:2" coordorigin="7385,29" coordsize="980,0" path="m7385,29l8364,29e" filled="false" stroked="true" strokeweight=".72pt" strokecolor="#000000">
                <v:path arrowok="t"/>
              </v:shape>
            </v:group>
            <v:group style="position:absolute;left:8378;top:29;width:1460;height:2" coordorigin="8378,29" coordsize="1460,2">
              <v:shape style="position:absolute;left:8378;top:29;width:1460;height:2" coordorigin="8378,29" coordsize="1460,0" path="m8378,29l9838,29e" filled="false" stroked="true" strokeweight=".72pt" strokecolor="#000000">
                <v:path arrowok="t"/>
              </v:shape>
            </v:group>
            <v:group style="position:absolute;left:9852;top:29;width:663;height:2" coordorigin="9852,29" coordsize="663,2">
              <v:shape style="position:absolute;left:9852;top:29;width:663;height:2" coordorigin="9852,29" coordsize="663,0" path="m9852,29l10514,29e" filled="false" stroked="true" strokeweight=".72pt" strokecolor="#000000">
                <v:path arrowok="t"/>
              </v:shape>
            </v:group>
            <v:group style="position:absolute;left:1766;top:6684;width:608;height:2" coordorigin="1766,6684" coordsize="608,2">
              <v:shape style="position:absolute;left:1766;top:6684;width:608;height:2" coordorigin="1766,6684" coordsize="608,0" path="m1766,6684l2374,6684e" filled="false" stroked="true" strokeweight=".72pt" strokecolor="#000000">
                <v:path arrowok="t"/>
              </v:shape>
            </v:group>
            <v:group style="position:absolute;left:2388;top:6684;width:1258;height:2" coordorigin="2388,6684" coordsize="1258,2">
              <v:shape style="position:absolute;left:2388;top:6684;width:1258;height:2" coordorigin="2388,6684" coordsize="1258,0" path="m2388,6684l3646,6684e" filled="false" stroked="true" strokeweight=".72pt" strokecolor="#000000">
                <v:path arrowok="t"/>
              </v:shape>
            </v:group>
            <v:group style="position:absolute;left:3660;top:6684;width:1484;height:2" coordorigin="3660,6684" coordsize="1484,2">
              <v:shape style="position:absolute;left:3660;top:6684;width:1484;height:2" coordorigin="3660,6684" coordsize="1484,0" path="m3660,6684l5143,6684e" filled="false" stroked="true" strokeweight=".72pt" strokecolor="#000000">
                <v:path arrowok="t"/>
              </v:shape>
            </v:group>
            <v:group style="position:absolute;left:5158;top:6684;width:2213;height:2" coordorigin="5158,6684" coordsize="2213,2">
              <v:shape style="position:absolute;left:5158;top:6684;width:2213;height:2" coordorigin="5158,6684" coordsize="2213,0" path="m5158,6684l7370,6684e" filled="false" stroked="true" strokeweight=".72pt" strokecolor="#000000">
                <v:path arrowok="t"/>
              </v:shape>
            </v:group>
            <v:group style="position:absolute;left:7385;top:6684;width:980;height:2" coordorigin="7385,6684" coordsize="980,2">
              <v:shape style="position:absolute;left:7385;top:6684;width:980;height:2" coordorigin="7385,6684" coordsize="980,0" path="m7385,6684l8364,6684e" filled="false" stroked="true" strokeweight=".72pt" strokecolor="#000000">
                <v:path arrowok="t"/>
              </v:shape>
            </v:group>
            <v:group style="position:absolute;left:8378;top:6684;width:1460;height:2" coordorigin="8378,6684" coordsize="1460,2">
              <v:shape style="position:absolute;left:8378;top:6684;width:1460;height:2" coordorigin="8378,6684" coordsize="1460,0" path="m8378,6684l9838,6684e" filled="false" stroked="true" strokeweight=".72pt" strokecolor="#000000">
                <v:path arrowok="t"/>
              </v:shape>
            </v:group>
            <v:group style="position:absolute;left:9852;top:6684;width:663;height:2" coordorigin="9852,6684" coordsize="663,2">
              <v:shape style="position:absolute;left:9852;top:6684;width:663;height:2" coordorigin="9852,6684" coordsize="663,0" path="m9852,6684l10514,6684e" filled="false" stroked="true" strokeweight=".72pt" strokecolor="#000000">
                <v:path arrowok="t"/>
              </v:shape>
            </v:group>
            <v:group style="position:absolute;left:1759;top:-1887;width:2;height:11734" coordorigin="1759,-1887" coordsize="2,11734">
              <v:shape style="position:absolute;left:1759;top:-1887;width:2;height:11734" coordorigin="1759,-1887" coordsize="0,11734" path="m1759,-1887l1759,9847e" filled="false" stroked="true" strokeweight=".72pt" strokecolor="#000000">
                <v:path arrowok="t"/>
              </v:shape>
            </v:group>
            <v:group style="position:absolute;left:1766;top:9840;width:608;height:2" coordorigin="1766,9840" coordsize="608,2">
              <v:shape style="position:absolute;left:1766;top:9840;width:608;height:2" coordorigin="1766,9840" coordsize="608,0" path="m1766,9840l2374,9840e" filled="false" stroked="true" strokeweight=".72pt" strokecolor="#000000">
                <v:path arrowok="t"/>
              </v:shape>
            </v:group>
            <v:group style="position:absolute;left:2381;top:-1887;width:2;height:11734" coordorigin="2381,-1887" coordsize="2,11734">
              <v:shape style="position:absolute;left:2381;top:-1887;width:2;height:11734" coordorigin="2381,-1887" coordsize="0,11734" path="m2381,-1887l2381,9847e" filled="false" stroked="true" strokeweight=".72pt" strokecolor="#000000">
                <v:path arrowok="t"/>
              </v:shape>
            </v:group>
            <v:group style="position:absolute;left:2388;top:9840;width:1258;height:2" coordorigin="2388,9840" coordsize="1258,2">
              <v:shape style="position:absolute;left:2388;top:9840;width:1258;height:2" coordorigin="2388,9840" coordsize="1258,0" path="m2388,9840l3646,9840e" filled="false" stroked="true" strokeweight=".72pt" strokecolor="#000000">
                <v:path arrowok="t"/>
              </v:shape>
            </v:group>
            <v:group style="position:absolute;left:3653;top:-1887;width:2;height:11734" coordorigin="3653,-1887" coordsize="2,11734">
              <v:shape style="position:absolute;left:3653;top:-1887;width:2;height:11734" coordorigin="3653,-1887" coordsize="0,11734" path="m3653,-1887l3653,9847e" filled="false" stroked="true" strokeweight=".72pt" strokecolor="#000000">
                <v:path arrowok="t"/>
              </v:shape>
            </v:group>
            <v:group style="position:absolute;left:3660;top:9840;width:1484;height:2" coordorigin="3660,9840" coordsize="1484,2">
              <v:shape style="position:absolute;left:3660;top:9840;width:1484;height:2" coordorigin="3660,9840" coordsize="1484,0" path="m3660,9840l5143,9840e" filled="false" stroked="true" strokeweight=".72pt" strokecolor="#000000">
                <v:path arrowok="t"/>
              </v:shape>
            </v:group>
            <v:group style="position:absolute;left:5150;top:-1887;width:2;height:11734" coordorigin="5150,-1887" coordsize="2,11734">
              <v:shape style="position:absolute;left:5150;top:-1887;width:2;height:11734" coordorigin="5150,-1887" coordsize="0,11734" path="m5150,-1887l5150,9847e" filled="false" stroked="true" strokeweight=".72pt" strokecolor="#000000">
                <v:path arrowok="t"/>
              </v:shape>
            </v:group>
            <v:group style="position:absolute;left:5158;top:9840;width:2213;height:2" coordorigin="5158,9840" coordsize="2213,2">
              <v:shape style="position:absolute;left:5158;top:9840;width:2213;height:2" coordorigin="5158,9840" coordsize="2213,0" path="m5158,9840l7370,9840e" filled="false" stroked="true" strokeweight=".72pt" strokecolor="#000000">
                <v:path arrowok="t"/>
              </v:shape>
            </v:group>
            <v:group style="position:absolute;left:7378;top:-1887;width:2;height:11734" coordorigin="7378,-1887" coordsize="2,11734">
              <v:shape style="position:absolute;left:7378;top:-1887;width:2;height:11734" coordorigin="7378,-1887" coordsize="0,11734" path="m7378,-1887l7378,9847e" filled="false" stroked="true" strokeweight=".72pt" strokecolor="#000000">
                <v:path arrowok="t"/>
              </v:shape>
            </v:group>
            <v:group style="position:absolute;left:7385;top:9840;width:980;height:2" coordorigin="7385,9840" coordsize="980,2">
              <v:shape style="position:absolute;left:7385;top:9840;width:980;height:2" coordorigin="7385,9840" coordsize="980,0" path="m7385,9840l8364,9840e" filled="false" stroked="true" strokeweight=".72pt" strokecolor="#000000">
                <v:path arrowok="t"/>
              </v:shape>
            </v:group>
            <v:group style="position:absolute;left:8371;top:-1887;width:2;height:11734" coordorigin="8371,-1887" coordsize="2,11734">
              <v:shape style="position:absolute;left:8371;top:-1887;width:2;height:11734" coordorigin="8371,-1887" coordsize="0,11734" path="m8371,-1887l8371,9847e" filled="false" stroked="true" strokeweight=".72pt" strokecolor="#000000">
                <v:path arrowok="t"/>
              </v:shape>
            </v:group>
            <v:group style="position:absolute;left:8378;top:9840;width:1460;height:2" coordorigin="8378,9840" coordsize="1460,2">
              <v:shape style="position:absolute;left:8378;top:9840;width:1460;height:2" coordorigin="8378,9840" coordsize="1460,0" path="m8378,9840l9838,9840e" filled="false" stroked="true" strokeweight=".72pt" strokecolor="#000000">
                <v:path arrowok="t"/>
              </v:shape>
            </v:group>
            <v:group style="position:absolute;left:9845;top:-1887;width:2;height:11734" coordorigin="9845,-1887" coordsize="2,11734">
              <v:shape style="position:absolute;left:9845;top:-1887;width:2;height:11734" coordorigin="9845,-1887" coordsize="0,11734" path="m9845,-1887l9845,9847e" filled="false" stroked="true" strokeweight=".72pt" strokecolor="#000000">
                <v:path arrowok="t"/>
              </v:shape>
            </v:group>
            <v:group style="position:absolute;left:9852;top:9840;width:663;height:2" coordorigin="9852,9840" coordsize="663,2">
              <v:shape style="position:absolute;left:9852;top:9840;width:663;height:2" coordorigin="9852,9840" coordsize="663,0" path="m9852,9840l10514,9840e" filled="false" stroked="true" strokeweight=".72pt" strokecolor="#000000">
                <v:path arrowok="t"/>
              </v:shape>
            </v:group>
            <v:group style="position:absolute;left:10522;top:-1887;width:2;height:11734" coordorigin="10522,-1887" coordsize="2,11734">
              <v:shape style="position:absolute;left:10522;top:-1887;width:2;height:11734" coordorigin="10522,-1887" coordsize="0,11734" path="m10522,-1887l10522,9847e" filled="false" stroked="true" strokeweight=".72pt" strokecolor="#000000">
                <v:path arrowok="t"/>
              </v:shape>
            </v:group>
            <w10:wrap type="none"/>
          </v:group>
        </w:pict>
      </w:r>
      <w:r>
        <w:rPr>
          <w:rFonts w:ascii="宋体" w:hAnsi="宋体" w:cs="宋体" w:eastAsia="宋体" w:hint="default"/>
          <w:sz w:val="18"/>
          <w:szCs w:val="18"/>
        </w:rPr>
        <w:t>资质申请、项目投</w:t>
      </w:r>
      <w:r>
        <w:rPr>
          <w:rFonts w:ascii="宋体" w:hAnsi="宋体" w:cs="宋体" w:eastAsia="宋体" w:hint="default"/>
          <w:spacing w:val="-31"/>
          <w:sz w:val="18"/>
          <w:szCs w:val="18"/>
        </w:rPr>
        <w:t> </w:t>
      </w:r>
      <w:r>
        <w:rPr>
          <w:rFonts w:ascii="宋体" w:hAnsi="宋体" w:cs="宋体" w:eastAsia="宋体" w:hint="default"/>
          <w:spacing w:val="-4"/>
          <w:sz w:val="18"/>
          <w:szCs w:val="18"/>
        </w:rPr>
        <w:t>项目经理培训、建造师培训</w:t>
      </w:r>
      <w:r>
        <w:rPr>
          <w:rFonts w:ascii="宋体" w:hAnsi="宋体" w:cs="宋体" w:eastAsia="宋体" w:hint="default"/>
          <w:spacing w:val="-58"/>
          <w:sz w:val="18"/>
          <w:szCs w:val="18"/>
        </w:rPr>
        <w:t> </w:t>
      </w:r>
      <w:r>
        <w:rPr>
          <w:rFonts w:ascii="宋体" w:hAnsi="宋体" w:cs="宋体" w:eastAsia="宋体" w:hint="default"/>
          <w:spacing w:val="-11"/>
          <w:sz w:val="18"/>
          <w:szCs w:val="18"/>
        </w:rPr>
        <w:t>、由公司或有</w:t>
      </w:r>
      <w:r>
        <w:rPr>
          <w:rFonts w:ascii="宋体" w:hAnsi="宋体" w:cs="宋体" w:eastAsia="宋体" w:hint="default"/>
          <w:spacing w:val="-26"/>
          <w:sz w:val="18"/>
          <w:szCs w:val="18"/>
        </w:rPr>
        <w:t> </w:t>
      </w:r>
      <w:r>
        <w:rPr>
          <w:rFonts w:ascii="宋体" w:hAnsi="宋体" w:cs="宋体" w:eastAsia="宋体" w:hint="default"/>
          <w:sz w:val="18"/>
          <w:szCs w:val="18"/>
        </w:rPr>
        <w:t>视学习类型和报名</w:t>
      </w:r>
    </w:p>
    <w:p>
      <w:pPr>
        <w:spacing w:after="0"/>
        <w:jc w:val="left"/>
        <w:rPr>
          <w:rFonts w:ascii="宋体" w:hAnsi="宋体" w:cs="宋体" w:eastAsia="宋体" w:hint="default"/>
          <w:sz w:val="18"/>
          <w:szCs w:val="18"/>
        </w:rPr>
        <w:sectPr>
          <w:type w:val="continuous"/>
          <w:pgSz w:w="11910" w:h="16840"/>
          <w:pgMar w:top="1580" w:bottom="280" w:left="980" w:right="0"/>
          <w:cols w:num="2" w:equalWidth="0">
            <w:col w:w="2577" w:space="40"/>
            <w:col w:w="8313"/>
          </w:cols>
        </w:sectPr>
      </w:pPr>
    </w:p>
    <w:p>
      <w:pPr>
        <w:tabs>
          <w:tab w:pos="2682" w:val="left" w:leader="none"/>
        </w:tabs>
        <w:spacing w:line="316" w:lineRule="auto" w:before="62"/>
        <w:ind w:left="2682" w:right="0" w:hanging="735"/>
        <w:jc w:val="left"/>
        <w:rPr>
          <w:rFonts w:ascii="宋体" w:hAnsi="宋体" w:cs="宋体" w:eastAsia="宋体" w:hint="default"/>
          <w:sz w:val="18"/>
          <w:szCs w:val="18"/>
        </w:rPr>
      </w:pPr>
      <w:r>
        <w:rPr>
          <w:rFonts w:ascii="宋体" w:hAnsi="宋体" w:cs="宋体" w:eastAsia="宋体" w:hint="default"/>
          <w:sz w:val="18"/>
          <w:szCs w:val="18"/>
        </w:rPr>
        <w:t>训</w:t>
        <w:tab/>
        <w:t>标和员工成长的需</w:t>
      </w:r>
      <w:r>
        <w:rPr>
          <w:rFonts w:ascii="宋体" w:hAnsi="宋体" w:cs="宋体" w:eastAsia="宋体" w:hint="default"/>
          <w:spacing w:val="-33"/>
          <w:sz w:val="18"/>
          <w:szCs w:val="18"/>
        </w:rPr>
        <w:t> </w:t>
      </w:r>
      <w:r>
        <w:rPr>
          <w:rFonts w:ascii="宋体" w:hAnsi="宋体" w:cs="宋体" w:eastAsia="宋体" w:hint="default"/>
          <w:sz w:val="18"/>
          <w:szCs w:val="18"/>
        </w:rPr>
        <w:t>安全员培训、九大员培训等</w:t>
      </w:r>
      <w:r>
        <w:rPr>
          <w:rFonts w:ascii="宋体" w:hAnsi="宋体" w:cs="宋体" w:eastAsia="宋体" w:hint="default"/>
          <w:sz w:val="18"/>
          <w:szCs w:val="18"/>
        </w:rPr>
        <w:t> 要</w:t>
      </w:r>
    </w:p>
    <w:p>
      <w:pPr>
        <w:spacing w:line="316" w:lineRule="auto" w:before="62"/>
        <w:ind w:left="65"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资质需求的 部门组织人 员参训。</w:t>
      </w:r>
    </w:p>
    <w:p>
      <w:pPr>
        <w:spacing w:before="62"/>
        <w:ind w:left="38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人数确定</w:t>
      </w:r>
    </w:p>
    <w:p>
      <w:pPr>
        <w:spacing w:after="0"/>
        <w:jc w:val="left"/>
        <w:rPr>
          <w:rFonts w:ascii="宋体" w:hAnsi="宋体" w:cs="宋体" w:eastAsia="宋体" w:hint="default"/>
          <w:sz w:val="18"/>
          <w:szCs w:val="18"/>
        </w:rPr>
        <w:sectPr>
          <w:type w:val="continuous"/>
          <w:pgSz w:w="11910" w:h="16840"/>
          <w:pgMar w:top="1580" w:bottom="280" w:left="980" w:right="0"/>
          <w:cols w:num="3" w:equalWidth="0">
            <w:col w:w="6341" w:space="40"/>
            <w:col w:w="966" w:space="40"/>
            <w:col w:w="3543"/>
          </w:cols>
        </w:sectPr>
      </w:pPr>
    </w:p>
    <w:p>
      <w:pPr>
        <w:tabs>
          <w:tab w:pos="1045" w:val="left" w:leader="none"/>
          <w:tab w:pos="1496" w:val="left" w:leader="none"/>
          <w:tab w:pos="1856" w:val="left" w:leader="none"/>
        </w:tabs>
        <w:spacing w:line="300" w:lineRule="auto" w:before="55"/>
        <w:ind w:left="380" w:right="0" w:firstLine="0"/>
        <w:jc w:val="left"/>
        <w:rPr>
          <w:rFonts w:ascii="宋体" w:hAnsi="宋体" w:cs="宋体" w:eastAsia="宋体" w:hint="default"/>
          <w:sz w:val="18"/>
          <w:szCs w:val="18"/>
        </w:rPr>
      </w:pPr>
      <w:r>
        <w:rPr>
          <w:rFonts w:ascii="宋体" w:hAnsi="宋体" w:cs="宋体" w:eastAsia="宋体" w:hint="default"/>
          <w:b/>
          <w:bCs/>
          <w:w w:val="95"/>
          <w:sz w:val="18"/>
          <w:szCs w:val="18"/>
        </w:rPr>
        <w:t>网</w:t>
        <w:tab/>
      </w:r>
      <w:r>
        <w:rPr>
          <w:rFonts w:ascii="Times New Roman" w:hAnsi="Times New Roman" w:cs="Times New Roman" w:eastAsia="Times New Roman" w:hint="default"/>
          <w:sz w:val="18"/>
          <w:szCs w:val="18"/>
        </w:rPr>
        <w:t>1</w:t>
        <w:tab/>
      </w:r>
      <w:r>
        <w:rPr>
          <w:rFonts w:ascii="宋体" w:hAnsi="宋体" w:cs="宋体" w:eastAsia="宋体" w:hint="default"/>
          <w:sz w:val="18"/>
          <w:szCs w:val="18"/>
        </w:rPr>
        <w:t>中科信息网络 </w:t>
      </w:r>
      <w:r>
        <w:rPr>
          <w:rFonts w:ascii="宋体" w:hAnsi="宋体" w:cs="宋体" w:eastAsia="宋体" w:hint="default"/>
          <w:b/>
          <w:bCs/>
          <w:w w:val="95"/>
          <w:sz w:val="18"/>
          <w:szCs w:val="18"/>
        </w:rPr>
        <w:t>络</w:t>
        <w:tab/>
        <w:tab/>
        <w:tab/>
      </w:r>
      <w:r>
        <w:rPr>
          <w:rFonts w:ascii="宋体" w:hAnsi="宋体" w:cs="宋体" w:eastAsia="宋体" w:hint="default"/>
          <w:sz w:val="18"/>
          <w:szCs w:val="18"/>
        </w:rPr>
        <w:t>学院</w:t>
      </w:r>
    </w:p>
    <w:p>
      <w:pPr>
        <w:spacing w:line="316" w:lineRule="auto" w:before="31"/>
        <w:ind w:left="380" w:right="1996" w:firstLine="0"/>
        <w:jc w:val="left"/>
        <w:rPr>
          <w:rFonts w:ascii="宋体" w:hAnsi="宋体" w:cs="宋体" w:eastAsia="宋体" w:hint="default"/>
          <w:sz w:val="18"/>
          <w:szCs w:val="18"/>
        </w:rPr>
      </w:pPr>
      <w:r>
        <w:rPr>
          <w:rFonts w:ascii="宋体" w:hAnsi="宋体" w:cs="宋体" w:eastAsia="宋体" w:hint="default"/>
          <w:b/>
          <w:bCs/>
          <w:sz w:val="18"/>
          <w:szCs w:val="18"/>
        </w:rPr>
        <w:t>培</w:t>
      </w:r>
      <w:r>
        <w:rPr>
          <w:rFonts w:ascii="宋体" w:hAnsi="宋体" w:cs="宋体" w:eastAsia="宋体" w:hint="default"/>
          <w:b/>
          <w:bCs/>
          <w:w w:val="99"/>
          <w:sz w:val="18"/>
          <w:szCs w:val="18"/>
        </w:rPr>
        <w:t> </w:t>
      </w:r>
      <w:r>
        <w:rPr>
          <w:rFonts w:ascii="宋体" w:hAnsi="宋体" w:cs="宋体" w:eastAsia="宋体" w:hint="default"/>
          <w:b/>
          <w:bCs/>
          <w:sz w:val="18"/>
          <w:szCs w:val="18"/>
        </w:rPr>
        <w:t>训</w:t>
      </w:r>
      <w:r>
        <w:rPr>
          <w:rFonts w:ascii="宋体" w:hAnsi="宋体" w:cs="宋体" w:eastAsia="宋体" w:hint="default"/>
          <w:sz w:val="18"/>
          <w:szCs w:val="18"/>
        </w:rPr>
      </w:r>
    </w:p>
    <w:p>
      <w:pPr>
        <w:spacing w:line="309" w:lineRule="auto" w:before="55"/>
        <w:ind w:left="65" w:right="-18" w:firstLine="0"/>
        <w:jc w:val="left"/>
        <w:rPr>
          <w:rFonts w:ascii="宋体" w:hAnsi="宋体" w:cs="宋体" w:eastAsia="宋体" w:hint="default"/>
          <w:sz w:val="18"/>
          <w:szCs w:val="18"/>
        </w:rPr>
      </w:pPr>
      <w:r>
        <w:rPr>
          <w:spacing w:val="-6"/>
        </w:rPr>
        <w:br w:type="column"/>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）提高员工受训</w:t>
      </w:r>
      <w:r>
        <w:rPr>
          <w:rFonts w:ascii="宋体" w:hAnsi="宋体" w:cs="宋体" w:eastAsia="宋体" w:hint="default"/>
          <w:spacing w:val="-71"/>
          <w:sz w:val="18"/>
          <w:szCs w:val="18"/>
        </w:rPr>
        <w:t> </w:t>
      </w:r>
      <w:r>
        <w:rPr>
          <w:rFonts w:ascii="宋体" w:hAnsi="宋体" w:cs="宋体" w:eastAsia="宋体" w:hint="default"/>
          <w:sz w:val="18"/>
          <w:szCs w:val="18"/>
        </w:rPr>
        <w:t>价值观、前沿技术、思维方</w:t>
      </w:r>
      <w:r>
        <w:rPr>
          <w:rFonts w:ascii="宋体" w:hAnsi="宋体" w:cs="宋体" w:eastAsia="宋体" w:hint="default"/>
          <w:sz w:val="18"/>
          <w:szCs w:val="18"/>
        </w:rPr>
        <w:t> 的覆盖面，解决长</w:t>
      </w:r>
      <w:r>
        <w:rPr>
          <w:rFonts w:ascii="宋体" w:hAnsi="宋体" w:cs="宋体" w:eastAsia="宋体" w:hint="default"/>
          <w:spacing w:val="-26"/>
          <w:sz w:val="18"/>
          <w:szCs w:val="18"/>
        </w:rPr>
        <w:t> </w:t>
      </w:r>
      <w:r>
        <w:rPr>
          <w:rFonts w:ascii="宋体" w:hAnsi="宋体" w:cs="宋体" w:eastAsia="宋体" w:hint="default"/>
          <w:spacing w:val="-4"/>
          <w:sz w:val="18"/>
          <w:szCs w:val="18"/>
        </w:rPr>
        <w:t>法、团队建设，管理工具等。</w:t>
      </w:r>
      <w:r>
        <w:rPr>
          <w:rFonts w:ascii="宋体" w:hAnsi="宋体" w:cs="宋体" w:eastAsia="宋体" w:hint="default"/>
          <w:sz w:val="18"/>
          <w:szCs w:val="18"/>
        </w:rPr>
        <w:t> 期出差员工不能参</w:t>
      </w:r>
    </w:p>
    <w:p>
      <w:pPr>
        <w:spacing w:line="316" w:lineRule="auto" w:before="24"/>
        <w:ind w:left="65" w:right="2514" w:firstLine="0"/>
        <w:jc w:val="left"/>
        <w:rPr>
          <w:rFonts w:ascii="宋体" w:hAnsi="宋体" w:cs="宋体" w:eastAsia="宋体" w:hint="default"/>
          <w:sz w:val="18"/>
          <w:szCs w:val="18"/>
        </w:rPr>
      </w:pPr>
      <w:r>
        <w:rPr>
          <w:rFonts w:ascii="宋体" w:hAnsi="宋体" w:cs="宋体" w:eastAsia="宋体" w:hint="default"/>
          <w:sz w:val="18"/>
          <w:szCs w:val="18"/>
        </w:rPr>
        <w:t>加培训活动的问 题。</w:t>
      </w:r>
    </w:p>
    <w:p>
      <w:pPr>
        <w:spacing w:line="312" w:lineRule="auto" w:before="19"/>
        <w:ind w:left="65" w:right="2315" w:firstLine="0"/>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）利用互联网资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源优势，为员工持 续系统学习提供渠 道。</w:t>
      </w:r>
    </w:p>
    <w:p>
      <w:pPr>
        <w:spacing w:line="312" w:lineRule="auto" w:before="22"/>
        <w:ind w:left="65" w:right="2298" w:firstLine="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）提供内部课程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搭载平台，为内部 分享提供技术支 撑。</w:t>
      </w:r>
    </w:p>
    <w:p>
      <w:pPr>
        <w:spacing w:before="55"/>
        <w:ind w:left="1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公司员工</w:t>
      </w:r>
      <w:r>
        <w:rPr>
          <w:rFonts w:ascii="宋体" w:hAnsi="宋体" w:cs="宋体" w:eastAsia="宋体" w:hint="default"/>
          <w:spacing w:val="56"/>
          <w:sz w:val="18"/>
          <w:szCs w:val="18"/>
        </w:rPr>
        <w:t> </w:t>
      </w:r>
      <w:r>
        <w:rPr>
          <w:rFonts w:ascii="宋体" w:hAnsi="宋体" w:cs="宋体" w:eastAsia="宋体" w:hint="default"/>
          <w:sz w:val="18"/>
          <w:szCs w:val="18"/>
        </w:rPr>
        <w:t>费用：</w:t>
      </w:r>
      <w:r>
        <w:rPr>
          <w:rFonts w:ascii="Times New Roman" w:hAnsi="Times New Roman" w:cs="Times New Roman" w:eastAsia="Times New Roman" w:hint="default"/>
          <w:sz w:val="18"/>
          <w:szCs w:val="18"/>
        </w:rPr>
        <w:t>126,000</w:t>
      </w:r>
      <w:r>
        <w:rPr>
          <w:rFonts w:ascii="宋体" w:hAnsi="宋体" w:cs="宋体" w:eastAsia="宋体" w:hint="default"/>
          <w:sz w:val="18"/>
          <w:szCs w:val="18"/>
        </w:rPr>
        <w:t>元，</w:t>
      </w:r>
    </w:p>
    <w:p>
      <w:pPr>
        <w:spacing w:before="63"/>
        <w:ind w:left="1071" w:right="0" w:firstLine="0"/>
        <w:jc w:val="left"/>
        <w:rPr>
          <w:rFonts w:ascii="宋体" w:hAnsi="宋体" w:cs="宋体" w:eastAsia="宋体" w:hint="default"/>
          <w:sz w:val="18"/>
          <w:szCs w:val="18"/>
        </w:rPr>
      </w:pPr>
      <w:r>
        <w:rPr>
          <w:rFonts w:ascii="宋体" w:hAnsi="宋体" w:cs="宋体" w:eastAsia="宋体" w:hint="default"/>
          <w:sz w:val="18"/>
          <w:szCs w:val="18"/>
        </w:rPr>
        <w:t>学习时间为：</w:t>
      </w:r>
    </w:p>
    <w:p>
      <w:pPr>
        <w:spacing w:before="118"/>
        <w:ind w:left="1066" w:right="0" w:firstLine="0"/>
        <w:jc w:val="left"/>
        <w:rPr>
          <w:rFonts w:ascii="Times New Roman" w:hAnsi="Times New Roman" w:cs="Times New Roman" w:eastAsia="Times New Roman" w:hint="default"/>
          <w:sz w:val="18"/>
          <w:szCs w:val="18"/>
        </w:rPr>
      </w:pPr>
      <w:r>
        <w:rPr>
          <w:rFonts w:ascii="Times New Roman"/>
          <w:sz w:val="18"/>
        </w:rPr>
        <w:t>2019.3~2020.2</w:t>
      </w:r>
    </w:p>
    <w:p>
      <w:pPr>
        <w:spacing w:after="0"/>
        <w:jc w:val="left"/>
        <w:rPr>
          <w:rFonts w:ascii="Times New Roman" w:hAnsi="Times New Roman" w:cs="Times New Roman" w:eastAsia="Times New Roman" w:hint="default"/>
          <w:sz w:val="18"/>
          <w:szCs w:val="18"/>
        </w:rPr>
        <w:sectPr>
          <w:type w:val="continuous"/>
          <w:pgSz w:w="11910" w:h="16840"/>
          <w:pgMar w:top="1580" w:bottom="280" w:left="980" w:right="0"/>
          <w:cols w:num="3" w:equalWidth="0">
            <w:col w:w="2577" w:space="40"/>
            <w:col w:w="3860" w:space="40"/>
            <w:col w:w="4413"/>
          </w:cols>
        </w:sectPr>
      </w:pPr>
    </w:p>
    <w:p>
      <w:pPr>
        <w:tabs>
          <w:tab w:pos="1045" w:val="left" w:leader="none"/>
          <w:tab w:pos="1676" w:val="left" w:leader="none"/>
          <w:tab w:pos="2682" w:val="left" w:leader="none"/>
        </w:tabs>
        <w:spacing w:line="300" w:lineRule="auto" w:before="56"/>
        <w:ind w:left="380" w:right="0" w:firstLine="0"/>
        <w:jc w:val="left"/>
        <w:rPr>
          <w:rFonts w:ascii="宋体" w:hAnsi="宋体" w:cs="宋体" w:eastAsia="宋体" w:hint="default"/>
          <w:sz w:val="18"/>
          <w:szCs w:val="18"/>
        </w:rPr>
      </w:pPr>
      <w:r>
        <w:rPr>
          <w:rFonts w:ascii="宋体" w:hAnsi="宋体" w:cs="宋体" w:eastAsia="宋体" w:hint="default"/>
          <w:b/>
          <w:bCs/>
          <w:w w:val="95"/>
          <w:sz w:val="18"/>
          <w:szCs w:val="18"/>
        </w:rPr>
        <w:t>其</w:t>
        <w:tab/>
      </w:r>
      <w:r>
        <w:rPr>
          <w:rFonts w:ascii="Times New Roman" w:hAnsi="Times New Roman" w:cs="Times New Roman" w:eastAsia="Times New Roman" w:hint="default"/>
          <w:sz w:val="18"/>
          <w:szCs w:val="18"/>
        </w:rPr>
        <w:t>1</w:t>
        <w:tab/>
      </w:r>
      <w:r>
        <w:rPr>
          <w:rFonts w:ascii="宋体" w:hAnsi="宋体" w:cs="宋体" w:eastAsia="宋体" w:hint="default"/>
          <w:sz w:val="18"/>
          <w:szCs w:val="18"/>
        </w:rPr>
        <w:t>企业讲坛</w:t>
        <w:tab/>
        <w:t>打造学习型组织，</w:t>
      </w:r>
      <w:r>
        <w:rPr>
          <w:rFonts w:ascii="宋体" w:hAnsi="宋体" w:cs="宋体" w:eastAsia="宋体" w:hint="default"/>
          <w:spacing w:val="-33"/>
          <w:sz w:val="18"/>
          <w:szCs w:val="18"/>
        </w:rPr>
        <w:t> </w:t>
      </w:r>
      <w:r>
        <w:rPr>
          <w:rFonts w:ascii="宋体" w:hAnsi="宋体" w:cs="宋体" w:eastAsia="宋体" w:hint="default"/>
          <w:sz w:val="18"/>
          <w:szCs w:val="18"/>
        </w:rPr>
        <w:t>企业文化、工作技能、思维</w:t>
      </w:r>
      <w:r>
        <w:rPr>
          <w:rFonts w:ascii="宋体" w:hAnsi="宋体" w:cs="宋体" w:eastAsia="宋体" w:hint="default"/>
          <w:sz w:val="18"/>
          <w:szCs w:val="18"/>
        </w:rPr>
        <w:t> </w:t>
      </w:r>
      <w:r>
        <w:rPr>
          <w:rFonts w:ascii="宋体" w:hAnsi="宋体" w:cs="宋体" w:eastAsia="宋体" w:hint="default"/>
          <w:b/>
          <w:bCs/>
          <w:w w:val="95"/>
          <w:sz w:val="18"/>
          <w:szCs w:val="18"/>
        </w:rPr>
        <w:t>他</w:t>
        <w:tab/>
        <w:tab/>
        <w:tab/>
      </w:r>
      <w:r>
        <w:rPr>
          <w:rFonts w:ascii="宋体" w:hAnsi="宋体" w:cs="宋体" w:eastAsia="宋体" w:hint="default"/>
          <w:sz w:val="18"/>
          <w:szCs w:val="18"/>
        </w:rPr>
        <w:t>丰富企业文化，促</w:t>
      </w:r>
      <w:r>
        <w:rPr>
          <w:rFonts w:ascii="宋体" w:hAnsi="宋体" w:cs="宋体" w:eastAsia="宋体" w:hint="default"/>
          <w:spacing w:val="-33"/>
          <w:sz w:val="18"/>
          <w:szCs w:val="18"/>
        </w:rPr>
        <w:t> </w:t>
      </w:r>
      <w:r>
        <w:rPr>
          <w:rFonts w:ascii="宋体" w:hAnsi="宋体" w:cs="宋体" w:eastAsia="宋体" w:hint="default"/>
          <w:sz w:val="18"/>
          <w:szCs w:val="18"/>
        </w:rPr>
        <w:t>方法、团队建设，管理工具</w:t>
      </w:r>
    </w:p>
    <w:p>
      <w:pPr>
        <w:tabs>
          <w:tab w:pos="2682" w:val="left" w:leader="none"/>
        </w:tabs>
        <w:spacing w:before="31"/>
        <w:ind w:left="380" w:right="0" w:firstLine="0"/>
        <w:jc w:val="left"/>
        <w:rPr>
          <w:rFonts w:ascii="宋体" w:hAnsi="宋体" w:cs="宋体" w:eastAsia="宋体" w:hint="default"/>
          <w:sz w:val="18"/>
          <w:szCs w:val="18"/>
        </w:rPr>
      </w:pPr>
      <w:r>
        <w:rPr>
          <w:rFonts w:ascii="宋体" w:hAnsi="宋体" w:cs="宋体" w:eastAsia="宋体" w:hint="default"/>
          <w:b/>
          <w:bCs/>
          <w:w w:val="95"/>
          <w:sz w:val="18"/>
          <w:szCs w:val="18"/>
        </w:rPr>
        <w:t>培</w:t>
        <w:tab/>
      </w:r>
      <w:r>
        <w:rPr>
          <w:rFonts w:ascii="宋体" w:hAnsi="宋体" w:cs="宋体" w:eastAsia="宋体" w:hint="default"/>
          <w:sz w:val="18"/>
          <w:szCs w:val="18"/>
        </w:rPr>
        <w:t>进企业内部知识传</w:t>
      </w:r>
      <w:r>
        <w:rPr>
          <w:rFonts w:ascii="宋体" w:hAnsi="宋体" w:cs="宋体" w:eastAsia="宋体" w:hint="default"/>
          <w:spacing w:val="-33"/>
          <w:sz w:val="18"/>
          <w:szCs w:val="18"/>
        </w:rPr>
        <w:t> </w:t>
      </w:r>
      <w:r>
        <w:rPr>
          <w:rFonts w:ascii="宋体" w:hAnsi="宋体" w:cs="宋体" w:eastAsia="宋体" w:hint="default"/>
          <w:sz w:val="18"/>
          <w:szCs w:val="18"/>
        </w:rPr>
        <w:t>等</w:t>
      </w:r>
    </w:p>
    <w:p>
      <w:pPr>
        <w:tabs>
          <w:tab w:pos="2682" w:val="left" w:leader="none"/>
        </w:tabs>
        <w:spacing w:before="76"/>
        <w:ind w:left="380" w:right="0" w:firstLine="0"/>
        <w:jc w:val="left"/>
        <w:rPr>
          <w:rFonts w:ascii="宋体" w:hAnsi="宋体" w:cs="宋体" w:eastAsia="宋体" w:hint="default"/>
          <w:sz w:val="18"/>
          <w:szCs w:val="18"/>
        </w:rPr>
      </w:pPr>
      <w:r>
        <w:rPr>
          <w:rFonts w:ascii="宋体" w:hAnsi="宋体" w:cs="宋体" w:eastAsia="宋体" w:hint="default"/>
          <w:b/>
          <w:bCs/>
          <w:w w:val="95"/>
          <w:sz w:val="18"/>
          <w:szCs w:val="18"/>
        </w:rPr>
        <w:t>训</w:t>
        <w:tab/>
      </w:r>
      <w:r>
        <w:rPr>
          <w:rFonts w:ascii="宋体" w:hAnsi="宋体" w:cs="宋体" w:eastAsia="宋体" w:hint="default"/>
          <w:sz w:val="18"/>
          <w:szCs w:val="18"/>
        </w:rPr>
        <w:t>递。</w:t>
      </w:r>
    </w:p>
    <w:p>
      <w:pPr>
        <w:tabs>
          <w:tab w:pos="1587" w:val="left" w:leader="none"/>
        </w:tabs>
        <w:spacing w:before="112"/>
        <w:ind w:left="954"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tab/>
        <w:t>员工读书会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、帮助新员工融入</w:t>
      </w:r>
      <w:r>
        <w:rPr>
          <w:rFonts w:ascii="宋体" w:hAnsi="宋体" w:cs="宋体" w:eastAsia="宋体" w:hint="default"/>
          <w:spacing w:val="-55"/>
          <w:sz w:val="18"/>
          <w:szCs w:val="18"/>
        </w:rPr>
        <w:t> </w:t>
      </w:r>
      <w:r>
        <w:rPr>
          <w:rFonts w:ascii="宋体" w:hAnsi="宋体" w:cs="宋体" w:eastAsia="宋体" w:hint="default"/>
          <w:sz w:val="18"/>
          <w:szCs w:val="18"/>
        </w:rPr>
        <w:t>根据每期分享的图书内容确</w:t>
      </w:r>
    </w:p>
    <w:p>
      <w:pPr>
        <w:spacing w:before="63"/>
        <w:ind w:left="2682" w:right="-19" w:firstLine="0"/>
        <w:jc w:val="left"/>
        <w:rPr>
          <w:rFonts w:ascii="宋体" w:hAnsi="宋体" w:cs="宋体" w:eastAsia="宋体" w:hint="default"/>
          <w:sz w:val="18"/>
          <w:szCs w:val="18"/>
        </w:rPr>
      </w:pPr>
      <w:r>
        <w:rPr>
          <w:rFonts w:ascii="宋体" w:hAnsi="宋体" w:cs="宋体" w:eastAsia="宋体" w:hint="default"/>
          <w:sz w:val="18"/>
          <w:szCs w:val="18"/>
        </w:rPr>
        <w:t>团队，培养新员工</w:t>
      </w:r>
      <w:r>
        <w:rPr>
          <w:rFonts w:ascii="宋体" w:hAnsi="宋体" w:cs="宋体" w:eastAsia="宋体" w:hint="default"/>
          <w:spacing w:val="-33"/>
          <w:sz w:val="18"/>
          <w:szCs w:val="18"/>
        </w:rPr>
        <w:t> </w:t>
      </w:r>
      <w:r>
        <w:rPr>
          <w:rFonts w:ascii="宋体" w:hAnsi="宋体" w:cs="宋体" w:eastAsia="宋体" w:hint="default"/>
          <w:sz w:val="18"/>
          <w:szCs w:val="18"/>
        </w:rPr>
        <w:t>定，一般为价值观、工作技</w:t>
      </w:r>
    </w:p>
    <w:p>
      <w:pPr>
        <w:spacing w:before="56"/>
        <w:ind w:left="15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公司员工</w:t>
      </w:r>
      <w:r>
        <w:rPr>
          <w:rFonts w:ascii="宋体" w:hAnsi="宋体" w:cs="宋体" w:eastAsia="宋体" w:hint="default"/>
          <w:spacing w:val="63"/>
          <w:sz w:val="18"/>
          <w:szCs w:val="18"/>
        </w:rPr>
        <w:t> </w:t>
      </w:r>
      <w:r>
        <w:rPr>
          <w:rFonts w:ascii="宋体" w:hAnsi="宋体" w:cs="宋体" w:eastAsia="宋体" w:hint="default"/>
          <w:sz w:val="18"/>
          <w:szCs w:val="18"/>
        </w:rPr>
        <w:t>按照相应管理办法</w:t>
      </w:r>
    </w:p>
    <w:p>
      <w:pPr>
        <w:spacing w:before="76"/>
        <w:ind w:left="1567" w:right="0" w:firstLine="0"/>
        <w:jc w:val="left"/>
        <w:rPr>
          <w:rFonts w:ascii="宋体" w:hAnsi="宋体" w:cs="宋体" w:eastAsia="宋体" w:hint="default"/>
          <w:sz w:val="18"/>
          <w:szCs w:val="18"/>
        </w:rPr>
      </w:pPr>
      <w:r>
        <w:rPr>
          <w:rFonts w:ascii="宋体" w:hAnsi="宋体" w:cs="宋体" w:eastAsia="宋体" w:hint="default"/>
          <w:sz w:val="18"/>
          <w:szCs w:val="18"/>
        </w:rPr>
        <w:t>执行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0"/>
          <w:szCs w:val="20"/>
        </w:rPr>
      </w:pPr>
    </w:p>
    <w:p>
      <w:pPr>
        <w:spacing w:line="316" w:lineRule="auto" w:before="0"/>
        <w:ind w:left="65" w:right="2066" w:firstLine="0"/>
        <w:jc w:val="left"/>
        <w:rPr>
          <w:rFonts w:ascii="宋体" w:hAnsi="宋体" w:cs="宋体" w:eastAsia="宋体" w:hint="default"/>
          <w:sz w:val="18"/>
          <w:szCs w:val="18"/>
        </w:rPr>
      </w:pPr>
      <w:r>
        <w:rPr>
          <w:rFonts w:ascii="宋体" w:hAnsi="宋体" w:cs="宋体" w:eastAsia="宋体" w:hint="default"/>
          <w:sz w:val="18"/>
          <w:szCs w:val="18"/>
        </w:rPr>
        <w:t>以新员工为</w:t>
      </w:r>
      <w:r>
        <w:rPr>
          <w:rFonts w:ascii="宋体" w:hAnsi="宋体" w:cs="宋体" w:eastAsia="宋体" w:hint="default"/>
          <w:spacing w:val="-35"/>
          <w:sz w:val="18"/>
          <w:szCs w:val="18"/>
        </w:rPr>
        <w:t> </w:t>
      </w:r>
      <w:r>
        <w:rPr>
          <w:rFonts w:ascii="宋体" w:hAnsi="宋体" w:cs="宋体" w:eastAsia="宋体" w:hint="default"/>
          <w:sz w:val="18"/>
          <w:szCs w:val="18"/>
        </w:rPr>
        <w:t>员工读书会经费主</w:t>
      </w:r>
      <w:r>
        <w:rPr>
          <w:rFonts w:ascii="宋体" w:hAnsi="宋体" w:cs="宋体" w:eastAsia="宋体" w:hint="default"/>
          <w:sz w:val="18"/>
          <w:szCs w:val="18"/>
        </w:rPr>
        <w:t> 主，所有员</w:t>
      </w:r>
      <w:r>
        <w:rPr>
          <w:rFonts w:ascii="宋体" w:hAnsi="宋体" w:cs="宋体" w:eastAsia="宋体" w:hint="default"/>
          <w:spacing w:val="-35"/>
          <w:sz w:val="18"/>
          <w:szCs w:val="18"/>
        </w:rPr>
        <w:t> </w:t>
      </w:r>
      <w:r>
        <w:rPr>
          <w:rFonts w:ascii="宋体" w:hAnsi="宋体" w:cs="宋体" w:eastAsia="宋体" w:hint="default"/>
          <w:sz w:val="18"/>
          <w:szCs w:val="18"/>
        </w:rPr>
        <w:t>要为图书购置费</w:t>
      </w:r>
    </w:p>
    <w:p>
      <w:pPr>
        <w:spacing w:after="0" w:line="316" w:lineRule="auto"/>
        <w:jc w:val="left"/>
        <w:rPr>
          <w:rFonts w:ascii="宋体" w:hAnsi="宋体" w:cs="宋体" w:eastAsia="宋体" w:hint="default"/>
          <w:sz w:val="18"/>
          <w:szCs w:val="18"/>
        </w:rPr>
        <w:sectPr>
          <w:type w:val="continuous"/>
          <w:pgSz w:w="11910" w:h="16840"/>
          <w:pgMar w:top="1580" w:bottom="280" w:left="980" w:right="0"/>
          <w:cols w:num="2" w:equalWidth="0">
            <w:col w:w="6341" w:space="40"/>
            <w:col w:w="4549"/>
          </w:cols>
        </w:sectPr>
      </w:pPr>
    </w:p>
    <w:p>
      <w:pPr>
        <w:spacing w:line="316" w:lineRule="auto" w:before="19"/>
        <w:ind w:left="2682" w:right="-19" w:firstLine="0"/>
        <w:jc w:val="left"/>
        <w:rPr>
          <w:rFonts w:ascii="宋体" w:hAnsi="宋体" w:cs="宋体" w:eastAsia="宋体" w:hint="default"/>
          <w:sz w:val="18"/>
          <w:szCs w:val="18"/>
        </w:rPr>
      </w:pPr>
      <w:r>
        <w:rPr>
          <w:rFonts w:ascii="宋体" w:hAnsi="宋体" w:cs="宋体" w:eastAsia="宋体" w:hint="default"/>
          <w:sz w:val="18"/>
          <w:szCs w:val="18"/>
        </w:rPr>
        <w:t>对公司文化的认同</w:t>
      </w:r>
      <w:r>
        <w:rPr>
          <w:rFonts w:ascii="宋体" w:hAnsi="宋体" w:cs="宋体" w:eastAsia="宋体" w:hint="default"/>
          <w:spacing w:val="-33"/>
          <w:sz w:val="18"/>
          <w:szCs w:val="18"/>
        </w:rPr>
        <w:t> </w:t>
      </w:r>
      <w:r>
        <w:rPr>
          <w:rFonts w:ascii="宋体" w:hAnsi="宋体" w:cs="宋体" w:eastAsia="宋体" w:hint="default"/>
          <w:sz w:val="18"/>
          <w:szCs w:val="18"/>
        </w:rPr>
        <w:t>能、思维方法、管理工具等</w:t>
      </w:r>
      <w:r>
        <w:rPr>
          <w:rFonts w:ascii="宋体" w:hAnsi="宋体" w:cs="宋体" w:eastAsia="宋体" w:hint="default"/>
          <w:sz w:val="18"/>
          <w:szCs w:val="18"/>
        </w:rPr>
        <w:t> 感。</w:t>
      </w:r>
    </w:p>
    <w:p>
      <w:pPr>
        <w:spacing w:line="312" w:lineRule="auto" w:before="19"/>
        <w:ind w:left="2682" w:right="2108" w:firstLine="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、培养新员工的学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习能力和交流能 力。 </w:t>
      </w:r>
      <w:r>
        <w:rPr>
          <w:rFonts w:ascii="Times New Roman" w:hAnsi="Times New Roman" w:cs="Times New Roman" w:eastAsia="Times New Roman" w:hint="default"/>
          <w:sz w:val="18"/>
          <w:szCs w:val="18"/>
        </w:rPr>
        <w:t>3</w:t>
      </w:r>
      <w:r>
        <w:rPr>
          <w:rFonts w:ascii="宋体" w:hAnsi="宋体" w:cs="宋体" w:eastAsia="宋体" w:hint="default"/>
          <w:sz w:val="18"/>
          <w:szCs w:val="18"/>
        </w:rPr>
        <w:t>、丰富企业文化， 营造企业内部学习 氛围。</w:t>
      </w:r>
    </w:p>
    <w:p>
      <w:pPr>
        <w:spacing w:line="316" w:lineRule="auto" w:before="18"/>
        <w:ind w:left="334" w:right="3146" w:hanging="180"/>
        <w:jc w:val="left"/>
        <w:rPr>
          <w:rFonts w:ascii="宋体" w:hAnsi="宋体" w:cs="宋体" w:eastAsia="宋体" w:hint="default"/>
          <w:sz w:val="18"/>
          <w:szCs w:val="18"/>
        </w:rPr>
      </w:pPr>
      <w:r>
        <w:rPr/>
        <w:br w:type="column"/>
      </w:r>
      <w:r>
        <w:rPr>
          <w:rFonts w:ascii="宋体" w:hAnsi="宋体" w:cs="宋体" w:eastAsia="宋体" w:hint="default"/>
          <w:sz w:val="18"/>
          <w:szCs w:val="18"/>
        </w:rPr>
        <w:t>工都可参</w:t>
      </w:r>
      <w:r>
        <w:rPr>
          <w:rFonts w:ascii="宋体" w:hAnsi="宋体" w:cs="宋体" w:eastAsia="宋体" w:hint="default"/>
          <w:spacing w:val="56"/>
          <w:sz w:val="18"/>
          <w:szCs w:val="18"/>
        </w:rPr>
        <w:t> </w:t>
      </w:r>
      <w:r>
        <w:rPr>
          <w:rFonts w:ascii="宋体" w:hAnsi="宋体" w:cs="宋体" w:eastAsia="宋体" w:hint="default"/>
          <w:sz w:val="18"/>
          <w:szCs w:val="18"/>
        </w:rPr>
        <w:t>用。</w:t>
      </w:r>
      <w:r>
        <w:rPr>
          <w:rFonts w:ascii="宋体" w:hAnsi="宋体" w:cs="宋体" w:eastAsia="宋体" w:hint="default"/>
          <w:sz w:val="18"/>
          <w:szCs w:val="18"/>
        </w:rPr>
        <w:t> 与。</w:t>
      </w:r>
    </w:p>
    <w:p>
      <w:pPr>
        <w:spacing w:after="0" w:line="316" w:lineRule="auto"/>
        <w:jc w:val="left"/>
        <w:rPr>
          <w:rFonts w:ascii="宋体" w:hAnsi="宋体" w:cs="宋体" w:eastAsia="宋体" w:hint="default"/>
          <w:sz w:val="18"/>
          <w:szCs w:val="18"/>
        </w:rPr>
        <w:sectPr>
          <w:type w:val="continuous"/>
          <w:pgSz w:w="11910" w:h="16840"/>
          <w:pgMar w:top="1580" w:bottom="280" w:left="980" w:right="0"/>
          <w:cols w:num="2" w:equalWidth="0">
            <w:col w:w="6341" w:space="40"/>
            <w:col w:w="4549"/>
          </w:cols>
        </w:sectPr>
      </w:pPr>
    </w:p>
    <w:p>
      <w:pPr>
        <w:spacing w:line="240" w:lineRule="auto" w:before="12"/>
        <w:rPr>
          <w:rFonts w:ascii="宋体" w:hAnsi="宋体" w:cs="宋体" w:eastAsia="宋体" w:hint="default"/>
          <w:sz w:val="21"/>
          <w:szCs w:val="21"/>
        </w:rPr>
      </w:pPr>
    </w:p>
    <w:p>
      <w:pPr>
        <w:pStyle w:val="Heading3"/>
        <w:spacing w:line="240" w:lineRule="auto" w:before="36"/>
        <w:ind w:right="0"/>
        <w:jc w:val="left"/>
        <w:rPr>
          <w:b w:val="0"/>
          <w:bCs w:val="0"/>
        </w:rPr>
      </w:pPr>
      <w:bookmarkStart w:name="4、劳务外包情况" w:id="134"/>
      <w:bookmarkEnd w:id="134"/>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2,250</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2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right="3096"/>
        <w:jc w:val="center"/>
        <w:rPr>
          <w:b w:val="0"/>
          <w:bCs w:val="0"/>
        </w:rPr>
      </w:pPr>
      <w:bookmarkStart w:name="_TOC_250002" w:id="135"/>
      <w:bookmarkStart w:name="第十节公司治理" w:id="136"/>
      <w:r>
        <w:rPr>
          <w:b w:val="0"/>
          <w:bCs w:val="0"/>
        </w:rPr>
      </w:r>
      <w:r>
        <w:rPr/>
        <w:t>第十节公司治理</w:t>
      </w:r>
      <w:bookmarkEnd w:id="13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公司治理的基本状况" w:id="137"/>
      <w:bookmarkEnd w:id="137"/>
      <w:r>
        <w:rPr>
          <w:b w:val="0"/>
          <w:bCs w:val="0"/>
        </w:rPr>
      </w:r>
      <w:r>
        <w:rPr/>
        <w:t>一、公司治理的基本状况</w:t>
      </w:r>
      <w:r>
        <w:rPr>
          <w:b w:val="0"/>
          <w:bCs w:val="0"/>
        </w:rPr>
      </w:r>
    </w:p>
    <w:p>
      <w:pPr>
        <w:spacing w:line="240" w:lineRule="auto" w:before="5"/>
        <w:rPr>
          <w:rFonts w:ascii="宋体" w:hAnsi="宋体" w:cs="宋体" w:eastAsia="宋体" w:hint="default"/>
          <w:b/>
          <w:bCs/>
          <w:sz w:val="30"/>
          <w:szCs w:val="30"/>
        </w:rPr>
      </w:pPr>
    </w:p>
    <w:p>
      <w:pPr>
        <w:pStyle w:val="BodyText"/>
        <w:spacing w:line="405" w:lineRule="auto"/>
        <w:ind w:right="1128" w:firstLine="420"/>
        <w:jc w:val="both"/>
      </w:pPr>
      <w:r>
        <w:rPr>
          <w:spacing w:val="-2"/>
        </w:rPr>
        <w:t>报告期内，公司严格按照《中华人民共和国公司法》（以下简称《公司法》）、《中华人民共和国证</w:t>
      </w:r>
      <w:r>
        <w:rPr>
          <w:w w:val="100"/>
        </w:rPr>
        <w:t> </w:t>
      </w:r>
      <w:r>
        <w:rPr>
          <w:spacing w:val="-4"/>
        </w:rPr>
        <w:t>券法》（以下简称《证券法》）、</w:t>
      </w:r>
      <w:r>
        <w:rPr>
          <w:spacing w:val="-16"/>
        </w:rPr>
        <w:t> </w:t>
      </w:r>
      <w:r>
        <w:rPr/>
        <w:t>《上市公司治理规则》</w:t>
      </w:r>
      <w:r>
        <w:rPr>
          <w:spacing w:val="-7"/>
        </w:rPr>
        <w:t> </w:t>
      </w:r>
      <w:r>
        <w:rPr>
          <w:spacing w:val="-3"/>
        </w:rPr>
        <w:t>、《深圳证券交易所创业板上市规则》</w:t>
      </w:r>
      <w:r>
        <w:rPr>
          <w:spacing w:val="-7"/>
        </w:rPr>
        <w:t> </w:t>
      </w:r>
      <w:r>
        <w:rPr>
          <w:spacing w:val="-6"/>
        </w:rPr>
        <w:t>、《深</w:t>
      </w:r>
      <w:r>
        <w:rPr>
          <w:spacing w:val="-97"/>
        </w:rPr>
        <w:t> </w:t>
      </w:r>
      <w:r>
        <w:rPr>
          <w:spacing w:val="-97"/>
        </w:rPr>
      </w:r>
      <w:r>
        <w:rPr>
          <w:spacing w:val="-2"/>
        </w:rPr>
        <w:t>圳证券交易所创业板上市公司规范运作指引》及其他相关法律、法规、规范性文件，建立了科学规范的法</w:t>
      </w:r>
      <w:r>
        <w:rPr>
          <w:spacing w:val="-47"/>
        </w:rPr>
        <w:t> </w:t>
      </w:r>
      <w:r>
        <w:rPr>
          <w:spacing w:val="-47"/>
        </w:rPr>
      </w:r>
      <w:r>
        <w:rPr>
          <w:spacing w:val="-2"/>
        </w:rPr>
        <w:t>人治理结构、健全的内部控制制度，促进公司规范运作。督促公司董事、监事、经理等高级管理人员加强</w:t>
      </w:r>
      <w:r>
        <w:rPr>
          <w:spacing w:val="-43"/>
        </w:rPr>
        <w:t> </w:t>
      </w:r>
      <w:r>
        <w:rPr>
          <w:spacing w:val="-43"/>
        </w:rPr>
      </w:r>
      <w:r>
        <w:rPr>
          <w:spacing w:val="-2"/>
        </w:rPr>
        <w:t>对相关法律、法规及规范性文件的学习，使其明确应当遵循的基本行为准则和职业道德。切实保护投资者</w:t>
      </w:r>
      <w:r>
        <w:rPr>
          <w:spacing w:val="-43"/>
        </w:rPr>
        <w:t> </w:t>
      </w:r>
      <w:r>
        <w:rPr>
          <w:spacing w:val="-43"/>
        </w:rPr>
      </w:r>
      <w:r>
        <w:rPr>
          <w:spacing w:val="-3"/>
        </w:rPr>
        <w:t>权利，真实、准确、完整、及时、公平地披露信息，公司规范运作水平不断提高。公司明确了党委会、股</w:t>
      </w:r>
      <w:r>
        <w:rPr>
          <w:spacing w:val="-9"/>
        </w:rPr>
        <w:t> </w:t>
      </w:r>
      <w:r>
        <w:rPr>
          <w:spacing w:val="-9"/>
        </w:rPr>
      </w:r>
      <w:r>
        <w:rPr>
          <w:spacing w:val="-4"/>
        </w:rPr>
        <w:t>东大会、董事会、监事会、经理层的权责边界，严格执行相应的决策流程。公司</w:t>
      </w:r>
      <w:r>
        <w:rPr>
          <w:spacing w:val="44"/>
        </w:rPr>
        <w:t> </w:t>
      </w:r>
      <w:r>
        <w:rPr>
          <w:rFonts w:ascii="Times New Roman" w:hAnsi="Times New Roman" w:cs="Times New Roman" w:eastAsia="Times New Roman" w:hint="default"/>
          <w:spacing w:val="-3"/>
        </w:rPr>
        <w:t>“</w:t>
      </w:r>
      <w:r>
        <w:rPr>
          <w:spacing w:val="-3"/>
        </w:rPr>
        <w:t>四会一层</w:t>
      </w:r>
      <w:r>
        <w:rPr>
          <w:rFonts w:ascii="Times New Roman" w:hAnsi="Times New Roman" w:cs="Times New Roman" w:eastAsia="Times New Roman" w:hint="default"/>
          <w:spacing w:val="-3"/>
        </w:rPr>
        <w:t>”</w:t>
      </w:r>
      <w:r>
        <w:rPr>
          <w:spacing w:val="-3"/>
        </w:rPr>
        <w:t>科学分工、相</w:t>
      </w:r>
      <w:r>
        <w:rPr>
          <w:spacing w:val="-88"/>
        </w:rPr>
        <w:t> </w:t>
      </w:r>
      <w:r>
        <w:rPr>
          <w:spacing w:val="-88"/>
        </w:rPr>
      </w:r>
      <w:r>
        <w:rPr>
          <w:spacing w:val="-2"/>
        </w:rPr>
        <w:t>互制衡、权责分明，按其职责行使权力，党委会、股东大会、董事会、监事会会议的召开程序、提案审议</w:t>
      </w:r>
      <w:r>
        <w:rPr>
          <w:spacing w:val="-47"/>
        </w:rPr>
        <w:t> </w:t>
      </w:r>
      <w:r>
        <w:rPr>
          <w:spacing w:val="-47"/>
        </w:rPr>
      </w:r>
      <w:r>
        <w:rPr>
          <w:spacing w:val="-2"/>
        </w:rPr>
        <w:t>程序、表决、公告等程序均符合相关规定。报告期内，公司治理的实际状况符合相关法律法规及中国证监</w:t>
      </w:r>
      <w:r>
        <w:rPr>
          <w:spacing w:val="-47"/>
        </w:rPr>
        <w:t> </w:t>
      </w:r>
      <w:r>
        <w:rPr>
          <w:spacing w:val="-47"/>
        </w:rPr>
      </w:r>
      <w:r>
        <w:rPr/>
        <w:t>会、深圳证券交易所发布的有关上市公司治理的规范性文件要求。</w:t>
      </w:r>
    </w:p>
    <w:p>
      <w:pPr>
        <w:pStyle w:val="BodyText"/>
        <w:spacing w:line="240" w:lineRule="auto" w:before="48"/>
        <w:ind w:left="572" w:right="0"/>
        <w:jc w:val="left"/>
      </w:pPr>
      <w:r>
        <w:rPr/>
        <w:t>（一）股东与股东大会</w:t>
      </w:r>
    </w:p>
    <w:p>
      <w:pPr>
        <w:spacing w:line="240" w:lineRule="auto" w:before="10"/>
        <w:rPr>
          <w:rFonts w:ascii="宋体" w:hAnsi="宋体" w:cs="宋体" w:eastAsia="宋体" w:hint="default"/>
          <w:sz w:val="14"/>
          <w:szCs w:val="14"/>
        </w:rPr>
      </w:pPr>
    </w:p>
    <w:p>
      <w:pPr>
        <w:pStyle w:val="BodyText"/>
        <w:spacing w:line="408" w:lineRule="auto"/>
        <w:ind w:right="0" w:firstLine="419"/>
        <w:jc w:val="left"/>
      </w:pPr>
      <w:r>
        <w:rPr>
          <w:spacing w:val="-10"/>
          <w:w w:val="100"/>
        </w:rPr>
        <w:t>公司严格遵守《公司法》、《上市公司治理规则》</w:t>
      </w:r>
      <w:r>
        <w:rPr>
          <w:spacing w:val="-65"/>
          <w:w w:val="100"/>
        </w:rPr>
        <w:t> </w:t>
      </w:r>
      <w:r>
        <w:rPr>
          <w:spacing w:val="-8"/>
          <w:w w:val="100"/>
        </w:rPr>
        <w:t>、《上市公司股东大会规则》等法律法规和公司</w:t>
      </w:r>
      <w:r>
        <w:rPr>
          <w:spacing w:val="-65"/>
          <w:w w:val="100"/>
        </w:rPr>
        <w:t> </w:t>
      </w:r>
      <w:r>
        <w:rPr>
          <w:w w:val="100"/>
        </w:rPr>
        <w:t>《章</w:t>
      </w:r>
      <w:r>
        <w:rPr>
          <w:w w:val="100"/>
        </w:rPr>
        <w:t> </w:t>
      </w:r>
      <w:r>
        <w:rPr>
          <w:spacing w:val="-2"/>
        </w:rPr>
        <w:t>程》、《股东大会议事规则》的规定和要求，规范执行股东大会的召集、召开、表决程序，请见证律师进</w:t>
      </w:r>
      <w:r>
        <w:rPr>
          <w:spacing w:val="-49"/>
        </w:rPr>
        <w:t> </w:t>
      </w:r>
      <w:r>
        <w:rPr>
          <w:spacing w:val="-49"/>
        </w:rPr>
      </w:r>
      <w:r>
        <w:rPr>
          <w:spacing w:val="-2"/>
        </w:rPr>
        <w:t>行了全程现场见证并出具了法律意见书，确保会议全部程序符合相关法律法规的规定、出席会议人员和召</w:t>
      </w:r>
      <w:r>
        <w:rPr>
          <w:spacing w:val="-42"/>
        </w:rPr>
        <w:t> </w:t>
      </w:r>
      <w:r>
        <w:rPr>
          <w:spacing w:val="-42"/>
        </w:rPr>
      </w:r>
      <w:r>
        <w:rPr>
          <w:spacing w:val="-2"/>
        </w:rPr>
        <w:t>集人的资格有效，表决程序和表决结果合法有效。公司对股东大会中每一项需要审议的事项均安排充裕的</w:t>
      </w:r>
      <w:r>
        <w:rPr>
          <w:spacing w:val="-42"/>
        </w:rPr>
        <w:t> </w:t>
      </w:r>
      <w:r>
        <w:rPr>
          <w:spacing w:val="-42"/>
        </w:rPr>
      </w:r>
      <w:r>
        <w:rPr>
          <w:spacing w:val="-5"/>
        </w:rPr>
        <w:t>时间给股东发表意见，保证了全体股东，特别是中小股东享有平等地位、平等权利，充分行使自己的权利，</w:t>
      </w:r>
      <w:r>
        <w:rPr>
          <w:spacing w:val="-11"/>
        </w:rPr>
        <w:t> </w:t>
      </w:r>
      <w:r>
        <w:rPr>
          <w:spacing w:val="-11"/>
        </w:rPr>
      </w:r>
      <w:r>
        <w:rPr/>
        <w:t>并承担相应的义务。</w:t>
      </w:r>
    </w:p>
    <w:p>
      <w:pPr>
        <w:pStyle w:val="BodyText"/>
        <w:spacing w:line="403" w:lineRule="auto" w:before="46"/>
        <w:ind w:right="1126" w:firstLine="419"/>
        <w:jc w:val="both"/>
      </w:pPr>
      <w:r>
        <w:rPr/>
        <w:t>报告期内，公司共召开了</w:t>
      </w:r>
      <w:r>
        <w:rPr>
          <w:rFonts w:ascii="Times New Roman" w:hAnsi="Times New Roman" w:cs="Times New Roman" w:eastAsia="Times New Roman" w:hint="default"/>
        </w:rPr>
        <w:t>3</w:t>
      </w:r>
      <w:r>
        <w:rPr/>
        <w:t>次股东大会，均由董事会召集，审议并通过议案共计</w:t>
      </w:r>
      <w:r>
        <w:rPr>
          <w:rFonts w:ascii="Times New Roman" w:hAnsi="Times New Roman" w:cs="Times New Roman" w:eastAsia="Times New Roman" w:hint="default"/>
        </w:rPr>
        <w:t>18</w:t>
      </w:r>
      <w:r>
        <w:rPr/>
        <w:t>项。其中</w:t>
      </w:r>
      <w:r>
        <w:rPr>
          <w:rFonts w:ascii="Times New Roman" w:hAnsi="Times New Roman" w:cs="Times New Roman" w:eastAsia="Times New Roman" w:hint="default"/>
        </w:rPr>
        <w:t>2019</w:t>
      </w:r>
      <w:r>
        <w:rPr/>
        <w:t>年度</w:t>
      </w:r>
      <w:r>
        <w:rPr>
          <w:spacing w:val="2"/>
          <w:w w:val="100"/>
        </w:rPr>
        <w:t> </w:t>
      </w:r>
      <w:r>
        <w:rPr>
          <w:spacing w:val="-2"/>
        </w:rPr>
        <w:t>第一临时股东大会审议通过了《关于选举第三届董事会非独立董事的议案》、《关于选举第三届董事会独</w:t>
      </w:r>
      <w:r>
        <w:rPr>
          <w:spacing w:val="-46"/>
        </w:rPr>
        <w:t> </w:t>
      </w:r>
      <w:r>
        <w:rPr>
          <w:spacing w:val="-46"/>
        </w:rPr>
      </w:r>
      <w:r>
        <w:rPr/>
        <w:t>立董事的议案》、</w:t>
      </w:r>
      <w:r>
        <w:rPr>
          <w:spacing w:val="55"/>
        </w:rPr>
        <w:t> </w:t>
      </w:r>
      <w:r>
        <w:rPr/>
        <w:t>《关于选举第三届监事会股东代表监事的议案》、《关于修订公司章程的议案》，完</w:t>
      </w:r>
      <w:r>
        <w:rPr>
          <w:spacing w:val="-86"/>
        </w:rPr>
        <w:t> </w:t>
      </w:r>
      <w:r>
        <w:rPr>
          <w:spacing w:val="-86"/>
        </w:rPr>
      </w:r>
      <w:r>
        <w:rPr>
          <w:spacing w:val="-2"/>
        </w:rPr>
        <w:t>成了董事会、监事会的换届和高级管理人员的聘任，并根据《公司法》、《上市公司治理规则》的新要求</w:t>
      </w:r>
      <w:r>
        <w:rPr>
          <w:spacing w:val="-47"/>
        </w:rPr>
        <w:t> </w:t>
      </w:r>
      <w:r>
        <w:rPr>
          <w:spacing w:val="-47"/>
        </w:rPr>
      </w:r>
      <w:r>
        <w:rPr/>
        <w:t>对公司《章程》及相关议事规则做了相应修改完善。</w:t>
      </w:r>
    </w:p>
    <w:p>
      <w:pPr>
        <w:pStyle w:val="BodyText"/>
        <w:spacing w:line="408" w:lineRule="auto" w:before="50"/>
        <w:ind w:left="573" w:right="0"/>
        <w:jc w:val="left"/>
      </w:pPr>
      <w:r>
        <w:rPr/>
        <w:t>（二）关联交易、对外投资、对外担保</w:t>
      </w:r>
      <w:r>
        <w:rPr>
          <w:w w:val="100"/>
        </w:rPr>
        <w:t> </w:t>
      </w:r>
      <w:r>
        <w:rPr>
          <w:spacing w:val="-9"/>
          <w:w w:val="100"/>
        </w:rPr>
        <w:t>为更好地规范公司运作，严格执行相关法律法规和公司《关联交易管理制度》、《对外投资管理制度》、</w:t>
      </w:r>
    </w:p>
    <w:p>
      <w:pPr>
        <w:pStyle w:val="BodyText"/>
        <w:spacing w:line="240" w:lineRule="auto" w:before="46"/>
        <w:ind w:right="0"/>
        <w:jc w:val="left"/>
      </w:pPr>
      <w:r>
        <w:rPr/>
        <w:t>《对外担保制度》的要求，加强对关联交易、对外投资、担保决策与披露的监督，确保合法合规。报告期</w:t>
      </w:r>
    </w:p>
    <w:p>
      <w:pPr>
        <w:spacing w:after="0" w:line="240"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right="0"/>
        <w:jc w:val="both"/>
        <w:rPr>
          <w:rFonts w:ascii="宋体" w:hAnsi="宋体" w:cs="宋体" w:eastAsia="宋体" w:hint="default"/>
        </w:rPr>
      </w:pPr>
      <w:r>
        <w:rPr>
          <w:w w:val="100"/>
        </w:rPr>
        <w:t>内</w:t>
      </w:r>
      <w:r>
        <w:rPr>
          <w:spacing w:val="-44"/>
          <w:w w:val="100"/>
        </w:rPr>
        <w:t>，</w:t>
      </w:r>
      <w:r>
        <w:rPr>
          <w:spacing w:val="-3"/>
          <w:w w:val="100"/>
        </w:rPr>
        <w:t>公</w:t>
      </w:r>
      <w:r>
        <w:rPr>
          <w:w w:val="100"/>
        </w:rPr>
        <w:t>司</w:t>
      </w:r>
      <w:r>
        <w:rPr>
          <w:spacing w:val="-3"/>
          <w:w w:val="100"/>
        </w:rPr>
        <w:t>无</w:t>
      </w:r>
      <w:r>
        <w:rPr>
          <w:w w:val="100"/>
        </w:rPr>
        <w:t>对</w:t>
      </w:r>
      <w:r>
        <w:rPr>
          <w:spacing w:val="-3"/>
          <w:w w:val="100"/>
        </w:rPr>
        <w:t>外</w:t>
      </w:r>
      <w:r>
        <w:rPr>
          <w:w w:val="100"/>
        </w:rPr>
        <w:t>投资</w:t>
      </w:r>
      <w:r>
        <w:rPr>
          <w:spacing w:val="-46"/>
          <w:w w:val="100"/>
        </w:rPr>
        <w:t>、</w:t>
      </w:r>
      <w:r>
        <w:rPr>
          <w:w w:val="100"/>
        </w:rPr>
        <w:t>担</w:t>
      </w:r>
      <w:r>
        <w:rPr>
          <w:spacing w:val="-3"/>
          <w:w w:val="100"/>
        </w:rPr>
        <w:t>保</w:t>
      </w:r>
      <w:r>
        <w:rPr>
          <w:w w:val="100"/>
        </w:rPr>
        <w:t>事项</w:t>
      </w:r>
      <w:r>
        <w:rPr>
          <w:spacing w:val="-46"/>
          <w:w w:val="100"/>
        </w:rPr>
        <w:t>，</w:t>
      </w:r>
      <w:r>
        <w:rPr>
          <w:w w:val="100"/>
        </w:rPr>
        <w:t>涉</w:t>
      </w:r>
      <w:r>
        <w:rPr>
          <w:spacing w:val="-3"/>
          <w:w w:val="100"/>
        </w:rPr>
        <w:t>及</w:t>
      </w:r>
      <w:r>
        <w:rPr>
          <w:w w:val="100"/>
        </w:rPr>
        <w:t>关</w:t>
      </w:r>
      <w:r>
        <w:rPr>
          <w:spacing w:val="-3"/>
          <w:w w:val="100"/>
        </w:rPr>
        <w:t>联</w:t>
      </w:r>
      <w:r>
        <w:rPr>
          <w:w w:val="100"/>
        </w:rPr>
        <w:t>交</w:t>
      </w:r>
      <w:r>
        <w:rPr>
          <w:spacing w:val="-3"/>
          <w:w w:val="100"/>
        </w:rPr>
        <w:t>易</w:t>
      </w:r>
      <w:r>
        <w:rPr>
          <w:w w:val="100"/>
        </w:rPr>
        <w:t>事</w:t>
      </w:r>
      <w:r>
        <w:rPr>
          <w:spacing w:val="-3"/>
          <w:w w:val="100"/>
        </w:rPr>
        <w:t>项</w:t>
      </w:r>
      <w:r>
        <w:rPr>
          <w:w w:val="100"/>
        </w:rPr>
        <w:t>均按</w:t>
      </w:r>
      <w:r>
        <w:rPr>
          <w:spacing w:val="-3"/>
          <w:w w:val="100"/>
        </w:rPr>
        <w:t>照</w:t>
      </w:r>
      <w:r>
        <w:rPr>
          <w:w w:val="100"/>
        </w:rPr>
        <w:t>相</w:t>
      </w:r>
      <w:r>
        <w:rPr>
          <w:spacing w:val="-3"/>
          <w:w w:val="100"/>
        </w:rPr>
        <w:t>关</w:t>
      </w:r>
      <w:r>
        <w:rPr>
          <w:w w:val="100"/>
        </w:rPr>
        <w:t>监</w:t>
      </w:r>
      <w:r>
        <w:rPr>
          <w:spacing w:val="-3"/>
          <w:w w:val="100"/>
        </w:rPr>
        <w:t>管</w:t>
      </w:r>
      <w:r>
        <w:rPr>
          <w:w w:val="100"/>
        </w:rPr>
        <w:t>规</w:t>
      </w:r>
      <w:r>
        <w:rPr>
          <w:spacing w:val="-3"/>
          <w:w w:val="100"/>
        </w:rPr>
        <w:t>则</w:t>
      </w:r>
      <w:r>
        <w:rPr>
          <w:w w:val="100"/>
        </w:rPr>
        <w:t>和</w:t>
      </w:r>
      <w:r>
        <w:rPr>
          <w:spacing w:val="-3"/>
          <w:w w:val="100"/>
        </w:rPr>
        <w:t>公</w:t>
      </w:r>
      <w:r>
        <w:rPr>
          <w:w w:val="100"/>
        </w:rPr>
        <w:t>司制</w:t>
      </w:r>
      <w:r>
        <w:rPr>
          <w:spacing w:val="-3"/>
          <w:w w:val="100"/>
        </w:rPr>
        <w:t>度</w:t>
      </w:r>
      <w:r>
        <w:rPr>
          <w:w w:val="100"/>
        </w:rPr>
        <w:t>履</w:t>
      </w:r>
      <w:r>
        <w:rPr>
          <w:spacing w:val="-3"/>
          <w:w w:val="100"/>
        </w:rPr>
        <w:t>行</w:t>
      </w:r>
      <w:r>
        <w:rPr>
          <w:w w:val="100"/>
        </w:rPr>
        <w:t>了</w:t>
      </w:r>
      <w:r>
        <w:rPr>
          <w:spacing w:val="-3"/>
          <w:w w:val="100"/>
        </w:rPr>
        <w:t>相</w:t>
      </w:r>
      <w:r>
        <w:rPr>
          <w:w w:val="100"/>
        </w:rPr>
        <w:t>关</w:t>
      </w:r>
      <w:r>
        <w:rPr>
          <w:spacing w:val="-3"/>
          <w:w w:val="100"/>
        </w:rPr>
        <w:t>决</w:t>
      </w:r>
      <w:r>
        <w:rPr>
          <w:w w:val="100"/>
        </w:rPr>
        <w:t>策</w:t>
      </w:r>
      <w:r>
        <w:rPr>
          <w:spacing w:val="-3"/>
          <w:w w:val="100"/>
        </w:rPr>
        <w:t>程</w:t>
      </w:r>
      <w:r>
        <w:rPr>
          <w:w w:val="100"/>
        </w:rPr>
        <w:t>序</w:t>
      </w:r>
      <w:r>
        <w:rPr>
          <w:spacing w:val="-111"/>
          <w:w w:val="100"/>
        </w:rPr>
        <w:t>。</w:t>
      </w:r>
      <w:r>
        <w:rPr>
          <w:rFonts w:ascii="宋体" w:hAnsi="宋体" w:cs="宋体" w:eastAsia="宋体" w:hint="default"/>
          <w:w w:val="100"/>
        </w:rPr>
        <w:t> </w:t>
      </w:r>
    </w:p>
    <w:p>
      <w:pPr>
        <w:spacing w:line="240" w:lineRule="auto" w:before="10"/>
        <w:rPr>
          <w:rFonts w:ascii="宋体" w:hAnsi="宋体" w:cs="宋体" w:eastAsia="宋体" w:hint="default"/>
          <w:sz w:val="14"/>
          <w:szCs w:val="14"/>
        </w:rPr>
      </w:pPr>
    </w:p>
    <w:p>
      <w:pPr>
        <w:pStyle w:val="BodyText"/>
        <w:spacing w:line="408" w:lineRule="auto"/>
        <w:ind w:left="572" w:right="0"/>
        <w:jc w:val="left"/>
      </w:pPr>
      <w:r>
        <w:rPr/>
        <w:t>（三）董事与董事会</w:t>
      </w:r>
      <w:r>
        <w:rPr>
          <w:w w:val="100"/>
        </w:rPr>
        <w:t> </w:t>
      </w:r>
      <w:r>
        <w:rPr>
          <w:spacing w:val="-2"/>
        </w:rPr>
        <w:t>公司董事会设董事</w:t>
      </w:r>
      <w:r>
        <w:rPr>
          <w:rFonts w:ascii="Times New Roman" w:hAnsi="Times New Roman" w:cs="Times New Roman" w:eastAsia="Times New Roman" w:hint="default"/>
          <w:spacing w:val="-2"/>
        </w:rPr>
        <w:t>9</w:t>
      </w:r>
      <w:r>
        <w:rPr>
          <w:spacing w:val="-2"/>
        </w:rPr>
        <w:t>名，其中独立董事</w:t>
      </w:r>
      <w:r>
        <w:rPr>
          <w:rFonts w:ascii="Times New Roman" w:hAnsi="Times New Roman" w:cs="Times New Roman" w:eastAsia="Times New Roman" w:hint="default"/>
          <w:spacing w:val="-2"/>
        </w:rPr>
        <w:t>3</w:t>
      </w:r>
      <w:r>
        <w:rPr>
          <w:spacing w:val="-2"/>
        </w:rPr>
        <w:t>名，董事选聘程序、董事会人数及人员构成均符合法律、法规</w:t>
      </w:r>
    </w:p>
    <w:p>
      <w:pPr>
        <w:pStyle w:val="BodyText"/>
        <w:spacing w:line="408" w:lineRule="auto" w:before="14"/>
        <w:ind w:right="1023"/>
        <w:jc w:val="both"/>
      </w:pPr>
      <w:r>
        <w:rPr/>
        <w:t>和公司</w:t>
      </w:r>
      <w:r>
        <w:rPr>
          <w:spacing w:val="-16"/>
        </w:rPr>
        <w:t> </w:t>
      </w:r>
      <w:r>
        <w:rPr/>
        <w:t>《章程》</w:t>
      </w:r>
      <w:r>
        <w:rPr>
          <w:spacing w:val="-17"/>
        </w:rPr>
        <w:t> </w:t>
      </w:r>
      <w:r>
        <w:rPr/>
        <w:t>的要求。报告期内，董事会成员变动情况详见本报告第九节之《二、公司董事、监事、</w:t>
      </w:r>
      <w:r>
        <w:rPr>
          <w:spacing w:val="-98"/>
        </w:rPr>
        <w:t> </w:t>
      </w:r>
      <w:r>
        <w:rPr>
          <w:spacing w:val="-98"/>
        </w:rPr>
      </w:r>
      <w:r>
        <w:rPr>
          <w:spacing w:val="-5"/>
        </w:rPr>
        <w:t>高级管理人员变动情况》。公司全体董事能够依照公司《深圳证券交易所创业板上市公司规范运作指引》、</w:t>
      </w:r>
    </w:p>
    <w:p>
      <w:pPr>
        <w:pStyle w:val="BodyText"/>
        <w:spacing w:line="408" w:lineRule="auto" w:before="46"/>
        <w:ind w:right="1106"/>
        <w:jc w:val="both"/>
      </w:pPr>
      <w:r>
        <w:rPr/>
        <w:t>《董事会议事规则》</w:t>
      </w:r>
      <w:r>
        <w:rPr>
          <w:spacing w:val="-15"/>
        </w:rPr>
        <w:t> </w:t>
      </w:r>
      <w:r>
        <w:rPr/>
        <w:t>、《独立董事工作制度》</w:t>
      </w:r>
      <w:r>
        <w:rPr>
          <w:spacing w:val="-15"/>
        </w:rPr>
        <w:t> </w:t>
      </w:r>
      <w:r>
        <w:rPr/>
        <w:t>规范地开展工作，勤勉尽责，积极履行职责和义务，按时</w:t>
      </w:r>
      <w:r>
        <w:rPr>
          <w:spacing w:val="-103"/>
        </w:rPr>
        <w:t> </w:t>
      </w:r>
      <w:r>
        <w:rPr>
          <w:spacing w:val="-103"/>
        </w:rPr>
      </w:r>
      <w:r>
        <w:rPr>
          <w:spacing w:val="-2"/>
        </w:rPr>
        <w:t>出席董事会和股东大会，坚持参加有关培训，学习法律法规及各类规范指引的要求，推进公司规范运作。</w:t>
      </w:r>
      <w:r>
        <w:rPr>
          <w:spacing w:val="-21"/>
        </w:rPr>
        <w:t> </w:t>
      </w:r>
      <w:r>
        <w:rPr>
          <w:spacing w:val="-21"/>
        </w:rPr>
      </w:r>
      <w:r>
        <w:rPr/>
        <w:t>报告期内，公司共召开了</w:t>
      </w:r>
      <w:r>
        <w:rPr>
          <w:rFonts w:ascii="Times New Roman" w:hAnsi="Times New Roman" w:cs="Times New Roman" w:eastAsia="Times New Roman" w:hint="default"/>
        </w:rPr>
        <w:t>10</w:t>
      </w:r>
      <w:r>
        <w:rPr/>
        <w:t>次董事会会议，审议并通过议案共计</w:t>
      </w:r>
      <w:r>
        <w:rPr>
          <w:rFonts w:ascii="Times New Roman" w:hAnsi="Times New Roman" w:cs="Times New Roman" w:eastAsia="Times New Roman" w:hint="default"/>
        </w:rPr>
        <w:t>51</w:t>
      </w:r>
      <w:r>
        <w:rPr/>
        <w:t>项。</w:t>
      </w:r>
    </w:p>
    <w:p>
      <w:pPr>
        <w:pStyle w:val="BodyText"/>
        <w:spacing w:line="408" w:lineRule="auto" w:before="14"/>
        <w:ind w:left="572" w:right="0"/>
        <w:jc w:val="left"/>
      </w:pPr>
      <w:r>
        <w:rPr/>
        <w:t>（四）监事与监事会</w:t>
      </w:r>
      <w:r>
        <w:rPr>
          <w:w w:val="100"/>
        </w:rPr>
        <w:t> </w:t>
      </w:r>
      <w:r>
        <w:rPr>
          <w:spacing w:val="-2"/>
        </w:rPr>
        <w:t>公司监事会由</w:t>
      </w:r>
      <w:r>
        <w:rPr>
          <w:rFonts w:ascii="Times New Roman" w:hAnsi="Times New Roman" w:cs="Times New Roman" w:eastAsia="Times New Roman" w:hint="default"/>
          <w:spacing w:val="-2"/>
        </w:rPr>
        <w:t>3</w:t>
      </w:r>
      <w:r>
        <w:rPr>
          <w:spacing w:val="-2"/>
        </w:rPr>
        <w:t>名监事组成，其中职工监事</w:t>
      </w:r>
      <w:r>
        <w:rPr>
          <w:rFonts w:ascii="Times New Roman" w:hAnsi="Times New Roman" w:cs="Times New Roman" w:eastAsia="Times New Roman" w:hint="default"/>
          <w:spacing w:val="-2"/>
        </w:rPr>
        <w:t>1</w:t>
      </w:r>
      <w:r>
        <w:rPr>
          <w:spacing w:val="-2"/>
        </w:rPr>
        <w:t>名，监事会的人数和构成符合法律、法规和公司《章程》</w:t>
      </w:r>
      <w:r>
        <w:rPr/>
      </w:r>
    </w:p>
    <w:p>
      <w:pPr>
        <w:pStyle w:val="BodyText"/>
        <w:spacing w:line="403" w:lineRule="auto" w:before="14"/>
        <w:ind w:left="153" w:right="1128"/>
        <w:jc w:val="both"/>
      </w:pPr>
      <w:r>
        <w:rPr>
          <w:spacing w:val="-2"/>
        </w:rPr>
        <w:t>的要求。报告期内，监事会成员变动情况详见本报告第九节之《二、公司董事、监事、高级管理人员变动</w:t>
      </w:r>
      <w:r>
        <w:rPr>
          <w:spacing w:val="-42"/>
        </w:rPr>
        <w:t> </w:t>
      </w:r>
      <w:r>
        <w:rPr>
          <w:spacing w:val="-42"/>
        </w:rPr>
      </w:r>
      <w:r>
        <w:rPr>
          <w:spacing w:val="-2"/>
        </w:rPr>
        <w:t>情况》。公司全体监事能够按照《监事会议事规则》的要求，认真履行职责，积极参加相关培训，对董事</w:t>
      </w:r>
      <w:r>
        <w:rPr>
          <w:spacing w:val="-49"/>
        </w:rPr>
        <w:t> </w:t>
      </w:r>
      <w:r>
        <w:rPr>
          <w:spacing w:val="-49"/>
        </w:rPr>
      </w:r>
      <w:r>
        <w:rPr>
          <w:spacing w:val="-2"/>
        </w:rPr>
        <w:t>会决策程序、决议事项、公司依法运作情况、公司董事和高级管理人员履行职责的合法合规性进行了有效</w:t>
      </w:r>
      <w:r>
        <w:rPr>
          <w:spacing w:val="-42"/>
        </w:rPr>
        <w:t> </w:t>
      </w:r>
      <w:r>
        <w:rPr>
          <w:spacing w:val="-42"/>
        </w:rPr>
      </w:r>
      <w:r>
        <w:rPr/>
        <w:t>监督。对公司重大事项、关联交易、财务状况的合法合规性进行监督。报告期内，公司共召开了</w:t>
      </w:r>
      <w:r>
        <w:rPr>
          <w:rFonts w:ascii="Times New Roman" w:hAnsi="Times New Roman" w:cs="Times New Roman" w:eastAsia="Times New Roman" w:hint="default"/>
        </w:rPr>
        <w:t>9</w:t>
      </w:r>
      <w:r>
        <w:rPr/>
        <w:t>次监事</w:t>
      </w:r>
      <w:r>
        <w:rPr>
          <w:spacing w:val="-25"/>
        </w:rPr>
        <w:t> </w:t>
      </w:r>
      <w:r>
        <w:rPr>
          <w:spacing w:val="-25"/>
        </w:rPr>
      </w:r>
      <w:r>
        <w:rPr/>
        <w:t>会会议，审议并通过议案共计</w:t>
      </w:r>
      <w:r>
        <w:rPr>
          <w:rFonts w:ascii="Times New Roman" w:hAnsi="Times New Roman" w:cs="Times New Roman" w:eastAsia="Times New Roman" w:hint="default"/>
        </w:rPr>
        <w:t>17</w:t>
      </w:r>
      <w:r>
        <w:rPr/>
        <w:t>项。</w:t>
      </w:r>
    </w:p>
    <w:p>
      <w:pPr>
        <w:pStyle w:val="BodyText"/>
        <w:spacing w:line="408" w:lineRule="auto" w:before="19"/>
        <w:ind w:left="573" w:right="0"/>
        <w:jc w:val="left"/>
      </w:pPr>
      <w:r>
        <w:rPr/>
        <w:t>（五）绩效评价和激励约束机制</w:t>
      </w:r>
      <w:r>
        <w:rPr>
          <w:w w:val="100"/>
        </w:rPr>
        <w:t> </w:t>
      </w:r>
      <w:r>
        <w:rPr>
          <w:spacing w:val="-3"/>
        </w:rPr>
        <w:t>公司《章程》明确规定了董事、监事和高级管理人员的聘任、履职行为、权限和职责，报告期内，公</w:t>
      </w:r>
      <w:r>
        <w:rPr/>
      </w:r>
    </w:p>
    <w:p>
      <w:pPr>
        <w:pStyle w:val="BodyText"/>
        <w:spacing w:line="408" w:lineRule="auto" w:before="46"/>
        <w:ind w:left="153" w:right="1106"/>
        <w:jc w:val="both"/>
      </w:pPr>
      <w:r>
        <w:rPr>
          <w:spacing w:val="-2"/>
        </w:rPr>
        <w:t>司严格执行《高管人员经营业绩考核暂行办法》，对公司实施年薪制的高管人员采用定量与定性相结合的</w:t>
      </w:r>
      <w:r>
        <w:rPr>
          <w:spacing w:val="-42"/>
        </w:rPr>
        <w:t> </w:t>
      </w:r>
      <w:r>
        <w:rPr>
          <w:spacing w:val="-42"/>
        </w:rPr>
      </w:r>
      <w:r>
        <w:rPr>
          <w:spacing w:val="-2"/>
        </w:rPr>
        <w:t>方式进行年度考评，并且董事会、股东大会审议批准了《董事、监事薪酬待遇管理办法》，明确了董事、</w:t>
      </w:r>
      <w:r>
        <w:rPr>
          <w:spacing w:val="-21"/>
        </w:rPr>
        <w:t> </w:t>
      </w:r>
      <w:r>
        <w:rPr>
          <w:spacing w:val="-21"/>
        </w:rPr>
      </w:r>
      <w:r>
        <w:rPr>
          <w:spacing w:val="-2"/>
        </w:rPr>
        <w:t>监事领取薪酬的办法和标准。董事会、监事会、独立董事向股东大会报告年度工作情况、绩效评价结果及</w:t>
      </w:r>
      <w:r>
        <w:rPr>
          <w:spacing w:val="-44"/>
        </w:rPr>
        <w:t> </w:t>
      </w:r>
      <w:r>
        <w:rPr>
          <w:spacing w:val="-44"/>
        </w:rPr>
      </w:r>
      <w:r>
        <w:rPr/>
        <w:t>薪酬情况，并予以了披露，做到了公正、透明。</w:t>
      </w:r>
    </w:p>
    <w:p>
      <w:pPr>
        <w:pStyle w:val="BodyText"/>
        <w:spacing w:line="408" w:lineRule="auto" w:before="46"/>
        <w:ind w:left="572" w:right="0"/>
        <w:jc w:val="left"/>
      </w:pPr>
      <w:r>
        <w:rPr/>
        <w:t>（六）信息披露与透明度</w:t>
      </w:r>
      <w:r>
        <w:rPr>
          <w:w w:val="100"/>
        </w:rPr>
        <w:t> </w:t>
      </w:r>
      <w:r>
        <w:rPr>
          <w:spacing w:val="-2"/>
        </w:rPr>
        <w:t>公司高度重视投资者关系管理工作，严格执行《证券法》和《深圳证券交易所创业板股票上市规则》</w:t>
      </w:r>
      <w:r>
        <w:rPr/>
      </w:r>
    </w:p>
    <w:p>
      <w:pPr>
        <w:pStyle w:val="BodyText"/>
        <w:spacing w:line="396" w:lineRule="auto" w:before="46"/>
        <w:ind w:right="0"/>
        <w:jc w:val="left"/>
      </w:pPr>
      <w:r>
        <w:rPr>
          <w:spacing w:val="-2"/>
        </w:rPr>
        <w:t>等法规和公司《信息披露管理办法》、《投资者关系管理制度》等规定，指定公司董事会秘书负责信息披</w:t>
      </w:r>
      <w:r>
        <w:rPr>
          <w:spacing w:val="-42"/>
        </w:rPr>
        <w:t> </w:t>
      </w:r>
      <w:r>
        <w:rPr>
          <w:spacing w:val="-42"/>
        </w:rPr>
      </w:r>
      <w:r>
        <w:rPr>
          <w:spacing w:val="-2"/>
        </w:rPr>
        <w:t>露与投资者关系管理工作。报告期内，公司对《信息披露管理办法》等</w:t>
      </w:r>
      <w:r>
        <w:rPr>
          <w:rFonts w:ascii="Times New Roman" w:hAnsi="Times New Roman" w:cs="Times New Roman" w:eastAsia="Times New Roman" w:hint="default"/>
          <w:spacing w:val="-2"/>
        </w:rPr>
        <w:t>7</w:t>
      </w:r>
      <w:r>
        <w:rPr>
          <w:spacing w:val="-2"/>
        </w:rPr>
        <w:t>项基本管理制度进行了适当修正，</w:t>
      </w:r>
      <w:r>
        <w:rPr>
          <w:spacing w:val="-42"/>
        </w:rPr>
        <w:t> </w:t>
      </w:r>
      <w:r>
        <w:rPr>
          <w:spacing w:val="-42"/>
        </w:rPr>
      </w:r>
      <w:r>
        <w:rPr/>
        <w:t>在《信息披露管理办法》中补充了</w:t>
      </w:r>
      <w:r>
        <w:rPr>
          <w:rFonts w:ascii="Times New Roman" w:hAnsi="Times New Roman" w:cs="Times New Roman" w:eastAsia="Times New Roman" w:hint="default"/>
        </w:rPr>
        <w:t>“</w:t>
      </w:r>
      <w:r>
        <w:rPr/>
        <w:t>公司应当制定规范董事、监事、高级管理人员对外发布信息的行为规</w:t>
      </w:r>
      <w:r>
        <w:rPr>
          <w:spacing w:val="-17"/>
        </w:rPr>
        <w:t> </w:t>
      </w:r>
      <w:r>
        <w:rPr>
          <w:spacing w:val="-17"/>
        </w:rPr>
      </w:r>
      <w:r>
        <w:rPr/>
        <w:t>范，明确未经董事会许可不得对外发布的情形。</w:t>
      </w:r>
      <w:r>
        <w:rPr>
          <w:rFonts w:ascii="Times New Roman" w:hAnsi="Times New Roman" w:cs="Times New Roman" w:eastAsia="Times New Roman" w:hint="default"/>
        </w:rPr>
        <w:t>”</w:t>
      </w:r>
      <w:r>
        <w:rPr/>
        <w:t>的规定，进一步对董事、监事、高级管理人员在保证信</w:t>
      </w:r>
      <w:r>
        <w:rPr>
          <w:spacing w:val="-18"/>
        </w:rPr>
        <w:t> </w:t>
      </w:r>
      <w:r>
        <w:rPr>
          <w:spacing w:val="-18"/>
        </w:rPr>
      </w:r>
      <w:r>
        <w:rPr>
          <w:spacing w:val="-2"/>
        </w:rPr>
        <w:t>息披露合法合规方面进行了约束，以增强信息披露的真实性、准确性、完整性、及时性和公平性，推进公</w:t>
      </w:r>
      <w:r>
        <w:rPr>
          <w:spacing w:val="-43"/>
        </w:rPr>
        <w:t> </w:t>
      </w:r>
      <w:r>
        <w:rPr>
          <w:spacing w:val="-43"/>
        </w:rPr>
      </w:r>
      <w:r>
        <w:rPr/>
        <w:t>司内控制度建设。</w:t>
      </w:r>
    </w:p>
    <w:p>
      <w:pPr>
        <w:pStyle w:val="BodyText"/>
        <w:spacing w:line="240" w:lineRule="auto" w:before="56"/>
        <w:ind w:left="572" w:right="0"/>
        <w:jc w:val="left"/>
      </w:pPr>
      <w:r>
        <w:rPr/>
        <w:t>公司高度重视内幕信息管理，加强内幕信息保密工作，维护信息披露公开、公平、公正，保护广大投</w:t>
      </w:r>
    </w:p>
    <w:p>
      <w:pPr>
        <w:spacing w:after="0" w:line="240"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3" w:lineRule="auto" w:before="36"/>
        <w:ind w:right="1128"/>
        <w:jc w:val="both"/>
      </w:pPr>
      <w:r>
        <w:rPr>
          <w:spacing w:val="-2"/>
        </w:rPr>
        <w:t>资者的合法权益。报告期内，公司在内幕信息知情人的管理方面，严格遵照相关法律法规指引及公司《内</w:t>
      </w:r>
      <w:r>
        <w:rPr>
          <w:spacing w:val="-47"/>
        </w:rPr>
        <w:t> </w:t>
      </w:r>
      <w:r>
        <w:rPr>
          <w:spacing w:val="-47"/>
        </w:rPr>
      </w:r>
      <w:r>
        <w:rPr>
          <w:spacing w:val="-2"/>
        </w:rPr>
        <w:t>幕信息知情人管理制度》，坚持</w:t>
      </w:r>
      <w:r>
        <w:rPr>
          <w:rFonts w:ascii="Times New Roman" w:hAnsi="Times New Roman" w:cs="Times New Roman" w:eastAsia="Times New Roman" w:hint="default"/>
          <w:spacing w:val="-2"/>
        </w:rPr>
        <w:t>“</w:t>
      </w:r>
      <w:r>
        <w:rPr>
          <w:spacing w:val="-2"/>
        </w:rPr>
        <w:t>一事一记</w:t>
      </w:r>
      <w:r>
        <w:rPr>
          <w:rFonts w:ascii="Times New Roman" w:hAnsi="Times New Roman" w:cs="Times New Roman" w:eastAsia="Times New Roman" w:hint="default"/>
          <w:spacing w:val="-2"/>
        </w:rPr>
        <w:t>”</w:t>
      </w:r>
      <w:r>
        <w:rPr>
          <w:spacing w:val="-2"/>
        </w:rPr>
        <w:t>原则，及时做好每次定期报告与重大事项保密义务通知及内幕</w:t>
      </w:r>
      <w:r>
        <w:rPr>
          <w:spacing w:val="-19"/>
        </w:rPr>
        <w:t> </w:t>
      </w:r>
      <w:r>
        <w:rPr>
          <w:spacing w:val="-19"/>
        </w:rPr>
      </w:r>
      <w:r>
        <w:rPr>
          <w:spacing w:val="-2"/>
        </w:rPr>
        <w:t>信息知情人档案登记工作；对在定期报告前对外报送信息的情况，将所报送的外部单位相关人员列入了内</w:t>
      </w:r>
      <w:r>
        <w:rPr>
          <w:spacing w:val="-42"/>
        </w:rPr>
        <w:t> </w:t>
      </w:r>
      <w:r>
        <w:rPr>
          <w:spacing w:val="-42"/>
        </w:rPr>
      </w:r>
      <w:r>
        <w:rPr>
          <w:spacing w:val="-2"/>
        </w:rPr>
        <w:t>幕知情人备案范围。所有登记信息均按照深交所要求，做到详细、完整，符合规范，不存在不真实、不准</w:t>
      </w:r>
      <w:r>
        <w:rPr>
          <w:spacing w:val="-42"/>
        </w:rPr>
        <w:t> </w:t>
      </w:r>
      <w:r>
        <w:rPr>
          <w:spacing w:val="-42"/>
        </w:rPr>
      </w:r>
      <w:r>
        <w:rPr/>
        <w:t>确、不完整、不及时现象，有效控制了内幕交易风险。</w:t>
      </w:r>
    </w:p>
    <w:p>
      <w:pPr>
        <w:pStyle w:val="BodyText"/>
        <w:spacing w:line="408" w:lineRule="auto" w:before="50"/>
        <w:ind w:left="572" w:right="0"/>
        <w:jc w:val="left"/>
      </w:pPr>
      <w:r>
        <w:rPr/>
        <w:t>（七）投资者关系</w:t>
      </w:r>
      <w:r>
        <w:rPr>
          <w:w w:val="100"/>
        </w:rPr>
        <w:t> </w:t>
      </w:r>
      <w:r>
        <w:rPr>
          <w:spacing w:val="-2"/>
        </w:rPr>
        <w:t>公司通过与投资者之间保持良好的双向沟通，促进投资者对公司的了解和认同，确保所有股东有公平</w:t>
      </w:r>
    </w:p>
    <w:p>
      <w:pPr>
        <w:pStyle w:val="BodyText"/>
        <w:spacing w:line="400" w:lineRule="auto" w:before="46"/>
        <w:ind w:right="1128"/>
        <w:jc w:val="both"/>
      </w:pPr>
      <w:r>
        <w:rPr>
          <w:spacing w:val="-2"/>
        </w:rPr>
        <w:t>获得信息的机会，保障投资者的知情权。公司还通过深交所互动易平台、投资者专线电话、新闻媒体、网</w:t>
      </w:r>
      <w:r>
        <w:rPr>
          <w:spacing w:val="-43"/>
        </w:rPr>
        <w:t> </w:t>
      </w:r>
      <w:r>
        <w:rPr>
          <w:spacing w:val="-43"/>
        </w:rPr>
      </w:r>
      <w:r>
        <w:rPr>
          <w:spacing w:val="-2"/>
        </w:rPr>
        <w:t>站专栏、现场接待等渠道（方式）与各类投资者、中介机构的行研人员及中小投资者保持经常性联系，方</w:t>
      </w:r>
      <w:r>
        <w:rPr>
          <w:spacing w:val="-43"/>
        </w:rPr>
        <w:t> </w:t>
      </w:r>
      <w:r>
        <w:rPr>
          <w:spacing w:val="-43"/>
        </w:rPr>
      </w:r>
      <w:r>
        <w:rPr>
          <w:spacing w:val="-2"/>
        </w:rPr>
        <w:t>便投资者及时知悉、查询和咨询公司信息。按时公布公司定期报告，并制作出精美的印刷版摆放在公司证</w:t>
      </w:r>
      <w:r>
        <w:rPr>
          <w:spacing w:val="-44"/>
        </w:rPr>
        <w:t> </w:t>
      </w:r>
      <w:r>
        <w:rPr>
          <w:spacing w:val="-44"/>
        </w:rPr>
      </w:r>
      <w:r>
        <w:rPr>
          <w:spacing w:val="-4"/>
        </w:rPr>
        <w:t>券事务管理部门供投资者查阅。公司在报告期内通过</w:t>
      </w:r>
      <w:r>
        <w:rPr>
          <w:rFonts w:ascii="Times New Roman" w:hAnsi="Times New Roman" w:cs="Times New Roman" w:eastAsia="Times New Roman" w:hint="default"/>
          <w:spacing w:val="-4"/>
        </w:rPr>
        <w:t>“</w:t>
      </w:r>
      <w:r>
        <w:rPr>
          <w:spacing w:val="-4"/>
        </w:rPr>
        <w:t>互动易</w:t>
      </w:r>
      <w:r>
        <w:rPr>
          <w:rFonts w:ascii="Times New Roman" w:hAnsi="Times New Roman" w:cs="Times New Roman" w:eastAsia="Times New Roman" w:hint="default"/>
          <w:spacing w:val="-4"/>
        </w:rPr>
        <w:t>”</w:t>
      </w:r>
      <w:r>
        <w:rPr>
          <w:spacing w:val="-4"/>
        </w:rPr>
        <w:t>平台收到有效提问</w:t>
      </w:r>
      <w:r>
        <w:rPr>
          <w:rFonts w:ascii="Times New Roman" w:hAnsi="Times New Roman" w:cs="Times New Roman" w:eastAsia="Times New Roman" w:hint="default"/>
          <w:spacing w:val="-4"/>
        </w:rPr>
        <w:t>137</w:t>
      </w:r>
      <w:r>
        <w:rPr>
          <w:spacing w:val="-4"/>
        </w:rPr>
        <w:t>条，在第一时间做了客</w:t>
      </w:r>
      <w:r>
        <w:rPr>
          <w:spacing w:val="-21"/>
        </w:rPr>
        <w:t> </w:t>
      </w:r>
      <w:r>
        <w:rPr>
          <w:spacing w:val="-21"/>
        </w:rPr>
      </w:r>
      <w:r>
        <w:rPr>
          <w:spacing w:val="-2"/>
        </w:rPr>
        <w:t>观、耐心的答复，回复率</w:t>
      </w:r>
      <w:r>
        <w:rPr>
          <w:rFonts w:ascii="Times New Roman" w:hAnsi="Times New Roman" w:cs="Times New Roman" w:eastAsia="Times New Roman" w:hint="default"/>
          <w:spacing w:val="-2"/>
        </w:rPr>
        <w:t>97%</w:t>
      </w:r>
      <w:r>
        <w:rPr>
          <w:spacing w:val="-2"/>
        </w:rPr>
        <w:t>。热情、周到地接听投资者热线电话，未出现投资者投诉情况，也未发生因</w:t>
      </w:r>
      <w:r>
        <w:rPr>
          <w:spacing w:val="-20"/>
        </w:rPr>
        <w:t> </w:t>
      </w:r>
      <w:r>
        <w:rPr>
          <w:spacing w:val="-20"/>
        </w:rPr>
      </w:r>
      <w:r>
        <w:rPr/>
        <w:t>信息披露不规范而受到监管部门批评的情形。</w:t>
      </w:r>
    </w:p>
    <w:p>
      <w:pPr>
        <w:pStyle w:val="BodyText"/>
        <w:spacing w:line="408" w:lineRule="auto" w:before="52"/>
        <w:ind w:left="572" w:right="0"/>
        <w:jc w:val="left"/>
      </w:pPr>
      <w:r>
        <w:rPr/>
        <w:t>（八）相关利益者</w:t>
      </w:r>
      <w:r>
        <w:rPr>
          <w:w w:val="100"/>
        </w:rPr>
        <w:t> </w:t>
      </w:r>
      <w:r>
        <w:rPr>
          <w:spacing w:val="-2"/>
        </w:rPr>
        <w:t>公司充分尊重和维护相关利益者的合法权益，实现公司与客户、供应商、员工、股东、监管机构、政</w:t>
      </w:r>
    </w:p>
    <w:p>
      <w:pPr>
        <w:pStyle w:val="BodyText"/>
        <w:spacing w:line="408" w:lineRule="auto" w:before="46"/>
        <w:ind w:right="1106"/>
        <w:jc w:val="both"/>
      </w:pPr>
      <w:r>
        <w:rPr>
          <w:spacing w:val="-2"/>
        </w:rPr>
        <w:t>府相关部门、社会相关方面等各方利益的协调平衡，加强与各方的沟通与交流，共同推动公司持续、稳健</w:t>
      </w:r>
      <w:r>
        <w:rPr>
          <w:spacing w:val="-47"/>
        </w:rPr>
        <w:t> </w:t>
      </w:r>
      <w:r>
        <w:rPr>
          <w:spacing w:val="-47"/>
        </w:rPr>
      </w:r>
      <w:r>
        <w:rPr>
          <w:spacing w:val="-2"/>
        </w:rPr>
        <w:t>发展。公司高度重视精准扶贫工作，每年均制定年度计划，认真部署，扎实推进，力争取得实效。同时，</w:t>
      </w:r>
      <w:r>
        <w:rPr>
          <w:spacing w:val="-21"/>
        </w:rPr>
        <w:t> </w:t>
      </w:r>
      <w:r>
        <w:rPr>
          <w:spacing w:val="-21"/>
        </w:rPr>
      </w:r>
      <w:r>
        <w:rPr/>
        <w:t>力所能及地参与社会公益事业，展现国有企业应有的社会担当和责任。</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2" w:right="355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38"/>
      <w:bookmarkEnd w:id="138"/>
      <w:r>
        <w:rPr>
          <w:b w:val="0"/>
          <w:bCs w:val="0"/>
        </w:rPr>
      </w:r>
      <w:r>
        <w:rPr/>
        <w:t>二、公司相对于控股股东在业务、人员、资产、机构、财务等方面的独立情况</w:t>
      </w:r>
      <w:r>
        <w:rPr>
          <w:b w:val="0"/>
          <w:bCs w:val="0"/>
        </w:rPr>
      </w:r>
    </w:p>
    <w:p>
      <w:pPr>
        <w:spacing w:line="240" w:lineRule="auto" w:before="5"/>
        <w:rPr>
          <w:rFonts w:ascii="宋体" w:hAnsi="宋体" w:cs="宋体" w:eastAsia="宋体" w:hint="default"/>
          <w:b/>
          <w:bCs/>
          <w:sz w:val="30"/>
          <w:szCs w:val="30"/>
        </w:rPr>
      </w:pPr>
    </w:p>
    <w:p>
      <w:pPr>
        <w:pStyle w:val="BodyText"/>
        <w:spacing w:line="408" w:lineRule="auto"/>
        <w:ind w:left="572" w:right="0"/>
        <w:jc w:val="left"/>
      </w:pPr>
      <w:r>
        <w:rPr/>
        <w:t>（一）业务独立情况</w:t>
      </w:r>
      <w:r>
        <w:rPr>
          <w:w w:val="100"/>
        </w:rPr>
        <w:t> </w:t>
      </w:r>
      <w:r>
        <w:rPr>
          <w:spacing w:val="-2"/>
        </w:rPr>
        <w:t>报告期内，公司主营业务突出，拥有独立完整的研发、采购、实施和销售业务体系，独立采购所需原</w:t>
      </w:r>
    </w:p>
    <w:p>
      <w:pPr>
        <w:pStyle w:val="BodyText"/>
        <w:spacing w:line="408" w:lineRule="auto" w:before="46"/>
        <w:ind w:right="1131"/>
        <w:jc w:val="both"/>
      </w:pPr>
      <w:r>
        <w:rPr>
          <w:spacing w:val="-2"/>
        </w:rPr>
        <w:t>材料，独立组织项目实施，独立销售产品和提供售后服务。不存在依赖股东及其他关联方的情况，与控股</w:t>
      </w:r>
      <w:r>
        <w:rPr>
          <w:spacing w:val="-50"/>
        </w:rPr>
        <w:t> </w:t>
      </w:r>
      <w:r>
        <w:rPr>
          <w:spacing w:val="-50"/>
        </w:rPr>
      </w:r>
      <w:r>
        <w:rPr/>
        <w:t>股东不存在同业竞争情况。</w:t>
      </w:r>
    </w:p>
    <w:p>
      <w:pPr>
        <w:pStyle w:val="BodyText"/>
        <w:spacing w:line="408" w:lineRule="auto" w:before="46"/>
        <w:ind w:left="572" w:right="0"/>
        <w:jc w:val="left"/>
      </w:pPr>
      <w:r>
        <w:rPr/>
        <w:t>（二）人员独立情况</w:t>
      </w:r>
      <w:r>
        <w:rPr>
          <w:w w:val="100"/>
        </w:rPr>
        <w:t> </w:t>
      </w:r>
      <w:r>
        <w:rPr>
          <w:spacing w:val="-2"/>
        </w:rPr>
        <w:t>公司与全体在册职工分别签定了劳动合同，员工的劳动、人事、工资关系与控股股东及其关联方完全</w:t>
      </w:r>
    </w:p>
    <w:p>
      <w:pPr>
        <w:spacing w:after="0" w:line="408"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0"/>
        <w:jc w:val="left"/>
      </w:pPr>
      <w:r>
        <w:rPr>
          <w:spacing w:val="-2"/>
        </w:rPr>
        <w:t>分离；公司董事长、副董事长、监事会主席、总经理、副总经理、财务负责人及董事会秘书等高级管理人</w:t>
      </w:r>
      <w:r>
        <w:rPr>
          <w:spacing w:val="-42"/>
        </w:rPr>
        <w:t> </w:t>
      </w:r>
      <w:r>
        <w:rPr>
          <w:spacing w:val="-42"/>
        </w:rPr>
      </w:r>
      <w:r>
        <w:rPr>
          <w:spacing w:val="-2"/>
        </w:rPr>
        <w:t>员均专职在公司工作并领取薪酬，没有在控股股东及其关联方中担任职务，没有在关联方领薪；公司的财</w:t>
      </w:r>
      <w:r>
        <w:rPr>
          <w:spacing w:val="-42"/>
        </w:rPr>
        <w:t> </w:t>
      </w:r>
      <w:r>
        <w:rPr>
          <w:spacing w:val="-42"/>
        </w:rPr>
      </w:r>
      <w:r>
        <w:rPr>
          <w:spacing w:val="-5"/>
        </w:rPr>
        <w:t>务人员没有在控股股东及其关联方中兼职。公司董事、监事及高级管理人员的任职，均严格按照《公司法》</w:t>
      </w:r>
      <w:r>
        <w:rPr>
          <w:spacing w:val="-8"/>
        </w:rPr>
        <w:t> </w:t>
      </w:r>
      <w:r>
        <w:rPr>
          <w:spacing w:val="-8"/>
        </w:rPr>
      </w:r>
      <w:r>
        <w:rPr>
          <w:spacing w:val="-2"/>
        </w:rPr>
        <w:t>及其他法律、法规、规范性文件和公司章程规定的程序推选和任免，不存在股东超越公司股东大会和董事</w:t>
      </w:r>
      <w:r>
        <w:rPr>
          <w:spacing w:val="-44"/>
        </w:rPr>
        <w:t> </w:t>
      </w:r>
      <w:r>
        <w:rPr>
          <w:spacing w:val="-44"/>
        </w:rPr>
      </w:r>
      <w:r>
        <w:rPr/>
        <w:t>会做出人事任免决定的情况。</w:t>
      </w:r>
    </w:p>
    <w:p>
      <w:pPr>
        <w:pStyle w:val="BodyText"/>
        <w:spacing w:line="408" w:lineRule="auto" w:before="46"/>
        <w:ind w:left="572" w:right="0"/>
        <w:jc w:val="left"/>
      </w:pPr>
      <w:r>
        <w:rPr/>
        <w:t>（三）</w:t>
      </w:r>
      <w:r>
        <w:rPr>
          <w:spacing w:val="-24"/>
        </w:rPr>
        <w:t> </w:t>
      </w:r>
      <w:r>
        <w:rPr/>
        <w:t>资产独立情况</w:t>
      </w:r>
      <w:r>
        <w:rPr>
          <w:spacing w:val="-101"/>
        </w:rPr>
        <w:t> </w:t>
      </w:r>
      <w:r>
        <w:rPr>
          <w:spacing w:val="-101"/>
        </w:rPr>
      </w:r>
      <w:r>
        <w:rPr>
          <w:spacing w:val="-3"/>
        </w:rPr>
        <w:t>公司拥有独立完整的采购、实施、销售系统及辅助运营设施，与经营相关的房产等固定资产、土地使</w:t>
      </w:r>
      <w:r>
        <w:rPr/>
      </w:r>
    </w:p>
    <w:p>
      <w:pPr>
        <w:pStyle w:val="BodyText"/>
        <w:spacing w:line="408" w:lineRule="auto" w:before="46"/>
        <w:ind w:right="1128"/>
        <w:jc w:val="both"/>
      </w:pPr>
      <w:r>
        <w:rPr>
          <w:spacing w:val="-2"/>
        </w:rPr>
        <w:t>用权以及商标、专利等无形资产的权属均为公司所有，不存在控股股东及其关联方违规占用公司资金、资</w:t>
      </w:r>
      <w:r>
        <w:rPr>
          <w:spacing w:val="-43"/>
        </w:rPr>
        <w:t> </w:t>
      </w:r>
      <w:r>
        <w:rPr>
          <w:spacing w:val="-43"/>
        </w:rPr>
      </w:r>
      <w:r>
        <w:rPr>
          <w:spacing w:val="-2"/>
        </w:rPr>
        <w:t>产和其他资源的情形，不存在以承包、委托经营、租赁或其他类似方式依赖控股股东及其关联方进行经营</w:t>
      </w:r>
      <w:r>
        <w:rPr>
          <w:spacing w:val="-43"/>
        </w:rPr>
        <w:t> </w:t>
      </w:r>
      <w:r>
        <w:rPr>
          <w:spacing w:val="-43"/>
        </w:rPr>
      </w:r>
      <w:r>
        <w:rPr/>
        <w:t>的情况，与经营有关的业务体系及主要相关资产不存在产权界定不清晰的情况。</w:t>
      </w:r>
    </w:p>
    <w:p>
      <w:pPr>
        <w:pStyle w:val="BodyText"/>
        <w:spacing w:line="408" w:lineRule="auto" w:before="46"/>
        <w:ind w:left="572" w:right="0"/>
        <w:jc w:val="left"/>
      </w:pPr>
      <w:r>
        <w:rPr/>
        <w:t>（四）机构独立情况</w:t>
      </w:r>
      <w:r>
        <w:rPr>
          <w:w w:val="100"/>
        </w:rPr>
        <w:t> </w:t>
      </w:r>
      <w:r>
        <w:rPr>
          <w:spacing w:val="-2"/>
        </w:rPr>
        <w:t>公司建立健全了党委会、股东大会、董事会、监事会及总经理负责的经理层等组织机构，颁布实施了</w:t>
      </w:r>
    </w:p>
    <w:p>
      <w:pPr>
        <w:pStyle w:val="BodyText"/>
        <w:spacing w:line="400" w:lineRule="auto" w:before="46"/>
        <w:ind w:right="1128"/>
        <w:jc w:val="both"/>
      </w:pPr>
      <w:r>
        <w:rPr>
          <w:spacing w:val="-2"/>
        </w:rPr>
        <w:t>相应的议事规则和工作细则，形成了完善的</w:t>
      </w:r>
      <w:r>
        <w:rPr>
          <w:rFonts w:ascii="Times New Roman" w:hAnsi="Times New Roman" w:cs="Times New Roman" w:eastAsia="Times New Roman" w:hint="default"/>
          <w:spacing w:val="-2"/>
        </w:rPr>
        <w:t>“</w:t>
      </w:r>
      <w:r>
        <w:rPr>
          <w:spacing w:val="-2"/>
        </w:rPr>
        <w:t>四会一层</w:t>
      </w:r>
      <w:r>
        <w:rPr>
          <w:rFonts w:ascii="Times New Roman" w:hAnsi="Times New Roman" w:cs="Times New Roman" w:eastAsia="Times New Roman" w:hint="default"/>
          <w:spacing w:val="-2"/>
        </w:rPr>
        <w:t>”</w:t>
      </w:r>
      <w:r>
        <w:rPr>
          <w:spacing w:val="-2"/>
        </w:rPr>
        <w:t>法人治理结构和规范化的运作体系。根据经营发展</w:t>
      </w:r>
      <w:r>
        <w:rPr>
          <w:spacing w:val="-21"/>
        </w:rPr>
        <w:t> </w:t>
      </w:r>
      <w:r>
        <w:rPr>
          <w:spacing w:val="-21"/>
        </w:rPr>
      </w:r>
      <w:r>
        <w:rPr>
          <w:spacing w:val="-2"/>
        </w:rPr>
        <w:t>需要，发行人建立了符合公司实际情况的各级管理部门等机构，独立行使经营管理职权。发行人的经营和</w:t>
      </w:r>
      <w:r>
        <w:rPr>
          <w:spacing w:val="-43"/>
        </w:rPr>
        <w:t> </w:t>
      </w:r>
      <w:r>
        <w:rPr>
          <w:spacing w:val="-43"/>
        </w:rPr>
      </w:r>
      <w:r>
        <w:rPr>
          <w:spacing w:val="-2"/>
        </w:rPr>
        <w:t>办公场所与控股股东、实际控制人及其控制的其他企业严格分开，不存在与控股股东、实际控制人及其控</w:t>
      </w:r>
      <w:r>
        <w:rPr>
          <w:spacing w:val="-48"/>
        </w:rPr>
        <w:t> </w:t>
      </w:r>
      <w:r>
        <w:rPr>
          <w:spacing w:val="-48"/>
        </w:rPr>
      </w:r>
      <w:r>
        <w:rPr/>
        <w:t>制的其他企业混合经营、合署办公的情形，不存在受控股股东及其他任何单位或个人干预的情形。</w:t>
      </w:r>
    </w:p>
    <w:p>
      <w:pPr>
        <w:pStyle w:val="BodyText"/>
        <w:spacing w:line="408" w:lineRule="auto" w:before="52"/>
        <w:ind w:left="572" w:right="0"/>
        <w:jc w:val="left"/>
      </w:pPr>
      <w:r>
        <w:rPr/>
        <w:t>（五）财务独立情况</w:t>
      </w:r>
      <w:r>
        <w:rPr>
          <w:w w:val="100"/>
        </w:rPr>
        <w:t> </w:t>
      </w:r>
      <w:r>
        <w:rPr>
          <w:spacing w:val="-2"/>
        </w:rPr>
        <w:t>公司按照企业会计准则的要求建立了一套独立、完整、规范的财务会计核算体系和财务管理制度，并</w:t>
      </w:r>
    </w:p>
    <w:p>
      <w:pPr>
        <w:pStyle w:val="BodyText"/>
        <w:spacing w:line="408" w:lineRule="auto" w:before="46"/>
        <w:ind w:right="1128"/>
        <w:jc w:val="both"/>
      </w:pPr>
      <w:r>
        <w:rPr>
          <w:spacing w:val="-2"/>
        </w:rPr>
        <w:t>建立了相应的内部控制制度，能根据法律法规及公司《章程》的相关规定并结合自身的情况独立做出财务</w:t>
      </w:r>
      <w:r>
        <w:rPr>
          <w:spacing w:val="-44"/>
        </w:rPr>
        <w:t> </w:t>
      </w:r>
      <w:r>
        <w:rPr>
          <w:spacing w:val="-44"/>
        </w:rPr>
      </w:r>
      <w:r>
        <w:rPr>
          <w:spacing w:val="-2"/>
        </w:rPr>
        <w:t>决策。公司设立了独立的财务部门及内部审计部门，配备了专职财务人员及内审人员；公司在银行单独开</w:t>
      </w:r>
      <w:r>
        <w:rPr>
          <w:spacing w:val="-45"/>
        </w:rPr>
        <w:t> </w:t>
      </w:r>
      <w:r>
        <w:rPr>
          <w:spacing w:val="-45"/>
        </w:rPr>
      </w:r>
      <w:r>
        <w:rPr>
          <w:spacing w:val="-2"/>
        </w:rPr>
        <w:t>立账户，拥有独立的银行账号，不存在与控股股东共用账户的情况。公司作为独立的纳税人，依法独立纳</w:t>
      </w:r>
      <w:r>
        <w:rPr>
          <w:spacing w:val="-50"/>
        </w:rPr>
        <w:t> </w:t>
      </w:r>
      <w:r>
        <w:rPr>
          <w:spacing w:val="-50"/>
        </w:rPr>
      </w:r>
      <w:r>
        <w:rPr/>
        <w:t>税。公司控股股东未以任何形式占用公司货币资金或其他资产。</w:t>
      </w:r>
    </w:p>
    <w:p>
      <w:pPr>
        <w:spacing w:line="240" w:lineRule="auto" w:before="10"/>
        <w:rPr>
          <w:rFonts w:ascii="宋体" w:hAnsi="宋体" w:cs="宋体" w:eastAsia="宋体" w:hint="default"/>
          <w:sz w:val="18"/>
          <w:szCs w:val="18"/>
        </w:rPr>
      </w:pPr>
    </w:p>
    <w:p>
      <w:pPr>
        <w:pStyle w:val="Heading2"/>
        <w:spacing w:line="240" w:lineRule="auto"/>
        <w:ind w:right="0"/>
        <w:jc w:val="both"/>
        <w:rPr>
          <w:b w:val="0"/>
          <w:bCs w:val="0"/>
        </w:rPr>
      </w:pPr>
      <w:bookmarkStart w:name="三、同业竞争情况" w:id="139"/>
      <w:bookmarkEnd w:id="139"/>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四、报告期内召开的年度股东大会和临时股东大会的有关情况" w:id="140"/>
      <w:bookmarkEnd w:id="140"/>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本报告期股东大会情况" w:id="141"/>
      <w:bookmarkEnd w:id="141"/>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7" w:right="0"/>
              <w:jc w:val="left"/>
              <w:rPr>
                <w:rFonts w:ascii="Times New Roman" w:hAnsi="Times New Roman" w:cs="Times New Roman" w:eastAsia="Times New Roman" w:hint="default"/>
                <w:sz w:val="18"/>
                <w:szCs w:val="18"/>
              </w:rPr>
            </w:pPr>
            <w:r>
              <w:rPr>
                <w:rFonts w:ascii="Times New Roman"/>
                <w:sz w:val="18"/>
              </w:rPr>
              <w:t>59.97%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5"/>
              <w:jc w:val="center"/>
              <w:rPr>
                <w:rFonts w:ascii="宋体" w:hAnsi="宋体" w:cs="宋体" w:eastAsia="宋体" w:hint="default"/>
                <w:sz w:val="18"/>
                <w:szCs w:val="18"/>
              </w:rPr>
            </w:pPr>
            <w:r>
              <w:rPr>
                <w:rFonts w:ascii="宋体" w:hAnsi="宋体" w:cs="宋体" w:eastAsia="宋体" w:hint="default"/>
                <w:sz w:val="18"/>
                <w:szCs w:val="18"/>
              </w:rPr>
              <w:t>详见中国证监会指</w:t>
            </w:r>
          </w:p>
        </w:tc>
      </w:tr>
    </w:tbl>
    <w:p>
      <w:pPr>
        <w:spacing w:after="0" w:line="240" w:lineRule="auto"/>
        <w:jc w:val="center"/>
        <w:rPr>
          <w:rFonts w:ascii="宋体" w:hAnsi="宋体" w:cs="宋体" w:eastAsia="宋体" w:hint="default"/>
          <w:sz w:val="18"/>
          <w:szCs w:val="18"/>
        </w:rPr>
        <w:sectPr>
          <w:footerReference w:type="default" r:id="rId31"/>
          <w:pgSz w:w="11910" w:h="16840"/>
          <w:pgMar w:footer="977" w:header="880" w:top="1100" w:bottom="1160" w:left="980" w:right="0"/>
          <w:pgNumType w:start="11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2858"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19"/>
              <w:jc w:val="left"/>
              <w:rPr>
                <w:rFonts w:ascii="宋体" w:hAnsi="宋体" w:cs="宋体" w:eastAsia="宋体" w:hint="default"/>
                <w:sz w:val="18"/>
                <w:szCs w:val="18"/>
              </w:rPr>
            </w:pPr>
            <w:r>
              <w:rPr>
                <w:rFonts w:ascii="宋体" w:hAnsi="宋体" w:cs="宋体" w:eastAsia="宋体" w:hint="default"/>
                <w:sz w:val="18"/>
                <w:szCs w:val="18"/>
              </w:rPr>
              <w:t>定的创业板信息披 露网站</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）刊登的</w:t>
            </w:r>
          </w:p>
          <w:p>
            <w:pPr>
              <w:pStyle w:val="TableParagraph"/>
              <w:spacing w:line="314"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中科院成都信息</w:t>
            </w:r>
            <w:r>
              <w:rPr>
                <w:rFonts w:ascii="宋体" w:hAnsi="宋体" w:cs="宋体" w:eastAsia="宋体" w:hint="default"/>
                <w:sz w:val="18"/>
                <w:szCs w:val="18"/>
              </w:rPr>
              <w:t> 技术股份有限公司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 决议公告</w:t>
            </w:r>
            <w:r>
              <w:rPr>
                <w:rFonts w:ascii="宋体" w:hAnsi="宋体" w:cs="宋体" w:eastAsia="宋体" w:hint="default"/>
                <w:spacing w:val="2"/>
                <w:sz w:val="18"/>
                <w:szCs w:val="18"/>
              </w:rPr>
              <w:t> </w:t>
            </w:r>
            <w:r>
              <w:rPr>
                <w:rFonts w:ascii="宋体" w:hAnsi="宋体" w:cs="宋体" w:eastAsia="宋体" w:hint="default"/>
                <w:spacing w:val="-35"/>
                <w:sz w:val="18"/>
                <w:szCs w:val="18"/>
              </w:rPr>
              <w:t>》（公告编</w:t>
            </w:r>
            <w:r>
              <w:rPr>
                <w:rFonts w:ascii="宋体" w:hAnsi="宋体" w:cs="宋体" w:eastAsia="宋体" w:hint="default"/>
                <w:sz w:val="18"/>
                <w:szCs w:val="18"/>
              </w:rPr>
              <w:t> 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2019-037</w:t>
            </w:r>
            <w:r>
              <w:rPr>
                <w:rFonts w:ascii="宋体" w:hAnsi="宋体" w:cs="宋体" w:eastAsia="宋体" w:hint="default"/>
                <w:sz w:val="18"/>
                <w:szCs w:val="18"/>
              </w:rPr>
              <w:t>）</w:t>
            </w:r>
          </w:p>
        </w:tc>
      </w:tr>
      <w:tr>
        <w:trPr>
          <w:trHeight w:val="352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详见中国证监会指 定的创业板信息披 露网站</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）刊登的</w:t>
            </w:r>
          </w:p>
          <w:p>
            <w:pPr>
              <w:pStyle w:val="TableParagraph"/>
              <w:spacing w:line="314" w:lineRule="auto" w:before="63"/>
              <w:ind w:left="23" w:right="2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中科院成都信息</w:t>
            </w:r>
            <w:r>
              <w:rPr>
                <w:rFonts w:ascii="宋体" w:hAnsi="宋体" w:cs="宋体" w:eastAsia="宋体" w:hint="default"/>
                <w:sz w:val="18"/>
                <w:szCs w:val="18"/>
              </w:rPr>
              <w:t> 技术股份有限公司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 时股东大会决议公 告 </w:t>
            </w:r>
            <w:r>
              <w:rPr>
                <w:rFonts w:ascii="宋体" w:hAnsi="宋体" w:cs="宋体" w:eastAsia="宋体" w:hint="default"/>
                <w:spacing w:val="-16"/>
                <w:sz w:val="18"/>
                <w:szCs w:val="18"/>
              </w:rPr>
              <w:t>》（公告编号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2019-098</w:t>
            </w:r>
            <w:r>
              <w:rPr>
                <w:rFonts w:ascii="宋体" w:hAnsi="宋体" w:cs="宋体" w:eastAsia="宋体" w:hint="default"/>
                <w:sz w:val="18"/>
                <w:szCs w:val="18"/>
              </w:rPr>
              <w:t>）</w:t>
            </w:r>
          </w:p>
        </w:tc>
      </w:tr>
      <w:tr>
        <w:trPr>
          <w:trHeight w:val="35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详见中国证监会指 定的创业板信息披 露网站</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）刊登的</w:t>
            </w:r>
          </w:p>
          <w:p>
            <w:pPr>
              <w:pStyle w:val="TableParagraph"/>
              <w:spacing w:line="312" w:lineRule="auto" w:before="63"/>
              <w:ind w:left="23" w:right="2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中科院成都信息</w:t>
            </w:r>
            <w:r>
              <w:rPr>
                <w:rFonts w:ascii="宋体" w:hAnsi="宋体" w:cs="宋体" w:eastAsia="宋体" w:hint="default"/>
                <w:sz w:val="18"/>
                <w:szCs w:val="18"/>
              </w:rPr>
              <w:t> 技术股份有限公司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股东大会决议公</w:t>
            </w:r>
          </w:p>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1"/>
                <w:sz w:val="18"/>
                <w:szCs w:val="18"/>
              </w:rPr>
              <w:t> </w:t>
            </w:r>
            <w:r>
              <w:rPr>
                <w:rFonts w:ascii="宋体" w:hAnsi="宋体" w:cs="宋体" w:eastAsia="宋体" w:hint="default"/>
                <w:spacing w:val="-92"/>
                <w:sz w:val="18"/>
                <w:szCs w:val="18"/>
              </w:rPr>
              <w:t>》</w:t>
            </w:r>
            <w:r>
              <w:rPr>
                <w:rFonts w:ascii="宋体" w:hAnsi="宋体" w:cs="宋体" w:eastAsia="宋体" w:hint="default"/>
                <w:sz w:val="18"/>
                <w:szCs w:val="18"/>
              </w:rPr>
              <w:t>（公告编号</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2019-133</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表决权恢复的优先股股东请求召开临时股东大会" w:id="142"/>
      <w:bookmarkEnd w:id="142"/>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43"/>
      <w:bookmarkEnd w:id="143"/>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4"/>
      <w:bookmarkEnd w:id="144"/>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2"/>
        <w:gridCol w:w="1164"/>
        <w:gridCol w:w="1162"/>
        <w:gridCol w:w="1164"/>
        <w:gridCol w:w="1164"/>
      </w:tblGrid>
      <w:tr>
        <w:trPr>
          <w:trHeight w:val="401"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3"/>
              <w:ind w:left="35" w:right="36"/>
              <w:jc w:val="left"/>
              <w:rPr>
                <w:rFonts w:ascii="宋体" w:hAnsi="宋体" w:cs="宋体" w:eastAsia="宋体" w:hint="default"/>
                <w:sz w:val="18"/>
                <w:szCs w:val="18"/>
              </w:rPr>
            </w:pPr>
            <w:r>
              <w:rPr>
                <w:rFonts w:ascii="宋体" w:hAnsi="宋体" w:cs="宋体" w:eastAsia="宋体" w:hint="default"/>
                <w:sz w:val="18"/>
                <w:szCs w:val="18"/>
              </w:rPr>
              <w:t>是否连续两次 未亲自参加董</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95"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bl>
    <w:p>
      <w:pPr>
        <w:spacing w:after="0" w:line="316" w:lineRule="auto"/>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4"/>
        <w:gridCol w:w="1162"/>
        <w:gridCol w:w="1164"/>
        <w:gridCol w:w="1162"/>
        <w:gridCol w:w="1164"/>
        <w:gridCol w:w="1164"/>
      </w:tblGrid>
      <w:tr>
        <w:trPr>
          <w:trHeight w:val="362"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6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6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15" w:right="0"/>
              <w:jc w:val="left"/>
              <w:rPr>
                <w:rFonts w:ascii="宋体" w:hAnsi="宋体" w:cs="宋体" w:eastAsia="宋体" w:hint="default"/>
                <w:sz w:val="18"/>
                <w:szCs w:val="18"/>
              </w:rPr>
            </w:pPr>
            <w:r>
              <w:rPr>
                <w:rFonts w:ascii="宋体" w:hAnsi="宋体" w:cs="宋体" w:eastAsia="宋体" w:hint="default"/>
                <w:sz w:val="18"/>
                <w:szCs w:val="18"/>
              </w:rPr>
              <w:t>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黄泽永</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赖肇庆</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李志蜀</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曹德骏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tabs>
                <w:tab w:pos="477" w:val="left" w:leader="none"/>
              </w:tabs>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w:t>
              <w:tab/>
              <w:t>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独立董事对公司有关事项提出异议的情况" w:id="145"/>
      <w:bookmarkEnd w:id="145"/>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46"/>
      <w:bookmarkEnd w:id="146"/>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7"/>
        <w:ind w:left="152" w:right="679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97"/>
        <w:ind w:right="0" w:firstLine="420"/>
        <w:jc w:val="left"/>
      </w:pPr>
      <w:r>
        <w:rPr/>
        <w:t>报告期内，公司独立董事能够严格按照《深圳证券交易所创业板上市公司规范运作指引》等法律法规</w:t>
      </w:r>
      <w:r>
        <w:rPr>
          <w:w w:val="100"/>
        </w:rPr>
        <w:t> </w:t>
      </w:r>
      <w:r>
        <w:rPr>
          <w:spacing w:val="-2"/>
        </w:rPr>
        <w:t>以及《公司章程》、《独立董事工作制度》等规定，本着对公司、股东负责的态度，忠实、勤勉地履行职</w:t>
      </w:r>
      <w:r>
        <w:rPr>
          <w:spacing w:val="-45"/>
        </w:rPr>
        <w:t> </w:t>
      </w:r>
      <w:r>
        <w:rPr>
          <w:spacing w:val="-45"/>
        </w:rPr>
      </w:r>
      <w:r>
        <w:rPr>
          <w:spacing w:val="-2"/>
        </w:rPr>
        <w:t>责，按时出席相关会议，认真审议各项议案，客观地发表自己的看法及观点，通过电话、邮件及现场调查</w:t>
      </w:r>
      <w:r>
        <w:rPr>
          <w:spacing w:val="-43"/>
        </w:rPr>
        <w:t> </w:t>
      </w:r>
      <w:r>
        <w:rPr>
          <w:spacing w:val="-43"/>
        </w:rPr>
      </w:r>
      <w:r>
        <w:rPr>
          <w:spacing w:val="-5"/>
        </w:rPr>
        <w:t>等形式，与公司其他董事、高级管理人员及相关人员保持沟通，积极了解公司的生产经营情况及财务状况，</w:t>
      </w:r>
      <w:r>
        <w:rPr>
          <w:spacing w:val="-4"/>
        </w:rPr>
        <w:t> </w:t>
      </w:r>
      <w:r>
        <w:rPr>
          <w:spacing w:val="-4"/>
        </w:rPr>
      </w:r>
      <w:r>
        <w:rPr>
          <w:spacing w:val="-2"/>
        </w:rPr>
        <w:t>为公司的发展战略、完善公司治理等方面提出了积极建议。对公司定期报告、控股股东及其他关联方资金</w:t>
      </w:r>
      <w:r>
        <w:rPr>
          <w:spacing w:val="-46"/>
        </w:rPr>
        <w:t> </w:t>
      </w:r>
      <w:r>
        <w:rPr>
          <w:spacing w:val="-46"/>
        </w:rPr>
      </w:r>
      <w:r>
        <w:rPr>
          <w:spacing w:val="-2"/>
        </w:rPr>
        <w:t>占用和对外担保、关联交易等事项发表了独立意见，有效保证了公司董事会决策的公正性和客观性，认真</w:t>
      </w:r>
      <w:r>
        <w:rPr>
          <w:spacing w:val="-44"/>
        </w:rPr>
        <w:t> </w:t>
      </w:r>
      <w:r>
        <w:rPr>
          <w:spacing w:val="-44"/>
        </w:rPr>
      </w:r>
      <w:r>
        <w:rPr>
          <w:spacing w:val="-2"/>
        </w:rPr>
        <w:t>履行应有的监督职能，维护了公司整体利益和广大中小股东的合法权益，为公司的规范运作和健康发展发</w:t>
      </w:r>
      <w:r>
        <w:rPr>
          <w:spacing w:val="-42"/>
        </w:rPr>
        <w:t> </w:t>
      </w:r>
      <w:r>
        <w:rPr>
          <w:spacing w:val="-42"/>
        </w:rPr>
      </w:r>
      <w:r>
        <w:rPr/>
        <w:t>挥了积极作用。</w:t>
      </w:r>
    </w:p>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bookmarkStart w:name="六、董事会下设专门委员会在报告期内履行职责情况" w:id="147"/>
      <w:bookmarkEnd w:id="147"/>
      <w:r>
        <w:rPr>
          <w:b w:val="0"/>
          <w:bCs w:val="0"/>
        </w:rPr>
      </w:r>
      <w:r>
        <w:rPr/>
        <w:t>六、董事会下设专门委员会在报告期内履行职责情况</w:t>
      </w:r>
      <w:r>
        <w:rPr>
          <w:b w:val="0"/>
          <w:bCs w:val="0"/>
        </w:rPr>
      </w:r>
    </w:p>
    <w:p>
      <w:pPr>
        <w:spacing w:line="240" w:lineRule="auto" w:before="0"/>
        <w:rPr>
          <w:rFonts w:ascii="宋体" w:hAnsi="宋体" w:cs="宋体" w:eastAsia="宋体" w:hint="default"/>
          <w:b/>
          <w:bCs/>
          <w:sz w:val="24"/>
          <w:szCs w:val="24"/>
        </w:rPr>
      </w:pPr>
    </w:p>
    <w:p>
      <w:pPr>
        <w:pStyle w:val="BodyText"/>
        <w:spacing w:line="408" w:lineRule="auto" w:before="163"/>
        <w:ind w:left="572" w:right="0"/>
        <w:jc w:val="left"/>
      </w:pPr>
      <w:r>
        <w:rPr/>
        <w:t>（一）审计委员会的履职情况</w:t>
      </w:r>
      <w:r>
        <w:rPr>
          <w:w w:val="100"/>
        </w:rPr>
        <w:t> </w:t>
      </w:r>
      <w:r>
        <w:rPr>
          <w:spacing w:val="-2"/>
        </w:rPr>
        <w:t>报告期内，审计委员会根据《审计委员会工作细则》要求，充分发挥了审核与监督作用，主要负责公</w:t>
      </w:r>
    </w:p>
    <w:p>
      <w:pPr>
        <w:pStyle w:val="BodyText"/>
        <w:spacing w:line="393" w:lineRule="auto" w:before="46"/>
        <w:ind w:right="0"/>
        <w:jc w:val="left"/>
      </w:pPr>
      <w:r>
        <w:rPr>
          <w:spacing w:val="-2"/>
        </w:rPr>
        <w:t>司财务监督和核查工作及外部审计机构的沟通、协调工作。对公司内部控制情况进行了核查，认为公司已</w:t>
      </w:r>
      <w:r>
        <w:rPr>
          <w:spacing w:val="-44"/>
        </w:rPr>
        <w:t> </w:t>
      </w:r>
      <w:r>
        <w:rPr>
          <w:spacing w:val="-44"/>
        </w:rPr>
      </w:r>
      <w:r>
        <w:rPr>
          <w:spacing w:val="-2"/>
        </w:rPr>
        <w:t>经建立的内控制度体系符合相关法规的规定，并能有效控制相关风险。审计委员会全年共计召开</w:t>
      </w:r>
      <w:r>
        <w:rPr>
          <w:rFonts w:ascii="Times New Roman" w:hAnsi="Times New Roman" w:cs="Times New Roman" w:eastAsia="Times New Roman" w:hint="default"/>
          <w:spacing w:val="-2"/>
        </w:rPr>
        <w:t>4</w:t>
      </w:r>
      <w:r>
        <w:rPr>
          <w:spacing w:val="-2"/>
        </w:rPr>
        <w:t>次会议，</w:t>
      </w:r>
      <w:r>
        <w:rPr>
          <w:spacing w:val="-42"/>
        </w:rPr>
        <w:t> </w:t>
      </w:r>
      <w:r>
        <w:rPr>
          <w:spacing w:val="-42"/>
        </w:rPr>
      </w:r>
      <w:r>
        <w:rPr>
          <w:spacing w:val="-2"/>
        </w:rPr>
        <w:t>对公司《关于</w:t>
      </w:r>
      <w:r>
        <w:rPr>
          <w:rFonts w:ascii="Times New Roman" w:hAnsi="Times New Roman" w:cs="Times New Roman" w:eastAsia="Times New Roman" w:hint="default"/>
          <w:spacing w:val="-2"/>
        </w:rPr>
        <w:t>2018</w:t>
      </w:r>
      <w:r>
        <w:rPr>
          <w:spacing w:val="-2"/>
        </w:rPr>
        <w:t>年度报告全文及摘要的议案》、《关于</w:t>
      </w:r>
      <w:r>
        <w:rPr>
          <w:rFonts w:ascii="Times New Roman" w:hAnsi="Times New Roman" w:cs="Times New Roman" w:eastAsia="Times New Roman" w:hint="default"/>
          <w:spacing w:val="-2"/>
        </w:rPr>
        <w:t>2018</w:t>
      </w:r>
      <w:r>
        <w:rPr>
          <w:spacing w:val="-2"/>
        </w:rPr>
        <w:t>年度内部控制自我评价报告的议案》、《关</w:t>
      </w:r>
      <w:r>
        <w:rPr>
          <w:spacing w:val="-39"/>
        </w:rPr>
        <w:t> </w:t>
      </w:r>
      <w:r>
        <w:rPr>
          <w:spacing w:val="-39"/>
        </w:rPr>
      </w:r>
      <w:r>
        <w:rPr>
          <w:spacing w:val="-2"/>
        </w:rPr>
        <w:t>于</w:t>
      </w:r>
      <w:r>
        <w:rPr>
          <w:rFonts w:ascii="Times New Roman" w:hAnsi="Times New Roman" w:cs="Times New Roman" w:eastAsia="Times New Roman" w:hint="default"/>
          <w:spacing w:val="-2"/>
        </w:rPr>
        <w:t>2018</w:t>
      </w:r>
      <w:r>
        <w:rPr>
          <w:spacing w:val="-2"/>
        </w:rPr>
        <w:t>年度控股股东及其他关联方资金占用情况专项报告的议案》、《关于</w:t>
      </w:r>
      <w:r>
        <w:rPr>
          <w:rFonts w:ascii="Times New Roman" w:hAnsi="Times New Roman" w:cs="Times New Roman" w:eastAsia="Times New Roman" w:hint="default"/>
          <w:spacing w:val="-2"/>
        </w:rPr>
        <w:t>2018</w:t>
      </w:r>
      <w:r>
        <w:rPr>
          <w:spacing w:val="-2"/>
        </w:rPr>
        <w:t>年度募集资金存放与使用</w:t>
      </w:r>
      <w:r>
        <w:rPr/>
      </w:r>
    </w:p>
    <w:p>
      <w:pPr>
        <w:spacing w:after="0" w:line="393"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right="0"/>
        <w:jc w:val="left"/>
      </w:pPr>
      <w:r>
        <w:rPr>
          <w:spacing w:val="-4"/>
        </w:rPr>
        <w:t>情况专项报告的议案》、《关于</w:t>
      </w:r>
      <w:r>
        <w:rPr>
          <w:rFonts w:ascii="Times New Roman" w:hAnsi="Times New Roman" w:cs="Times New Roman" w:eastAsia="Times New Roman" w:hint="default"/>
          <w:spacing w:val="-4"/>
        </w:rPr>
        <w:t>2018</w:t>
      </w:r>
      <w:r>
        <w:rPr>
          <w:spacing w:val="-4"/>
        </w:rPr>
        <w:t>年度财务决算报告的议案》、《关于</w:t>
      </w:r>
      <w:r>
        <w:rPr>
          <w:rFonts w:ascii="Times New Roman" w:hAnsi="Times New Roman" w:cs="Times New Roman" w:eastAsia="Times New Roman" w:hint="default"/>
          <w:spacing w:val="-4"/>
        </w:rPr>
        <w:t>2019</w:t>
      </w:r>
      <w:r>
        <w:rPr>
          <w:spacing w:val="-4"/>
        </w:rPr>
        <w:t>年度财务预算方案的议案》、</w:t>
      </w:r>
    </w:p>
    <w:p>
      <w:pPr>
        <w:pStyle w:val="BodyText"/>
        <w:spacing w:line="240" w:lineRule="auto" w:before="177"/>
        <w:ind w:right="0"/>
        <w:jc w:val="left"/>
      </w:pPr>
      <w:r>
        <w:rPr>
          <w:spacing w:val="-4"/>
        </w:rPr>
        <w:t>《关于预计</w:t>
      </w:r>
      <w:r>
        <w:rPr>
          <w:rFonts w:ascii="Times New Roman" w:hAnsi="Times New Roman" w:cs="Times New Roman" w:eastAsia="Times New Roman" w:hint="default"/>
          <w:spacing w:val="-4"/>
        </w:rPr>
        <w:t>2019</w:t>
      </w:r>
      <w:r>
        <w:rPr>
          <w:spacing w:val="-4"/>
        </w:rPr>
        <w:t>年度经常性关联交易的议案》、《关于使用部分闲置募集资金暂时补充流动资金的议案》、</w:t>
      </w:r>
    </w:p>
    <w:p>
      <w:pPr>
        <w:pStyle w:val="BodyText"/>
        <w:spacing w:line="386" w:lineRule="auto" w:before="177"/>
        <w:ind w:left="153" w:right="0" w:hanging="1"/>
        <w:jc w:val="left"/>
      </w:pPr>
      <w:r>
        <w:rPr>
          <w:spacing w:val="-2"/>
        </w:rPr>
        <w:t>《关于</w:t>
      </w:r>
      <w:r>
        <w:rPr>
          <w:rFonts w:ascii="Times New Roman" w:hAnsi="Times New Roman" w:cs="Times New Roman" w:eastAsia="Times New Roman" w:hint="default"/>
          <w:spacing w:val="-2"/>
        </w:rPr>
        <w:t>2019</w:t>
      </w:r>
      <w:r>
        <w:rPr>
          <w:spacing w:val="-2"/>
        </w:rPr>
        <w:t>年半年度报告及其摘要的议案》、《关于</w:t>
      </w:r>
      <w:r>
        <w:rPr>
          <w:rFonts w:ascii="Times New Roman" w:hAnsi="Times New Roman" w:cs="Times New Roman" w:eastAsia="Times New Roman" w:hint="default"/>
          <w:spacing w:val="-2"/>
        </w:rPr>
        <w:t>2019</w:t>
      </w:r>
      <w:r>
        <w:rPr>
          <w:spacing w:val="-2"/>
        </w:rPr>
        <w:t>年半年度募集资金存放与使用情况专项报告的议</w:t>
      </w:r>
      <w:r>
        <w:rPr>
          <w:spacing w:val="-36"/>
        </w:rPr>
        <w:t> </w:t>
      </w:r>
      <w:r>
        <w:rPr>
          <w:spacing w:val="-36"/>
        </w:rPr>
      </w:r>
      <w:r>
        <w:rPr/>
        <w:t>案》、《关于会计估计变更的议案》共计</w:t>
      </w:r>
      <w:r>
        <w:rPr>
          <w:rFonts w:ascii="Times New Roman" w:hAnsi="Times New Roman" w:cs="Times New Roman" w:eastAsia="Times New Roman" w:hint="default"/>
        </w:rPr>
        <w:t>11</w:t>
      </w:r>
      <w:r>
        <w:rPr/>
        <w:t>项议案进行了审议并提交董事会审议。</w:t>
      </w:r>
    </w:p>
    <w:p>
      <w:pPr>
        <w:pStyle w:val="BodyText"/>
        <w:spacing w:line="408" w:lineRule="auto" w:before="35"/>
        <w:ind w:left="572" w:right="0"/>
        <w:jc w:val="left"/>
      </w:pPr>
      <w:r>
        <w:rPr/>
        <w:t>（二）薪酬与考核委员会的履职情况</w:t>
      </w:r>
      <w:r>
        <w:rPr>
          <w:w w:val="100"/>
        </w:rPr>
        <w:t> </w:t>
      </w:r>
      <w:r>
        <w:rPr>
          <w:spacing w:val="-2"/>
        </w:rPr>
        <w:t>报告期内，公司董事会薪酬与考核委员会依照相关法规及公司《章程》、《薪酬与考核委员会工作细</w:t>
      </w:r>
    </w:p>
    <w:p>
      <w:pPr>
        <w:pStyle w:val="BodyText"/>
        <w:spacing w:line="386" w:lineRule="auto" w:before="46"/>
        <w:ind w:right="1130"/>
        <w:jc w:val="both"/>
      </w:pPr>
      <w:r>
        <w:rPr/>
        <w:t>则》</w:t>
      </w:r>
      <w:r>
        <w:rPr>
          <w:spacing w:val="57"/>
        </w:rPr>
        <w:t> </w:t>
      </w:r>
      <w:r>
        <w:rPr/>
        <w:t>的规定，审查了公司董事及高级管理人员的履行职责情况等相关职责。</w:t>
      </w:r>
      <w:r>
        <w:rPr>
          <w:rFonts w:ascii="Times New Roman" w:hAnsi="Times New Roman" w:cs="Times New Roman" w:eastAsia="Times New Roman" w:hint="default"/>
        </w:rPr>
        <w:t>2019</w:t>
      </w:r>
      <w:r>
        <w:rPr/>
        <w:t>年，薪酬与考核委员会</w:t>
      </w:r>
      <w:r>
        <w:rPr>
          <w:spacing w:val="-89"/>
        </w:rPr>
        <w:t> </w:t>
      </w:r>
      <w:r>
        <w:rPr>
          <w:spacing w:val="-89"/>
        </w:rPr>
      </w:r>
      <w:r>
        <w:rPr/>
        <w:t>共召开</w:t>
      </w:r>
      <w:r>
        <w:rPr>
          <w:rFonts w:ascii="Times New Roman" w:hAnsi="Times New Roman" w:cs="Times New Roman" w:eastAsia="Times New Roman" w:hint="default"/>
        </w:rPr>
        <w:t>2</w:t>
      </w:r>
      <w:r>
        <w:rPr/>
        <w:t>次会议，对公司《关于高管人员</w:t>
      </w:r>
      <w:r>
        <w:rPr>
          <w:rFonts w:ascii="Times New Roman" w:hAnsi="Times New Roman" w:cs="Times New Roman" w:eastAsia="Times New Roman" w:hint="default"/>
        </w:rPr>
        <w:t>2018</w:t>
      </w:r>
      <w:r>
        <w:rPr/>
        <w:t>年度经营业绩考核结果与奖惩的议案》、《关于</w:t>
      </w:r>
      <w:r>
        <w:rPr>
          <w:rFonts w:ascii="Times New Roman" w:hAnsi="Times New Roman" w:cs="Times New Roman" w:eastAsia="Times New Roman" w:hint="default"/>
        </w:rPr>
        <w:t>2019</w:t>
      </w:r>
      <w:r>
        <w:rPr/>
        <w:t>年度高</w:t>
      </w:r>
      <w:r>
        <w:rPr>
          <w:spacing w:val="-27"/>
        </w:rPr>
        <w:t> </w:t>
      </w:r>
      <w:r>
        <w:rPr>
          <w:spacing w:val="-27"/>
        </w:rPr>
      </w:r>
      <w:r>
        <w:rPr/>
        <w:t>管人员经营业绩考核目标的议案》、《关于高管人员第二届任期经营业绩考核结果与奖惩的议案》共计</w:t>
      </w: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项议案进行了审议并提交董事会审议。</w:t>
      </w:r>
    </w:p>
    <w:p>
      <w:pPr>
        <w:pStyle w:val="BodyText"/>
        <w:spacing w:line="408" w:lineRule="auto" w:before="65"/>
        <w:ind w:left="572" w:right="0"/>
        <w:jc w:val="left"/>
      </w:pPr>
      <w:r>
        <w:rPr/>
        <w:t>（三）提名委员会的履职情况</w:t>
      </w:r>
      <w:r>
        <w:rPr>
          <w:w w:val="100"/>
        </w:rPr>
        <w:t> </w:t>
      </w:r>
      <w:r>
        <w:rPr>
          <w:spacing w:val="-2"/>
        </w:rPr>
        <w:t>报告期内，公司董事会提名委员会依照相关法规及公司《章程》、《提名委员会工作细则》的规定，</w:t>
      </w:r>
    </w:p>
    <w:p>
      <w:pPr>
        <w:pStyle w:val="BodyText"/>
        <w:spacing w:line="398" w:lineRule="auto" w:before="46"/>
        <w:ind w:right="0"/>
        <w:jc w:val="left"/>
      </w:pPr>
      <w:r>
        <w:rPr>
          <w:spacing w:val="-5"/>
        </w:rPr>
        <w:t>审查了公司第三届董事、监事选举相关的推荐人资格、候选人任职资格、履职能力、品德素养、兼职情况。</w:t>
      </w:r>
      <w:r>
        <w:rPr>
          <w:spacing w:val="-7"/>
        </w:rPr>
        <w:t> </w:t>
      </w:r>
      <w:r>
        <w:rPr>
          <w:spacing w:val="-7"/>
        </w:rPr>
      </w:r>
      <w:r>
        <w:rPr>
          <w:rFonts w:ascii="Times New Roman" w:hAnsi="Times New Roman" w:cs="Times New Roman" w:eastAsia="Times New Roman" w:hint="default"/>
        </w:rPr>
        <w:t>2019</w:t>
      </w:r>
      <w:r>
        <w:rPr/>
        <w:t>年，提名委员会共召开</w:t>
      </w:r>
      <w:r>
        <w:rPr>
          <w:rFonts w:ascii="Times New Roman" w:hAnsi="Times New Roman" w:cs="Times New Roman" w:eastAsia="Times New Roman" w:hint="default"/>
        </w:rPr>
        <w:t>1</w:t>
      </w:r>
      <w:r>
        <w:rPr/>
        <w:t>次会议，对公司《关于提名第三届董事会非独立董事的议案》、《关于提名</w:t>
      </w:r>
      <w:r>
        <w:rPr>
          <w:spacing w:val="-27"/>
        </w:rPr>
        <w:t> </w:t>
      </w:r>
      <w:r>
        <w:rPr>
          <w:spacing w:val="-27"/>
        </w:rPr>
      </w:r>
      <w:r>
        <w:rPr/>
        <w:t>第三届董事会独立董事的议案》共计</w:t>
      </w:r>
      <w:r>
        <w:rPr>
          <w:rFonts w:ascii="Times New Roman" w:hAnsi="Times New Roman" w:cs="Times New Roman" w:eastAsia="Times New Roman" w:hint="default"/>
        </w:rPr>
        <w:t>2</w:t>
      </w:r>
      <w:r>
        <w:rPr/>
        <w:t>项议案进行了审议并提交董事会审议。</w:t>
      </w:r>
    </w:p>
    <w:p>
      <w:pPr>
        <w:spacing w:line="240" w:lineRule="auto" w:before="1"/>
        <w:rPr>
          <w:rFonts w:ascii="宋体" w:hAnsi="宋体" w:cs="宋体" w:eastAsia="宋体" w:hint="default"/>
          <w:sz w:val="17"/>
          <w:szCs w:val="17"/>
        </w:rPr>
      </w:pPr>
    </w:p>
    <w:p>
      <w:pPr>
        <w:pStyle w:val="Heading2"/>
        <w:spacing w:line="240" w:lineRule="auto"/>
        <w:ind w:right="0"/>
        <w:jc w:val="left"/>
        <w:rPr>
          <w:b w:val="0"/>
          <w:bCs w:val="0"/>
        </w:rPr>
      </w:pPr>
      <w:bookmarkStart w:name="七、监事会工作情况" w:id="148"/>
      <w:bookmarkEnd w:id="148"/>
      <w:r>
        <w:rPr>
          <w:b w:val="0"/>
          <w:bCs w:val="0"/>
        </w:rPr>
      </w:r>
      <w:r>
        <w:rPr/>
        <w:t>七、监事会工作情况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7"/>
        <w:ind w:left="152" w:right="733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9"/>
      <w:bookmarkEnd w:id="149"/>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0" w:lineRule="auto"/>
        <w:ind w:right="0" w:firstLine="420"/>
        <w:jc w:val="left"/>
      </w:pPr>
      <w:r>
        <w:rPr/>
        <w:t>公司高级管理人员的考评及激励是根据</w:t>
      </w:r>
      <w:r>
        <w:rPr>
          <w:rFonts w:ascii="Times New Roman" w:hAnsi="Times New Roman" w:cs="Times New Roman" w:eastAsia="Times New Roman" w:hint="default"/>
        </w:rPr>
        <w:t>2017</w:t>
      </w:r>
      <w:r>
        <w:rPr/>
        <w:t>年度股东大会审议通过的</w:t>
      </w:r>
      <w:r>
        <w:rPr>
          <w:spacing w:val="-25"/>
        </w:rPr>
        <w:t> </w:t>
      </w:r>
      <w:r>
        <w:rPr/>
        <w:t>《高管人员经营业绩考核暂行</w:t>
      </w:r>
      <w:r>
        <w:rPr>
          <w:spacing w:val="-3"/>
          <w:w w:val="100"/>
        </w:rPr>
        <w:t> </w:t>
      </w:r>
      <w:r>
        <w:rPr>
          <w:spacing w:val="-8"/>
        </w:rPr>
        <w:t>办法》，对公司高管人员实施年薪制（公司</w:t>
      </w:r>
      <w:r>
        <w:rPr>
          <w:rFonts w:ascii="Times New Roman" w:hAnsi="Times New Roman" w:cs="Times New Roman" w:eastAsia="Times New Roman" w:hint="default"/>
          <w:spacing w:val="-8"/>
        </w:rPr>
        <w:t>“</w:t>
      </w:r>
      <w:r>
        <w:rPr>
          <w:spacing w:val="-8"/>
        </w:rPr>
        <w:t>高管人员</w:t>
      </w:r>
      <w:r>
        <w:rPr>
          <w:rFonts w:ascii="Times New Roman" w:hAnsi="Times New Roman" w:cs="Times New Roman" w:eastAsia="Times New Roman" w:hint="default"/>
          <w:spacing w:val="-8"/>
        </w:rPr>
        <w:t>”</w:t>
      </w:r>
      <w:r>
        <w:rPr>
          <w:spacing w:val="-8"/>
        </w:rPr>
        <w:t>特指：在本公司支取薪酬的董事（不包括独立董事）、</w:t>
      </w:r>
      <w:r>
        <w:rPr>
          <w:spacing w:val="-37"/>
        </w:rPr>
        <w:t> </w:t>
      </w:r>
      <w:r>
        <w:rPr>
          <w:spacing w:val="-37"/>
        </w:rPr>
      </w:r>
      <w:r>
        <w:rPr>
          <w:spacing w:val="-2"/>
        </w:rPr>
        <w:t>监事会主席、党委书记、党委副书记、纪委书记，董事会聘任的总经理、副总经理、董事会秘书、财务负</w:t>
      </w:r>
      <w:r>
        <w:rPr>
          <w:spacing w:val="-45"/>
        </w:rPr>
        <w:t> </w:t>
      </w:r>
      <w:r>
        <w:rPr>
          <w:spacing w:val="-45"/>
        </w:rPr>
      </w:r>
      <w:r>
        <w:rPr>
          <w:spacing w:val="-2"/>
        </w:rPr>
        <w:t>责人及公司章程认定的其他高级管理人员）。该办法采用定量与定性相结合的方式进行年度考评，并将其</w:t>
      </w:r>
      <w:r>
        <w:rPr>
          <w:spacing w:val="-44"/>
        </w:rPr>
        <w:t> </w:t>
      </w:r>
      <w:r>
        <w:rPr>
          <w:spacing w:val="-44"/>
        </w:rPr>
      </w:r>
      <w:r>
        <w:rPr>
          <w:spacing w:val="-2"/>
        </w:rPr>
        <w:t>收入与其承担的责任、贡献、经营业绩挂钩，起到了很好的激励效果，对公司的经营发展和业绩提升起到</w:t>
      </w:r>
      <w:r>
        <w:rPr>
          <w:spacing w:val="-47"/>
        </w:rPr>
        <w:t> </w:t>
      </w:r>
      <w:r>
        <w:rPr>
          <w:spacing w:val="-47"/>
        </w:rPr>
      </w:r>
      <w:r>
        <w:rPr/>
        <w:t>了较好的促进作用。</w:t>
      </w:r>
    </w:p>
    <w:p>
      <w:pPr>
        <w:pStyle w:val="BodyText"/>
        <w:spacing w:line="408" w:lineRule="auto" w:before="52"/>
        <w:ind w:right="0" w:firstLine="420"/>
        <w:jc w:val="left"/>
      </w:pPr>
      <w:r>
        <w:rPr>
          <w:spacing w:val="-2"/>
        </w:rPr>
        <w:t>上述高管人员经营业绩考核以年度考核为主，辅以任期考核，任期考核以激励为主，考核结果与年度</w:t>
      </w:r>
      <w:r>
        <w:rPr>
          <w:w w:val="100"/>
        </w:rPr>
        <w:t> </w:t>
      </w:r>
      <w:r>
        <w:rPr/>
        <w:t>薪酬和任期激励挂钩。经营业绩考核工作遵循以下原则：</w:t>
      </w:r>
    </w:p>
    <w:p>
      <w:pPr>
        <w:spacing w:after="0" w:line="408"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left="572" w:right="0"/>
        <w:jc w:val="left"/>
      </w:pPr>
      <w:r>
        <w:rPr/>
        <w:t>（一）有利于国有资产保值增值和公司价值最大化。</w:t>
      </w:r>
    </w:p>
    <w:p>
      <w:pPr>
        <w:spacing w:line="240" w:lineRule="auto" w:before="10"/>
        <w:rPr>
          <w:rFonts w:ascii="宋体" w:hAnsi="宋体" w:cs="宋体" w:eastAsia="宋体" w:hint="default"/>
          <w:sz w:val="14"/>
          <w:szCs w:val="14"/>
        </w:rPr>
      </w:pPr>
    </w:p>
    <w:p>
      <w:pPr>
        <w:pStyle w:val="BodyText"/>
        <w:spacing w:line="240" w:lineRule="auto"/>
        <w:ind w:left="572" w:right="0"/>
        <w:jc w:val="left"/>
      </w:pPr>
      <w:r>
        <w:rPr/>
        <w:t>（二）有利于公司提高战略管理能力和自主创新水平，不断增强公司核心竞争力和可持续发展能力。</w:t>
      </w:r>
    </w:p>
    <w:p>
      <w:pPr>
        <w:spacing w:line="240" w:lineRule="auto" w:before="10"/>
        <w:rPr>
          <w:rFonts w:ascii="宋体" w:hAnsi="宋体" w:cs="宋体" w:eastAsia="宋体" w:hint="default"/>
          <w:sz w:val="14"/>
          <w:szCs w:val="14"/>
        </w:rPr>
      </w:pPr>
    </w:p>
    <w:p>
      <w:pPr>
        <w:pStyle w:val="BodyText"/>
        <w:spacing w:line="408" w:lineRule="auto"/>
        <w:ind w:right="1128" w:firstLine="420"/>
        <w:jc w:val="both"/>
      </w:pPr>
      <w:r>
        <w:rPr>
          <w:spacing w:val="-2"/>
        </w:rPr>
        <w:t>（三）有利于推动公司建立健全绩效管理体系，增强公司管控力和执行力，确保国有资产保值增值责</w:t>
      </w:r>
      <w:r>
        <w:rPr>
          <w:w w:val="100"/>
        </w:rPr>
        <w:t> </w:t>
      </w:r>
      <w:r>
        <w:rPr/>
        <w:t>任层层落实。</w:t>
      </w:r>
    </w:p>
    <w:p>
      <w:pPr>
        <w:pStyle w:val="BodyText"/>
        <w:spacing w:line="408" w:lineRule="auto" w:before="46"/>
        <w:ind w:left="572" w:right="1129"/>
        <w:jc w:val="left"/>
      </w:pPr>
      <w:r>
        <w:rPr>
          <w:spacing w:val="-2"/>
        </w:rPr>
        <w:t>（四）有利于落实公司发展规划，提高考核的针对性和有效性。</w:t>
      </w:r>
      <w:r>
        <w:rPr>
          <w:spacing w:val="-52"/>
        </w:rPr>
        <w:t> </w:t>
      </w:r>
      <w:r>
        <w:rPr>
          <w:spacing w:val="-52"/>
        </w:rPr>
      </w:r>
      <w:r>
        <w:rPr/>
        <w:t>上述高管人员年度经营业绩考核程序为：</w:t>
      </w:r>
    </w:p>
    <w:p>
      <w:pPr>
        <w:pStyle w:val="BodyText"/>
        <w:spacing w:line="408" w:lineRule="auto" w:before="46"/>
        <w:ind w:right="1128" w:firstLine="420"/>
        <w:jc w:val="both"/>
      </w:pPr>
      <w:r>
        <w:rPr>
          <w:spacing w:val="-2"/>
        </w:rPr>
        <w:t>（一）在相关董事会会议召开前，董事会薪酬与考核委员会应将审核后的公司年度经营业绩考核结果</w:t>
      </w:r>
      <w:r>
        <w:rPr>
          <w:w w:val="100"/>
        </w:rPr>
        <w:t> </w:t>
      </w:r>
      <w:r>
        <w:rPr/>
        <w:t>提交监事会主席复核，监事会主席在复核后的考核结果书面文件上签字确认。</w:t>
      </w:r>
    </w:p>
    <w:p>
      <w:pPr>
        <w:pStyle w:val="BodyText"/>
        <w:spacing w:line="408" w:lineRule="auto" w:before="46"/>
        <w:ind w:right="1129" w:firstLine="420"/>
        <w:jc w:val="both"/>
      </w:pPr>
      <w:r>
        <w:rPr>
          <w:spacing w:val="-2"/>
        </w:rPr>
        <w:t>（二）董事会薪酬与考核委员会根据考核结果及董事长、总经理的相关奖惩提议，提出正式的考核与</w:t>
      </w:r>
      <w:r>
        <w:rPr>
          <w:spacing w:val="-3"/>
          <w:w w:val="100"/>
        </w:rPr>
        <w:t> </w:t>
      </w:r>
      <w:r>
        <w:rPr/>
        <w:t>奖惩专项议案提交董事会议审议通过后执行。</w:t>
      </w:r>
    </w:p>
    <w:p>
      <w:pPr>
        <w:pStyle w:val="BodyText"/>
        <w:spacing w:line="398" w:lineRule="auto" w:before="46"/>
        <w:ind w:right="1128" w:firstLine="420"/>
        <w:jc w:val="both"/>
      </w:pPr>
      <w:r>
        <w:rPr>
          <w:spacing w:val="-2"/>
        </w:rPr>
        <w:t>（三）董事会应指定专人将董事会最终审定的考核与奖惩结果反馈给上述高管人员。高管人员对考核</w:t>
      </w:r>
      <w:r>
        <w:rPr>
          <w:w w:val="100"/>
        </w:rPr>
        <w:t> </w:t>
      </w:r>
      <w:r>
        <w:rPr>
          <w:spacing w:val="-2"/>
        </w:rPr>
        <w:t>结果有异议的，可在</w:t>
      </w:r>
      <w:r>
        <w:rPr>
          <w:rFonts w:ascii="Times New Roman" w:hAnsi="Times New Roman" w:cs="Times New Roman" w:eastAsia="Times New Roman" w:hint="default"/>
          <w:spacing w:val="-2"/>
        </w:rPr>
        <w:t>10</w:t>
      </w:r>
      <w:r>
        <w:rPr>
          <w:spacing w:val="-2"/>
        </w:rPr>
        <w:t>日内向董事会或监事会书面反映，董事会须根据反映情况或监事会提议及时做出书</w:t>
      </w:r>
      <w:r>
        <w:rPr>
          <w:spacing w:val="-41"/>
        </w:rPr>
        <w:t> </w:t>
      </w:r>
      <w:r>
        <w:rPr>
          <w:spacing w:val="-41"/>
        </w:rPr>
      </w:r>
      <w:r>
        <w:rPr/>
        <w:t>面答复。</w:t>
      </w:r>
    </w:p>
    <w:p>
      <w:pPr>
        <w:pStyle w:val="BodyText"/>
        <w:spacing w:line="240" w:lineRule="auto" w:before="54"/>
        <w:ind w:left="572" w:right="0"/>
        <w:jc w:val="left"/>
      </w:pPr>
      <w:r>
        <w:rPr>
          <w:rFonts w:ascii="Times New Roman" w:hAnsi="Times New Roman" w:cs="Times New Roman" w:eastAsia="Times New Roman" w:hint="default"/>
        </w:rPr>
        <w:t>2019</w:t>
      </w:r>
      <w:r>
        <w:rPr/>
        <w:t>年度高管人员考核及奖惩情况因相关考核工作还未完成，故暂未提交公司董事会审议。</w:t>
      </w:r>
    </w:p>
    <w:p>
      <w:pPr>
        <w:spacing w:line="240" w:lineRule="auto" w:before="11"/>
        <w:rPr>
          <w:rFonts w:ascii="宋体" w:hAnsi="宋体" w:cs="宋体" w:eastAsia="宋体" w:hint="default"/>
          <w:sz w:val="28"/>
          <w:szCs w:val="28"/>
        </w:rPr>
      </w:pPr>
    </w:p>
    <w:p>
      <w:pPr>
        <w:pStyle w:val="Heading2"/>
        <w:spacing w:line="240" w:lineRule="auto"/>
        <w:ind w:right="0"/>
        <w:jc w:val="left"/>
        <w:rPr>
          <w:b w:val="0"/>
          <w:bCs w:val="0"/>
        </w:rPr>
      </w:pPr>
      <w:bookmarkStart w:name="九、内部控制评价报告" w:id="150"/>
      <w:bookmarkEnd w:id="150"/>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51"/>
      <w:bookmarkEnd w:id="151"/>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52"/>
      <w:bookmarkEnd w:id="152"/>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9"/>
        <w:gridCol w:w="3327"/>
        <w:gridCol w:w="305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51" w:hRule="exact"/>
        </w:trPr>
        <w:tc>
          <w:tcPr>
            <w:tcW w:w="31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00" w:lineRule="auto" w:before="51"/>
              <w:ind w:left="29"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、财务报告内部控制存在重大缺陷的迹象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包括：</w:t>
            </w:r>
            <w:r>
              <w:rPr>
                <w:rFonts w:ascii="Times New Roman" w:hAnsi="Times New Roman" w:cs="Times New Roman" w:eastAsia="Times New Roman" w:hint="default"/>
                <w:sz w:val="18"/>
                <w:szCs w:val="18"/>
              </w:rPr>
              <w:t>a)</w:t>
            </w:r>
            <w:r>
              <w:rPr>
                <w:rFonts w:ascii="宋体" w:hAnsi="宋体" w:cs="宋体" w:eastAsia="宋体" w:hint="default"/>
                <w:sz w:val="18"/>
                <w:szCs w:val="18"/>
              </w:rPr>
              <w:t>公司董事、监事或高级管理人员 的舞弊行为；</w:t>
            </w:r>
            <w:r>
              <w:rPr>
                <w:rFonts w:ascii="Times New Roman" w:hAnsi="Times New Roman" w:cs="Times New Roman" w:eastAsia="Times New Roman" w:hint="default"/>
                <w:sz w:val="18"/>
                <w:szCs w:val="18"/>
              </w:rPr>
              <w:t>b)</w:t>
            </w:r>
            <w:r>
              <w:rPr>
                <w:rFonts w:ascii="宋体" w:hAnsi="宋体" w:cs="宋体" w:eastAsia="宋体" w:hint="default"/>
                <w:sz w:val="18"/>
                <w:szCs w:val="18"/>
              </w:rPr>
              <w:t>公司更正已公布的财务报 告；</w:t>
            </w:r>
            <w:r>
              <w:rPr>
                <w:rFonts w:ascii="Times New Roman" w:hAnsi="Times New Roman" w:cs="Times New Roman" w:eastAsia="Times New Roman" w:hint="default"/>
                <w:sz w:val="18"/>
                <w:szCs w:val="18"/>
              </w:rPr>
              <w:t>c)</w:t>
            </w:r>
            <w:r>
              <w:rPr>
                <w:rFonts w:ascii="宋体" w:hAnsi="宋体" w:cs="宋体" w:eastAsia="宋体" w:hint="default"/>
                <w:sz w:val="18"/>
                <w:szCs w:val="18"/>
              </w:rPr>
              <w:t>公司的内部控制体系未发现当期财</w:t>
            </w:r>
          </w:p>
        </w:tc>
        <w:tc>
          <w:tcPr>
            <w:tcW w:w="3053" w:type="dxa"/>
            <w:vMerge w:val="restart"/>
            <w:tcBorders>
              <w:top w:val="single" w:sz="4" w:space="0" w:color="000000"/>
              <w:left w:val="single" w:sz="4" w:space="0" w:color="000000"/>
              <w:right w:val="single" w:sz="4" w:space="0" w:color="000000"/>
            </w:tcBorders>
          </w:tcPr>
          <w:p>
            <w:pPr>
              <w:pStyle w:val="TableParagraph"/>
              <w:spacing w:line="300" w:lineRule="auto" w:before="51"/>
              <w:ind w:left="26"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、非财务报告内部控制存在重大缺陷 </w:t>
            </w:r>
            <w:r>
              <w:rPr>
                <w:rFonts w:ascii="宋体" w:hAnsi="宋体" w:cs="宋体" w:eastAsia="宋体" w:hint="default"/>
                <w:spacing w:val="-2"/>
                <w:sz w:val="18"/>
                <w:szCs w:val="18"/>
              </w:rPr>
              <w:t>包括以下情形：</w:t>
            </w: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违反国家法律法规等</w:t>
            </w:r>
            <w:r>
              <w:rPr>
                <w:rFonts w:ascii="宋体" w:hAnsi="宋体" w:cs="宋体" w:eastAsia="宋体" w:hint="default"/>
                <w:spacing w:val="-79"/>
                <w:sz w:val="18"/>
                <w:szCs w:val="18"/>
              </w:rPr>
              <w:t> </w:t>
            </w:r>
            <w:r>
              <w:rPr>
                <w:rFonts w:ascii="宋体" w:hAnsi="宋体" w:cs="宋体" w:eastAsia="宋体" w:hint="default"/>
                <w:spacing w:val="-2"/>
                <w:sz w:val="18"/>
                <w:szCs w:val="18"/>
              </w:rPr>
              <w:t>规范文件并受到处罚；</w:t>
            </w:r>
            <w:r>
              <w:rPr>
                <w:rFonts w:ascii="Times New Roman" w:hAnsi="Times New Roman" w:cs="Times New Roman" w:eastAsia="Times New Roman" w:hint="default"/>
                <w:spacing w:val="-2"/>
                <w:sz w:val="18"/>
                <w:szCs w:val="18"/>
              </w:rPr>
              <w:t>b)</w:t>
            </w:r>
            <w:r>
              <w:rPr>
                <w:rFonts w:ascii="宋体" w:hAnsi="宋体" w:cs="宋体" w:eastAsia="宋体" w:hint="default"/>
                <w:spacing w:val="-2"/>
                <w:sz w:val="18"/>
                <w:szCs w:val="18"/>
              </w:rPr>
              <w:t>重大决策程序</w:t>
            </w:r>
            <w:r>
              <w:rPr>
                <w:rFonts w:ascii="宋体" w:hAnsi="宋体" w:cs="宋体" w:eastAsia="宋体" w:hint="default"/>
                <w:sz w:val="18"/>
                <w:szCs w:val="18"/>
              </w:rPr>
              <w:t> 不 科学导致重大失误；</w:t>
            </w:r>
            <w:r>
              <w:rPr>
                <w:rFonts w:ascii="Times New Roman" w:hAnsi="Times New Roman" w:cs="Times New Roman" w:eastAsia="Times New Roman" w:hint="default"/>
                <w:sz w:val="18"/>
                <w:szCs w:val="18"/>
              </w:rPr>
              <w:t>c)</w:t>
            </w:r>
            <w:r>
              <w:rPr>
                <w:rFonts w:ascii="宋体" w:hAnsi="宋体" w:cs="宋体" w:eastAsia="宋体" w:hint="default"/>
                <w:sz w:val="18"/>
                <w:szCs w:val="18"/>
              </w:rPr>
              <w:t>重要业务缺</w:t>
            </w:r>
          </w:p>
        </w:tc>
      </w:tr>
      <w:tr>
        <w:trPr>
          <w:trHeight w:val="394" w:hRule="exact"/>
        </w:trPr>
        <w:tc>
          <w:tcPr>
            <w:tcW w:w="318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454" w:hRule="exact"/>
        </w:trPr>
        <w:tc>
          <w:tcPr>
            <w:tcW w:w="3189" w:type="dxa"/>
            <w:tcBorders>
              <w:top w:val="nil" w:sz="6" w:space="0" w:color="auto"/>
              <w:left w:val="single" w:sz="4" w:space="0" w:color="000000"/>
              <w:bottom w:val="single" w:sz="4" w:space="0" w:color="000000"/>
              <w:right w:val="single" w:sz="4" w:space="0" w:color="000000"/>
            </w:tcBorders>
            <w:shd w:val="clear" w:color="auto" w:fill="D4D4D4"/>
          </w:tcPr>
          <w:p>
            <w:pPr/>
          </w:p>
        </w:tc>
        <w:tc>
          <w:tcPr>
            <w:tcW w:w="332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spacing w:after="0"/>
        <w:sectPr>
          <w:pgSz w:w="11910" w:h="16840"/>
          <w:pgMar w:header="880" w:footer="977"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93"/>
        <w:gridCol w:w="3322"/>
        <w:gridCol w:w="3053"/>
      </w:tblGrid>
      <w:tr>
        <w:trPr>
          <w:trHeight w:val="4418"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务报告的重大错报；</w:t>
            </w:r>
            <w:r>
              <w:rPr>
                <w:rFonts w:ascii="Times New Roman" w:hAnsi="Times New Roman" w:cs="Times New Roman" w:eastAsia="Times New Roman" w:hint="default"/>
                <w:sz w:val="18"/>
                <w:szCs w:val="18"/>
              </w:rPr>
              <w:t>d)</w:t>
            </w:r>
            <w:r>
              <w:rPr>
                <w:rFonts w:ascii="宋体" w:hAnsi="宋体" w:cs="宋体" w:eastAsia="宋体" w:hint="default"/>
                <w:sz w:val="18"/>
                <w:szCs w:val="18"/>
              </w:rPr>
              <w:t>报告给管理层、董 事会的重大缺陷在经过合理的时间后，未 加以改正；</w:t>
            </w:r>
            <w:r>
              <w:rPr>
                <w:rFonts w:ascii="Times New Roman" w:hAnsi="Times New Roman" w:cs="Times New Roman" w:eastAsia="Times New Roman" w:hint="default"/>
                <w:sz w:val="18"/>
                <w:szCs w:val="18"/>
              </w:rPr>
              <w:t>e)</w:t>
            </w:r>
            <w:r>
              <w:rPr>
                <w:rFonts w:ascii="宋体" w:hAnsi="宋体" w:cs="宋体" w:eastAsia="宋体" w:hint="default"/>
                <w:sz w:val="18"/>
                <w:szCs w:val="18"/>
              </w:rPr>
              <w:t>审计委员会和内部审计部对 </w:t>
            </w:r>
            <w:r>
              <w:rPr>
                <w:rFonts w:ascii="宋体" w:hAnsi="宋体" w:cs="宋体" w:eastAsia="宋体" w:hint="default"/>
                <w:spacing w:val="-4"/>
                <w:sz w:val="18"/>
                <w:szCs w:val="18"/>
              </w:rPr>
              <w:t>内部控制的监督无效。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、财务报告内部控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制存在重要缺陷的迹象包括：</w:t>
            </w:r>
            <w:r>
              <w:rPr>
                <w:rFonts w:ascii="Times New Roman" w:hAnsi="Times New Roman" w:cs="Times New Roman" w:eastAsia="Times New Roman" w:hint="default"/>
                <w:sz w:val="18"/>
                <w:szCs w:val="18"/>
              </w:rPr>
              <w:t>a)</w:t>
            </w:r>
            <w:r>
              <w:rPr>
                <w:rFonts w:ascii="宋体" w:hAnsi="宋体" w:cs="宋体" w:eastAsia="宋体" w:hint="default"/>
                <w:sz w:val="18"/>
                <w:szCs w:val="18"/>
              </w:rPr>
              <w:t>未依照公 认会计准则选择和应用会计政策；</w:t>
            </w:r>
            <w:r>
              <w:rPr>
                <w:rFonts w:ascii="Times New Roman" w:hAnsi="Times New Roman" w:cs="Times New Roman" w:eastAsia="Times New Roman" w:hint="default"/>
                <w:sz w:val="18"/>
                <w:szCs w:val="18"/>
              </w:rPr>
              <w:t>b)</w:t>
            </w:r>
            <w:r>
              <w:rPr>
                <w:rFonts w:ascii="宋体" w:hAnsi="宋体" w:cs="宋体" w:eastAsia="宋体" w:hint="default"/>
                <w:sz w:val="18"/>
                <w:szCs w:val="18"/>
              </w:rPr>
              <w:t>未建 立反舞弊程序和控制措施；</w:t>
            </w:r>
            <w:r>
              <w:rPr>
                <w:rFonts w:ascii="Times New Roman" w:hAnsi="Times New Roman" w:cs="Times New Roman" w:eastAsia="Times New Roman" w:hint="default"/>
                <w:sz w:val="18"/>
                <w:szCs w:val="18"/>
              </w:rPr>
              <w:t>c)</w:t>
            </w:r>
            <w:r>
              <w:rPr>
                <w:rFonts w:ascii="宋体" w:hAnsi="宋体" w:cs="宋体" w:eastAsia="宋体" w:hint="default"/>
                <w:sz w:val="18"/>
                <w:szCs w:val="18"/>
              </w:rPr>
              <w:t>对于非常规 或特殊交易的账务处理没有建立相应的控 制机制</w:t>
            </w:r>
            <w:r>
              <w:rPr>
                <w:rFonts w:ascii="宋体" w:hAnsi="宋体" w:cs="宋体" w:eastAsia="宋体" w:hint="default"/>
                <w:spacing w:val="1"/>
                <w:sz w:val="18"/>
                <w:szCs w:val="18"/>
              </w:rPr>
              <w:t> </w:t>
            </w:r>
            <w:r>
              <w:rPr>
                <w:rFonts w:ascii="宋体" w:hAnsi="宋体" w:cs="宋体" w:eastAsia="宋体" w:hint="default"/>
                <w:sz w:val="18"/>
                <w:szCs w:val="18"/>
              </w:rPr>
              <w:t>或没有实施且没有相应的补偿性</w:t>
            </w:r>
            <w:r>
              <w:rPr>
                <w:rFonts w:ascii="宋体" w:hAnsi="宋体" w:cs="宋体" w:eastAsia="宋体" w:hint="default"/>
                <w:sz w:val="18"/>
                <w:szCs w:val="18"/>
              </w:rPr>
              <w:t> 控制；</w:t>
            </w:r>
            <w:r>
              <w:rPr>
                <w:rFonts w:ascii="Times New Roman" w:hAnsi="Times New Roman" w:cs="Times New Roman" w:eastAsia="Times New Roman" w:hint="default"/>
                <w:sz w:val="18"/>
                <w:szCs w:val="18"/>
              </w:rPr>
              <w:t>d)</w:t>
            </w:r>
            <w:r>
              <w:rPr>
                <w:rFonts w:ascii="宋体" w:hAnsi="宋体" w:cs="宋体" w:eastAsia="宋体" w:hint="default"/>
                <w:sz w:val="18"/>
                <w:szCs w:val="18"/>
              </w:rPr>
              <w:t>对于期末财务报告过程的控制存 在一项或</w:t>
            </w:r>
            <w:r>
              <w:rPr>
                <w:rFonts w:ascii="宋体" w:hAnsi="宋体" w:cs="宋体" w:eastAsia="宋体" w:hint="default"/>
                <w:spacing w:val="1"/>
                <w:sz w:val="18"/>
                <w:szCs w:val="18"/>
              </w:rPr>
              <w:t> </w:t>
            </w:r>
            <w:r>
              <w:rPr>
                <w:rFonts w:ascii="宋体" w:hAnsi="宋体" w:cs="宋体" w:eastAsia="宋体" w:hint="default"/>
                <w:sz w:val="18"/>
                <w:szCs w:val="18"/>
              </w:rPr>
              <w:t>多项缺陷且不能合理保证编制</w:t>
            </w:r>
            <w:r>
              <w:rPr>
                <w:rFonts w:ascii="宋体" w:hAnsi="宋体" w:cs="宋体" w:eastAsia="宋体" w:hint="default"/>
                <w:sz w:val="18"/>
                <w:szCs w:val="18"/>
              </w:rPr>
              <w:t> </w:t>
            </w:r>
            <w:r>
              <w:rPr>
                <w:rFonts w:ascii="宋体" w:hAnsi="宋体" w:cs="宋体" w:eastAsia="宋体" w:hint="default"/>
                <w:spacing w:val="-5"/>
                <w:sz w:val="18"/>
                <w:szCs w:val="18"/>
              </w:rPr>
              <w:t>的财务报表达到真实、完整的目标。</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、财</w:t>
            </w:r>
            <w:r>
              <w:rPr>
                <w:rFonts w:ascii="宋体" w:hAnsi="宋体" w:cs="宋体" w:eastAsia="宋体" w:hint="default"/>
                <w:spacing w:val="-82"/>
                <w:sz w:val="18"/>
                <w:szCs w:val="18"/>
              </w:rPr>
              <w:t> </w:t>
            </w:r>
            <w:r>
              <w:rPr>
                <w:rFonts w:ascii="宋体" w:hAnsi="宋体" w:cs="宋体" w:eastAsia="宋体" w:hint="default"/>
                <w:sz w:val="18"/>
                <w:szCs w:val="18"/>
              </w:rPr>
              <w:t>务报告内部控制的一般缺陷是指除上述重</w:t>
            </w:r>
            <w:r>
              <w:rPr>
                <w:rFonts w:ascii="宋体" w:hAnsi="宋体" w:cs="宋体" w:eastAsia="宋体" w:hint="default"/>
                <w:sz w:val="18"/>
                <w:szCs w:val="18"/>
              </w:rPr>
              <w:t> 大缺陷、重要缺陷之外的其他控制缺陷。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6" w:right="19"/>
              <w:jc w:val="left"/>
              <w:rPr>
                <w:rFonts w:ascii="宋体" w:hAnsi="宋体" w:cs="宋体" w:eastAsia="宋体" w:hint="default"/>
                <w:sz w:val="18"/>
                <w:szCs w:val="18"/>
              </w:rPr>
            </w:pPr>
            <w:r>
              <w:rPr>
                <w:rFonts w:ascii="宋体" w:hAnsi="宋体" w:cs="宋体" w:eastAsia="宋体" w:hint="default"/>
                <w:sz w:val="18"/>
                <w:szCs w:val="18"/>
              </w:rPr>
              <w:t>乏制</w:t>
            </w:r>
            <w:r>
              <w:rPr>
                <w:rFonts w:ascii="宋体" w:hAnsi="宋体" w:cs="宋体" w:eastAsia="宋体" w:hint="default"/>
                <w:spacing w:val="1"/>
                <w:sz w:val="18"/>
                <w:szCs w:val="18"/>
              </w:rPr>
              <w:t> </w:t>
            </w:r>
            <w:r>
              <w:rPr>
                <w:rFonts w:ascii="宋体" w:hAnsi="宋体" w:cs="宋体" w:eastAsia="宋体" w:hint="default"/>
                <w:sz w:val="18"/>
                <w:szCs w:val="18"/>
              </w:rPr>
              <w:t>度控制或者制度体系失效；</w:t>
            </w:r>
            <w:r>
              <w:rPr>
                <w:rFonts w:ascii="Times New Roman" w:hAnsi="Times New Roman" w:cs="Times New Roman" w:eastAsia="Times New Roman" w:hint="default"/>
                <w:sz w:val="18"/>
                <w:szCs w:val="18"/>
              </w:rPr>
              <w:t>d)</w:t>
            </w:r>
            <w:r>
              <w:rPr>
                <w:rFonts w:ascii="宋体" w:hAnsi="宋体" w:cs="宋体" w:eastAsia="宋体" w:hint="default"/>
                <w:sz w:val="18"/>
                <w:szCs w:val="18"/>
              </w:rPr>
              <w:t>中 高级管理人员和高级技术人才流失严 </w:t>
            </w:r>
            <w:r>
              <w:rPr>
                <w:rFonts w:ascii="宋体" w:hAnsi="宋体" w:cs="宋体" w:eastAsia="宋体" w:hint="default"/>
                <w:spacing w:val="-2"/>
                <w:sz w:val="18"/>
                <w:szCs w:val="18"/>
              </w:rPr>
              <w:t>重；</w:t>
            </w:r>
            <w:r>
              <w:rPr>
                <w:rFonts w:ascii="Times New Roman" w:hAnsi="Times New Roman" w:cs="Times New Roman" w:eastAsia="Times New Roman" w:hint="default"/>
                <w:spacing w:val="-2"/>
                <w:sz w:val="18"/>
                <w:szCs w:val="18"/>
              </w:rPr>
              <w:t>e)</w:t>
            </w:r>
            <w:r>
              <w:rPr>
                <w:rFonts w:ascii="宋体" w:hAnsi="宋体" w:cs="宋体" w:eastAsia="宋体" w:hint="default"/>
                <w:spacing w:val="-2"/>
                <w:sz w:val="18"/>
                <w:szCs w:val="18"/>
              </w:rPr>
              <w:t>媒体频现负面新闻，涉及面广且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未消除；</w:t>
            </w:r>
            <w:r>
              <w:rPr>
                <w:rFonts w:ascii="Times New Roman" w:hAnsi="Times New Roman" w:cs="Times New Roman" w:eastAsia="Times New Roman" w:hint="default"/>
                <w:sz w:val="18"/>
                <w:szCs w:val="18"/>
              </w:rPr>
              <w:t>f)</w:t>
            </w:r>
            <w:r>
              <w:rPr>
                <w:rFonts w:ascii="宋体" w:hAnsi="宋体" w:cs="宋体" w:eastAsia="宋体" w:hint="default"/>
                <w:sz w:val="18"/>
                <w:szCs w:val="18"/>
              </w:rPr>
              <w:t>内部控制重大缺陷未得到整 改。</w:t>
            </w:r>
            <w:r>
              <w:rPr>
                <w:rFonts w:ascii="Times New Roman" w:hAnsi="Times New Roman" w:cs="Times New Roman" w:eastAsia="Times New Roman" w:hint="default"/>
                <w:sz w:val="18"/>
                <w:szCs w:val="18"/>
              </w:rPr>
              <w:t>2</w:t>
            </w:r>
            <w:r>
              <w:rPr>
                <w:rFonts w:ascii="宋体" w:hAnsi="宋体" w:cs="宋体" w:eastAsia="宋体" w:hint="default"/>
                <w:sz w:val="18"/>
                <w:szCs w:val="18"/>
              </w:rPr>
              <w:t>、非财务报告内部控制存在重要 </w:t>
            </w:r>
            <w:r>
              <w:rPr>
                <w:rFonts w:ascii="宋体" w:hAnsi="宋体" w:cs="宋体" w:eastAsia="宋体" w:hint="default"/>
                <w:spacing w:val="-2"/>
                <w:sz w:val="18"/>
                <w:szCs w:val="18"/>
              </w:rPr>
              <w:t>缺陷包括以下情形：</w:t>
            </w: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民主决策程序存</w:t>
            </w:r>
            <w:r>
              <w:rPr>
                <w:rFonts w:ascii="宋体" w:hAnsi="宋体" w:cs="宋体" w:eastAsia="宋体" w:hint="default"/>
                <w:spacing w:val="-79"/>
                <w:sz w:val="18"/>
                <w:szCs w:val="18"/>
              </w:rPr>
              <w:t> </w:t>
            </w:r>
            <w:r>
              <w:rPr>
                <w:rFonts w:ascii="宋体" w:hAnsi="宋体" w:cs="宋体" w:eastAsia="宋体" w:hint="default"/>
                <w:sz w:val="18"/>
                <w:szCs w:val="18"/>
              </w:rPr>
              <w:t>在但不够 完善；</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b)</w:t>
            </w:r>
            <w:r>
              <w:rPr>
                <w:rFonts w:ascii="宋体" w:hAnsi="宋体" w:cs="宋体" w:eastAsia="宋体" w:hint="default"/>
                <w:sz w:val="18"/>
                <w:szCs w:val="18"/>
              </w:rPr>
              <w:t>决策程序导致出现 </w:t>
            </w:r>
            <w:r>
              <w:rPr>
                <w:rFonts w:ascii="宋体" w:hAnsi="宋体" w:cs="宋体" w:eastAsia="宋体" w:hint="default"/>
                <w:spacing w:val="-2"/>
                <w:sz w:val="18"/>
                <w:szCs w:val="18"/>
              </w:rPr>
              <w:t>一般性失误；</w:t>
            </w:r>
            <w:r>
              <w:rPr>
                <w:rFonts w:ascii="Times New Roman" w:hAnsi="Times New Roman" w:cs="Times New Roman" w:eastAsia="Times New Roman" w:hint="default"/>
                <w:spacing w:val="-2"/>
                <w:sz w:val="18"/>
                <w:szCs w:val="18"/>
              </w:rPr>
              <w:t>c)</w:t>
            </w:r>
            <w:r>
              <w:rPr>
                <w:rFonts w:ascii="宋体" w:hAnsi="宋体" w:cs="宋体" w:eastAsia="宋体" w:hint="default"/>
                <w:spacing w:val="-2"/>
                <w:sz w:val="18"/>
                <w:szCs w:val="18"/>
              </w:rPr>
              <w:t>重要业务制度或系统存</w:t>
            </w:r>
            <w:r>
              <w:rPr>
                <w:rFonts w:ascii="宋体" w:hAnsi="宋体" w:cs="宋体" w:eastAsia="宋体" w:hint="default"/>
                <w:spacing w:val="-79"/>
                <w:sz w:val="18"/>
                <w:szCs w:val="18"/>
              </w:rPr>
              <w:t> </w:t>
            </w:r>
            <w:r>
              <w:rPr>
                <w:rFonts w:ascii="宋体" w:hAnsi="宋体" w:cs="宋体" w:eastAsia="宋体" w:hint="default"/>
                <w:sz w:val="18"/>
                <w:szCs w:val="18"/>
              </w:rPr>
              <w:t>在缺陷；</w:t>
            </w:r>
            <w:r>
              <w:rPr>
                <w:rFonts w:ascii="Times New Roman" w:hAnsi="Times New Roman" w:cs="Times New Roman" w:eastAsia="Times New Roman" w:hint="default"/>
                <w:sz w:val="18"/>
                <w:szCs w:val="18"/>
              </w:rPr>
              <w:t>d)</w:t>
            </w:r>
            <w:r>
              <w:rPr>
                <w:rFonts w:ascii="宋体" w:hAnsi="宋体" w:cs="宋体" w:eastAsia="宋体" w:hint="default"/>
                <w:sz w:val="18"/>
                <w:szCs w:val="18"/>
              </w:rPr>
              <w:t>关键岗位业务人员流失严 </w:t>
            </w:r>
            <w:r>
              <w:rPr>
                <w:rFonts w:ascii="宋体" w:hAnsi="宋体" w:cs="宋体" w:eastAsia="宋体" w:hint="default"/>
                <w:spacing w:val="-2"/>
                <w:sz w:val="18"/>
                <w:szCs w:val="18"/>
              </w:rPr>
              <w:t>重；</w:t>
            </w:r>
            <w:r>
              <w:rPr>
                <w:rFonts w:ascii="Times New Roman" w:hAnsi="Times New Roman" w:cs="Times New Roman" w:eastAsia="Times New Roman" w:hint="default"/>
                <w:spacing w:val="-2"/>
                <w:sz w:val="18"/>
                <w:szCs w:val="18"/>
              </w:rPr>
              <w:t>e)</w:t>
            </w:r>
            <w:r>
              <w:rPr>
                <w:rFonts w:ascii="宋体" w:hAnsi="宋体" w:cs="宋体" w:eastAsia="宋体" w:hint="default"/>
                <w:spacing w:val="-2"/>
                <w:sz w:val="18"/>
                <w:szCs w:val="18"/>
              </w:rPr>
              <w:t>媒体出现负面新闻，波及局部区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域；</w:t>
            </w:r>
            <w:r>
              <w:rPr>
                <w:rFonts w:ascii="Times New Roman" w:hAnsi="Times New Roman" w:cs="Times New Roman" w:eastAsia="Times New Roman" w:hint="default"/>
                <w:sz w:val="18"/>
                <w:szCs w:val="18"/>
              </w:rPr>
              <w:t>f)</w:t>
            </w:r>
            <w:r>
              <w:rPr>
                <w:rFonts w:ascii="宋体" w:hAnsi="宋体" w:cs="宋体" w:eastAsia="宋体" w:hint="default"/>
                <w:sz w:val="18"/>
                <w:szCs w:val="18"/>
              </w:rPr>
              <w:t>内部控制重要或者一般缺陷未得 到整改。</w:t>
            </w:r>
            <w:r>
              <w:rPr>
                <w:rFonts w:ascii="Times New Roman" w:hAnsi="Times New Roman" w:cs="Times New Roman" w:eastAsia="Times New Roman" w:hint="default"/>
                <w:sz w:val="18"/>
                <w:szCs w:val="18"/>
              </w:rPr>
              <w:t>3</w:t>
            </w:r>
            <w:r>
              <w:rPr>
                <w:rFonts w:ascii="宋体" w:hAnsi="宋体" w:cs="宋体" w:eastAsia="宋体" w:hint="default"/>
                <w:sz w:val="18"/>
                <w:szCs w:val="18"/>
              </w:rPr>
              <w:t>、非财务报告内部控制的一 </w:t>
            </w:r>
            <w:r>
              <w:rPr>
                <w:rFonts w:ascii="宋体" w:hAnsi="宋体" w:cs="宋体" w:eastAsia="宋体" w:hint="default"/>
                <w:spacing w:val="-4"/>
                <w:sz w:val="18"/>
                <w:szCs w:val="18"/>
              </w:rPr>
              <w:t>般缺陷是指除上述重大缺陷、重要缺陷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之外的其他控制缺陷。</w:t>
            </w:r>
          </w:p>
        </w:tc>
      </w:tr>
      <w:tr>
        <w:trPr>
          <w:trHeight w:val="1649"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、重大缺陷：潜在错报金额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p>
          <w:p>
            <w:pPr>
              <w:pStyle w:val="TableParagraph"/>
              <w:spacing w:line="300" w:lineRule="auto" w:before="63"/>
              <w:ind w:left="23" w:right="1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、重要缺陷：利润总额</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＜潜在</w:t>
            </w:r>
            <w:r>
              <w:rPr>
                <w:rFonts w:ascii="宋体" w:hAnsi="宋体" w:cs="宋体" w:eastAsia="宋体" w:hint="default"/>
                <w:spacing w:val="-75"/>
                <w:sz w:val="18"/>
                <w:szCs w:val="18"/>
              </w:rPr>
              <w:t> </w:t>
            </w:r>
            <w:r>
              <w:rPr>
                <w:rFonts w:ascii="宋体" w:hAnsi="宋体" w:cs="宋体" w:eastAsia="宋体" w:hint="default"/>
                <w:sz w:val="18"/>
                <w:szCs w:val="18"/>
              </w:rPr>
              <w:t>错报金额 </w:t>
            </w:r>
            <w:r>
              <w:rPr>
                <w:rFonts w:ascii="宋体" w:hAnsi="宋体" w:cs="宋体" w:eastAsia="宋体" w:hint="default"/>
                <w:spacing w:val="-3"/>
                <w:sz w:val="18"/>
                <w:szCs w:val="18"/>
              </w:rPr>
              <w:t>＜利润总额</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81"/>
                <w:sz w:val="18"/>
                <w:szCs w:val="18"/>
              </w:rPr>
              <w:t> </w:t>
            </w:r>
            <w:r>
              <w:rPr>
                <w:rFonts w:ascii="宋体" w:hAnsi="宋体" w:cs="宋体" w:eastAsia="宋体" w:hint="default"/>
                <w:sz w:val="18"/>
                <w:szCs w:val="18"/>
              </w:rPr>
              <w:t>潜在错报金 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p>
        </w:tc>
        <w:tc>
          <w:tcPr>
            <w:tcW w:w="3053" w:type="dxa"/>
            <w:tcBorders>
              <w:top w:val="single" w:sz="4" w:space="0" w:color="000000"/>
              <w:left w:val="single" w:sz="10" w:space="0" w:color="FFFFFF"/>
              <w:bottom w:val="single" w:sz="4" w:space="0" w:color="000000"/>
              <w:right w:val="single" w:sz="10" w:space="0" w:color="FFFFFF"/>
            </w:tcBorders>
          </w:tcPr>
          <w:p>
            <w:pPr>
              <w:pStyle w:val="TableParagraph"/>
              <w:spacing w:line="300" w:lineRule="auto" w:before="51"/>
              <w:ind w:left="19" w:right="1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、重大缺陷：直接财产损失金额</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人民</w:t>
            </w:r>
            <w:r>
              <w:rPr>
                <w:rFonts w:ascii="宋体" w:hAnsi="宋体" w:cs="宋体" w:eastAsia="宋体" w:hint="default"/>
                <w:spacing w:val="-75"/>
                <w:sz w:val="18"/>
                <w:szCs w:val="18"/>
              </w:rPr>
              <w:t> </w:t>
            </w:r>
            <w:r>
              <w:rPr>
                <w:rFonts w:ascii="宋体" w:hAnsi="宋体" w:cs="宋体" w:eastAsia="宋体" w:hint="default"/>
                <w:sz w:val="18"/>
                <w:szCs w:val="18"/>
              </w:rPr>
              <w:t>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、重要缺陷：人民币</w:t>
            </w:r>
          </w:p>
          <w:p>
            <w:pPr>
              <w:pStyle w:val="TableParagraph"/>
              <w:spacing w:line="240" w:lineRule="auto" w:before="1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直接财产损失金额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人民币</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、一般缺陷：直接财产损</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b/>
          <w:bCs/>
          <w:sz w:val="18"/>
          <w:szCs w:val="18"/>
        </w:rPr>
      </w:pPr>
    </w:p>
    <w:p>
      <w:pPr>
        <w:pStyle w:val="Heading2"/>
        <w:spacing w:line="240" w:lineRule="auto" w:before="26"/>
        <w:ind w:right="0"/>
        <w:jc w:val="left"/>
        <w:rPr>
          <w:b w:val="0"/>
          <w:bCs w:val="0"/>
        </w:rPr>
      </w:pPr>
      <w:r>
        <w:rPr/>
        <w:pict>
          <v:shape style="position:absolute;margin-left:340.679993pt;margin-top:-174.764374pt;width:194.2pt;height:82pt;mso-position-horizontal-relative:page;mso-position-vertical-relative:paragraph;z-index:-98581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0" w:right="0" w:firstLine="0"/>
                    <w:jc w:val="left"/>
                    <w:rPr>
                      <w:rFonts w:ascii="宋体" w:hAnsi="宋体" w:cs="宋体" w:eastAsia="宋体" w:hint="default"/>
                      <w:sz w:val="18"/>
                      <w:szCs w:val="18"/>
                    </w:rPr>
                  </w:pPr>
                  <w:r>
                    <w:rPr>
                      <w:rFonts w:ascii="宋体" w:hAnsi="宋体" w:cs="宋体" w:eastAsia="宋体" w:hint="default"/>
                      <w:sz w:val="18"/>
                      <w:szCs w:val="18"/>
                    </w:rPr>
                    <w:t>一般缺陷：</w:t>
                  </w:r>
                </w:p>
              </w:txbxContent>
            </v:textbox>
            <w10:wrap type="none"/>
          </v:shape>
        </w:pict>
      </w:r>
      <w:bookmarkStart w:name="十、内部控制审计报告或鉴证报告" w:id="153"/>
      <w:bookmarkEnd w:id="153"/>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044" w:right="0"/>
        <w:jc w:val="left"/>
        <w:rPr>
          <w:b w:val="0"/>
          <w:bCs w:val="0"/>
        </w:rPr>
      </w:pPr>
      <w:bookmarkStart w:name="_TOC_250001" w:id="154"/>
      <w:bookmarkStart w:name="第十一节公司债券相关情况" w:id="155"/>
      <w:r>
        <w:rPr>
          <w:b w:val="0"/>
          <w:bCs w:val="0"/>
        </w:rPr>
      </w:r>
      <w:r>
        <w:rPr/>
        <w:t>第十一节公司债券相关情况</w:t>
      </w:r>
      <w:bookmarkEnd w:id="154"/>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2111" w:right="3096"/>
        <w:jc w:val="center"/>
        <w:rPr>
          <w:b w:val="0"/>
          <w:bCs w:val="0"/>
        </w:rPr>
      </w:pPr>
      <w:bookmarkStart w:name="_TOC_250000" w:id="156"/>
      <w:bookmarkStart w:name="第十二节财务报告" w:id="157"/>
      <w:r>
        <w:rPr>
          <w:b w:val="0"/>
          <w:bCs w:val="0"/>
        </w:rPr>
      </w:r>
      <w:r>
        <w:rPr/>
        <w:t>第十二节财务报告</w:t>
      </w:r>
      <w:bookmarkEnd w:id="15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审计报告" w:id="158"/>
      <w:bookmarkEnd w:id="158"/>
      <w:r>
        <w:rPr>
          <w:b w:val="0"/>
          <w:bCs w:val="0"/>
        </w:rPr>
      </w:r>
      <w:r>
        <w:rPr/>
        <w:t>一、审计报告</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[2020]6830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申军、刘浪</w:t>
            </w:r>
          </w:p>
        </w:tc>
      </w:tr>
    </w:tbl>
    <w:p>
      <w:pPr>
        <w:spacing w:before="51"/>
        <w:ind w:left="2116" w:right="3096"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pStyle w:val="BodyText"/>
        <w:spacing w:line="240" w:lineRule="auto" w:before="92"/>
        <w:ind w:left="2118" w:right="3096"/>
        <w:jc w:val="center"/>
      </w:pPr>
      <w:r>
        <w:rPr/>
        <w:t>审计报告</w:t>
      </w:r>
    </w:p>
    <w:p>
      <w:pPr>
        <w:spacing w:line="240" w:lineRule="auto" w:before="13"/>
        <w:rPr>
          <w:rFonts w:ascii="宋体" w:hAnsi="宋体" w:cs="宋体" w:eastAsia="宋体" w:hint="default"/>
          <w:sz w:val="11"/>
          <w:szCs w:val="11"/>
        </w:rPr>
      </w:pPr>
    </w:p>
    <w:p>
      <w:pPr>
        <w:pStyle w:val="BodyText"/>
        <w:spacing w:line="240" w:lineRule="auto" w:before="36"/>
        <w:ind w:left="0" w:right="1130"/>
        <w:jc w:val="right"/>
      </w:pPr>
      <w:r>
        <w:rPr>
          <w:spacing w:val="-1"/>
        </w:rPr>
        <w:t>天职业字</w:t>
      </w:r>
      <w:r>
        <w:rPr>
          <w:rFonts w:ascii="Times New Roman" w:hAnsi="Times New Roman" w:cs="Times New Roman" w:eastAsia="Times New Roman" w:hint="default"/>
          <w:spacing w:val="-1"/>
        </w:rPr>
        <w:t>[2020]6830</w:t>
      </w:r>
      <w:r>
        <w:rPr>
          <w:spacing w:val="-1"/>
        </w:rPr>
        <w:t>号</w:t>
      </w:r>
    </w:p>
    <w:p>
      <w:pPr>
        <w:spacing w:line="240" w:lineRule="auto" w:before="10"/>
        <w:rPr>
          <w:rFonts w:ascii="宋体" w:hAnsi="宋体" w:cs="宋体" w:eastAsia="宋体" w:hint="default"/>
          <w:sz w:val="10"/>
          <w:szCs w:val="10"/>
        </w:rPr>
      </w:pPr>
    </w:p>
    <w:p>
      <w:pPr>
        <w:pStyle w:val="BodyText"/>
        <w:spacing w:line="240" w:lineRule="auto" w:before="36"/>
        <w:ind w:right="0"/>
        <w:jc w:val="left"/>
      </w:pPr>
      <w:r>
        <w:rPr/>
        <w:t>中科院成都信息技术股份有限公司全体股东：</w:t>
      </w:r>
    </w:p>
    <w:p>
      <w:pPr>
        <w:spacing w:line="240" w:lineRule="auto" w:before="10"/>
        <w:rPr>
          <w:rFonts w:ascii="宋体" w:hAnsi="宋体" w:cs="宋体" w:eastAsia="宋体" w:hint="default"/>
          <w:sz w:val="24"/>
          <w:szCs w:val="24"/>
        </w:rPr>
      </w:pPr>
    </w:p>
    <w:p>
      <w:pPr>
        <w:pStyle w:val="Heading2"/>
        <w:spacing w:line="240" w:lineRule="auto"/>
        <w:ind w:left="635" w:right="0"/>
        <w:jc w:val="left"/>
        <w:rPr>
          <w:b w:val="0"/>
          <w:bCs w:val="0"/>
        </w:rPr>
      </w:pPr>
      <w:r>
        <w:rPr/>
        <w:t>一、审计意见</w:t>
      </w:r>
      <w:r>
        <w:rPr>
          <w:b w:val="0"/>
          <w:bCs w:val="0"/>
        </w:rPr>
      </w:r>
    </w:p>
    <w:p>
      <w:pPr>
        <w:spacing w:line="240" w:lineRule="auto" w:before="8"/>
        <w:rPr>
          <w:rFonts w:ascii="宋体" w:hAnsi="宋体" w:cs="宋体" w:eastAsia="宋体" w:hint="default"/>
          <w:b/>
          <w:bCs/>
          <w:sz w:val="25"/>
          <w:szCs w:val="25"/>
        </w:rPr>
      </w:pPr>
    </w:p>
    <w:p>
      <w:pPr>
        <w:pStyle w:val="BodyText"/>
        <w:spacing w:line="256" w:lineRule="auto"/>
        <w:ind w:right="1128" w:firstLine="419"/>
        <w:jc w:val="both"/>
      </w:pPr>
      <w:r>
        <w:rPr>
          <w:spacing w:val="-2"/>
        </w:rPr>
        <w:t>我们审计了中科院成都信息技术股份有限公司（以下简称</w:t>
      </w:r>
      <w:r>
        <w:rPr>
          <w:rFonts w:ascii="Times New Roman" w:hAnsi="Times New Roman" w:cs="Times New Roman" w:eastAsia="Times New Roman" w:hint="default"/>
          <w:spacing w:val="-2"/>
        </w:rPr>
        <w:t>“</w:t>
      </w:r>
      <w:r>
        <w:rPr>
          <w:spacing w:val="-2"/>
        </w:rPr>
        <w:t>中科信息</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w w:val="100"/>
        </w:rPr>
        <w:t> </w:t>
      </w:r>
      <w:r>
        <w:rPr>
          <w:spacing w:val="-2"/>
        </w:rPr>
        <w:t>日的合并及母公司资产负债表，</w:t>
      </w:r>
      <w:r>
        <w:rPr>
          <w:rFonts w:ascii="Times New Roman" w:hAnsi="Times New Roman" w:cs="Times New Roman" w:eastAsia="Times New Roman" w:hint="default"/>
          <w:spacing w:val="-2"/>
        </w:rPr>
        <w:t>2019</w:t>
      </w:r>
      <w:r>
        <w:rPr>
          <w:spacing w:val="-2"/>
        </w:rPr>
        <w:t>年度的合并及母公司利润表、合并及母公司现金流量表、合并及母公</w:t>
      </w:r>
      <w:r>
        <w:rPr>
          <w:spacing w:val="-44"/>
        </w:rPr>
        <w:t> </w:t>
      </w:r>
      <w:r>
        <w:rPr>
          <w:spacing w:val="-44"/>
        </w:rPr>
      </w:r>
      <w:r>
        <w:rPr/>
        <w:t>司股东权益变动表以及相关财务报表附注。</w:t>
      </w:r>
    </w:p>
    <w:p>
      <w:pPr>
        <w:pStyle w:val="BodyText"/>
        <w:spacing w:line="256" w:lineRule="auto" w:before="178"/>
        <w:ind w:right="1128" w:firstLine="420"/>
        <w:jc w:val="both"/>
      </w:pPr>
      <w:r>
        <w:rPr>
          <w:spacing w:val="-2"/>
        </w:rPr>
        <w:t>我们认为，后附的财务报表在所有重大方面按照企业会计准则的规定编制，公允反映了中科信息</w:t>
      </w:r>
      <w:r>
        <w:rPr>
          <w:rFonts w:ascii="Times New Roman" w:hAnsi="Times New Roman" w:cs="Times New Roman" w:eastAsia="Times New Roman" w:hint="default"/>
          <w:spacing w:val="-2"/>
        </w:rPr>
        <w:t>2019</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2019</w:t>
      </w:r>
      <w:r>
        <w:rPr/>
        <w:t>年度的合并及母公司经营成果和现金流量。</w:t>
      </w:r>
    </w:p>
    <w:p>
      <w:pPr>
        <w:spacing w:line="240" w:lineRule="auto" w:before="4"/>
        <w:rPr>
          <w:rFonts w:ascii="宋体" w:hAnsi="宋体" w:cs="宋体" w:eastAsia="宋体" w:hint="default"/>
          <w:sz w:val="22"/>
          <w:szCs w:val="22"/>
        </w:rPr>
      </w:pPr>
    </w:p>
    <w:p>
      <w:pPr>
        <w:pStyle w:val="Heading2"/>
        <w:spacing w:line="240" w:lineRule="auto"/>
        <w:ind w:left="635" w:right="0"/>
        <w:jc w:val="left"/>
        <w:rPr>
          <w:b w:val="0"/>
          <w:bCs w:val="0"/>
        </w:rPr>
      </w:pPr>
      <w:r>
        <w:rPr/>
        <w:t>二、形成审计意见的基础</w:t>
      </w:r>
      <w:r>
        <w:rPr>
          <w:b w:val="0"/>
          <w:bCs w:val="0"/>
        </w:rPr>
      </w:r>
    </w:p>
    <w:p>
      <w:pPr>
        <w:spacing w:line="240" w:lineRule="auto" w:before="8"/>
        <w:rPr>
          <w:rFonts w:ascii="宋体" w:hAnsi="宋体" w:cs="宋体" w:eastAsia="宋体" w:hint="default"/>
          <w:b/>
          <w:bCs/>
          <w:sz w:val="25"/>
          <w:szCs w:val="25"/>
        </w:rPr>
      </w:pPr>
    </w:p>
    <w:p>
      <w:pPr>
        <w:pStyle w:val="BodyText"/>
        <w:spacing w:line="261" w:lineRule="auto"/>
        <w:ind w:right="1128" w:firstLine="420"/>
        <w:jc w:val="both"/>
      </w:pP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w:t>
      </w:r>
      <w:r>
        <w:rPr>
          <w:w w:val="100"/>
        </w:rPr>
        <w:t> </w:t>
      </w: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部分进一步阐述了我们在这些准则下的责任。按照中国注册会计师职业道德守则，我们独立于中</w:t>
      </w:r>
      <w:r>
        <w:rPr>
          <w:spacing w:val="-18"/>
        </w:rPr>
        <w:t> </w:t>
      </w:r>
      <w:r>
        <w:rPr>
          <w:spacing w:val="-18"/>
        </w:rPr>
      </w:r>
      <w:r>
        <w:rPr>
          <w:spacing w:val="-2"/>
        </w:rPr>
        <w:t>科信息，并履行了职业道德方面的其他责任。我们相信，我们获取的审计证据是充分、适当的，为发表审</w:t>
      </w:r>
      <w:r>
        <w:rPr>
          <w:spacing w:val="-43"/>
        </w:rPr>
        <w:t> </w:t>
      </w:r>
      <w:r>
        <w:rPr>
          <w:spacing w:val="-43"/>
        </w:rPr>
      </w:r>
      <w:r>
        <w:rPr/>
        <w:t>计意见提供了基础。</w:t>
      </w:r>
    </w:p>
    <w:p>
      <w:pPr>
        <w:spacing w:line="240" w:lineRule="auto" w:before="4"/>
        <w:rPr>
          <w:rFonts w:ascii="宋体" w:hAnsi="宋体" w:cs="宋体" w:eastAsia="宋体" w:hint="default"/>
          <w:sz w:val="23"/>
          <w:szCs w:val="23"/>
        </w:rPr>
      </w:pPr>
    </w:p>
    <w:p>
      <w:pPr>
        <w:pStyle w:val="Heading2"/>
        <w:spacing w:line="240" w:lineRule="auto"/>
        <w:ind w:left="635" w:right="0"/>
        <w:jc w:val="left"/>
        <w:rPr>
          <w:b w:val="0"/>
          <w:bCs w:val="0"/>
        </w:rPr>
      </w:pPr>
      <w:r>
        <w:rPr/>
        <w:t>三、关键审计事项</w:t>
      </w:r>
      <w:r>
        <w:rPr>
          <w:b w:val="0"/>
          <w:bCs w:val="0"/>
        </w:rPr>
      </w:r>
    </w:p>
    <w:p>
      <w:pPr>
        <w:spacing w:line="240" w:lineRule="auto" w:before="8"/>
        <w:rPr>
          <w:rFonts w:ascii="宋体" w:hAnsi="宋体" w:cs="宋体" w:eastAsia="宋体" w:hint="default"/>
          <w:b/>
          <w:bCs/>
          <w:sz w:val="25"/>
          <w:szCs w:val="25"/>
        </w:rPr>
      </w:pPr>
    </w:p>
    <w:p>
      <w:pPr>
        <w:pStyle w:val="BodyText"/>
        <w:spacing w:line="273" w:lineRule="auto"/>
        <w:ind w:right="1128" w:firstLine="420"/>
        <w:jc w:val="both"/>
        <w:rPr>
          <w:rFonts w:ascii="宋体" w:hAnsi="宋体" w:cs="宋体" w:eastAsia="宋体" w:hint="default"/>
        </w:rPr>
      </w:pPr>
      <w:r>
        <w:rPr>
          <w:spacing w:val="-2"/>
        </w:rPr>
        <w:t>关键审计事项是我们根据职业判断，认为对本期财务报表审计最为重要的事项。这些事项的应对以对</w:t>
      </w:r>
      <w:r>
        <w:rPr>
          <w:w w:val="100"/>
        </w:rPr>
        <w:t> </w:t>
      </w:r>
      <w:r>
        <w:rPr/>
        <w:t>财务报表整体进行审计并形成意见为背景，我们不对这些事项单独发表意见。</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240" w:lineRule="auto" w:before="36"/>
        <w:ind w:left="572"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0" w:footer="977" w:top="1100" w:bottom="1160" w:left="980" w:right="0"/>
        </w:sectPr>
      </w:pPr>
    </w:p>
    <w:p>
      <w:pPr>
        <w:spacing w:line="240" w:lineRule="auto" w:before="11"/>
        <w:rPr>
          <w:rFonts w:ascii="宋体" w:hAnsi="宋体" w:cs="宋体" w:eastAsia="宋体" w:hint="default"/>
          <w:sz w:val="20"/>
          <w:szCs w:val="20"/>
        </w:rPr>
      </w:pPr>
    </w:p>
    <w:p>
      <w:pPr>
        <w:pStyle w:val="BodyText"/>
        <w:spacing w:line="240" w:lineRule="auto" w:before="36"/>
        <w:ind w:left="2119" w:right="3096"/>
        <w:jc w:val="center"/>
        <w:rPr>
          <w:rFonts w:ascii="Times New Roman" w:hAnsi="Times New Roman" w:cs="Times New Roman" w:eastAsia="Times New Roman" w:hint="default"/>
        </w:rPr>
      </w:pPr>
      <w:r>
        <w:rPr/>
        <w:t>审计报告</w:t>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p>
    <w:p>
      <w:pPr>
        <w:spacing w:line="240" w:lineRule="auto" w:before="3"/>
        <w:rPr>
          <w:rFonts w:ascii="Times New Roman" w:hAnsi="Times New Roman" w:cs="Times New Roman" w:eastAsia="Times New Roman" w:hint="default"/>
          <w:sz w:val="12"/>
          <w:szCs w:val="12"/>
        </w:rPr>
      </w:pPr>
    </w:p>
    <w:p>
      <w:pPr>
        <w:pStyle w:val="BodyText"/>
        <w:spacing w:line="240" w:lineRule="auto" w:before="36"/>
        <w:ind w:left="0" w:right="1130"/>
        <w:jc w:val="right"/>
      </w:pPr>
      <w:r>
        <w:rPr/>
        <w:pict>
          <v:group style="position:absolute;margin-left:56.399502pt;margin-top:25.821701pt;width:468pt;height:16.6pt;mso-position-horizontal-relative:page;mso-position-vertical-relative:paragraph;z-index:-985792" coordorigin="1128,516" coordsize="9360,332">
            <v:group style="position:absolute;left:1133;top:516;width:4676;height:10" coordorigin="1133,516" coordsize="4676,10">
              <v:shape style="position:absolute;left:1133;top:516;width:4676;height:10" coordorigin="1133,516" coordsize="4676,10" path="m1133,526l5808,526,5808,516,1133,516,1133,526xe" filled="true" fillcolor="#c0c0c0" stroked="false">
                <v:path arrowok="t"/>
                <v:fill type="solid"/>
              </v:shape>
            </v:group>
            <v:group style="position:absolute;left:1133;top:838;width:4676;height:10" coordorigin="1133,838" coordsize="4676,10">
              <v:shape style="position:absolute;left:1133;top:838;width:4676;height:10" coordorigin="1133,838" coordsize="4676,10" path="m1133,848l5808,848,5808,838,1133,838,1133,848xe" filled="true" fillcolor="#c0c0c0" stroked="false">
                <v:path arrowok="t"/>
                <v:fill type="solid"/>
              </v:shape>
            </v:group>
            <v:group style="position:absolute;left:1145;top:526;width:4654;height:312" coordorigin="1145,526" coordsize="4654,312">
              <v:shape style="position:absolute;left:1145;top:526;width:4654;height:312" coordorigin="1145,526" coordsize="4654,312" path="m1145,838l5798,838,5798,526,1145,526,1145,838xe" filled="true" fillcolor="#c0c0c0" stroked="false">
                <v:path arrowok="t"/>
                <v:fill type="solid"/>
              </v:shape>
            </v:group>
            <v:group style="position:absolute;left:5808;top:516;width:4678;height:10" coordorigin="5808,516" coordsize="4678,10">
              <v:shape style="position:absolute;left:5808;top:516;width:4678;height:10" coordorigin="5808,516" coordsize="4678,10" path="m5808,526l10486,526,10486,516,5808,516,5808,526xe" filled="true" fillcolor="#c0c0c0" stroked="false">
                <v:path arrowok="t"/>
                <v:fill type="solid"/>
              </v:shape>
            </v:group>
            <v:group style="position:absolute;left:5808;top:838;width:4678;height:10" coordorigin="5808,838" coordsize="4678,10">
              <v:shape style="position:absolute;left:5808;top:838;width:4678;height:10" coordorigin="5808,838" coordsize="4678,10" path="m5808,848l10486,848,10486,838,5808,838,5808,848xe" filled="true" fillcolor="#c0c0c0" stroked="false">
                <v:path arrowok="t"/>
                <v:fill type="solid"/>
              </v:shape>
            </v:group>
            <v:group style="position:absolute;left:5818;top:526;width:4659;height:312" coordorigin="5818,526" coordsize="4659,312">
              <v:shape style="position:absolute;left:5818;top:526;width:4659;height:312" coordorigin="5818,526" coordsize="4659,312" path="m5818,838l10476,838,10476,526,5818,526,5818,838xe" filled="true" fillcolor="#c0c0c0" stroked="false">
                <v:path arrowok="t"/>
                <v:fill type="solid"/>
              </v:shape>
            </v:group>
            <v:group style="position:absolute;left:1133;top:521;width:4676;height:2" coordorigin="1133,521" coordsize="4676,2">
              <v:shape style="position:absolute;left:1133;top:521;width:4676;height:2" coordorigin="1133,521" coordsize="4676,0" path="m1133,521l5808,521e" filled="false" stroked="true" strokeweight=".481pt" strokecolor="#c0c0c0">
                <v:path arrowok="t"/>
              </v:shape>
            </v:group>
            <v:group style="position:absolute;left:5808;top:521;width:4676;height:2" coordorigin="5808,521" coordsize="4676,2">
              <v:shape style="position:absolute;left:5808;top:521;width:4676;height:2" coordorigin="5808,521" coordsize="4676,0" path="m5808,521l10483,521e" filled="false" stroked="true" strokeweight=".481pt" strokecolor="#c0c0c0">
                <v:path arrowok="t"/>
              </v:shape>
            </v:group>
            <v:group style="position:absolute;left:1133;top:843;width:4673;height:2" coordorigin="1133,843" coordsize="4673,2">
              <v:shape style="position:absolute;left:1133;top:843;width:4673;height:2" coordorigin="1133,843" coordsize="4673,0" path="m1133,843l5806,843e" filled="false" stroked="true" strokeweight=".48pt" strokecolor="#c0c0c0">
                <v:path arrowok="t"/>
              </v:shape>
            </v:group>
            <v:group style="position:absolute;left:5808;top:843;width:4676;height:2" coordorigin="5808,843" coordsize="4676,2">
              <v:shape style="position:absolute;left:5808;top:843;width:4676;height:2" coordorigin="5808,843" coordsize="4676,0" path="m5808,843l10483,843e" filled="false" stroked="true" strokeweight=".48pt" strokecolor="#c0c0c0">
                <v:path arrowok="t"/>
              </v:shape>
            </v:group>
            <w10:wrap type="none"/>
          </v:group>
        </w:pict>
      </w:r>
      <w:r>
        <w:rPr>
          <w:spacing w:val="-1"/>
        </w:rPr>
        <w:t>天职业字</w:t>
      </w:r>
      <w:r>
        <w:rPr>
          <w:rFonts w:ascii="Times New Roman" w:hAnsi="Times New Roman" w:cs="Times New Roman" w:eastAsia="Times New Roman" w:hint="default"/>
          <w:spacing w:val="-1"/>
        </w:rPr>
        <w:t>[2020]6830</w:t>
      </w:r>
      <w:r>
        <w:rPr>
          <w:spacing w:val="-1"/>
        </w:rPr>
        <w:t>号</w:t>
      </w:r>
    </w:p>
    <w:p>
      <w:pPr>
        <w:spacing w:line="240" w:lineRule="auto" w:before="11"/>
        <w:rPr>
          <w:rFonts w:ascii="宋体" w:hAnsi="宋体" w:cs="宋体" w:eastAsia="宋体" w:hint="default"/>
          <w:sz w:val="14"/>
          <w:szCs w:val="14"/>
        </w:rPr>
      </w:pPr>
    </w:p>
    <w:tbl>
      <w:tblPr>
        <w:tblW w:w="0" w:type="auto"/>
        <w:jc w:val="left"/>
        <w:tblInd w:w="164" w:type="dxa"/>
        <w:tblLayout w:type="fixed"/>
        <w:tblCellMar>
          <w:top w:w="0" w:type="dxa"/>
          <w:left w:w="0" w:type="dxa"/>
          <w:bottom w:w="0" w:type="dxa"/>
          <w:right w:w="0" w:type="dxa"/>
        </w:tblCellMar>
        <w:tblLook w:val="01E0"/>
      </w:tblPr>
      <w:tblGrid>
        <w:gridCol w:w="4666"/>
        <w:gridCol w:w="4734"/>
      </w:tblGrid>
      <w:tr>
        <w:trPr>
          <w:trHeight w:val="326" w:hRule="exact"/>
        </w:trPr>
        <w:tc>
          <w:tcPr>
            <w:tcW w:w="4666" w:type="dxa"/>
            <w:tcBorders>
              <w:top w:val="nil" w:sz="6" w:space="0" w:color="auto"/>
              <w:left w:val="nil" w:sz="6" w:space="0" w:color="auto"/>
              <w:bottom w:val="nil" w:sz="6" w:space="0" w:color="auto"/>
              <w:right w:val="nil" w:sz="6" w:space="0" w:color="auto"/>
            </w:tcBorders>
            <w:shd w:val="clear" w:color="auto" w:fill="C0C0C0"/>
          </w:tcPr>
          <w:p>
            <w:pPr>
              <w:pStyle w:val="TableParagraph"/>
              <w:spacing w:line="267" w:lineRule="exact"/>
              <w:ind w:right="7"/>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734" w:type="dxa"/>
            <w:tcBorders>
              <w:top w:val="nil" w:sz="6" w:space="0" w:color="auto"/>
              <w:left w:val="nil" w:sz="6" w:space="0" w:color="auto"/>
              <w:bottom w:val="nil" w:sz="6" w:space="0" w:color="auto"/>
              <w:right w:val="nil" w:sz="6" w:space="0" w:color="auto"/>
            </w:tcBorders>
            <w:shd w:val="clear" w:color="auto" w:fill="C0C0C0"/>
          </w:tcPr>
          <w:p>
            <w:pPr>
              <w:pStyle w:val="TableParagraph"/>
              <w:spacing w:line="267" w:lineRule="exact"/>
              <w:ind w:left="964"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334" w:hRule="exact"/>
        </w:trPr>
        <w:tc>
          <w:tcPr>
            <w:tcW w:w="4666" w:type="dxa"/>
            <w:tcBorders>
              <w:top w:val="nil" w:sz="6" w:space="0" w:color="auto"/>
              <w:left w:val="nil" w:sz="6" w:space="0" w:color="auto"/>
              <w:bottom w:val="nil" w:sz="6" w:space="0" w:color="auto"/>
              <w:right w:val="nil" w:sz="6" w:space="0" w:color="auto"/>
            </w:tcBorders>
          </w:tcPr>
          <w:p>
            <w:pPr>
              <w:pStyle w:val="TableParagraph"/>
              <w:spacing w:line="273" w:lineRule="exact"/>
              <w:ind w:right="0"/>
              <w:jc w:val="left"/>
              <w:rPr>
                <w:rFonts w:ascii="宋体" w:hAnsi="宋体" w:cs="宋体" w:eastAsia="宋体" w:hint="default"/>
                <w:sz w:val="22"/>
                <w:szCs w:val="22"/>
              </w:rPr>
            </w:pPr>
            <w:r>
              <w:rPr>
                <w:rFonts w:ascii="宋体" w:hAnsi="宋体" w:cs="宋体" w:eastAsia="宋体" w:hint="default"/>
                <w:b/>
                <w:bCs/>
                <w:i/>
                <w:sz w:val="22"/>
                <w:szCs w:val="22"/>
              </w:rPr>
              <w:t>收入确认</w:t>
            </w:r>
            <w:r>
              <w:rPr>
                <w:rFonts w:ascii="宋体" w:hAnsi="宋体" w:cs="宋体" w:eastAsia="宋体" w:hint="default"/>
                <w:sz w:val="22"/>
                <w:szCs w:val="22"/>
              </w:rPr>
            </w:r>
          </w:p>
        </w:tc>
        <w:tc>
          <w:tcPr>
            <w:tcW w:w="4734" w:type="dxa"/>
            <w:tcBorders>
              <w:top w:val="nil" w:sz="6" w:space="0" w:color="auto"/>
              <w:left w:val="nil" w:sz="6" w:space="0" w:color="auto"/>
              <w:bottom w:val="nil" w:sz="6" w:space="0" w:color="auto"/>
              <w:right w:val="nil" w:sz="6" w:space="0" w:color="auto"/>
            </w:tcBorders>
          </w:tcPr>
          <w:p>
            <w:pPr/>
          </w:p>
        </w:tc>
      </w:tr>
      <w:tr>
        <w:trPr>
          <w:trHeight w:val="5420" w:hRule="exact"/>
        </w:trPr>
        <w:tc>
          <w:tcPr>
            <w:tcW w:w="4666" w:type="dxa"/>
            <w:tcBorders>
              <w:top w:val="nil" w:sz="6" w:space="0" w:color="auto"/>
              <w:left w:val="nil" w:sz="6" w:space="0" w:color="auto"/>
              <w:bottom w:val="nil" w:sz="6" w:space="0" w:color="auto"/>
              <w:right w:val="nil" w:sz="6" w:space="0" w:color="auto"/>
            </w:tcBorders>
          </w:tcPr>
          <w:p>
            <w:pPr>
              <w:pStyle w:val="TableParagraph"/>
              <w:spacing w:line="273" w:lineRule="auto"/>
              <w:ind w:left="-1" w:right="5" w:firstLine="420"/>
              <w:jc w:val="both"/>
              <w:rPr>
                <w:rFonts w:ascii="宋体" w:hAnsi="宋体" w:cs="宋体" w:eastAsia="宋体" w:hint="default"/>
                <w:sz w:val="21"/>
                <w:szCs w:val="21"/>
              </w:rPr>
            </w:pPr>
            <w:r>
              <w:rPr>
                <w:rFonts w:ascii="宋体" w:hAnsi="宋体" w:cs="宋体" w:eastAsia="宋体" w:hint="default"/>
                <w:sz w:val="21"/>
                <w:szCs w:val="21"/>
              </w:rPr>
              <w:t>中科信息营业收入主要包括信息化解决方案、</w:t>
            </w:r>
            <w:r>
              <w:rPr>
                <w:rFonts w:ascii="宋体" w:hAnsi="宋体" w:cs="宋体" w:eastAsia="宋体" w:hint="default"/>
                <w:w w:val="100"/>
                <w:sz w:val="21"/>
                <w:szCs w:val="21"/>
              </w:rPr>
              <w:t> </w:t>
            </w:r>
            <w:r>
              <w:rPr>
                <w:rFonts w:ascii="宋体" w:hAnsi="宋体" w:cs="宋体" w:eastAsia="宋体" w:hint="default"/>
                <w:sz w:val="21"/>
                <w:szCs w:val="21"/>
              </w:rPr>
              <w:t>软件开发收入、服务收入等。</w:t>
            </w:r>
          </w:p>
          <w:p>
            <w:pPr>
              <w:pStyle w:val="TableParagraph"/>
              <w:spacing w:line="240" w:lineRule="auto" w:before="164"/>
              <w:ind w:right="7"/>
              <w:jc w:val="righ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2019</w:t>
            </w:r>
            <w:r>
              <w:rPr>
                <w:rFonts w:ascii="宋体" w:hAnsi="宋体" w:cs="宋体" w:eastAsia="宋体" w:hint="default"/>
                <w:spacing w:val="3"/>
                <w:sz w:val="21"/>
                <w:szCs w:val="21"/>
              </w:rPr>
              <w:t>年度收入总额</w:t>
            </w:r>
            <w:r>
              <w:rPr>
                <w:rFonts w:ascii="Times New Roman" w:hAnsi="Times New Roman" w:cs="Times New Roman" w:eastAsia="Times New Roman" w:hint="default"/>
                <w:spacing w:val="3"/>
                <w:sz w:val="21"/>
                <w:szCs w:val="21"/>
              </w:rPr>
              <w:t>364,413,271.82</w:t>
            </w:r>
            <w:r>
              <w:rPr>
                <w:rFonts w:ascii="宋体" w:hAnsi="宋体" w:cs="宋体" w:eastAsia="宋体" w:hint="default"/>
                <w:spacing w:val="3"/>
                <w:sz w:val="21"/>
                <w:szCs w:val="21"/>
              </w:rPr>
              <w:t>元</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较</w:t>
            </w:r>
            <w:r>
              <w:rPr>
                <w:rFonts w:ascii="Times New Roman" w:hAnsi="Times New Roman" w:cs="Times New Roman" w:eastAsia="Times New Roman" w:hint="default"/>
                <w:spacing w:val="3"/>
                <w:sz w:val="21"/>
                <w:szCs w:val="21"/>
              </w:rPr>
              <w:t>2018</w:t>
            </w:r>
            <w:r>
              <w:rPr>
                <w:rFonts w:ascii="宋体" w:hAnsi="宋体" w:cs="宋体" w:eastAsia="宋体" w:hint="default"/>
                <w:spacing w:val="3"/>
                <w:sz w:val="21"/>
                <w:szCs w:val="21"/>
              </w:rPr>
              <w:t>年</w:t>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sz w:val="21"/>
                <w:szCs w:val="21"/>
              </w:rPr>
              <w:t>度增长</w:t>
            </w:r>
            <w:r>
              <w:rPr>
                <w:rFonts w:ascii="Times New Roman" w:hAnsi="Times New Roman" w:cs="Times New Roman" w:eastAsia="Times New Roman" w:hint="default"/>
                <w:sz w:val="21"/>
                <w:szCs w:val="21"/>
              </w:rPr>
              <w:t>19,945,820.45</w:t>
            </w:r>
            <w:r>
              <w:rPr>
                <w:rFonts w:ascii="宋体" w:hAnsi="宋体" w:cs="宋体" w:eastAsia="宋体" w:hint="default"/>
                <w:sz w:val="21"/>
                <w:szCs w:val="21"/>
              </w:rPr>
              <w:t>元，增长率</w:t>
            </w:r>
            <w:r>
              <w:rPr>
                <w:rFonts w:ascii="Times New Roman" w:hAnsi="Times New Roman" w:cs="Times New Roman" w:eastAsia="Times New Roman" w:hint="default"/>
                <w:sz w:val="21"/>
                <w:szCs w:val="21"/>
              </w:rPr>
              <w:t>5.47%</w:t>
            </w:r>
            <w:r>
              <w:rPr>
                <w:rFonts w:ascii="宋体" w:hAnsi="宋体" w:cs="宋体" w:eastAsia="宋体" w:hint="default"/>
                <w:sz w:val="21"/>
                <w:szCs w:val="21"/>
              </w:rPr>
              <w:t>。</w:t>
            </w:r>
          </w:p>
          <w:p>
            <w:pPr>
              <w:pStyle w:val="TableParagraph"/>
              <w:spacing w:line="273" w:lineRule="auto" w:before="177"/>
              <w:ind w:left="-1" w:right="5" w:firstLine="420"/>
              <w:jc w:val="right"/>
              <w:rPr>
                <w:rFonts w:ascii="宋体" w:hAnsi="宋体" w:cs="宋体" w:eastAsia="宋体" w:hint="default"/>
                <w:sz w:val="21"/>
                <w:szCs w:val="21"/>
              </w:rPr>
            </w:pPr>
            <w:r>
              <w:rPr>
                <w:rFonts w:ascii="宋体" w:hAnsi="宋体" w:cs="宋体" w:eastAsia="宋体" w:hint="default"/>
                <w:sz w:val="21"/>
                <w:szCs w:val="21"/>
              </w:rPr>
              <w:t>其收入增长对中科信息业绩影响重大，收入确</w:t>
            </w:r>
            <w:r>
              <w:rPr>
                <w:rFonts w:ascii="宋体" w:hAnsi="宋体" w:cs="宋体" w:eastAsia="宋体" w:hint="default"/>
                <w:w w:val="100"/>
                <w:sz w:val="21"/>
                <w:szCs w:val="21"/>
              </w:rPr>
              <w:t> </w:t>
            </w:r>
            <w:r>
              <w:rPr>
                <w:rFonts w:ascii="宋体" w:hAnsi="宋体" w:cs="宋体" w:eastAsia="宋体" w:hint="default"/>
                <w:sz w:val="21"/>
                <w:szCs w:val="21"/>
              </w:rPr>
              <w:t>认是否在恰当的财务报表期间可能存在潜在错报，</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因此我们将中科信息收入确认作为关键审计事项。</w:t>
            </w:r>
          </w:p>
          <w:p>
            <w:pPr>
              <w:pStyle w:val="TableParagraph"/>
              <w:spacing w:line="273" w:lineRule="auto" w:before="164"/>
              <w:ind w:left="-1" w:right="5" w:firstLine="420"/>
              <w:jc w:val="both"/>
              <w:rPr>
                <w:rFonts w:ascii="宋体" w:hAnsi="宋体" w:cs="宋体" w:eastAsia="宋体" w:hint="default"/>
                <w:sz w:val="21"/>
                <w:szCs w:val="21"/>
              </w:rPr>
            </w:pPr>
            <w:r>
              <w:rPr>
                <w:rFonts w:ascii="宋体" w:hAnsi="宋体" w:cs="宋体" w:eastAsia="宋体" w:hint="default"/>
                <w:sz w:val="21"/>
                <w:szCs w:val="21"/>
              </w:rPr>
              <w:t>中科信息收入确认的会计政策和具体方法详见</w:t>
            </w:r>
            <w:r>
              <w:rPr>
                <w:rFonts w:ascii="宋体" w:hAnsi="宋体" w:cs="宋体" w:eastAsia="宋体" w:hint="default"/>
                <w:w w:val="100"/>
                <w:sz w:val="21"/>
                <w:szCs w:val="21"/>
              </w:rPr>
              <w:t> </w:t>
            </w:r>
            <w:r>
              <w:rPr>
                <w:rFonts w:ascii="宋体" w:hAnsi="宋体" w:cs="宋体" w:eastAsia="宋体" w:hint="default"/>
                <w:sz w:val="21"/>
                <w:szCs w:val="21"/>
              </w:rPr>
              <w:t>财务报告附注三、（二十五）所述，关于收入类别</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的披露见附注六、（二十七）。</w:t>
            </w:r>
          </w:p>
        </w:tc>
        <w:tc>
          <w:tcPr>
            <w:tcW w:w="4734" w:type="dxa"/>
            <w:tcBorders>
              <w:top w:val="nil" w:sz="6" w:space="0" w:color="auto"/>
              <w:left w:val="nil" w:sz="6" w:space="0" w:color="auto"/>
              <w:bottom w:val="nil" w:sz="6" w:space="0" w:color="auto"/>
              <w:right w:val="nil" w:sz="6" w:space="0" w:color="auto"/>
            </w:tcBorders>
          </w:tcPr>
          <w:p>
            <w:pPr>
              <w:pStyle w:val="TableParagraph"/>
              <w:spacing w:line="273" w:lineRule="auto"/>
              <w:ind w:left="7" w:right="63" w:firstLine="420"/>
              <w:jc w:val="both"/>
              <w:rPr>
                <w:rFonts w:ascii="宋体" w:hAnsi="宋体" w:cs="宋体" w:eastAsia="宋体" w:hint="default"/>
                <w:sz w:val="21"/>
                <w:szCs w:val="21"/>
              </w:rPr>
            </w:pPr>
            <w:r>
              <w:rPr>
                <w:rFonts w:ascii="宋体" w:hAnsi="宋体" w:cs="宋体" w:eastAsia="宋体" w:hint="default"/>
                <w:sz w:val="21"/>
                <w:szCs w:val="21"/>
              </w:rPr>
              <w:t>针对收入确认的审计，我们主要执行了以下程</w:t>
            </w:r>
            <w:r>
              <w:rPr>
                <w:rFonts w:ascii="宋体" w:hAnsi="宋体" w:cs="宋体" w:eastAsia="宋体" w:hint="default"/>
                <w:w w:val="100"/>
                <w:sz w:val="21"/>
                <w:szCs w:val="21"/>
              </w:rPr>
              <w:t> </w:t>
            </w:r>
            <w:r>
              <w:rPr>
                <w:rFonts w:ascii="宋体" w:hAnsi="宋体" w:cs="宋体" w:eastAsia="宋体" w:hint="default"/>
                <w:sz w:val="21"/>
                <w:szCs w:val="21"/>
              </w:rPr>
              <w:t>序：</w:t>
            </w:r>
          </w:p>
          <w:p>
            <w:pPr>
              <w:pStyle w:val="TableParagraph"/>
              <w:spacing w:line="256" w:lineRule="auto" w:before="163"/>
              <w:ind w:left="7" w:right="67" w:firstLine="420"/>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）了解有关收入确认的内部控制，并对其是</w:t>
            </w:r>
            <w:r>
              <w:rPr>
                <w:rFonts w:ascii="宋体" w:hAnsi="宋体" w:cs="宋体" w:eastAsia="宋体" w:hint="default"/>
                <w:spacing w:val="-3"/>
                <w:w w:val="100"/>
                <w:sz w:val="21"/>
                <w:szCs w:val="21"/>
              </w:rPr>
              <w:t> </w:t>
            </w:r>
            <w:r>
              <w:rPr>
                <w:rFonts w:ascii="宋体" w:hAnsi="宋体" w:cs="宋体" w:eastAsia="宋体" w:hint="default"/>
                <w:sz w:val="21"/>
                <w:szCs w:val="21"/>
              </w:rPr>
              <w:t>否有效运行进行了测试；</w:t>
            </w:r>
          </w:p>
          <w:p>
            <w:pPr>
              <w:pStyle w:val="TableParagraph"/>
              <w:spacing w:line="256" w:lineRule="auto" w:before="178"/>
              <w:ind w:left="7" w:right="62" w:firstLine="420"/>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）检查项目合同及与管理层沟通，分析、评</w:t>
            </w:r>
            <w:r>
              <w:rPr>
                <w:rFonts w:ascii="宋体" w:hAnsi="宋体" w:cs="宋体" w:eastAsia="宋体" w:hint="default"/>
                <w:w w:val="100"/>
                <w:sz w:val="21"/>
                <w:szCs w:val="21"/>
              </w:rPr>
              <w:t> </w:t>
            </w:r>
            <w:r>
              <w:rPr>
                <w:rFonts w:ascii="宋体" w:hAnsi="宋体" w:cs="宋体" w:eastAsia="宋体" w:hint="default"/>
                <w:sz w:val="21"/>
                <w:szCs w:val="21"/>
              </w:rPr>
              <w:t>估收入确认会计政策；</w:t>
            </w:r>
          </w:p>
          <w:p>
            <w:pPr>
              <w:pStyle w:val="TableParagraph"/>
              <w:spacing w:line="266" w:lineRule="auto" w:before="178"/>
              <w:ind w:left="7" w:right="63" w:firstLine="420"/>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）结合中科信息收入确认会计政策，对主要</w:t>
            </w:r>
            <w:r>
              <w:rPr>
                <w:rFonts w:ascii="宋体" w:hAnsi="宋体" w:cs="宋体" w:eastAsia="宋体" w:hint="default"/>
                <w:spacing w:val="-3"/>
                <w:w w:val="100"/>
                <w:sz w:val="21"/>
                <w:szCs w:val="21"/>
              </w:rPr>
              <w:t> </w:t>
            </w:r>
            <w:r>
              <w:rPr>
                <w:rFonts w:ascii="宋体" w:hAnsi="宋体" w:cs="宋体" w:eastAsia="宋体" w:hint="default"/>
                <w:sz w:val="21"/>
                <w:szCs w:val="21"/>
              </w:rPr>
              <w:t>业务的收入确认进行了抽样测试，抽查收入确认是</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否有项目完工验收支持或完工移交手续，收入确认</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的金额是否与合同金额或项目结算金额一致；</w:t>
            </w:r>
          </w:p>
          <w:p>
            <w:pPr>
              <w:pStyle w:val="TableParagraph"/>
              <w:spacing w:line="256" w:lineRule="auto" w:before="170"/>
              <w:ind w:left="7" w:right="63" w:firstLine="420"/>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）选取样本执行函证程序以检查收入的真实</w:t>
            </w:r>
            <w:r>
              <w:rPr>
                <w:rFonts w:ascii="宋体" w:hAnsi="宋体" w:cs="宋体" w:eastAsia="宋体" w:hint="default"/>
                <w:w w:val="100"/>
                <w:sz w:val="21"/>
                <w:szCs w:val="21"/>
              </w:rPr>
              <w:t> </w:t>
            </w:r>
            <w:r>
              <w:rPr>
                <w:rFonts w:ascii="宋体" w:hAnsi="宋体" w:cs="宋体" w:eastAsia="宋体" w:hint="default"/>
                <w:sz w:val="21"/>
                <w:szCs w:val="21"/>
              </w:rPr>
              <w:t>性及是否确认在恰当的财务报表期间。</w:t>
            </w:r>
          </w:p>
          <w:p>
            <w:pPr>
              <w:pStyle w:val="TableParagraph"/>
              <w:spacing w:line="264" w:lineRule="auto" w:before="178"/>
              <w:ind w:left="7" w:right="0"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）针对资产负债表日前后确认的销售收入，</w:t>
            </w:r>
            <w:r>
              <w:rPr>
                <w:rFonts w:ascii="宋体" w:hAnsi="宋体" w:cs="宋体" w:eastAsia="宋体" w:hint="default"/>
                <w:w w:val="100"/>
                <w:sz w:val="21"/>
                <w:szCs w:val="21"/>
              </w:rPr>
              <w:t> </w:t>
            </w:r>
            <w:r>
              <w:rPr>
                <w:rFonts w:ascii="宋体" w:hAnsi="宋体" w:cs="宋体" w:eastAsia="宋体" w:hint="default"/>
                <w:sz w:val="21"/>
                <w:szCs w:val="21"/>
              </w:rPr>
              <w:t>抽样检查完工验收或完工移交等支持性文件，以检</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查是否存在提前确认收入的情况。</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36"/>
        <w:ind w:left="2119" w:right="3096"/>
        <w:jc w:val="center"/>
        <w:rPr>
          <w:rFonts w:ascii="Times New Roman" w:hAnsi="Times New Roman" w:cs="Times New Roman" w:eastAsia="Times New Roman" w:hint="default"/>
        </w:rPr>
      </w:pPr>
      <w:r>
        <w:rPr/>
        <w:t>审计报告</w:t>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p>
    <w:p>
      <w:pPr>
        <w:spacing w:line="240" w:lineRule="auto" w:before="3"/>
        <w:rPr>
          <w:rFonts w:ascii="Times New Roman" w:hAnsi="Times New Roman" w:cs="Times New Roman" w:eastAsia="Times New Roman" w:hint="default"/>
          <w:sz w:val="12"/>
          <w:szCs w:val="12"/>
        </w:rPr>
      </w:pPr>
    </w:p>
    <w:p>
      <w:pPr>
        <w:pStyle w:val="BodyText"/>
        <w:spacing w:line="240" w:lineRule="auto" w:before="36"/>
        <w:ind w:left="0" w:right="1130"/>
        <w:jc w:val="right"/>
      </w:pPr>
      <w:r>
        <w:rPr>
          <w:spacing w:val="-1"/>
        </w:rPr>
        <w:t>天职业字</w:t>
      </w:r>
      <w:r>
        <w:rPr>
          <w:rFonts w:ascii="Times New Roman" w:hAnsi="Times New Roman" w:cs="Times New Roman" w:eastAsia="Times New Roman" w:hint="default"/>
          <w:spacing w:val="-1"/>
        </w:rPr>
        <w:t>[2020]6830</w:t>
      </w:r>
      <w:r>
        <w:rPr>
          <w:spacing w:val="-1"/>
        </w:rPr>
        <w:t>号</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tbl>
      <w:tblPr>
        <w:tblW w:w="0" w:type="auto"/>
        <w:jc w:val="left"/>
        <w:tblInd w:w="164" w:type="dxa"/>
        <w:tblLayout w:type="fixed"/>
        <w:tblCellMar>
          <w:top w:w="0" w:type="dxa"/>
          <w:left w:w="0" w:type="dxa"/>
          <w:bottom w:w="0" w:type="dxa"/>
          <w:right w:w="0" w:type="dxa"/>
        </w:tblCellMar>
        <w:tblLook w:val="01E0"/>
      </w:tblPr>
      <w:tblGrid>
        <w:gridCol w:w="4666"/>
        <w:gridCol w:w="4675"/>
      </w:tblGrid>
      <w:tr>
        <w:trPr>
          <w:trHeight w:val="326" w:hRule="exact"/>
        </w:trPr>
        <w:tc>
          <w:tcPr>
            <w:tcW w:w="4666" w:type="dxa"/>
            <w:tcBorders>
              <w:top w:val="nil" w:sz="6" w:space="0" w:color="auto"/>
              <w:left w:val="nil" w:sz="6" w:space="0" w:color="auto"/>
              <w:bottom w:val="nil" w:sz="6" w:space="0" w:color="auto"/>
              <w:right w:val="nil" w:sz="6" w:space="0" w:color="auto"/>
            </w:tcBorders>
            <w:shd w:val="clear" w:color="auto" w:fill="C0C0C0"/>
          </w:tcPr>
          <w:p>
            <w:pPr>
              <w:pStyle w:val="TableParagraph"/>
              <w:spacing w:line="267" w:lineRule="exact"/>
              <w:ind w:right="7"/>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675" w:type="dxa"/>
            <w:tcBorders>
              <w:top w:val="nil" w:sz="6" w:space="0" w:color="auto"/>
              <w:left w:val="nil" w:sz="6" w:space="0" w:color="auto"/>
              <w:bottom w:val="nil" w:sz="6" w:space="0" w:color="auto"/>
              <w:right w:val="nil" w:sz="6" w:space="0" w:color="auto"/>
            </w:tcBorders>
            <w:shd w:val="clear" w:color="auto" w:fill="C0C0C0"/>
          </w:tcPr>
          <w:p>
            <w:pPr>
              <w:pStyle w:val="TableParagraph"/>
              <w:spacing w:line="267" w:lineRule="exact"/>
              <w:ind w:left="964"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334" w:hRule="exact"/>
        </w:trPr>
        <w:tc>
          <w:tcPr>
            <w:tcW w:w="4666" w:type="dxa"/>
            <w:tcBorders>
              <w:top w:val="single" w:sz="4" w:space="0" w:color="C0C0C0"/>
              <w:left w:val="nil" w:sz="6" w:space="0" w:color="auto"/>
              <w:bottom w:val="nil" w:sz="6" w:space="0" w:color="auto"/>
              <w:right w:val="nil" w:sz="6" w:space="0" w:color="auto"/>
            </w:tcBorders>
          </w:tcPr>
          <w:p>
            <w:pPr>
              <w:pStyle w:val="TableParagraph"/>
              <w:spacing w:line="269" w:lineRule="exact"/>
              <w:ind w:right="0"/>
              <w:jc w:val="left"/>
              <w:rPr>
                <w:rFonts w:ascii="宋体" w:hAnsi="宋体" w:cs="宋体" w:eastAsia="宋体" w:hint="default"/>
                <w:sz w:val="22"/>
                <w:szCs w:val="22"/>
              </w:rPr>
            </w:pPr>
            <w:r>
              <w:rPr>
                <w:rFonts w:ascii="宋体" w:hAnsi="宋体" w:cs="宋体" w:eastAsia="宋体" w:hint="default"/>
                <w:b/>
                <w:bCs/>
                <w:i/>
                <w:sz w:val="22"/>
                <w:szCs w:val="22"/>
              </w:rPr>
              <w:t>应收账款坏账准备</w:t>
            </w:r>
            <w:r>
              <w:rPr>
                <w:rFonts w:ascii="宋体" w:hAnsi="宋体" w:cs="宋体" w:eastAsia="宋体" w:hint="default"/>
                <w:sz w:val="22"/>
                <w:szCs w:val="22"/>
              </w:rPr>
            </w:r>
          </w:p>
        </w:tc>
        <w:tc>
          <w:tcPr>
            <w:tcW w:w="4675" w:type="dxa"/>
            <w:tcBorders>
              <w:top w:val="nil" w:sz="6" w:space="0" w:color="auto"/>
              <w:left w:val="nil" w:sz="6" w:space="0" w:color="auto"/>
              <w:bottom w:val="nil" w:sz="6" w:space="0" w:color="auto"/>
              <w:right w:val="nil" w:sz="6" w:space="0" w:color="auto"/>
            </w:tcBorders>
          </w:tcPr>
          <w:p>
            <w:pPr/>
          </w:p>
        </w:tc>
      </w:tr>
      <w:tr>
        <w:trPr>
          <w:trHeight w:val="4328" w:hRule="exact"/>
        </w:trPr>
        <w:tc>
          <w:tcPr>
            <w:tcW w:w="4666" w:type="dxa"/>
            <w:tcBorders>
              <w:top w:val="nil" w:sz="6" w:space="0" w:color="auto"/>
              <w:left w:val="nil" w:sz="6" w:space="0" w:color="auto"/>
              <w:bottom w:val="nil" w:sz="6" w:space="0" w:color="auto"/>
              <w:right w:val="nil" w:sz="6" w:space="0" w:color="auto"/>
            </w:tcBorders>
          </w:tcPr>
          <w:p>
            <w:pPr>
              <w:pStyle w:val="TableParagraph"/>
              <w:spacing w:line="256" w:lineRule="auto"/>
              <w:ind w:left="-1" w:right="7" w:firstLine="420"/>
              <w:jc w:val="both"/>
              <w:rPr>
                <w:rFonts w:ascii="宋体" w:hAnsi="宋体" w:cs="宋体" w:eastAsia="宋体" w:hint="default"/>
                <w:sz w:val="21"/>
                <w:szCs w:val="21"/>
              </w:rPr>
            </w:pPr>
            <w:r>
              <w:rPr>
                <w:rFonts w:ascii="宋体" w:hAnsi="宋体" w:cs="宋体" w:eastAsia="宋体" w:hint="default"/>
                <w:sz w:val="21"/>
                <w:szCs w:val="21"/>
              </w:rPr>
              <w:t>中科信息截至</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日应收账款账面价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Times New Roman" w:hAnsi="Times New Roman" w:cs="Times New Roman" w:eastAsia="Times New Roman" w:hint="default"/>
                <w:sz w:val="21"/>
                <w:szCs w:val="21"/>
              </w:rPr>
              <w:t>245,016,362.46</w:t>
            </w:r>
            <w:r>
              <w:rPr>
                <w:rFonts w:ascii="宋体" w:hAnsi="宋体" w:cs="宋体" w:eastAsia="宋体" w:hint="default"/>
                <w:sz w:val="21"/>
                <w:szCs w:val="21"/>
              </w:rPr>
              <w:t>元，占资产总额的</w:t>
            </w:r>
            <w:r>
              <w:rPr>
                <w:rFonts w:ascii="Times New Roman" w:hAnsi="Times New Roman" w:cs="Times New Roman" w:eastAsia="Times New Roman" w:hint="default"/>
                <w:sz w:val="21"/>
                <w:szCs w:val="21"/>
              </w:rPr>
              <w:t>28.51%</w:t>
            </w:r>
            <w:r>
              <w:rPr>
                <w:rFonts w:ascii="宋体" w:hAnsi="宋体" w:cs="宋体" w:eastAsia="宋体" w:hint="default"/>
                <w:sz w:val="21"/>
                <w:szCs w:val="21"/>
              </w:rPr>
              <w:t>。</w:t>
            </w:r>
          </w:p>
          <w:p>
            <w:pPr>
              <w:pStyle w:val="TableParagraph"/>
              <w:spacing w:line="273" w:lineRule="auto" w:before="161"/>
              <w:ind w:left="-1" w:right="5" w:firstLine="420"/>
              <w:jc w:val="both"/>
              <w:rPr>
                <w:rFonts w:ascii="宋体" w:hAnsi="宋体" w:cs="宋体" w:eastAsia="宋体" w:hint="default"/>
                <w:sz w:val="21"/>
                <w:szCs w:val="21"/>
              </w:rPr>
            </w:pPr>
            <w:r>
              <w:rPr>
                <w:rFonts w:ascii="宋体" w:hAnsi="宋体" w:cs="宋体" w:eastAsia="宋体" w:hint="default"/>
                <w:sz w:val="21"/>
                <w:szCs w:val="21"/>
              </w:rPr>
              <w:t>中科信息应收款项坏账准备的会计政策和具体</w:t>
            </w:r>
            <w:r>
              <w:rPr>
                <w:rFonts w:ascii="宋体" w:hAnsi="宋体" w:cs="宋体" w:eastAsia="宋体" w:hint="default"/>
                <w:w w:val="100"/>
                <w:sz w:val="21"/>
                <w:szCs w:val="21"/>
              </w:rPr>
              <w:t> </w:t>
            </w:r>
            <w:r>
              <w:rPr>
                <w:rFonts w:ascii="宋体" w:hAnsi="宋体" w:cs="宋体" w:eastAsia="宋体" w:hint="default"/>
                <w:sz w:val="21"/>
                <w:szCs w:val="21"/>
              </w:rPr>
              <w:t>方法详见财务报告附注三、（十）所述，关于应收</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账款坏账准备的披露见附注六、（三）。</w:t>
            </w:r>
          </w:p>
          <w:p>
            <w:pPr>
              <w:pStyle w:val="TableParagraph"/>
              <w:spacing w:line="273" w:lineRule="auto" w:before="164"/>
              <w:ind w:left="-1" w:right="5" w:firstLine="420"/>
              <w:jc w:val="both"/>
              <w:rPr>
                <w:rFonts w:ascii="宋体" w:hAnsi="宋体" w:cs="宋体" w:eastAsia="宋体" w:hint="default"/>
                <w:sz w:val="21"/>
                <w:szCs w:val="21"/>
              </w:rPr>
            </w:pPr>
            <w:r>
              <w:rPr>
                <w:rFonts w:ascii="宋体" w:hAnsi="宋体" w:cs="宋体" w:eastAsia="宋体" w:hint="default"/>
                <w:sz w:val="21"/>
                <w:szCs w:val="21"/>
              </w:rPr>
              <w:t>由于应收账款占资产总额的比重较大，应收账</w:t>
            </w:r>
            <w:r>
              <w:rPr>
                <w:rFonts w:ascii="宋体" w:hAnsi="宋体" w:cs="宋体" w:eastAsia="宋体" w:hint="default"/>
                <w:w w:val="100"/>
                <w:sz w:val="21"/>
                <w:szCs w:val="21"/>
              </w:rPr>
              <w:t> </w:t>
            </w:r>
            <w:r>
              <w:rPr>
                <w:rFonts w:ascii="宋体" w:hAnsi="宋体" w:cs="宋体" w:eastAsia="宋体" w:hint="default"/>
                <w:sz w:val="21"/>
                <w:szCs w:val="21"/>
              </w:rPr>
              <w:t>款坏账准备计提是否充分对财务报表的影响较大，</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因此我们将中科信息应收账款坏账准备计提作为关</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键审计事项。</w:t>
            </w:r>
          </w:p>
        </w:tc>
        <w:tc>
          <w:tcPr>
            <w:tcW w:w="4675" w:type="dxa"/>
            <w:tcBorders>
              <w:top w:val="nil" w:sz="6" w:space="0" w:color="auto"/>
              <w:left w:val="nil" w:sz="6" w:space="0" w:color="auto"/>
              <w:bottom w:val="nil" w:sz="6" w:space="0" w:color="auto"/>
              <w:right w:val="nil" w:sz="6" w:space="0" w:color="auto"/>
            </w:tcBorders>
          </w:tcPr>
          <w:p>
            <w:pPr>
              <w:pStyle w:val="TableParagraph"/>
              <w:spacing w:line="273" w:lineRule="auto"/>
              <w:ind w:left="7" w:right="5" w:firstLine="420"/>
              <w:jc w:val="both"/>
              <w:rPr>
                <w:rFonts w:ascii="宋体" w:hAnsi="宋体" w:cs="宋体" w:eastAsia="宋体" w:hint="default"/>
                <w:sz w:val="21"/>
                <w:szCs w:val="21"/>
              </w:rPr>
            </w:pPr>
            <w:r>
              <w:rPr>
                <w:rFonts w:ascii="宋体" w:hAnsi="宋体" w:cs="宋体" w:eastAsia="宋体" w:hint="default"/>
                <w:sz w:val="21"/>
                <w:szCs w:val="21"/>
              </w:rPr>
              <w:t>针对应收账款坏账准备的审计，我们主要执行</w:t>
            </w:r>
            <w:r>
              <w:rPr>
                <w:rFonts w:ascii="宋体" w:hAnsi="宋体" w:cs="宋体" w:eastAsia="宋体" w:hint="default"/>
                <w:w w:val="100"/>
                <w:sz w:val="21"/>
                <w:szCs w:val="21"/>
              </w:rPr>
              <w:t> </w:t>
            </w:r>
            <w:r>
              <w:rPr>
                <w:rFonts w:ascii="宋体" w:hAnsi="宋体" w:cs="宋体" w:eastAsia="宋体" w:hint="default"/>
                <w:sz w:val="21"/>
                <w:szCs w:val="21"/>
              </w:rPr>
              <w:t>了以下程序：</w:t>
            </w:r>
          </w:p>
          <w:p>
            <w:pPr>
              <w:pStyle w:val="TableParagraph"/>
              <w:spacing w:line="256" w:lineRule="auto" w:before="163"/>
              <w:ind w:left="7" w:right="5" w:firstLine="420"/>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）对中科信息信用政策及应收账款管理相关</w:t>
            </w:r>
            <w:r>
              <w:rPr>
                <w:rFonts w:ascii="宋体" w:hAnsi="宋体" w:cs="宋体" w:eastAsia="宋体" w:hint="default"/>
                <w:w w:val="100"/>
                <w:sz w:val="21"/>
                <w:szCs w:val="21"/>
              </w:rPr>
              <w:t> </w:t>
            </w:r>
            <w:r>
              <w:rPr>
                <w:rFonts w:ascii="宋体" w:hAnsi="宋体" w:cs="宋体" w:eastAsia="宋体" w:hint="default"/>
                <w:sz w:val="21"/>
                <w:szCs w:val="21"/>
              </w:rPr>
              <w:t>内部控制的设计和运行有效性进行了评估和测试；</w:t>
            </w:r>
          </w:p>
          <w:p>
            <w:pPr>
              <w:pStyle w:val="TableParagraph"/>
              <w:spacing w:line="264" w:lineRule="auto" w:before="178"/>
              <w:ind w:left="7" w:right="5" w:firstLine="420"/>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）分析中科信息应收账款坏账准备会计估计</w:t>
            </w:r>
            <w:r>
              <w:rPr>
                <w:rFonts w:ascii="宋体" w:hAnsi="宋体" w:cs="宋体" w:eastAsia="宋体" w:hint="default"/>
                <w:w w:val="100"/>
                <w:sz w:val="21"/>
                <w:szCs w:val="21"/>
              </w:rPr>
              <w:t> </w:t>
            </w:r>
            <w:r>
              <w:rPr>
                <w:rFonts w:ascii="宋体" w:hAnsi="宋体" w:cs="宋体" w:eastAsia="宋体" w:hint="default"/>
                <w:sz w:val="21"/>
                <w:szCs w:val="21"/>
              </w:rPr>
              <w:t>的合理性，包括确定应收账款组合的依据、金额重</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大的判断、单独计提坏账准备的判断等；</w:t>
            </w:r>
          </w:p>
          <w:p>
            <w:pPr>
              <w:pStyle w:val="TableParagraph"/>
              <w:spacing w:line="264" w:lineRule="auto" w:before="172"/>
              <w:ind w:left="7" w:right="5" w:firstLine="420"/>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）采用预期信用损失的简化模型，即始终按</w:t>
            </w:r>
            <w:r>
              <w:rPr>
                <w:rFonts w:ascii="宋体" w:hAnsi="宋体" w:cs="宋体" w:eastAsia="宋体" w:hint="default"/>
                <w:spacing w:val="-3"/>
                <w:w w:val="100"/>
                <w:sz w:val="21"/>
                <w:szCs w:val="21"/>
              </w:rPr>
              <w:t> </w:t>
            </w:r>
            <w:r>
              <w:rPr>
                <w:rFonts w:ascii="宋体" w:hAnsi="宋体" w:cs="宋体" w:eastAsia="宋体" w:hint="default"/>
                <w:sz w:val="21"/>
                <w:szCs w:val="21"/>
              </w:rPr>
              <w:t>照整个存续期内预期信用损失的金额计量其损失准</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备计提的充分性；</w:t>
            </w:r>
          </w:p>
          <w:p>
            <w:pPr>
              <w:pStyle w:val="TableParagraph"/>
              <w:spacing w:line="256" w:lineRule="auto" w:before="172"/>
              <w:ind w:left="7" w:right="5" w:firstLine="420"/>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）分析计算中科信息资产负债表日坏账准备</w:t>
            </w:r>
            <w:r>
              <w:rPr>
                <w:rFonts w:ascii="宋体" w:hAnsi="宋体" w:cs="宋体" w:eastAsia="宋体" w:hint="default"/>
                <w:w w:val="100"/>
                <w:sz w:val="21"/>
                <w:szCs w:val="21"/>
              </w:rPr>
              <w:t> </w:t>
            </w:r>
            <w:r>
              <w:rPr>
                <w:rFonts w:ascii="宋体" w:hAnsi="宋体" w:cs="宋体" w:eastAsia="宋体" w:hint="default"/>
                <w:sz w:val="21"/>
                <w:szCs w:val="21"/>
              </w:rPr>
              <w:t>金额与应收账款余额之间的比率，比较前期坏账准</w:t>
            </w:r>
          </w:p>
        </w:tc>
      </w:tr>
    </w:tbl>
    <w:p>
      <w:pPr>
        <w:spacing w:after="0" w:line="256" w:lineRule="auto"/>
        <w:jc w:val="both"/>
        <w:rPr>
          <w:rFonts w:ascii="宋体" w:hAnsi="宋体" w:cs="宋体" w:eastAsia="宋体" w:hint="default"/>
          <w:sz w:val="21"/>
          <w:szCs w:val="21"/>
        </w:rPr>
        <w:sectPr>
          <w:pgSz w:w="11910" w:h="16840"/>
          <w:pgMar w:header="880" w:footer="977" w:top="1100" w:bottom="1160" w:left="980" w:right="0"/>
        </w:sectPr>
      </w:pPr>
    </w:p>
    <w:p>
      <w:pPr>
        <w:spacing w:line="240" w:lineRule="auto" w:before="8"/>
        <w:rPr>
          <w:rFonts w:ascii="宋体" w:hAnsi="宋体" w:cs="宋体" w:eastAsia="宋体" w:hint="default"/>
          <w:sz w:val="21"/>
          <w:szCs w:val="21"/>
        </w:rPr>
      </w:pPr>
    </w:p>
    <w:p>
      <w:pPr>
        <w:pStyle w:val="BodyText"/>
        <w:spacing w:line="273" w:lineRule="auto" w:before="36"/>
        <w:ind w:left="4837" w:right="1129"/>
        <w:jc w:val="left"/>
      </w:pPr>
      <w:r>
        <w:rPr/>
        <w:t>备计提数和实际发生数，分析应收账款坏账准备计</w:t>
      </w:r>
      <w:r>
        <w:rPr>
          <w:spacing w:val="-67"/>
        </w:rPr>
        <w:t> </w:t>
      </w:r>
      <w:r>
        <w:rPr>
          <w:spacing w:val="-67"/>
        </w:rPr>
      </w:r>
      <w:r>
        <w:rPr/>
        <w:t>提是否充分；</w:t>
      </w:r>
    </w:p>
    <w:p>
      <w:pPr>
        <w:pStyle w:val="BodyText"/>
        <w:spacing w:line="240" w:lineRule="auto" w:before="163"/>
        <w:ind w:left="5257" w:right="0"/>
        <w:jc w:val="left"/>
      </w:pPr>
      <w:r>
        <w:rPr>
          <w:spacing w:val="-5"/>
        </w:rPr>
        <w:t>（</w:t>
      </w:r>
      <w:r>
        <w:rPr>
          <w:rFonts w:ascii="Times New Roman" w:hAnsi="Times New Roman" w:cs="Times New Roman" w:eastAsia="Times New Roman" w:hint="default"/>
          <w:spacing w:val="-5"/>
        </w:rPr>
        <w:t>5</w:t>
      </w:r>
      <w:r>
        <w:rPr>
          <w:spacing w:val="-5"/>
        </w:rPr>
        <w:t>）通过分析中科信息应收账款的账龄和客户</w:t>
      </w:r>
    </w:p>
    <w:p>
      <w:pPr>
        <w:pStyle w:val="BodyText"/>
        <w:spacing w:line="273" w:lineRule="auto" w:before="177"/>
        <w:ind w:left="4837" w:right="0"/>
        <w:jc w:val="left"/>
      </w:pPr>
      <w:r>
        <w:rPr/>
        <w:t>信誉情况，并执行应收账款函证程序及检查期后回</w:t>
      </w:r>
      <w:r>
        <w:rPr>
          <w:spacing w:val="-67"/>
        </w:rPr>
        <w:t> </w:t>
      </w:r>
      <w:r>
        <w:rPr>
          <w:spacing w:val="-67"/>
        </w:rPr>
      </w:r>
      <w:r>
        <w:rPr/>
        <w:t>款情况，评价应收账款坏账准备计提的合理性；</w:t>
      </w:r>
    </w:p>
    <w:p>
      <w:pPr>
        <w:pStyle w:val="BodyText"/>
        <w:spacing w:line="256" w:lineRule="auto" w:before="163"/>
        <w:ind w:left="4837" w:right="0" w:firstLine="420"/>
        <w:jc w:val="left"/>
      </w:pPr>
      <w:r>
        <w:rPr>
          <w:spacing w:val="-5"/>
        </w:rPr>
        <w:t>（</w:t>
      </w:r>
      <w:r>
        <w:rPr>
          <w:rFonts w:ascii="Times New Roman" w:hAnsi="Times New Roman" w:cs="Times New Roman" w:eastAsia="Times New Roman" w:hint="default"/>
          <w:spacing w:val="-5"/>
        </w:rPr>
        <w:t>6</w:t>
      </w:r>
      <w:r>
        <w:rPr>
          <w:spacing w:val="-5"/>
        </w:rPr>
        <w:t>）获取中科信息坏账准备计提表，检查计提</w:t>
      </w:r>
      <w:r>
        <w:rPr>
          <w:spacing w:val="-3"/>
          <w:w w:val="100"/>
        </w:rPr>
        <w:t> </w:t>
      </w:r>
      <w:r>
        <w:rPr/>
        <w:t>方法是否按照坏账政策执行；</w:t>
      </w:r>
    </w:p>
    <w:p>
      <w:pPr>
        <w:pStyle w:val="BodyText"/>
        <w:spacing w:line="240" w:lineRule="auto" w:before="178"/>
        <w:ind w:left="5257" w:right="0"/>
        <w:jc w:val="left"/>
        <w:rPr>
          <w:rFonts w:ascii="宋体" w:hAnsi="宋体" w:cs="宋体" w:eastAsia="宋体" w:hint="default"/>
        </w:rPr>
      </w:pPr>
      <w:r>
        <w:rPr/>
        <w:t>（</w:t>
      </w:r>
      <w:r>
        <w:rPr>
          <w:rFonts w:ascii="Times New Roman" w:hAnsi="Times New Roman" w:cs="Times New Roman" w:eastAsia="Times New Roman" w:hint="default"/>
        </w:rPr>
        <w:t>7</w:t>
      </w:r>
      <w:r>
        <w:rPr/>
        <w:t>）重新计算坏账计提金额是否准确。</w:t>
      </w:r>
      <w:r>
        <w:rPr>
          <w:rFonts w:ascii="宋体" w:hAnsi="宋体" w:cs="宋体" w:eastAsia="宋体" w:hint="default"/>
        </w:rPr>
        <w:t> </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8"/>
          <w:szCs w:val="28"/>
        </w:rPr>
      </w:pPr>
    </w:p>
    <w:p>
      <w:pPr>
        <w:pStyle w:val="BodyText"/>
        <w:spacing w:line="240" w:lineRule="auto"/>
        <w:ind w:left="2119" w:right="3096"/>
        <w:jc w:val="center"/>
        <w:rPr>
          <w:rFonts w:ascii="Times New Roman" w:hAnsi="Times New Roman" w:cs="Times New Roman" w:eastAsia="Times New Roman" w:hint="default"/>
        </w:rPr>
      </w:pPr>
      <w:r>
        <w:rPr/>
        <w:t>审计报告</w:t>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p>
    <w:p>
      <w:pPr>
        <w:pStyle w:val="BodyText"/>
        <w:spacing w:line="240" w:lineRule="auto" w:before="177"/>
        <w:ind w:left="0" w:right="1130"/>
        <w:jc w:val="right"/>
      </w:pPr>
      <w:r>
        <w:rPr>
          <w:spacing w:val="-1"/>
        </w:rPr>
        <w:t>天职业字</w:t>
      </w:r>
      <w:r>
        <w:rPr>
          <w:rFonts w:ascii="Times New Roman" w:hAnsi="Times New Roman" w:cs="Times New Roman" w:eastAsia="Times New Roman" w:hint="default"/>
          <w:spacing w:val="-1"/>
        </w:rPr>
        <w:t>[2020]6830</w:t>
      </w:r>
      <w:r>
        <w:rPr>
          <w:spacing w:val="-1"/>
        </w:rPr>
        <w:t>号</w:t>
      </w:r>
    </w:p>
    <w:p>
      <w:pPr>
        <w:spacing w:line="240" w:lineRule="auto" w:before="7"/>
        <w:rPr>
          <w:rFonts w:ascii="宋体" w:hAnsi="宋体" w:cs="宋体" w:eastAsia="宋体" w:hint="default"/>
          <w:sz w:val="21"/>
          <w:szCs w:val="21"/>
        </w:rPr>
      </w:pPr>
    </w:p>
    <w:p>
      <w:pPr>
        <w:pStyle w:val="Heading2"/>
        <w:spacing w:line="240" w:lineRule="auto" w:before="26"/>
        <w:ind w:left="635" w:right="0"/>
        <w:jc w:val="left"/>
        <w:rPr>
          <w:b w:val="0"/>
          <w:bCs w:val="0"/>
        </w:rPr>
      </w:pPr>
      <w:r>
        <w:rPr/>
        <w:t>四、其他信息</w:t>
      </w:r>
      <w:r>
        <w:rPr>
          <w:b w:val="0"/>
          <w:bCs w:val="0"/>
        </w:rPr>
      </w:r>
    </w:p>
    <w:p>
      <w:pPr>
        <w:spacing w:line="240" w:lineRule="auto" w:before="8"/>
        <w:rPr>
          <w:rFonts w:ascii="宋体" w:hAnsi="宋体" w:cs="宋体" w:eastAsia="宋体" w:hint="default"/>
          <w:b/>
          <w:bCs/>
          <w:sz w:val="25"/>
          <w:szCs w:val="25"/>
        </w:rPr>
      </w:pPr>
    </w:p>
    <w:p>
      <w:pPr>
        <w:pStyle w:val="BodyText"/>
        <w:spacing w:line="256" w:lineRule="auto"/>
        <w:ind w:right="0" w:firstLine="420"/>
        <w:jc w:val="left"/>
      </w:pPr>
      <w:r>
        <w:rPr>
          <w:spacing w:val="-2"/>
        </w:rPr>
        <w:t>中科信息管理层（以下简称</w:t>
      </w:r>
      <w:r>
        <w:rPr>
          <w:rFonts w:ascii="Times New Roman" w:hAnsi="Times New Roman" w:cs="Times New Roman" w:eastAsia="Times New Roman" w:hint="default"/>
          <w:spacing w:val="-2"/>
        </w:rPr>
        <w:t>“</w:t>
      </w:r>
      <w:r>
        <w:rPr>
          <w:spacing w:val="-2"/>
        </w:rPr>
        <w:t>管理层</w:t>
      </w:r>
      <w:r>
        <w:rPr>
          <w:rFonts w:ascii="Times New Roman" w:hAnsi="Times New Roman" w:cs="Times New Roman" w:eastAsia="Times New Roman" w:hint="default"/>
          <w:spacing w:val="-2"/>
        </w:rPr>
        <w:t>”</w:t>
      </w:r>
      <w:r>
        <w:rPr>
          <w:spacing w:val="-2"/>
        </w:rPr>
        <w:t>）对其他信息负责。其他信息包括</w:t>
      </w:r>
      <w:r>
        <w:rPr>
          <w:rFonts w:ascii="Times New Roman" w:hAnsi="Times New Roman" w:cs="Times New Roman" w:eastAsia="Times New Roman" w:hint="default"/>
          <w:spacing w:val="-2"/>
        </w:rPr>
        <w:t>2019</w:t>
      </w:r>
      <w:r>
        <w:rPr>
          <w:spacing w:val="-2"/>
        </w:rPr>
        <w:t>年度报告中涵盖的信息，</w:t>
      </w:r>
      <w:r>
        <w:rPr>
          <w:w w:val="100"/>
        </w:rPr>
        <w:t> </w:t>
      </w:r>
      <w:r>
        <w:rPr/>
        <w:t>但不包括财务报表和我们的审计报告。</w:t>
      </w:r>
    </w:p>
    <w:p>
      <w:pPr>
        <w:pStyle w:val="BodyText"/>
        <w:spacing w:line="468" w:lineRule="exact" w:before="49"/>
        <w:ind w:left="572" w:right="0"/>
        <w:jc w:val="left"/>
      </w:pPr>
      <w:r>
        <w:rPr/>
        <w:t>我们对财务报表发表的审计意见不涵盖其他信息，我们也不对其他信息发表任何形式的鉴证结论。</w:t>
      </w:r>
      <w:r>
        <w:rPr>
          <w:w w:val="100"/>
        </w:rPr>
        <w:t> </w:t>
      </w:r>
      <w:r>
        <w:rPr>
          <w:spacing w:val="-2"/>
        </w:rPr>
        <w:t>结合我们对财务报表的审计，我们的责任是阅读其他信息，在此过程中，考虑其他信息是否与财务报</w:t>
      </w:r>
    </w:p>
    <w:p>
      <w:pPr>
        <w:pStyle w:val="BodyText"/>
        <w:spacing w:line="248" w:lineRule="exact"/>
        <w:ind w:right="0"/>
        <w:jc w:val="left"/>
      </w:pPr>
      <w:r>
        <w:rPr/>
        <w:t>表或我们在审计过程中了解到的情况存在重大不一致或者似乎存在重大错报。</w:t>
      </w:r>
    </w:p>
    <w:p>
      <w:pPr>
        <w:spacing w:line="240" w:lineRule="auto" w:before="10"/>
        <w:rPr>
          <w:rFonts w:ascii="宋体" w:hAnsi="宋体" w:cs="宋体" w:eastAsia="宋体" w:hint="default"/>
          <w:sz w:val="14"/>
          <w:szCs w:val="14"/>
        </w:rPr>
      </w:pPr>
    </w:p>
    <w:p>
      <w:pPr>
        <w:pStyle w:val="BodyText"/>
        <w:spacing w:line="273" w:lineRule="auto"/>
        <w:ind w:right="0" w:firstLine="420"/>
        <w:jc w:val="left"/>
      </w:pPr>
      <w:r>
        <w:rPr>
          <w:spacing w:val="-2"/>
        </w:rPr>
        <w:t>基于我们已执行的工作，如果我们确定其他信息存在重大错报，我们应当报告该事实。在这方面，我</w:t>
      </w:r>
      <w:r>
        <w:rPr>
          <w:w w:val="100"/>
        </w:rPr>
        <w:t> </w:t>
      </w:r>
      <w:r>
        <w:rPr/>
        <w:t>们无任何事项需要报告。</w:t>
      </w:r>
    </w:p>
    <w:p>
      <w:pPr>
        <w:spacing w:line="240" w:lineRule="auto" w:before="7"/>
        <w:rPr>
          <w:rFonts w:ascii="宋体" w:hAnsi="宋体" w:cs="宋体" w:eastAsia="宋体" w:hint="default"/>
          <w:sz w:val="22"/>
          <w:szCs w:val="22"/>
        </w:rPr>
      </w:pPr>
    </w:p>
    <w:p>
      <w:pPr>
        <w:pStyle w:val="Heading2"/>
        <w:spacing w:line="240" w:lineRule="auto"/>
        <w:ind w:left="635" w:right="0"/>
        <w:jc w:val="left"/>
        <w:rPr>
          <w:b w:val="0"/>
          <w:bCs w:val="0"/>
        </w:rPr>
      </w:pPr>
      <w:r>
        <w:rPr/>
        <w:t>五、管理层和治理层对财务报表的责任</w:t>
      </w:r>
      <w:r>
        <w:rPr>
          <w:b w:val="0"/>
          <w:bCs w:val="0"/>
        </w:rPr>
      </w:r>
    </w:p>
    <w:p>
      <w:pPr>
        <w:spacing w:line="240" w:lineRule="auto" w:before="8"/>
        <w:rPr>
          <w:rFonts w:ascii="宋体" w:hAnsi="宋体" w:cs="宋体" w:eastAsia="宋体" w:hint="default"/>
          <w:b/>
          <w:bCs/>
          <w:sz w:val="25"/>
          <w:szCs w:val="25"/>
        </w:rPr>
      </w:pPr>
    </w:p>
    <w:p>
      <w:pPr>
        <w:pStyle w:val="BodyText"/>
        <w:spacing w:line="273" w:lineRule="auto"/>
        <w:ind w:right="0" w:firstLine="420"/>
        <w:jc w:val="left"/>
      </w:pPr>
      <w:r>
        <w:rPr>
          <w:spacing w:val="-2"/>
        </w:rPr>
        <w:t>管理层负责按照企业会计准则的规定编制财务报表，使其实现公允反映，并设计、执行和维护必要的</w:t>
      </w:r>
      <w:r>
        <w:rPr>
          <w:w w:val="100"/>
        </w:rPr>
        <w:t> </w:t>
      </w:r>
      <w:r>
        <w:rPr/>
        <w:t>内部控制，以使财务报表不存在由于舞弊或错误导致的重大错报。</w:t>
      </w:r>
    </w:p>
    <w:p>
      <w:pPr>
        <w:pStyle w:val="BodyText"/>
        <w:spacing w:line="273" w:lineRule="auto" w:before="164"/>
        <w:ind w:right="0" w:firstLine="419"/>
        <w:jc w:val="left"/>
      </w:pPr>
      <w:r>
        <w:rPr>
          <w:spacing w:val="-11"/>
          <w:w w:val="100"/>
        </w:rPr>
        <w:t>在编制财务报表时，管理层负责评估中科信息的持续经营能力，披露与持续经营相关的事项（如适用），</w:t>
      </w:r>
      <w:r>
        <w:rPr>
          <w:spacing w:val="-85"/>
          <w:w w:val="100"/>
        </w:rPr>
        <w:t> </w:t>
      </w:r>
      <w:r>
        <w:rPr/>
        <w:t>并运用持续经营假设，除非计划清算、终止运营或别无其他现实的选择。</w:t>
      </w:r>
    </w:p>
    <w:p>
      <w:pPr>
        <w:pStyle w:val="BodyText"/>
        <w:spacing w:line="240" w:lineRule="auto" w:before="164"/>
        <w:ind w:left="572" w:right="0"/>
        <w:jc w:val="left"/>
      </w:pPr>
      <w:r>
        <w:rPr/>
        <w:t>治理层负责监督中科信息的财务报告过程。</w:t>
      </w:r>
    </w:p>
    <w:p>
      <w:pPr>
        <w:spacing w:line="240" w:lineRule="auto" w:before="10"/>
        <w:rPr>
          <w:rFonts w:ascii="宋体" w:hAnsi="宋体" w:cs="宋体" w:eastAsia="宋体" w:hint="default"/>
          <w:sz w:val="24"/>
          <w:szCs w:val="24"/>
        </w:rPr>
      </w:pPr>
    </w:p>
    <w:p>
      <w:pPr>
        <w:pStyle w:val="Heading2"/>
        <w:spacing w:line="240" w:lineRule="auto"/>
        <w:ind w:left="635" w:right="0"/>
        <w:jc w:val="left"/>
        <w:rPr>
          <w:b w:val="0"/>
          <w:bCs w:val="0"/>
        </w:rPr>
      </w:pPr>
      <w:r>
        <w:rPr/>
        <w:t>六、注册会计师对财务报表审计的责任</w:t>
      </w:r>
      <w:r>
        <w:rPr>
          <w:b w:val="0"/>
          <w:bCs w:val="0"/>
        </w:rPr>
      </w:r>
    </w:p>
    <w:p>
      <w:pPr>
        <w:spacing w:line="240" w:lineRule="auto" w:before="8"/>
        <w:rPr>
          <w:rFonts w:ascii="宋体" w:hAnsi="宋体" w:cs="宋体" w:eastAsia="宋体" w:hint="default"/>
          <w:b/>
          <w:bCs/>
          <w:sz w:val="25"/>
          <w:szCs w:val="25"/>
        </w:rPr>
      </w:pPr>
    </w:p>
    <w:p>
      <w:pPr>
        <w:pStyle w:val="BodyText"/>
        <w:spacing w:line="273" w:lineRule="auto"/>
        <w:ind w:right="1128" w:firstLine="420"/>
        <w:jc w:val="both"/>
        <w:rPr>
          <w:rFonts w:ascii="宋体" w:hAnsi="宋体" w:cs="宋体" w:eastAsia="宋体" w:hint="default"/>
        </w:rPr>
      </w:pPr>
      <w:r>
        <w:rPr>
          <w:spacing w:val="-2"/>
        </w:rPr>
        <w:t>我们的目标是对财务报表整体是否不存在由于舞弊或错误导致的重大错报获取合理保证，并出具包含</w:t>
      </w:r>
      <w:r>
        <w:rPr>
          <w:w w:val="100"/>
        </w:rPr>
        <w:t> </w:t>
      </w:r>
      <w:r>
        <w:rPr>
          <w:spacing w:val="-2"/>
        </w:rPr>
        <w:t>审计意见的审计报告。合理保证是高水平的保证，但并不能保证按照审计准则执行的审计在某一重大错报</w:t>
      </w:r>
      <w:r>
        <w:rPr>
          <w:spacing w:val="-42"/>
        </w:rPr>
        <w:t> </w:t>
      </w:r>
      <w:r>
        <w:rPr>
          <w:spacing w:val="-42"/>
        </w:rPr>
      </w:r>
      <w:r>
        <w:rPr>
          <w:spacing w:val="-2"/>
        </w:rPr>
        <w:t>存在时总能发现。错报可能由于舞弊或错误导致，如果合理预期错报单独或汇总起来可能影响财务报表使</w:t>
      </w:r>
      <w:r>
        <w:rPr>
          <w:spacing w:val="-42"/>
        </w:rPr>
        <w:t> </w:t>
      </w:r>
      <w:r>
        <w:rPr>
          <w:spacing w:val="-42"/>
        </w:rPr>
      </w:r>
      <w:r>
        <w:rPr/>
        <w:t>用者依据财务报表作出的经济决策，则通常认为错报是重大的。</w:t>
      </w:r>
      <w:r>
        <w:rPr>
          <w:rFonts w:ascii="宋体" w:hAnsi="宋体" w:cs="宋体" w:eastAsia="宋体" w:hint="default"/>
        </w:rPr>
        <w:t> </w:t>
      </w:r>
    </w:p>
    <w:p>
      <w:pPr>
        <w:pStyle w:val="BodyText"/>
        <w:spacing w:line="240" w:lineRule="auto" w:before="164"/>
        <w:ind w:left="572"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0" w:footer="977" w:top="1100" w:bottom="1160" w:left="980" w:right="0"/>
        </w:sectPr>
      </w:pPr>
    </w:p>
    <w:p>
      <w:pPr>
        <w:spacing w:line="240" w:lineRule="auto" w:before="11"/>
        <w:rPr>
          <w:rFonts w:ascii="宋体" w:hAnsi="宋体" w:cs="宋体" w:eastAsia="宋体" w:hint="default"/>
          <w:sz w:val="20"/>
          <w:szCs w:val="20"/>
        </w:rPr>
      </w:pPr>
    </w:p>
    <w:p>
      <w:pPr>
        <w:pStyle w:val="BodyText"/>
        <w:spacing w:line="240" w:lineRule="auto" w:before="36"/>
        <w:ind w:left="2119" w:right="3096"/>
        <w:jc w:val="center"/>
        <w:rPr>
          <w:rFonts w:ascii="Times New Roman" w:hAnsi="Times New Roman" w:cs="Times New Roman" w:eastAsia="Times New Roman" w:hint="default"/>
        </w:rPr>
      </w:pPr>
      <w:r>
        <w:rPr/>
        <w:t>审计报告</w:t>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p>
    <w:p>
      <w:pPr>
        <w:spacing w:line="240" w:lineRule="auto" w:before="3"/>
        <w:rPr>
          <w:rFonts w:ascii="Times New Roman" w:hAnsi="Times New Roman" w:cs="Times New Roman" w:eastAsia="Times New Roman" w:hint="default"/>
          <w:sz w:val="12"/>
          <w:szCs w:val="12"/>
        </w:rPr>
      </w:pPr>
    </w:p>
    <w:p>
      <w:pPr>
        <w:pStyle w:val="BodyText"/>
        <w:spacing w:line="240" w:lineRule="auto" w:before="36"/>
        <w:ind w:left="572" w:right="0" w:firstLine="7188"/>
        <w:jc w:val="left"/>
      </w:pPr>
      <w:r>
        <w:rPr/>
        <w:t>天职业字</w:t>
      </w:r>
      <w:r>
        <w:rPr>
          <w:rFonts w:ascii="Times New Roman" w:hAnsi="Times New Roman" w:cs="Times New Roman" w:eastAsia="Times New Roman" w:hint="default"/>
        </w:rPr>
        <w:t>[2020]6830</w:t>
      </w:r>
      <w:r>
        <w:rPr/>
        <w:t>号</w:t>
      </w:r>
    </w:p>
    <w:p>
      <w:pPr>
        <w:pStyle w:val="BodyText"/>
        <w:spacing w:line="273" w:lineRule="auto" w:before="177"/>
        <w:ind w:right="1129" w:firstLine="420"/>
        <w:jc w:val="both"/>
      </w:pPr>
      <w:r>
        <w:rPr>
          <w:spacing w:val="-2"/>
        </w:rPr>
        <w:t>在按照审计准则执行审计工作的过程中，我们运用职业判断，并保持职业怀疑。同时，我们也执行以</w:t>
      </w:r>
      <w:r>
        <w:rPr>
          <w:w w:val="100"/>
        </w:rPr>
        <w:t> </w:t>
      </w:r>
      <w:r>
        <w:rPr/>
        <w:t>下工作：</w:t>
      </w:r>
    </w:p>
    <w:p>
      <w:pPr>
        <w:pStyle w:val="BodyText"/>
        <w:spacing w:line="266" w:lineRule="auto" w:before="164"/>
        <w:ind w:right="0" w:firstLine="420"/>
        <w:jc w:val="left"/>
        <w:rPr>
          <w:rFonts w:ascii="宋体" w:hAnsi="宋体" w:cs="宋体" w:eastAsia="宋体" w:hint="default"/>
        </w:rPr>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w:t>
      </w:r>
      <w:r>
        <w:rPr>
          <w:w w:val="100"/>
        </w:rPr>
        <w:t> </w:t>
      </w:r>
      <w:r>
        <w:rPr>
          <w:spacing w:val="-5"/>
        </w:rPr>
        <w:t>险，并获取充分、适当的审计证据，作为发表审计意见的基础。由于舞弊可能涉及串通、伪造、故意遗漏、</w:t>
      </w:r>
      <w:r>
        <w:rPr>
          <w:spacing w:val="-4"/>
        </w:rPr>
        <w:t> </w:t>
      </w:r>
      <w:r>
        <w:rPr>
          <w:spacing w:val="-4"/>
        </w:rPr>
      </w:r>
      <w:r>
        <w:rPr>
          <w:spacing w:val="-2"/>
        </w:rPr>
        <w:t>虚假陈述或凌驾于内部控制之上，未能发现由于舞弊导致的重大错报的风险高于未能发现由于错误导致的</w:t>
      </w:r>
      <w:r>
        <w:rPr>
          <w:spacing w:val="-42"/>
        </w:rPr>
        <w:t> </w:t>
      </w:r>
      <w:r>
        <w:rPr>
          <w:spacing w:val="-42"/>
        </w:rPr>
      </w:r>
      <w:r>
        <w:rPr/>
        <w:t>重大错报的风险。</w:t>
      </w:r>
      <w:r>
        <w:rPr>
          <w:rFonts w:ascii="宋体" w:hAnsi="宋体" w:cs="宋体" w:eastAsia="宋体" w:hint="default"/>
        </w:rPr>
        <w:t> </w:t>
      </w:r>
    </w:p>
    <w:p>
      <w:pPr>
        <w:pStyle w:val="BodyText"/>
        <w:spacing w:line="256" w:lineRule="auto" w:before="170"/>
        <w:ind w:right="1133" w:firstLine="420"/>
        <w:jc w:val="both"/>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w:t>
      </w:r>
      <w:r>
        <w:rPr>
          <w:w w:val="100"/>
        </w:rPr>
        <w:t> </w:t>
      </w:r>
      <w:r>
        <w:rPr/>
        <w:t>见。</w:t>
      </w:r>
    </w:p>
    <w:p>
      <w:pPr>
        <w:pStyle w:val="BodyText"/>
        <w:spacing w:line="240" w:lineRule="auto" w:before="178"/>
        <w:ind w:left="572"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68" w:lineRule="auto" w:before="177"/>
        <w:ind w:right="1128" w:firstLine="42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）对管理层使用持续经营假设的恰当性得出结论。同时，根据获取的审计证据，就可能导致对中</w:t>
      </w:r>
      <w:r>
        <w:rPr>
          <w:w w:val="100"/>
        </w:rPr>
        <w:t> </w:t>
      </w:r>
      <w:r>
        <w:rPr>
          <w:spacing w:val="-2"/>
        </w:rPr>
        <w:t>科信息持续经营能力产生重大疑虑的事项或情况是否存在重大不确定性得出结论。如果我们得出结论认为</w:t>
      </w:r>
      <w:r>
        <w:rPr>
          <w:spacing w:val="-43"/>
        </w:rPr>
        <w:t> </w:t>
      </w:r>
      <w:r>
        <w:rPr>
          <w:spacing w:val="-43"/>
        </w:rPr>
      </w:r>
      <w:r>
        <w:rPr>
          <w:spacing w:val="-2"/>
        </w:rPr>
        <w:t>存在重大不确定性，审计准则要求我们在审计报告中提请报表使用者注意财务报表中的相关披露；如果披</w:t>
      </w:r>
      <w:r>
        <w:rPr>
          <w:spacing w:val="-42"/>
        </w:rPr>
        <w:t> </w:t>
      </w:r>
      <w:r>
        <w:rPr>
          <w:spacing w:val="-42"/>
        </w:rPr>
      </w:r>
      <w:r>
        <w:rPr>
          <w:spacing w:val="-2"/>
        </w:rPr>
        <w:t>露不充分，我们应当发表非无保留意见。我们的结论基于截至审计报告日可获得的信息。然而，未来的事</w:t>
      </w:r>
      <w:r>
        <w:rPr>
          <w:spacing w:val="-47"/>
        </w:rPr>
        <w:t> </w:t>
      </w:r>
      <w:r>
        <w:rPr>
          <w:spacing w:val="-47"/>
        </w:rPr>
      </w:r>
      <w:r>
        <w:rPr/>
        <w:t>项或情况可能导致中科信息不能持续经营。</w:t>
      </w:r>
    </w:p>
    <w:p>
      <w:pPr>
        <w:pStyle w:val="BodyText"/>
        <w:spacing w:line="240" w:lineRule="auto" w:before="168"/>
        <w:ind w:left="572" w:right="0"/>
        <w:jc w:val="left"/>
      </w:pPr>
      <w:r>
        <w:rPr/>
        <w:t>（</w:t>
      </w:r>
      <w:r>
        <w:rPr>
          <w:rFonts w:ascii="Times New Roman" w:hAnsi="Times New Roman" w:cs="Times New Roman" w:eastAsia="Times New Roman" w:hint="default"/>
        </w:rPr>
        <w:t>5</w:t>
      </w:r>
      <w:r>
        <w:rPr/>
        <w:t>）评价财务报表的总体列报、结构和内容，并评价财务报表是否公允反映相关交易和事项。</w:t>
      </w:r>
    </w:p>
    <w:p>
      <w:pPr>
        <w:pStyle w:val="BodyText"/>
        <w:spacing w:line="256" w:lineRule="auto" w:before="177"/>
        <w:ind w:right="1133" w:firstLine="420"/>
        <w:jc w:val="both"/>
      </w:pPr>
      <w:r>
        <w:rPr/>
        <w:t>（</w:t>
      </w:r>
      <w:r>
        <w:rPr>
          <w:rFonts w:ascii="Times New Roman" w:hAnsi="Times New Roman" w:cs="Times New Roman" w:eastAsia="Times New Roman" w:hint="default"/>
        </w:rPr>
        <w:t>6</w:t>
      </w:r>
      <w:r>
        <w:rPr/>
        <w:t>）就中科信息中实体或业务活动的财务信息获取充分、适当的审计证据，以对财务报表发表审计</w:t>
      </w:r>
      <w:r>
        <w:rPr>
          <w:w w:val="100"/>
        </w:rPr>
        <w:t> </w:t>
      </w:r>
      <w:r>
        <w:rPr/>
        <w:t>意见。我们负责指导、监督和执行集团审计，并对审计意见承担全部责任。</w:t>
      </w:r>
    </w:p>
    <w:p>
      <w:pPr>
        <w:pStyle w:val="BodyText"/>
        <w:spacing w:line="273" w:lineRule="auto" w:before="178"/>
        <w:ind w:right="1128" w:firstLine="420"/>
        <w:jc w:val="both"/>
      </w:pPr>
      <w:r>
        <w:rPr>
          <w:spacing w:val="-2"/>
        </w:rPr>
        <w:t>我们与治理层就计划的审计范围、时间安排和重大审计发现等事项进行沟通，包括沟通我们在审计中</w:t>
      </w:r>
      <w:r>
        <w:rPr>
          <w:w w:val="100"/>
        </w:rPr>
        <w:t> </w:t>
      </w:r>
      <w:r>
        <w:rPr/>
        <w:t>识别出的值得关注的内部控制缺陷。</w:t>
      </w:r>
    </w:p>
    <w:p>
      <w:pPr>
        <w:pStyle w:val="BodyText"/>
        <w:spacing w:line="273" w:lineRule="auto" w:before="164"/>
        <w:ind w:right="1128" w:firstLine="420"/>
        <w:jc w:val="both"/>
      </w:pPr>
      <w:r>
        <w:rPr>
          <w:spacing w:val="-2"/>
        </w:rPr>
        <w:t>我们还就已遵守与独立性相关的职业道德要求向治理层提供声明，并与治理层沟通可能被合理认为影</w:t>
      </w:r>
      <w:r>
        <w:rPr>
          <w:w w:val="100"/>
        </w:rPr>
        <w:t> </w:t>
      </w:r>
      <w:r>
        <w:rPr/>
        <w:t>响我们独立性的所有关系和其他事项，以及相关的防范措施（如适用）。</w:t>
      </w:r>
    </w:p>
    <w:p>
      <w:pPr>
        <w:pStyle w:val="BodyText"/>
        <w:spacing w:line="273" w:lineRule="auto" w:before="164"/>
        <w:ind w:right="1128" w:firstLine="420"/>
        <w:jc w:val="both"/>
      </w:pPr>
      <w:r>
        <w:rPr>
          <w:spacing w:val="-2"/>
        </w:rPr>
        <w:t>从与治理层沟通过的事项中，我们确定哪些事项对本期合并财务报表审计最为重要，因而构成关键审</w:t>
      </w:r>
      <w:r>
        <w:rPr>
          <w:w w:val="100"/>
        </w:rPr>
        <w:t> </w:t>
      </w:r>
      <w:r>
        <w:rPr>
          <w:spacing w:val="-2"/>
        </w:rPr>
        <w:t>计事项。我们在审计报告中描述这些事项，除非法律法规禁止公开披露这些事项，或在极少数情形下，如</w:t>
      </w:r>
      <w:r>
        <w:rPr>
          <w:spacing w:val="-47"/>
        </w:rPr>
        <w:t> </w:t>
      </w:r>
      <w:r>
        <w:rPr>
          <w:spacing w:val="-47"/>
        </w:rPr>
      </w:r>
      <w:r>
        <w:rPr>
          <w:spacing w:val="-2"/>
        </w:rPr>
        <w:t>果合理预期在审计报告中沟通某事项造成的负面后果超过在公众利益方面产生的益处，我们确定不应在审</w:t>
      </w:r>
      <w:r>
        <w:rPr>
          <w:spacing w:val="-43"/>
        </w:rPr>
        <w:t> </w:t>
      </w:r>
      <w:r>
        <w:rPr>
          <w:spacing w:val="-43"/>
        </w:rPr>
      </w:r>
      <w:r>
        <w:rPr/>
        <w:t>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tbl>
      <w:tblPr>
        <w:tblW w:w="0" w:type="auto"/>
        <w:jc w:val="left"/>
        <w:tblInd w:w="152" w:type="dxa"/>
        <w:tblLayout w:type="fixed"/>
        <w:tblCellMar>
          <w:top w:w="0" w:type="dxa"/>
          <w:left w:w="0" w:type="dxa"/>
          <w:bottom w:w="0" w:type="dxa"/>
          <w:right w:w="0" w:type="dxa"/>
        </w:tblCellMar>
        <w:tblLook w:val="01E0"/>
      </w:tblPr>
      <w:tblGrid>
        <w:gridCol w:w="4615"/>
        <w:gridCol w:w="4615"/>
      </w:tblGrid>
      <w:tr>
        <w:trPr>
          <w:trHeight w:val="972" w:hRule="exact"/>
        </w:trPr>
        <w:tc>
          <w:tcPr>
            <w:tcW w:w="4615" w:type="dxa"/>
            <w:tcBorders>
              <w:top w:val="single" w:sz="6" w:space="0" w:color="000000"/>
              <w:left w:val="nil" w:sz="6" w:space="0" w:color="auto"/>
              <w:bottom w:val="nil" w:sz="6" w:space="0" w:color="auto"/>
              <w:right w:val="nil" w:sz="6" w:space="0" w:color="auto"/>
            </w:tcBorders>
          </w:tcPr>
          <w:p>
            <w:pPr>
              <w:pStyle w:val="TableParagraph"/>
              <w:spacing w:line="256" w:lineRule="auto"/>
              <w:ind w:left="1153" w:right="1145" w:firstLine="700"/>
              <w:jc w:val="left"/>
              <w:rPr>
                <w:rFonts w:ascii="宋体" w:hAnsi="宋体" w:cs="宋体" w:eastAsia="宋体" w:hint="default"/>
                <w:sz w:val="21"/>
                <w:szCs w:val="21"/>
              </w:rPr>
            </w:pP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宋体" w:hAnsi="宋体" w:cs="宋体" w:eastAsia="宋体" w:hint="default"/>
                <w:spacing w:val="-3"/>
                <w:w w:val="100"/>
                <w:sz w:val="21"/>
                <w:szCs w:val="21"/>
              </w:rPr>
              <w:t> </w:t>
            </w:r>
            <w:r>
              <w:rPr>
                <w:rFonts w:ascii="宋体" w:hAnsi="宋体" w:cs="宋体" w:eastAsia="宋体" w:hint="default"/>
                <w:spacing w:val="-2"/>
                <w:sz w:val="21"/>
                <w:szCs w:val="21"/>
              </w:rPr>
              <w:t>二〇二〇年四月二十三日</w:t>
            </w:r>
          </w:p>
        </w:tc>
        <w:tc>
          <w:tcPr>
            <w:tcW w:w="4615" w:type="dxa"/>
            <w:tcBorders>
              <w:top w:val="single" w:sz="6" w:space="0" w:color="000000"/>
              <w:left w:val="nil" w:sz="6" w:space="0" w:color="auto"/>
              <w:bottom w:val="single" w:sz="6" w:space="0" w:color="000000"/>
              <w:right w:val="nil" w:sz="6" w:space="0" w:color="auto"/>
            </w:tcBorders>
          </w:tcPr>
          <w:p>
            <w:pPr>
              <w:pStyle w:val="TableParagraph"/>
              <w:spacing w:line="240" w:lineRule="auto" w:before="152"/>
              <w:ind w:right="1897"/>
              <w:jc w:val="center"/>
              <w:rPr>
                <w:rFonts w:ascii="宋体" w:hAnsi="宋体" w:cs="宋体" w:eastAsia="宋体" w:hint="default"/>
                <w:sz w:val="21"/>
                <w:szCs w:val="21"/>
              </w:rPr>
            </w:pPr>
            <w:r>
              <w:rPr>
                <w:rFonts w:ascii="宋体" w:hAnsi="宋体" w:cs="宋体" w:eastAsia="宋体" w:hint="default"/>
                <w:sz w:val="21"/>
                <w:szCs w:val="21"/>
              </w:rPr>
              <w:t>中国注册会计师</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899"/>
              <w:jc w:val="center"/>
              <w:rPr>
                <w:rFonts w:ascii="宋体" w:hAnsi="宋体" w:cs="宋体" w:eastAsia="宋体" w:hint="default"/>
                <w:sz w:val="21"/>
                <w:szCs w:val="21"/>
              </w:rPr>
            </w:pPr>
            <w:r>
              <w:rPr>
                <w:rFonts w:ascii="宋体" w:hAnsi="宋体" w:cs="宋体" w:eastAsia="宋体" w:hint="default"/>
                <w:sz w:val="21"/>
                <w:szCs w:val="21"/>
              </w:rPr>
              <w:t>（项目合伙人）：</w:t>
            </w:r>
          </w:p>
        </w:tc>
      </w:tr>
      <w:tr>
        <w:trPr>
          <w:trHeight w:val="502" w:hRule="exact"/>
        </w:trPr>
        <w:tc>
          <w:tcPr>
            <w:tcW w:w="4615" w:type="dxa"/>
            <w:tcBorders>
              <w:top w:val="nil" w:sz="6" w:space="0" w:color="auto"/>
              <w:left w:val="nil" w:sz="6" w:space="0" w:color="auto"/>
              <w:bottom w:val="single" w:sz="6" w:space="0" w:color="000000"/>
              <w:right w:val="nil" w:sz="6" w:space="0" w:color="auto"/>
            </w:tcBorders>
          </w:tcPr>
          <w:p>
            <w:pPr/>
          </w:p>
        </w:tc>
        <w:tc>
          <w:tcPr>
            <w:tcW w:w="4615" w:type="dxa"/>
            <w:tcBorders>
              <w:top w:val="single" w:sz="6" w:space="0" w:color="000000"/>
              <w:left w:val="nil" w:sz="6" w:space="0" w:color="auto"/>
              <w:bottom w:val="single" w:sz="6" w:space="0" w:color="000000"/>
              <w:right w:val="nil" w:sz="6" w:space="0" w:color="auto"/>
            </w:tcBorders>
          </w:tcPr>
          <w:p>
            <w:pPr>
              <w:pStyle w:val="TableParagraph"/>
              <w:spacing w:line="240" w:lineRule="auto" w:before="153"/>
              <w:ind w:left="516"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r>
    </w:tbl>
    <w:p>
      <w:pPr>
        <w:spacing w:after="0" w:line="240" w:lineRule="auto"/>
        <w:jc w:val="left"/>
        <w:rPr>
          <w:rFonts w:ascii="宋体" w:hAnsi="宋体" w:cs="宋体" w:eastAsia="宋体" w:hint="default"/>
          <w:sz w:val="21"/>
          <w:szCs w:val="21"/>
        </w:rPr>
        <w:sectPr>
          <w:footerReference w:type="default" r:id="rId32"/>
          <w:pgSz w:w="11910" w:h="16840"/>
          <w:pgMar w:footer="977" w:header="880" w:top="1100" w:bottom="1160" w:left="980" w:right="0"/>
          <w:pgNumType w:start="120"/>
        </w:sectPr>
      </w:pPr>
    </w:p>
    <w:p>
      <w:pPr>
        <w:spacing w:line="240" w:lineRule="auto" w:before="12"/>
        <w:rPr>
          <w:rFonts w:ascii="宋体" w:hAnsi="宋体" w:cs="宋体" w:eastAsia="宋体" w:hint="default"/>
          <w:sz w:val="19"/>
          <w:szCs w:val="19"/>
        </w:rPr>
      </w:pPr>
    </w:p>
    <w:p>
      <w:pPr>
        <w:pStyle w:val="Heading2"/>
        <w:spacing w:line="240" w:lineRule="auto" w:before="26"/>
        <w:ind w:right="0"/>
        <w:jc w:val="left"/>
        <w:rPr>
          <w:b w:val="0"/>
          <w:bCs w:val="0"/>
        </w:rPr>
      </w:pPr>
      <w:bookmarkStart w:name="二、财务报表" w:id="159"/>
      <w:bookmarkEnd w:id="159"/>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60"/>
      <w:bookmarkEnd w:id="16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0" w:footer="977" w:top="110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编制单位：中科院成都信息技术股份有限公司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280" w:left="980" w:right="0"/>
          <w:cols w:num="3" w:equalWidth="0">
            <w:col w:w="3753" w:space="322"/>
            <w:col w:w="1641" w:space="3202"/>
            <w:col w:w="2012"/>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282,924,331.03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229,472,552.41</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10,716,935.35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6,032,518.40</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245,016,362.46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198,011,739.45</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422,250.00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25,709,617.47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12,448,423.28</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31,819,254.42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34,283,665.59</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54,839.17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939,791.67</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115,707,924.01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72,177,940.37</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876,706.99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40,112,536.84</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713,193,381.73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592,539,376.34</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bl>
    <w:p>
      <w:pPr>
        <w:spacing w:after="0"/>
        <w:sectPr>
          <w:type w:val="continuous"/>
          <w:pgSz w:w="11910" w:h="16840"/>
          <w:pgMar w:top="1580" w:bottom="2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107,125,640.14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100,606,192.81</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19,897,186.21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20,418,580.19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10,122,529.77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7,644,082.99</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9,139,928.06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9,821,660.39</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146,285,284.18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138,490,516.38</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859,478,665.91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731,029,892.72</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99,989,277.10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65,061,143.79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77,930,141.86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29,615,949.11</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7,313,445.36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7,922,844.87</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25,453,748.96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28,245,468.50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23,893,422.42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25,373,622.87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36,262.41</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197,611.67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378.83</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264,580,035.70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156,219,029.14</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320,000.00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320,000.00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1,633,787.30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8,434,320.11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1,953,787.30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8,754,320.11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266,533,823.00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164,973,349.25</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180,000,000.00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180,000,000.00</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178,367,745.82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178,367,745.82</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-85,000.00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34,171,640.99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31,629,106.37</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200,480,748.76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176,649,316.20</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592,935,135.57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566,646,168.39</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9,707.34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-589,624.92</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592,944,842.91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566,056,543.47</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859,478,665.91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731,029,892.72</w:t>
            </w:r>
            <w:r>
              <w:rPr>
                <w:rFonts w:ascii="Times New Roman"/>
                <w:sz w:val="18"/>
              </w:rPr>
            </w:r>
          </w:p>
        </w:tc>
      </w:tr>
    </w:tbl>
    <w:p>
      <w:pPr>
        <w:spacing w:line="240" w:lineRule="auto" w:before="2"/>
        <w:rPr>
          <w:rFonts w:ascii="Times New Roman" w:hAnsi="Times New Roman" w:cs="Times New Roman" w:eastAsia="Times New Roman" w:hint="default"/>
          <w:sz w:val="23"/>
          <w:szCs w:val="23"/>
        </w:rPr>
      </w:pPr>
    </w:p>
    <w:p>
      <w:pPr>
        <w:tabs>
          <w:tab w:pos="3514" w:val="left" w:leader="none"/>
          <w:tab w:pos="7746" w:val="left" w:leader="none"/>
        </w:tabs>
        <w:spacing w:before="44"/>
        <w:ind w:left="0" w:right="1225" w:firstLine="0"/>
        <w:jc w:val="right"/>
        <w:rPr>
          <w:rFonts w:ascii="宋体" w:hAnsi="宋体" w:cs="宋体" w:eastAsia="宋体" w:hint="default"/>
          <w:sz w:val="18"/>
          <w:szCs w:val="18"/>
        </w:rPr>
      </w:pPr>
      <w:r>
        <w:rPr>
          <w:rFonts w:ascii="宋体" w:hAnsi="宋体" w:cs="宋体" w:eastAsia="宋体" w:hint="default"/>
          <w:sz w:val="18"/>
          <w:szCs w:val="18"/>
        </w:rPr>
        <w:t>法定代表人：史志明</w:t>
        <w:tab/>
      </w:r>
      <w:r>
        <w:rPr>
          <w:rFonts w:ascii="宋体" w:hAnsi="宋体" w:cs="宋体" w:eastAsia="宋体" w:hint="default"/>
          <w:spacing w:val="-1"/>
          <w:sz w:val="18"/>
          <w:szCs w:val="18"/>
        </w:rPr>
        <w:t>主管会计工作负责人：刘小兵</w:t>
        <w:tab/>
      </w:r>
      <w:r>
        <w:rPr>
          <w:rFonts w:ascii="宋体" w:hAnsi="宋体" w:cs="宋体" w:eastAsia="宋体" w:hint="default"/>
          <w:sz w:val="18"/>
          <w:szCs w:val="18"/>
        </w:rPr>
        <w:t>会计机构负责人：杜立</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61"/>
      <w:bookmarkEnd w:id="16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spacing w:before="0"/>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212,348,557.71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210,578,740.64</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10,716,935.35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3,817,518.40</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218,035,324.07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176,004,344.56</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422,250.00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38,515,289.09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23,991,041.38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35,780,544.43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39,710,428.17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41,087.08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939,791.67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96,574,312.04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60,281,697.48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4,239.16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612,397,451.85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554,383,770.63</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174,833,640.14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112,314,192.81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17,847,287.42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18,273,969.05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10,052,530.71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7,574,610.96</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8,027,405.32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9,253,808.84</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210,760,863.59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147,416,581.66</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823,158,315.44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701,800,352.29</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103,435,653.54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61,344,506.41</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75,252,869.13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28,263,841.97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2,222,340.00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5,020,436.24</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19,784,337.40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22,174,776.88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22,964,104.53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24,942,610.94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36,262.41</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197,611.67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378.83</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253,659,304.60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141,746,172.44</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320,000.00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320,000.00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149,809.49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7,130,324.72</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469,809.49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7,450,324.72</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254,129,114.09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149,196,497.16</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180,000,000.00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180,000,000.00</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178,845,571.61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178,845,571.61</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-85,000.00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34,171,640.99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31,629,106.37</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176,096,988.75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162,129,177.15</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569,029,201.35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552,603,855.13</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823,158,315.44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701,800,352.29</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3、合并利润表" w:id="162"/>
      <w:bookmarkEnd w:id="16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79"/>
        <w:gridCol w:w="3211"/>
        <w:gridCol w:w="3276"/>
      </w:tblGrid>
      <w:tr>
        <w:trPr>
          <w:trHeight w:val="402"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364,413,271.82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344,467,451.37</w:t>
            </w:r>
            <w:r>
              <w:rPr>
                <w:rFonts w:ascii="Times New Roman"/>
                <w:sz w:val="18"/>
              </w:rPr>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364,413,271.82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344,467,451.37</w:t>
            </w:r>
            <w:r>
              <w:rPr>
                <w:rFonts w:ascii="Times New Roman"/>
                <w:sz w:val="18"/>
              </w:rPr>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343,946,778.01</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303,485,100.08</w:t>
            </w:r>
            <w:r>
              <w:rPr>
                <w:rFonts w:ascii="Times New Roman"/>
                <w:sz w:val="18"/>
              </w:rPr>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282,286,426.39</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240,285,638.36</w:t>
            </w:r>
            <w:r>
              <w:rPr>
                <w:rFonts w:ascii="Times New Roman"/>
                <w:sz w:val="18"/>
              </w:rPr>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16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提取保险责任合同准备金 净额</w:t>
            </w:r>
          </w:p>
        </w:tc>
        <w:tc>
          <w:tcPr>
            <w:tcW w:w="3211"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1,949,278.47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1,872,711.27</w:t>
            </w:r>
            <w:r>
              <w:rPr>
                <w:rFonts w:ascii="Times New Roman"/>
                <w:sz w:val="18"/>
              </w:rPr>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25,911,911.39</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26,935,419.00</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21,861,958.38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21,417,556.65</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14,563,032.78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17,515,831.67</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-2,625,829.40</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-4,542,056.87</w:t>
            </w:r>
            <w:r>
              <w:rPr>
                <w:rFonts w:ascii="Times New Roman"/>
                <w:sz w:val="18"/>
              </w:rPr>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390,606.16</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3,077,249.08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4,590,841.70</w:t>
            </w:r>
            <w:r>
              <w:rPr>
                <w:rFonts w:ascii="Times New Roman"/>
                <w:sz w:val="18"/>
              </w:rPr>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11,031,632.81</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18,579,485.98</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1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8,918,351.44</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6,310,667.22</w:t>
            </w:r>
            <w:r>
              <w:rPr>
                <w:rFonts w:ascii="Times New Roman"/>
                <w:sz w:val="18"/>
              </w:rPr>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8,519,447.33</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5,572,359.00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177.839996pt;margin-top:367.079987pt;width:193.1pt;height:19.6pt;mso-position-horizontal-relative:page;mso-position-vertical-relative:page;z-index:-98576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group style="position:absolute;margin-left:210.960007pt;margin-top:108.239983pt;width:160pt;height:19.6pt;mso-position-horizontal-relative:page;mso-position-vertical-relative:page;z-index:-985744" coordorigin="4219,2165" coordsize="3200,392">
            <v:group style="position:absolute;left:7397;top:2165;width:22;height:392" coordorigin="7397,2165" coordsize="22,392">
              <v:shape style="position:absolute;left:7397;top:2165;width:22;height:392" coordorigin="7397,2165" coordsize="22,392" path="m7397,2556l7418,2556,7418,2165,7397,2165,7397,2556xe" filled="true" fillcolor="#ffffff" stroked="false">
                <v:path arrowok="t"/>
                <v:fill type="solid"/>
              </v:shape>
            </v:group>
            <v:group style="position:absolute;left:4219;top:2165;width:22;height:392" coordorigin="4219,2165" coordsize="22,392">
              <v:shape style="position:absolute;left:4219;top:2165;width:22;height:392" coordorigin="4219,2165" coordsize="22,392" path="m4219,2556l4241,2556,4241,2165,4219,2165,4219,2556xe" filled="true" fillcolor="#ffffff" stroked="false">
                <v:path arrowok="t"/>
                <v:fill type="solid"/>
              </v:shape>
            </v:group>
            <v:group style="position:absolute;left:4241;top:2165;width:3156;height:392" coordorigin="4241,2165" coordsize="3156,392">
              <v:shape style="position:absolute;left:4241;top:2165;width:3156;height:392" coordorigin="4241,2165" coordsize="3156,392" path="m4241,2556l7397,2556,7397,2165,4241,2165,4241,2556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079"/>
        <w:gridCol w:w="1109"/>
        <w:gridCol w:w="2102"/>
        <w:gridCol w:w="3276"/>
      </w:tblGrid>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6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以摊余成本计量的金融 资产终止确认收益</w:t>
            </w:r>
          </w:p>
        </w:tc>
        <w:tc>
          <w:tcPr>
            <w:tcW w:w="3211"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1"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sz w:val="18"/>
                <w:szCs w:val="18"/>
              </w:rPr>
              <w:t>信用减值损失（损失以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r>
              <w:rPr>
                <w:rFonts w:ascii="宋体" w:hAnsi="宋体" w:cs="宋体" w:eastAsia="宋体" w:hint="default"/>
                <w:sz w:val="18"/>
                <w:szCs w:val="18"/>
              </w:rPr>
              <w:t> 列）</w:t>
            </w:r>
          </w:p>
        </w:tc>
        <w:tc>
          <w:tcPr>
            <w:tcW w:w="3211"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5,993,246.95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3"/>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sz w:val="18"/>
                <w:szCs w:val="18"/>
              </w:rPr>
              <w:t>资产减值损失（损失以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r>
              <w:rPr>
                <w:rFonts w:ascii="宋体" w:hAnsi="宋体" w:cs="宋体" w:eastAsia="宋体" w:hint="default"/>
                <w:sz w:val="18"/>
                <w:szCs w:val="18"/>
              </w:rPr>
              <w:t> 列）</w:t>
            </w:r>
          </w:p>
        </w:tc>
        <w:tc>
          <w:tcPr>
            <w:tcW w:w="3211"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-6,782,594.45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-13,675,165.99</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sz w:val="18"/>
                <w:szCs w:val="18"/>
              </w:rPr>
              <w:t>资产处置收益（损失以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r>
              <w:rPr>
                <w:rFonts w:ascii="宋体" w:hAnsi="宋体" w:cs="宋体" w:eastAsia="宋体" w:hint="default"/>
                <w:sz w:val="18"/>
                <w:szCs w:val="18"/>
              </w:rPr>
              <w:t> 列）</w:t>
            </w:r>
          </w:p>
        </w:tc>
        <w:tc>
          <w:tcPr>
            <w:tcW w:w="3211"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39,627,130.56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52,197,338.50</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58,675.00</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510,000.00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7,019.03</w:t>
            </w:r>
          </w:p>
        </w:tc>
      </w:tr>
      <w:tr>
        <w:trPr>
          <w:trHeight w:val="401" w:hRule="exact"/>
        </w:trPr>
        <w:tc>
          <w:tcPr>
            <w:tcW w:w="3079" w:type="dxa"/>
            <w:tcBorders>
              <w:top w:val="single" w:sz="4" w:space="0" w:color="000000"/>
              <w:left w:val="single" w:sz="4" w:space="0" w:color="000000"/>
              <w:bottom w:val="single" w:sz="4" w:space="0" w:color="000000"/>
              <w:right w:val="single" w:sz="13" w:space="0" w:color="FFFFFF"/>
            </w:tcBorders>
            <w:shd w:val="clear" w:color="auto" w:fill="D4D4D4"/>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109" w:type="dxa"/>
            <w:tcBorders>
              <w:top w:val="single" w:sz="4" w:space="0" w:color="000000"/>
              <w:left w:val="single" w:sz="13" w:space="0" w:color="FFFFFF"/>
              <w:bottom w:val="single" w:sz="4" w:space="0" w:color="000000"/>
              <w:right w:val="nil" w:sz="6" w:space="0" w:color="auto"/>
            </w:tcBorders>
          </w:tcPr>
          <w:p>
            <w:pPr/>
          </w:p>
        </w:tc>
        <w:tc>
          <w:tcPr>
            <w:tcW w:w="2102"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left="1043" w:right="0"/>
              <w:jc w:val="left"/>
              <w:rPr>
                <w:rFonts w:ascii="Times New Roman" w:hAnsi="Times New Roman" w:cs="Times New Roman" w:eastAsia="Times New Roman" w:hint="default"/>
                <w:sz w:val="18"/>
                <w:szCs w:val="18"/>
              </w:rPr>
            </w:pPr>
            <w:r>
              <w:rPr>
                <w:rFonts w:ascii="Times New Roman"/>
                <w:sz w:val="18"/>
              </w:rPr>
              <w:t>39,117,130.56</w:t>
            </w:r>
          </w:p>
        </w:tc>
        <w:tc>
          <w:tcPr>
            <w:tcW w:w="3276"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52,248,994.47</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3,228,831.12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5,960,248.51</w:t>
            </w:r>
            <w:r>
              <w:rPr>
                <w:rFonts w:ascii="Times New Roman"/>
                <w:sz w:val="18"/>
              </w:rPr>
            </w:r>
          </w:p>
        </w:tc>
      </w:tr>
      <w:tr>
        <w:trPr>
          <w:trHeight w:val="402"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35,888,299.44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46,288,745.96</w:t>
            </w:r>
          </w:p>
        </w:tc>
      </w:tr>
      <w:tr>
        <w:trPr>
          <w:trHeight w:val="402"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（一）按经营持续性分类</w:t>
            </w:r>
          </w:p>
        </w:tc>
        <w:tc>
          <w:tcPr>
            <w:tcW w:w="3211" w:type="dxa"/>
            <w:gridSpan w:val="2"/>
            <w:tcBorders>
              <w:top w:val="single" w:sz="4" w:space="0" w:color="000000"/>
              <w:left w:val="single" w:sz="4" w:space="0" w:color="000000"/>
              <w:bottom w:val="single" w:sz="4" w:space="0" w:color="000000"/>
              <w:right w:val="single" w:sz="4" w:space="0" w:color="000000"/>
            </w:tcBorders>
            <w:shd w:val="clear" w:color="auto" w:fill="D4D4D4"/>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1"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35,888,299.44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46,288,745.96</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1"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（二）按所有权归属分类</w:t>
            </w:r>
          </w:p>
        </w:tc>
        <w:tc>
          <w:tcPr>
            <w:tcW w:w="3211" w:type="dxa"/>
            <w:gridSpan w:val="2"/>
            <w:tcBorders>
              <w:top w:val="single" w:sz="4" w:space="0" w:color="000000"/>
              <w:left w:val="single" w:sz="4" w:space="0" w:color="000000"/>
              <w:bottom w:val="single" w:sz="4" w:space="0" w:color="000000"/>
              <w:right w:val="single" w:sz="4" w:space="0" w:color="000000"/>
            </w:tcBorders>
            <w:shd w:val="clear" w:color="auto" w:fill="D4D4D4"/>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35,288,967.18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46,807,199.75</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599,332.26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-518,453.79</w:t>
            </w:r>
            <w:r>
              <w:rPr>
                <w:rFonts w:ascii="Times New Roman"/>
                <w:sz w:val="18"/>
              </w:rPr>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6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11"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 动额</w:t>
            </w:r>
          </w:p>
        </w:tc>
        <w:tc>
          <w:tcPr>
            <w:tcW w:w="3211"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3"/>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 他综合收益</w:t>
            </w:r>
          </w:p>
        </w:tc>
        <w:tc>
          <w:tcPr>
            <w:tcW w:w="3211"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079"/>
        <w:gridCol w:w="3211"/>
        <w:gridCol w:w="3276"/>
      </w:tblGrid>
      <w:tr>
        <w:trPr>
          <w:trHeight w:val="362"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 值变动</w:t>
            </w:r>
          </w:p>
        </w:tc>
        <w:tc>
          <w:tcPr>
            <w:tcW w:w="3211"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11"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 综合收益</w:t>
            </w:r>
          </w:p>
        </w:tc>
        <w:tc>
          <w:tcPr>
            <w:tcW w:w="3211"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 动</w:t>
            </w:r>
          </w:p>
        </w:tc>
        <w:tc>
          <w:tcPr>
            <w:tcW w:w="3211"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 值变动损益</w:t>
            </w:r>
          </w:p>
        </w:tc>
        <w:tc>
          <w:tcPr>
            <w:tcW w:w="3211"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11"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11"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 备</w:t>
            </w:r>
          </w:p>
        </w:tc>
        <w:tc>
          <w:tcPr>
            <w:tcW w:w="3211"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6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11"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35,888,299.44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46,288,745.96</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6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35,288,967.18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46,807,199.75</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599,332.26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-518,453.79</w:t>
            </w:r>
            <w:r>
              <w:rPr>
                <w:rFonts w:ascii="Times New Roman"/>
                <w:sz w:val="18"/>
              </w:rPr>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0.1960</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0.2600</w:t>
            </w:r>
            <w:r>
              <w:rPr>
                <w:rFonts w:ascii="Times New Roman"/>
                <w:sz w:val="18"/>
              </w:rPr>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0.1960</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0.2600</w:t>
            </w:r>
            <w:r>
              <w:rPr>
                <w:rFonts w:ascii="Times New Roman"/>
                <w:sz w:val="18"/>
              </w:rPr>
            </w:r>
          </w:p>
        </w:tc>
      </w:tr>
    </w:tbl>
    <w:p>
      <w:pPr>
        <w:tabs>
          <w:tab w:pos="3667" w:val="left" w:leader="none"/>
          <w:tab w:pos="7898" w:val="left" w:leader="none"/>
        </w:tabs>
        <w:spacing w:line="595" w:lineRule="auto" w:before="51"/>
        <w:ind w:left="152" w:right="1225"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 </w:t>
      </w:r>
      <w:r>
        <w:rPr>
          <w:rFonts w:ascii="宋体" w:hAnsi="宋体" w:cs="宋体" w:eastAsia="宋体" w:hint="default"/>
          <w:sz w:val="18"/>
          <w:szCs w:val="18"/>
        </w:rPr>
        <w:t>法定代表人：史志明</w:t>
        <w:tab/>
      </w:r>
      <w:r>
        <w:rPr>
          <w:rFonts w:ascii="宋体" w:hAnsi="宋体" w:cs="宋体" w:eastAsia="宋体" w:hint="default"/>
          <w:spacing w:val="-1"/>
          <w:sz w:val="18"/>
          <w:szCs w:val="18"/>
        </w:rPr>
        <w:t>主管会计工作负责人：刘小兵</w:t>
        <w:tab/>
      </w:r>
      <w:r>
        <w:rPr>
          <w:rFonts w:ascii="宋体" w:hAnsi="宋体" w:cs="宋体" w:eastAsia="宋体" w:hint="default"/>
          <w:sz w:val="18"/>
          <w:szCs w:val="18"/>
        </w:rPr>
        <w:t>会计机构负责人：杜立</w:t>
      </w:r>
      <w:r>
        <w:rPr>
          <w:rFonts w:ascii="宋体" w:hAnsi="宋体" w:cs="宋体" w:eastAsia="宋体" w:hint="default"/>
          <w:sz w:val="18"/>
          <w:szCs w:val="18"/>
        </w:rPr>
        <w:t> </w:t>
      </w:r>
      <w:bookmarkStart w:name="4、母公司利润表" w:id="163"/>
      <w:bookmarkEnd w:id="163"/>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2"/>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320,256,442.99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287,243,412.73</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263,054,996.71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205,776,730.18</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1,394,985.66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1,623,050.80</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22,312,887.42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20,647,972.93</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17,305,858.86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15,869,943.35</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10,541,516.36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12,034,601.62</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-2,577,455.67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-4,528,838.20</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390,606.16</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3,019,422.17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4,569,768.76</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10,126,815.23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14,177,041.04</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7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8,918,351.44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6,310,667.22</w:t>
            </w:r>
            <w:r>
              <w:rPr>
                <w:rFonts w:ascii="Times New Roman"/>
                <w:sz w:val="18"/>
              </w:rPr>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8,519,447.33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5,572,359.00</w:t>
            </w:r>
            <w:r>
              <w:rPr>
                <w:rFonts w:ascii="Times New Roman"/>
                <w:sz w:val="18"/>
              </w:rPr>
            </w:r>
          </w:p>
        </w:tc>
      </w:tr>
      <w:tr>
        <w:trPr>
          <w:trHeight w:val="102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净敞口套期收益（损失以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3"/>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信用减值损失（损失以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7,062,932.99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资产减值损失（损失以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-6,710,976.82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-12,331,471.54</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3"/>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27,620,776.49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43,976,188.77</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3"/>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27,230,776.49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43,976,188.77</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1,805,430.27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5,022,387.09</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25,425,346.22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38,953,801.68</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25,425,346.22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38,953,801.68</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 价值变动</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 价值变动</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 变动</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 准备</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25,425,346.22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38,953,801.68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5、合并现金流量表" w:id="164"/>
      <w:bookmarkEnd w:id="16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405,936,419.47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323,831,895.97</w:t>
            </w:r>
            <w:r>
              <w:rPr>
                <w:rFonts w:ascii="Times New Roman"/>
                <w:sz w:val="18"/>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代理买卖证券收到的现金净额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16,804,887.15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25,470,333.83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422,741,306.62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349,302,229.80</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295,826,235.81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230,045,964.94</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62,906,089.90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54,118,728.80</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17,376,930.04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18,522,153.55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51,603,653.06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59,348,307.90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427,712,908.81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362,035,155.19</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-4,971,602.19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-12,732,925.39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153,884,976.05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130,051,474.88</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w:t>
            </w:r>
            <w:r>
              <w:rPr>
                <w:rFonts w:ascii="Times New Roman"/>
                <w:sz w:val="18"/>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155,884,976.05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134,051,674.88</w:t>
            </w:r>
            <w:r>
              <w:rPr>
                <w:rFonts w:ascii="Times New Roman"/>
                <w:sz w:val="18"/>
              </w:rPr>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5,110,536.90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1,815,690.24</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130,000,000.00</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5,110,536.90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131,815,690.24</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150,774,439.15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2,235,984.64</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9,157,110.91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4,999,621.17</w:t>
            </w:r>
            <w:r>
              <w:rPr>
                <w:rFonts w:ascii="Times New Roman"/>
                <w:sz w:val="18"/>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9,157,110.91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4,999,621.17</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20,842,889.09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-4,999,621.17</w:t>
            </w:r>
            <w:r>
              <w:rPr>
                <w:rFonts w:ascii="Times New Roman"/>
                <w:sz w:val="18"/>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166,645,726.05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-15,496,561.92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108,365,888.35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123,862,450.27</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275,011,614.40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108,365,888.35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8"/>
        <w:rPr>
          <w:rFonts w:ascii="Times New Roman" w:hAnsi="Times New Roman" w:cs="Times New Roman" w:eastAsia="Times New Roman" w:hint="default"/>
          <w:sz w:val="23"/>
          <w:szCs w:val="23"/>
        </w:rPr>
      </w:pPr>
    </w:p>
    <w:p>
      <w:pPr>
        <w:pStyle w:val="Heading3"/>
        <w:spacing w:line="240" w:lineRule="auto" w:before="36"/>
        <w:ind w:right="0"/>
        <w:jc w:val="left"/>
        <w:rPr>
          <w:b w:val="0"/>
          <w:bCs w:val="0"/>
        </w:rPr>
      </w:pPr>
      <w:bookmarkStart w:name="6、母公司现金流量表" w:id="165"/>
      <w:bookmarkEnd w:id="16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357,932,353.29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282,043,389.45</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16,149,373.26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20,209,238.67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374,081,726.55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302,252,628.12</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279,598,287.07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224,039,914.61</w:t>
            </w:r>
            <w:r>
              <w:rPr>
                <w:rFonts w:ascii="Times New Roman"/>
                <w:sz w:val="18"/>
              </w:rPr>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41,242,645.69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30,824,929.99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11,513,929.13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14,218,456.81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42,990,343.33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46,220,833.20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375,345,205.22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315,304,134.61</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-1,263,478.67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-13,051,506.49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153,884,976.05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130,051,474.88</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w:t>
            </w:r>
            <w:r>
              <w:rPr>
                <w:rFonts w:ascii="Times New Roman"/>
                <w:sz w:val="18"/>
              </w:rPr>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155,884,976.05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134,051,474.88</w:t>
            </w:r>
            <w:r>
              <w:rPr>
                <w:rFonts w:ascii="Times New Roman"/>
                <w:sz w:val="18"/>
              </w:rPr>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4,500,621.97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1,146,429.47</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131,500,000.00</w:t>
            </w:r>
            <w:r>
              <w:rPr>
                <w:rFonts w:ascii="Times New Roman"/>
                <w:sz w:val="18"/>
              </w:rPr>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60,500,621.97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132,646,429.47</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95,384,354.08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1,405,045.41</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7"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9,157,110.91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4,999,621.17</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9,157,110.91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4,999,621.17</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20,842,889.09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-4,999,621.17</w:t>
            </w:r>
            <w:r>
              <w:rPr>
                <w:rFonts w:ascii="Times New Roman"/>
                <w:sz w:val="18"/>
              </w:rPr>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2"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114,963,764.50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-16,646,082.25</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89,472,076.58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106,118,158.83</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204,435,841.08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89,472,076.58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合并所有者权益变动表" w:id="166"/>
      <w:bookmarkEnd w:id="16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68"/>
        <w:gridCol w:w="583"/>
        <w:gridCol w:w="586"/>
        <w:gridCol w:w="583"/>
        <w:gridCol w:w="583"/>
        <w:gridCol w:w="583"/>
        <w:gridCol w:w="583"/>
        <w:gridCol w:w="586"/>
        <w:gridCol w:w="583"/>
        <w:gridCol w:w="583"/>
        <w:gridCol w:w="586"/>
        <w:gridCol w:w="578"/>
      </w:tblGrid>
      <w:tr>
        <w:trPr>
          <w:trHeight w:val="401" w:hRule="exact"/>
        </w:trPr>
        <w:tc>
          <w:tcPr>
            <w:tcW w:w="125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1" w:type="dxa"/>
            <w:gridSpan w:val="1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3" w:hRule="exact"/>
        </w:trPr>
        <w:tc>
          <w:tcPr>
            <w:tcW w:w="1253" w:type="dxa"/>
            <w:vMerge/>
            <w:tcBorders>
              <w:left w:val="single" w:sz="4" w:space="0" w:color="000000"/>
              <w:right w:val="single" w:sz="4" w:space="0" w:color="000000"/>
            </w:tcBorders>
            <w:shd w:val="clear" w:color="auto" w:fill="D4D4D4"/>
          </w:tcPr>
          <w:p>
            <w:pPr/>
          </w:p>
        </w:tc>
        <w:tc>
          <w:tcPr>
            <w:tcW w:w="7147"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142"/>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1" w:hRule="exact"/>
        </w:trPr>
        <w:tc>
          <w:tcPr>
            <w:tcW w:w="1253" w:type="dxa"/>
            <w:vMerge/>
            <w:tcBorders>
              <w:left w:val="single" w:sz="4" w:space="0" w:color="000000"/>
              <w:right w:val="single" w:sz="4" w:space="0" w:color="000000"/>
            </w:tcBorders>
            <w:shd w:val="clear" w:color="auto" w:fill="D4D4D4"/>
          </w:tcPr>
          <w:p>
            <w:pPr/>
          </w:p>
        </w:tc>
        <w:tc>
          <w:tcPr>
            <w:tcW w:w="4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7" w:right="34" w:hanging="84"/>
              <w:jc w:val="left"/>
              <w:rPr>
                <w:rFonts w:ascii="宋体" w:hAnsi="宋体" w:cs="宋体" w:eastAsia="宋体" w:hint="default"/>
                <w:sz w:val="18"/>
                <w:szCs w:val="18"/>
              </w:rPr>
            </w:pPr>
            <w:r>
              <w:rPr>
                <w:rFonts w:ascii="宋体" w:hAnsi="宋体" w:cs="宋体" w:eastAsia="宋体" w:hint="default"/>
                <w:spacing w:val="-9"/>
                <w:sz w:val="18"/>
                <w:szCs w:val="18"/>
              </w:rPr>
              <w:t>减：库</w:t>
            </w:r>
            <w:r>
              <w:rPr>
                <w:rFonts w:ascii="宋体" w:hAnsi="宋体" w:cs="宋体" w:eastAsia="宋体" w:hint="default"/>
                <w:spacing w:val="-13"/>
                <w:sz w:val="18"/>
                <w:szCs w:val="18"/>
              </w:rPr>
              <w:t> </w:t>
            </w:r>
            <w:r>
              <w:rPr>
                <w:rFonts w:ascii="宋体" w:hAnsi="宋体" w:cs="宋体" w:eastAsia="宋体" w:hint="default"/>
                <w:sz w:val="18"/>
                <w:szCs w:val="18"/>
              </w:rPr>
              <w:t>存股</w:t>
            </w:r>
          </w:p>
        </w:tc>
        <w:tc>
          <w:tcPr>
            <w:tcW w:w="58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4D4D4"/>
          </w:tcPr>
          <w:p>
            <w:pPr/>
          </w:p>
        </w:tc>
        <w:tc>
          <w:tcPr>
            <w:tcW w:w="578" w:type="dxa"/>
            <w:vMerge/>
            <w:tcBorders>
              <w:left w:val="single" w:sz="4" w:space="0" w:color="000000"/>
              <w:right w:val="single" w:sz="4" w:space="0" w:color="000000"/>
            </w:tcBorders>
            <w:shd w:val="clear" w:color="auto" w:fill="D4D4D4"/>
          </w:tcPr>
          <w:p>
            <w:pPr/>
          </w:p>
        </w:tc>
      </w:tr>
      <w:tr>
        <w:trPr>
          <w:trHeight w:val="715" w:hRule="exact"/>
        </w:trPr>
        <w:tc>
          <w:tcPr>
            <w:tcW w:w="1253" w:type="dxa"/>
            <w:vMerge/>
            <w:tcBorders>
              <w:left w:val="single" w:sz="4" w:space="0" w:color="000000"/>
              <w:bottom w:val="single" w:sz="4" w:space="0" w:color="000000"/>
              <w:right w:val="single" w:sz="4" w:space="0" w:color="000000"/>
            </w:tcBorders>
            <w:shd w:val="clear" w:color="auto" w:fill="D4D4D4"/>
          </w:tcPr>
          <w:p>
            <w:pPr/>
          </w:p>
        </w:tc>
        <w:tc>
          <w:tcPr>
            <w:tcW w:w="494" w:type="dxa"/>
            <w:vMerge/>
            <w:tcBorders>
              <w:left w:val="single" w:sz="4" w:space="0" w:color="000000"/>
              <w:bottom w:val="single" w:sz="4" w:space="0" w:color="000000"/>
              <w:right w:val="single" w:sz="4" w:space="0" w:color="000000"/>
            </w:tcBorders>
            <w:shd w:val="clear" w:color="auto" w:fill="D4D4D4"/>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39" w:right="47"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bottom w:val="single" w:sz="4" w:space="0" w:color="000000"/>
              <w:right w:val="single" w:sz="4" w:space="0" w:color="000000"/>
            </w:tcBorders>
            <w:shd w:val="clear" w:color="auto" w:fill="D4D4D4"/>
          </w:tcPr>
          <w:p>
            <w:pPr/>
          </w:p>
        </w:tc>
        <w:tc>
          <w:tcPr>
            <w:tcW w:w="586" w:type="dxa"/>
            <w:vMerge/>
            <w:tcBorders>
              <w:left w:val="single" w:sz="4" w:space="0" w:color="000000"/>
              <w:bottom w:val="single" w:sz="4" w:space="0" w:color="000000"/>
              <w:right w:val="single" w:sz="4" w:space="0" w:color="000000"/>
            </w:tcBorders>
            <w:shd w:val="clear" w:color="auto" w:fill="D4D4D4"/>
          </w:tcPr>
          <w:p>
            <w:pPr/>
          </w:p>
        </w:tc>
        <w:tc>
          <w:tcPr>
            <w:tcW w:w="583" w:type="dxa"/>
            <w:vMerge/>
            <w:tcBorders>
              <w:left w:val="single" w:sz="4" w:space="0" w:color="000000"/>
              <w:bottom w:val="single" w:sz="4" w:space="0" w:color="000000"/>
              <w:right w:val="single" w:sz="4" w:space="0" w:color="000000"/>
            </w:tcBorders>
            <w:shd w:val="clear" w:color="auto" w:fill="D4D4D4"/>
          </w:tcPr>
          <w:p>
            <w:pPr/>
          </w:p>
        </w:tc>
        <w:tc>
          <w:tcPr>
            <w:tcW w:w="583" w:type="dxa"/>
            <w:vMerge/>
            <w:tcBorders>
              <w:left w:val="single" w:sz="4" w:space="0" w:color="000000"/>
              <w:bottom w:val="single" w:sz="4" w:space="0" w:color="000000"/>
              <w:right w:val="single" w:sz="4" w:space="0" w:color="000000"/>
            </w:tcBorders>
            <w:shd w:val="clear" w:color="auto" w:fill="D4D4D4"/>
          </w:tcPr>
          <w:p>
            <w:pPr/>
          </w:p>
        </w:tc>
        <w:tc>
          <w:tcPr>
            <w:tcW w:w="583" w:type="dxa"/>
            <w:vMerge/>
            <w:tcBorders>
              <w:left w:val="single" w:sz="4" w:space="0" w:color="000000"/>
              <w:bottom w:val="single" w:sz="4" w:space="0" w:color="000000"/>
              <w:right w:val="single" w:sz="4" w:space="0" w:color="000000"/>
            </w:tcBorders>
            <w:shd w:val="clear" w:color="auto" w:fill="D4D4D4"/>
          </w:tcPr>
          <w:p>
            <w:pPr/>
          </w:p>
        </w:tc>
        <w:tc>
          <w:tcPr>
            <w:tcW w:w="583" w:type="dxa"/>
            <w:vMerge/>
            <w:tcBorders>
              <w:left w:val="single" w:sz="4" w:space="0" w:color="000000"/>
              <w:bottom w:val="single" w:sz="4" w:space="0" w:color="000000"/>
              <w:right w:val="single" w:sz="4" w:space="0" w:color="000000"/>
            </w:tcBorders>
            <w:shd w:val="clear" w:color="auto" w:fill="D4D4D4"/>
          </w:tcPr>
          <w:p>
            <w:pPr/>
          </w:p>
        </w:tc>
        <w:tc>
          <w:tcPr>
            <w:tcW w:w="586" w:type="dxa"/>
            <w:vMerge/>
            <w:tcBorders>
              <w:left w:val="single" w:sz="4" w:space="0" w:color="000000"/>
              <w:bottom w:val="single" w:sz="4" w:space="0" w:color="000000"/>
              <w:right w:val="single" w:sz="4" w:space="0" w:color="000000"/>
            </w:tcBorders>
            <w:shd w:val="clear" w:color="auto" w:fill="D4D4D4"/>
          </w:tcPr>
          <w:p>
            <w:pPr/>
          </w:p>
        </w:tc>
        <w:tc>
          <w:tcPr>
            <w:tcW w:w="583" w:type="dxa"/>
            <w:vMerge/>
            <w:tcBorders>
              <w:left w:val="single" w:sz="4" w:space="0" w:color="000000"/>
              <w:bottom w:val="single" w:sz="4" w:space="0" w:color="000000"/>
              <w:right w:val="single" w:sz="4" w:space="0" w:color="000000"/>
            </w:tcBorders>
            <w:shd w:val="clear" w:color="auto" w:fill="D4D4D4"/>
          </w:tcPr>
          <w:p>
            <w:pPr/>
          </w:p>
        </w:tc>
        <w:tc>
          <w:tcPr>
            <w:tcW w:w="583" w:type="dxa"/>
            <w:vMerge/>
            <w:tcBorders>
              <w:left w:val="single" w:sz="4" w:space="0" w:color="000000"/>
              <w:bottom w:val="single" w:sz="4" w:space="0" w:color="000000"/>
              <w:right w:val="single" w:sz="4" w:space="0" w:color="000000"/>
            </w:tcBorders>
            <w:shd w:val="clear" w:color="auto" w:fill="D4D4D4"/>
          </w:tcPr>
          <w:p>
            <w:pPr/>
          </w:p>
        </w:tc>
        <w:tc>
          <w:tcPr>
            <w:tcW w:w="586" w:type="dxa"/>
            <w:vMerge/>
            <w:tcBorders>
              <w:left w:val="single" w:sz="4" w:space="0" w:color="000000"/>
              <w:bottom w:val="single" w:sz="4" w:space="0" w:color="000000"/>
              <w:right w:val="single" w:sz="4" w:space="0" w:color="000000"/>
            </w:tcBorders>
            <w:shd w:val="clear" w:color="auto" w:fill="D4D4D4"/>
          </w:tcPr>
          <w:p>
            <w:pPr/>
          </w:p>
        </w:tc>
        <w:tc>
          <w:tcPr>
            <w:tcW w:w="578"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180,0</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178,36</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7,745.</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82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31,629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,106.3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176,64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9,316.</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566,64</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6,168.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-589,6</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24.92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566,05</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6,543.</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47</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-85,00</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0.00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85,000</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37"/>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 控制下企业合 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180,0</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178,36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7,745.</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82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-85,00</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0.00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31,629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176,73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4,316.</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566,64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6,168.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-589,6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24.92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566,05</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6,543.</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47</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9"/>
                <w:sz w:val="18"/>
                <w:szCs w:val="18"/>
              </w:rPr>
              <w:t>三、本期增减变</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Times New Roman" w:hAnsi="Times New Roman" w:cs="Times New Roman" w:eastAsia="Times New Roman" w:hint="default"/>
                <w:sz w:val="18"/>
                <w:szCs w:val="18"/>
              </w:rPr>
            </w:pPr>
            <w:r>
              <w:rPr>
                <w:rFonts w:ascii="Times New Roman"/>
                <w:sz w:val="18"/>
              </w:rPr>
              <w:t>2,542,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9" w:right="0"/>
              <w:jc w:val="left"/>
              <w:rPr>
                <w:rFonts w:ascii="Times New Roman" w:hAnsi="Times New Roman" w:cs="Times New Roman" w:eastAsia="Times New Roman" w:hint="default"/>
                <w:sz w:val="18"/>
                <w:szCs w:val="18"/>
              </w:rPr>
            </w:pPr>
            <w:r>
              <w:rPr>
                <w:rFonts w:ascii="Times New Roman"/>
                <w:sz w:val="18"/>
              </w:rPr>
              <w:t>23,746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7" w:right="0"/>
              <w:jc w:val="left"/>
              <w:rPr>
                <w:rFonts w:ascii="Times New Roman" w:hAnsi="Times New Roman" w:cs="Times New Roman" w:eastAsia="Times New Roman" w:hint="default"/>
                <w:sz w:val="18"/>
                <w:szCs w:val="18"/>
              </w:rPr>
            </w:pPr>
            <w:r>
              <w:rPr>
                <w:rFonts w:ascii="Times New Roman"/>
                <w:sz w:val="18"/>
              </w:rPr>
              <w:t>26,288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9" w:right="0"/>
              <w:jc w:val="left"/>
              <w:rPr>
                <w:rFonts w:ascii="Times New Roman" w:hAnsi="Times New Roman" w:cs="Times New Roman" w:eastAsia="Times New Roman" w:hint="default"/>
                <w:sz w:val="18"/>
                <w:szCs w:val="18"/>
              </w:rPr>
            </w:pPr>
            <w:r>
              <w:rPr>
                <w:rFonts w:ascii="Times New Roman"/>
                <w:sz w:val="18"/>
              </w:rPr>
              <w:t>599,33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2" w:right="0"/>
              <w:jc w:val="left"/>
              <w:rPr>
                <w:rFonts w:ascii="Times New Roman" w:hAnsi="Times New Roman" w:cs="Times New Roman" w:eastAsia="Times New Roman" w:hint="default"/>
                <w:sz w:val="18"/>
                <w:szCs w:val="18"/>
              </w:rPr>
            </w:pPr>
            <w:r>
              <w:rPr>
                <w:rFonts w:ascii="Times New Roman"/>
                <w:sz w:val="18"/>
              </w:rPr>
              <w:t>26,888</w:t>
            </w:r>
          </w:p>
        </w:tc>
      </w:tr>
    </w:tbl>
    <w:p>
      <w:pPr>
        <w:spacing w:after="0" w:line="240" w:lineRule="auto"/>
        <w:jc w:val="lef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3"/>
        <w:gridCol w:w="583"/>
        <w:gridCol w:w="583"/>
        <w:gridCol w:w="586"/>
        <w:gridCol w:w="583"/>
        <w:gridCol w:w="583"/>
        <w:gridCol w:w="586"/>
        <w:gridCol w:w="578"/>
      </w:tblGrid>
      <w:tr>
        <w:trPr>
          <w:trHeight w:val="674" w:hRule="exact"/>
        </w:trPr>
        <w:tc>
          <w:tcPr>
            <w:tcW w:w="12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9"/>
                <w:sz w:val="18"/>
                <w:szCs w:val="18"/>
              </w:rPr>
              <w:t>动金额（减少以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 w:right="0"/>
              <w:jc w:val="left"/>
              <w:rPr>
                <w:rFonts w:ascii="Times New Roman" w:hAnsi="Times New Roman" w:cs="Times New Roman" w:eastAsia="Times New Roman" w:hint="default"/>
                <w:sz w:val="18"/>
                <w:szCs w:val="18"/>
              </w:rPr>
            </w:pPr>
            <w:r>
              <w:rPr>
                <w:rFonts w:ascii="Times New Roman"/>
                <w:sz w:val="18"/>
              </w:rPr>
              <w:t>534.62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,432.5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,967.1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9" w:right="0"/>
              <w:jc w:val="left"/>
              <w:rPr>
                <w:rFonts w:ascii="Times New Roman" w:hAnsi="Times New Roman" w:cs="Times New Roman" w:eastAsia="Times New Roman" w:hint="default"/>
                <w:sz w:val="18"/>
                <w:szCs w:val="18"/>
              </w:rPr>
            </w:pPr>
            <w:r>
              <w:rPr>
                <w:rFonts w:ascii="Times New Roman"/>
                <w:sz w:val="18"/>
              </w:rPr>
              <w:t>2.26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,299.4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35,288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35,288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599,33</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2.26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35,888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2,542,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534.62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-11,54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2,534.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-9,000,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000.00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-9,000,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2,542,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534.62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-2,542,</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534.62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-9,000,</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000.00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-9,000,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000.00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-9,000,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3"/>
        <w:gridCol w:w="583"/>
        <w:gridCol w:w="583"/>
        <w:gridCol w:w="586"/>
        <w:gridCol w:w="583"/>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180,0</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178,36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7,745.</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82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-85,00</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0.00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34,171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200,48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0,748.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76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592,93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5,135.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57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9,707.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34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592,94</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4,842.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91</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12"/>
        <w:gridCol w:w="490"/>
        <w:gridCol w:w="449"/>
        <w:gridCol w:w="449"/>
        <w:gridCol w:w="492"/>
        <w:gridCol w:w="576"/>
        <w:gridCol w:w="576"/>
        <w:gridCol w:w="578"/>
        <w:gridCol w:w="576"/>
        <w:gridCol w:w="576"/>
        <w:gridCol w:w="578"/>
        <w:gridCol w:w="588"/>
        <w:gridCol w:w="566"/>
        <w:gridCol w:w="569"/>
        <w:gridCol w:w="641"/>
        <w:gridCol w:w="653"/>
      </w:tblGrid>
      <w:tr>
        <w:trPr>
          <w:trHeight w:val="401" w:hRule="exact"/>
        </w:trPr>
        <w:tc>
          <w:tcPr>
            <w:tcW w:w="121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7" w:type="dxa"/>
            <w:gridSpan w:val="1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tc>
      </w:tr>
      <w:tr>
        <w:trPr>
          <w:trHeight w:val="403" w:hRule="exact"/>
        </w:trPr>
        <w:tc>
          <w:tcPr>
            <w:tcW w:w="1212" w:type="dxa"/>
            <w:vMerge/>
            <w:tcBorders>
              <w:left w:val="single" w:sz="4" w:space="0" w:color="000000"/>
              <w:right w:val="single" w:sz="4" w:space="0" w:color="000000"/>
            </w:tcBorders>
            <w:shd w:val="clear" w:color="auto" w:fill="D4D4D4"/>
          </w:tcPr>
          <w:p>
            <w:pPr/>
          </w:p>
        </w:tc>
        <w:tc>
          <w:tcPr>
            <w:tcW w:w="7063"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4" w:lineRule="auto"/>
              <w:ind w:left="47"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212" w:type="dxa"/>
            <w:vMerge/>
            <w:tcBorders>
              <w:left w:val="single" w:sz="4" w:space="0" w:color="000000"/>
              <w:right w:val="single" w:sz="4" w:space="0" w:color="000000"/>
            </w:tcBorders>
            <w:shd w:val="clear" w:color="auto" w:fill="D4D4D4"/>
          </w:tcPr>
          <w:p>
            <w:pPr/>
          </w:p>
        </w:tc>
        <w:tc>
          <w:tcPr>
            <w:tcW w:w="4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103" w:right="38" w:hanging="80"/>
              <w:jc w:val="left"/>
              <w:rPr>
                <w:rFonts w:ascii="宋体" w:hAnsi="宋体" w:cs="宋体" w:eastAsia="宋体" w:hint="default"/>
                <w:sz w:val="18"/>
                <w:szCs w:val="18"/>
              </w:rPr>
            </w:pPr>
            <w:r>
              <w:rPr>
                <w:rFonts w:ascii="宋体" w:hAnsi="宋体" w:cs="宋体" w:eastAsia="宋体" w:hint="default"/>
                <w:spacing w:val="-14"/>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7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7"/>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7"/>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7"/>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4D4D4"/>
          </w:tcPr>
          <w:p>
            <w:pPr/>
          </w:p>
        </w:tc>
        <w:tc>
          <w:tcPr>
            <w:tcW w:w="653" w:type="dxa"/>
            <w:vMerge/>
            <w:tcBorders>
              <w:left w:val="single" w:sz="4" w:space="0" w:color="000000"/>
              <w:right w:val="single" w:sz="4" w:space="0" w:color="000000"/>
            </w:tcBorders>
            <w:shd w:val="clear" w:color="auto" w:fill="D4D4D4"/>
          </w:tcPr>
          <w:p>
            <w:pPr/>
          </w:p>
        </w:tc>
      </w:tr>
      <w:tr>
        <w:trPr>
          <w:trHeight w:val="715" w:hRule="exact"/>
        </w:trPr>
        <w:tc>
          <w:tcPr>
            <w:tcW w:w="1212" w:type="dxa"/>
            <w:vMerge/>
            <w:tcBorders>
              <w:left w:val="single" w:sz="4" w:space="0" w:color="000000"/>
              <w:bottom w:val="single" w:sz="4" w:space="0" w:color="000000"/>
              <w:right w:val="single" w:sz="4" w:space="0" w:color="000000"/>
            </w:tcBorders>
            <w:shd w:val="clear" w:color="auto" w:fill="D4D4D4"/>
          </w:tcPr>
          <w:p>
            <w:pPr/>
          </w:p>
        </w:tc>
        <w:tc>
          <w:tcPr>
            <w:tcW w:w="490" w:type="dxa"/>
            <w:vMerge/>
            <w:tcBorders>
              <w:left w:val="single" w:sz="4" w:space="0" w:color="000000"/>
              <w:bottom w:val="single" w:sz="4" w:space="0" w:color="000000"/>
              <w:right w:val="single" w:sz="4" w:space="0" w:color="000000"/>
            </w:tcBorders>
            <w:shd w:val="clear" w:color="auto" w:fill="D4D4D4"/>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single" w:sz="4" w:space="0" w:color="000000"/>
              <w:right w:val="single" w:sz="4" w:space="0" w:color="000000"/>
            </w:tcBorders>
            <w:shd w:val="clear" w:color="auto" w:fill="D4D4D4"/>
          </w:tcPr>
          <w:p>
            <w:pPr/>
          </w:p>
        </w:tc>
        <w:tc>
          <w:tcPr>
            <w:tcW w:w="576" w:type="dxa"/>
            <w:vMerge/>
            <w:tcBorders>
              <w:left w:val="single" w:sz="4" w:space="0" w:color="000000"/>
              <w:bottom w:val="single" w:sz="4" w:space="0" w:color="000000"/>
              <w:right w:val="single" w:sz="4" w:space="0" w:color="000000"/>
            </w:tcBorders>
            <w:shd w:val="clear" w:color="auto" w:fill="D4D4D4"/>
          </w:tcPr>
          <w:p>
            <w:pPr/>
          </w:p>
        </w:tc>
        <w:tc>
          <w:tcPr>
            <w:tcW w:w="578" w:type="dxa"/>
            <w:vMerge/>
            <w:tcBorders>
              <w:left w:val="single" w:sz="4" w:space="0" w:color="000000"/>
              <w:bottom w:val="single" w:sz="4" w:space="0" w:color="000000"/>
              <w:right w:val="single" w:sz="4" w:space="0" w:color="000000"/>
            </w:tcBorders>
            <w:shd w:val="clear" w:color="auto" w:fill="D4D4D4"/>
          </w:tcPr>
          <w:p>
            <w:pPr/>
          </w:p>
        </w:tc>
        <w:tc>
          <w:tcPr>
            <w:tcW w:w="576" w:type="dxa"/>
            <w:vMerge/>
            <w:tcBorders>
              <w:left w:val="single" w:sz="4" w:space="0" w:color="000000"/>
              <w:bottom w:val="single" w:sz="4" w:space="0" w:color="000000"/>
              <w:right w:val="single" w:sz="4" w:space="0" w:color="000000"/>
            </w:tcBorders>
            <w:shd w:val="clear" w:color="auto" w:fill="D4D4D4"/>
          </w:tcPr>
          <w:p>
            <w:pPr/>
          </w:p>
        </w:tc>
        <w:tc>
          <w:tcPr>
            <w:tcW w:w="576" w:type="dxa"/>
            <w:vMerge/>
            <w:tcBorders>
              <w:left w:val="single" w:sz="4" w:space="0" w:color="000000"/>
              <w:bottom w:val="single" w:sz="4" w:space="0" w:color="000000"/>
              <w:right w:val="single" w:sz="4" w:space="0" w:color="000000"/>
            </w:tcBorders>
            <w:shd w:val="clear" w:color="auto" w:fill="D4D4D4"/>
          </w:tcPr>
          <w:p>
            <w:pPr/>
          </w:p>
        </w:tc>
        <w:tc>
          <w:tcPr>
            <w:tcW w:w="578" w:type="dxa"/>
            <w:vMerge/>
            <w:tcBorders>
              <w:left w:val="single" w:sz="4" w:space="0" w:color="000000"/>
              <w:bottom w:val="single" w:sz="4" w:space="0" w:color="000000"/>
              <w:right w:val="single" w:sz="4" w:space="0" w:color="000000"/>
            </w:tcBorders>
            <w:shd w:val="clear" w:color="auto" w:fill="D4D4D4"/>
          </w:tcPr>
          <w:p>
            <w:pPr/>
          </w:p>
        </w:tc>
        <w:tc>
          <w:tcPr>
            <w:tcW w:w="588" w:type="dxa"/>
            <w:vMerge/>
            <w:tcBorders>
              <w:left w:val="single" w:sz="4" w:space="0" w:color="000000"/>
              <w:bottom w:val="single" w:sz="4" w:space="0" w:color="000000"/>
              <w:right w:val="single" w:sz="4" w:space="0" w:color="000000"/>
            </w:tcBorders>
            <w:shd w:val="clear" w:color="auto" w:fill="D4D4D4"/>
          </w:tcPr>
          <w:p>
            <w:pPr/>
          </w:p>
        </w:tc>
        <w:tc>
          <w:tcPr>
            <w:tcW w:w="566" w:type="dxa"/>
            <w:vMerge/>
            <w:tcBorders>
              <w:left w:val="single" w:sz="4" w:space="0" w:color="000000"/>
              <w:bottom w:val="single" w:sz="4" w:space="0" w:color="000000"/>
              <w:right w:val="single" w:sz="4" w:space="0" w:color="000000"/>
            </w:tcBorders>
            <w:shd w:val="clear" w:color="auto" w:fill="D4D4D4"/>
          </w:tcPr>
          <w:p>
            <w:pPr/>
          </w:p>
        </w:tc>
        <w:tc>
          <w:tcPr>
            <w:tcW w:w="569" w:type="dxa"/>
            <w:vMerge/>
            <w:tcBorders>
              <w:left w:val="single" w:sz="4" w:space="0" w:color="000000"/>
              <w:bottom w:val="single" w:sz="4" w:space="0" w:color="000000"/>
              <w:right w:val="single" w:sz="4" w:space="0" w:color="000000"/>
            </w:tcBorders>
            <w:shd w:val="clear" w:color="auto" w:fill="D4D4D4"/>
          </w:tcPr>
          <w:p>
            <w:pPr/>
          </w:p>
        </w:tc>
        <w:tc>
          <w:tcPr>
            <w:tcW w:w="641" w:type="dxa"/>
            <w:vMerge/>
            <w:tcBorders>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258,36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7,745.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82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27,733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,726.2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138,73</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7,496.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524,83</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8,968.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-71,171</w:t>
            </w:r>
          </w:p>
          <w:p>
            <w:pPr>
              <w:pStyle w:val="TableParagraph"/>
              <w:spacing w:line="240" w:lineRule="auto" w:before="102"/>
              <w:ind w:left="386" w:right="0"/>
              <w:jc w:val="left"/>
              <w:rPr>
                <w:rFonts w:ascii="Times New Roman" w:hAnsi="Times New Roman" w:cs="Times New Roman" w:eastAsia="Times New Roman" w:hint="default"/>
                <w:sz w:val="18"/>
                <w:szCs w:val="18"/>
              </w:rPr>
            </w:pPr>
            <w:r>
              <w:rPr>
                <w:rFonts w:ascii="Times New Roman"/>
                <w:sz w:val="18"/>
              </w:rPr>
              <w:t>.13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524,767</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,797.51</w:t>
            </w: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258,36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7,745.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82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27,733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138,73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7,496.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524,83</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8,968.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-71,171</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.13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524,767</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,797.51</w:t>
            </w:r>
          </w:p>
        </w:tc>
      </w:tr>
      <w:tr>
        <w:trPr>
          <w:trHeight w:val="1337" w:hRule="exact"/>
        </w:trPr>
        <w:tc>
          <w:tcPr>
            <w:tcW w:w="12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2"/>
              <w:ind w:left="33"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3,895,</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380.17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37,911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,819.5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41,807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,199.7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-518,45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3.79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41,288,</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745.96</w:t>
            </w: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2" w:right="0"/>
              <w:jc w:val="left"/>
              <w:rPr>
                <w:rFonts w:ascii="Times New Roman" w:hAnsi="Times New Roman" w:cs="Times New Roman" w:eastAsia="Times New Roman" w:hint="default"/>
                <w:sz w:val="18"/>
                <w:szCs w:val="18"/>
              </w:rPr>
            </w:pPr>
            <w:r>
              <w:rPr>
                <w:rFonts w:ascii="Times New Roman"/>
                <w:sz w:val="18"/>
              </w:rPr>
              <w:t>46,807</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,199.7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0" w:right="0"/>
              <w:jc w:val="left"/>
              <w:rPr>
                <w:rFonts w:ascii="Times New Roman" w:hAnsi="Times New Roman" w:cs="Times New Roman" w:eastAsia="Times New Roman" w:hint="default"/>
                <w:sz w:val="18"/>
                <w:szCs w:val="18"/>
              </w:rPr>
            </w:pPr>
            <w:r>
              <w:rPr>
                <w:rFonts w:ascii="Times New Roman"/>
                <w:sz w:val="18"/>
              </w:rPr>
              <w:t>46,807</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,199.7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-518,45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3.79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46,288,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745.96</w:t>
            </w:r>
          </w:p>
        </w:tc>
      </w:tr>
    </w:tbl>
    <w:p>
      <w:pPr>
        <w:spacing w:after="0" w:line="240" w:lineRule="auto"/>
        <w:jc w:val="lef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6"/>
        <w:gridCol w:w="569"/>
        <w:gridCol w:w="641"/>
        <w:gridCol w:w="653"/>
      </w:tblGrid>
      <w:tr>
        <w:trPr>
          <w:trHeight w:val="362" w:hRule="exact"/>
        </w:trPr>
        <w:tc>
          <w:tcPr>
            <w:tcW w:w="12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5</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center"/>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center"/>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3,895,</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380.17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-8,895,</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380.17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000.00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3,895,</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380.17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-3,895,</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380.17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000.00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6"/>
        <w:gridCol w:w="569"/>
        <w:gridCol w:w="641"/>
        <w:gridCol w:w="653"/>
      </w:tblGrid>
      <w:tr>
        <w:trPr>
          <w:trHeight w:val="362" w:hRule="exact"/>
        </w:trPr>
        <w:tc>
          <w:tcPr>
            <w:tcW w:w="12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180,0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178,36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7,745.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82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31,629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176,64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9,316.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566,64</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6,168.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39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-589,62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4.92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566,056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,543.47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8、母公司所有者权益变动表" w:id="167"/>
      <w:bookmarkEnd w:id="16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2"/>
        <w:gridCol w:w="605"/>
        <w:gridCol w:w="727"/>
        <w:gridCol w:w="727"/>
        <w:gridCol w:w="725"/>
        <w:gridCol w:w="727"/>
        <w:gridCol w:w="727"/>
        <w:gridCol w:w="614"/>
        <w:gridCol w:w="710"/>
        <w:gridCol w:w="862"/>
      </w:tblGrid>
      <w:tr>
        <w:trPr>
          <w:trHeight w:val="402" w:hRule="exact"/>
        </w:trPr>
        <w:tc>
          <w:tcPr>
            <w:tcW w:w="130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1306" w:type="dxa"/>
            <w:vMerge/>
            <w:tcBorders>
              <w:left w:val="single" w:sz="4" w:space="0" w:color="000000"/>
              <w:right w:val="single" w:sz="4" w:space="0" w:color="000000"/>
            </w:tcBorders>
            <w:shd w:val="clear" w:color="auto" w:fill="D4D4D4"/>
          </w:tcPr>
          <w:p>
            <w:pPr/>
          </w:p>
        </w:tc>
        <w:tc>
          <w:tcPr>
            <w:tcW w:w="62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5"/>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5"/>
              <w:ind w:left="268" w:right="19" w:hanging="245"/>
              <w:jc w:val="left"/>
              <w:rPr>
                <w:rFonts w:ascii="宋体" w:hAnsi="宋体" w:cs="宋体" w:eastAsia="宋体" w:hint="default"/>
                <w:sz w:val="18"/>
                <w:szCs w:val="18"/>
              </w:rPr>
            </w:pPr>
            <w:r>
              <w:rPr>
                <w:rFonts w:ascii="宋体" w:hAnsi="宋体" w:cs="宋体" w:eastAsia="宋体" w:hint="default"/>
                <w:spacing w:val="-12"/>
                <w:sz w:val="18"/>
                <w:szCs w:val="18"/>
              </w:rPr>
              <w:t>减：库存</w:t>
            </w:r>
            <w:r>
              <w:rPr>
                <w:rFonts w:ascii="宋体" w:hAnsi="宋体" w:cs="宋体" w:eastAsia="宋体" w:hint="default"/>
                <w:sz w:val="18"/>
                <w:szCs w:val="18"/>
              </w:rPr>
              <w:t> 股</w:t>
            </w:r>
          </w:p>
        </w:tc>
        <w:tc>
          <w:tcPr>
            <w:tcW w:w="72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5"/>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5"/>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5"/>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5"/>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5"/>
              <w:ind w:left="156"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306" w:type="dxa"/>
            <w:vMerge/>
            <w:tcBorders>
              <w:left w:val="single" w:sz="4" w:space="0" w:color="000000"/>
              <w:bottom w:val="single" w:sz="4" w:space="0" w:color="000000"/>
              <w:right w:val="single" w:sz="4" w:space="0" w:color="000000"/>
            </w:tcBorders>
            <w:shd w:val="clear" w:color="auto" w:fill="D4D4D4"/>
          </w:tcPr>
          <w:p>
            <w:pPr/>
          </w:p>
        </w:tc>
        <w:tc>
          <w:tcPr>
            <w:tcW w:w="629" w:type="dxa"/>
            <w:vMerge/>
            <w:tcBorders>
              <w:left w:val="single" w:sz="4" w:space="0" w:color="000000"/>
              <w:bottom w:val="single" w:sz="4" w:space="0" w:color="000000"/>
              <w:right w:val="single" w:sz="4" w:space="0" w:color="000000"/>
            </w:tcBorders>
            <w:shd w:val="clear" w:color="auto" w:fill="D4D4D4"/>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bottom w:val="single" w:sz="4" w:space="0" w:color="000000"/>
              <w:right w:val="single" w:sz="4" w:space="0" w:color="000000"/>
            </w:tcBorders>
            <w:shd w:val="clear" w:color="auto" w:fill="D4D4D4"/>
          </w:tcPr>
          <w:p>
            <w:pPr/>
          </w:p>
        </w:tc>
        <w:tc>
          <w:tcPr>
            <w:tcW w:w="727" w:type="dxa"/>
            <w:vMerge/>
            <w:tcBorders>
              <w:left w:val="single" w:sz="4" w:space="0" w:color="000000"/>
              <w:bottom w:val="single" w:sz="4" w:space="0" w:color="000000"/>
              <w:right w:val="single" w:sz="4" w:space="0" w:color="000000"/>
            </w:tcBorders>
            <w:shd w:val="clear" w:color="auto" w:fill="D4D4D4"/>
          </w:tcPr>
          <w:p>
            <w:pPr/>
          </w:p>
        </w:tc>
        <w:tc>
          <w:tcPr>
            <w:tcW w:w="725" w:type="dxa"/>
            <w:vMerge/>
            <w:tcBorders>
              <w:left w:val="single" w:sz="4" w:space="0" w:color="000000"/>
              <w:bottom w:val="single" w:sz="4" w:space="0" w:color="000000"/>
              <w:right w:val="single" w:sz="4" w:space="0" w:color="000000"/>
            </w:tcBorders>
            <w:shd w:val="clear" w:color="auto" w:fill="D4D4D4"/>
          </w:tcPr>
          <w:p>
            <w:pPr/>
          </w:p>
        </w:tc>
        <w:tc>
          <w:tcPr>
            <w:tcW w:w="727" w:type="dxa"/>
            <w:vMerge/>
            <w:tcBorders>
              <w:left w:val="single" w:sz="4" w:space="0" w:color="000000"/>
              <w:bottom w:val="single" w:sz="4" w:space="0" w:color="000000"/>
              <w:right w:val="single" w:sz="4" w:space="0" w:color="000000"/>
            </w:tcBorders>
            <w:shd w:val="clear" w:color="auto" w:fill="D4D4D4"/>
          </w:tcPr>
          <w:p>
            <w:pPr/>
          </w:p>
        </w:tc>
        <w:tc>
          <w:tcPr>
            <w:tcW w:w="727" w:type="dxa"/>
            <w:vMerge/>
            <w:tcBorders>
              <w:left w:val="single" w:sz="4" w:space="0" w:color="000000"/>
              <w:bottom w:val="single" w:sz="4" w:space="0" w:color="000000"/>
              <w:right w:val="single" w:sz="4" w:space="0" w:color="000000"/>
            </w:tcBorders>
            <w:shd w:val="clear" w:color="auto" w:fill="D4D4D4"/>
          </w:tcPr>
          <w:p>
            <w:pPr/>
          </w:p>
        </w:tc>
        <w:tc>
          <w:tcPr>
            <w:tcW w:w="614" w:type="dxa"/>
            <w:vMerge/>
            <w:tcBorders>
              <w:left w:val="single" w:sz="4" w:space="0" w:color="000000"/>
              <w:bottom w:val="single" w:sz="4" w:space="0" w:color="000000"/>
              <w:right w:val="single" w:sz="4" w:space="0" w:color="000000"/>
            </w:tcBorders>
            <w:shd w:val="clear" w:color="auto" w:fill="D4D4D4"/>
          </w:tcPr>
          <w:p>
            <w:pPr/>
          </w:p>
        </w:tc>
        <w:tc>
          <w:tcPr>
            <w:tcW w:w="710" w:type="dxa"/>
            <w:vMerge/>
            <w:tcBorders>
              <w:left w:val="single" w:sz="4" w:space="0" w:color="000000"/>
              <w:bottom w:val="single" w:sz="4" w:space="0" w:color="000000"/>
              <w:right w:val="single" w:sz="4" w:space="0" w:color="000000"/>
            </w:tcBorders>
            <w:shd w:val="clear" w:color="auto" w:fill="D4D4D4"/>
          </w:tcPr>
          <w:p>
            <w:pPr/>
          </w:p>
        </w:tc>
        <w:tc>
          <w:tcPr>
            <w:tcW w:w="862"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180,00</w:t>
            </w:r>
            <w:r>
              <w:rPr>
                <w:rFonts w:ascii="Times New Roman"/>
                <w:sz w:val="18"/>
              </w:rPr>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178,845,</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571.61</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31,629,1</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06.37</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162,12</w:t>
            </w:r>
            <w:r>
              <w:rPr>
                <w:rFonts w:ascii="Times New Roman"/>
                <w:sz w:val="18"/>
              </w:rPr>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9,177.1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552,603,8</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55.13</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-85,000.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85,000.</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1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180,00</w:t>
            </w:r>
            <w:r>
              <w:rPr>
                <w:rFonts w:ascii="Times New Roman"/>
                <w:sz w:val="18"/>
              </w:rPr>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178,845,</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571.61</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31,629,1</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06.37</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162,21</w:t>
            </w:r>
            <w:r>
              <w:rPr>
                <w:rFonts w:ascii="Times New Roman"/>
                <w:sz w:val="18"/>
              </w:rPr>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4,177.1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552,603,8</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55.13</w:t>
            </w: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2,542,53</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4.62</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13,882,</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811.60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16,425,34</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6.22</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25,425,</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346.22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25,425,34</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6.22</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7"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04"/>
        <w:gridCol w:w="629"/>
        <w:gridCol w:w="605"/>
        <w:gridCol w:w="602"/>
        <w:gridCol w:w="605"/>
        <w:gridCol w:w="727"/>
        <w:gridCol w:w="727"/>
        <w:gridCol w:w="725"/>
        <w:gridCol w:w="727"/>
        <w:gridCol w:w="727"/>
        <w:gridCol w:w="614"/>
        <w:gridCol w:w="710"/>
        <w:gridCol w:w="862"/>
      </w:tblGrid>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3"/>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2,542,53</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4.62</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6" w:right="0"/>
              <w:jc w:val="left"/>
              <w:rPr>
                <w:rFonts w:ascii="Times New Roman" w:hAnsi="Times New Roman" w:cs="Times New Roman" w:eastAsia="Times New Roman" w:hint="default"/>
                <w:sz w:val="18"/>
                <w:szCs w:val="18"/>
              </w:rPr>
            </w:pPr>
            <w:r>
              <w:rPr>
                <w:rFonts w:ascii="Times New Roman"/>
                <w:sz w:val="18"/>
              </w:rPr>
              <w:t>-11,542</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,534.62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2,542,53</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4.62</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-2,542,</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534.62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3"/>
              <w:ind w:left="22" w:right="1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4" w:right="0"/>
              <w:jc w:val="left"/>
              <w:rPr>
                <w:rFonts w:ascii="Times New Roman" w:hAnsi="Times New Roman" w:cs="Times New Roman" w:eastAsia="Times New Roman" w:hint="default"/>
                <w:sz w:val="18"/>
                <w:szCs w:val="18"/>
              </w:rPr>
            </w:pPr>
            <w:r>
              <w:rPr>
                <w:rFonts w:ascii="Times New Roman"/>
                <w:sz w:val="18"/>
              </w:rPr>
              <w:t>-9,000,</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3"/>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3"/>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178,845,</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571.61</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34,171,6</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40.99</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176,09</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6,988.7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569,029,2</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01.35</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after="0"/>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13"/>
        <w:rPr>
          <w:rFonts w:ascii="宋体" w:hAnsi="宋体" w:cs="宋体" w:eastAsia="宋体" w:hint="default"/>
          <w:sz w:val="21"/>
          <w:szCs w:val="21"/>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31"/>
        <w:gridCol w:w="593"/>
        <w:gridCol w:w="574"/>
        <w:gridCol w:w="571"/>
        <w:gridCol w:w="571"/>
        <w:gridCol w:w="686"/>
        <w:gridCol w:w="686"/>
        <w:gridCol w:w="684"/>
        <w:gridCol w:w="782"/>
        <w:gridCol w:w="665"/>
        <w:gridCol w:w="797"/>
        <w:gridCol w:w="797"/>
        <w:gridCol w:w="931"/>
      </w:tblGrid>
      <w:tr>
        <w:trPr>
          <w:trHeight w:val="401" w:hRule="exact"/>
        </w:trPr>
        <w:tc>
          <w:tcPr>
            <w:tcW w:w="12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38"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tc>
      </w:tr>
      <w:tr>
        <w:trPr>
          <w:trHeight w:val="403" w:hRule="exact"/>
        </w:trPr>
        <w:tc>
          <w:tcPr>
            <w:tcW w:w="1231" w:type="dxa"/>
            <w:vMerge/>
            <w:tcBorders>
              <w:left w:val="single" w:sz="4" w:space="0" w:color="000000"/>
              <w:right w:val="single" w:sz="4" w:space="0" w:color="000000"/>
            </w:tcBorders>
            <w:shd w:val="clear" w:color="auto" w:fill="D4D4D4"/>
          </w:tcPr>
          <w:p>
            <w:pPr/>
          </w:p>
        </w:tc>
        <w:tc>
          <w:tcPr>
            <w:tcW w:w="5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4" w:right="31"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3" w:hRule="exact"/>
        </w:trPr>
        <w:tc>
          <w:tcPr>
            <w:tcW w:w="1231" w:type="dxa"/>
            <w:vMerge/>
            <w:tcBorders>
              <w:left w:val="single" w:sz="4" w:space="0" w:color="000000"/>
              <w:bottom w:val="single" w:sz="4" w:space="0" w:color="000000"/>
              <w:right w:val="single" w:sz="4" w:space="0" w:color="000000"/>
            </w:tcBorders>
            <w:shd w:val="clear" w:color="auto" w:fill="D4D4D4"/>
          </w:tcPr>
          <w:p>
            <w:pPr/>
          </w:p>
        </w:tc>
        <w:tc>
          <w:tcPr>
            <w:tcW w:w="593" w:type="dxa"/>
            <w:vMerge/>
            <w:tcBorders>
              <w:left w:val="single" w:sz="4" w:space="0" w:color="000000"/>
              <w:bottom w:val="single" w:sz="4" w:space="0" w:color="000000"/>
              <w:right w:val="single" w:sz="4" w:space="0" w:color="000000"/>
            </w:tcBorders>
            <w:shd w:val="clear" w:color="auto" w:fill="D4D4D4"/>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92" w:right="9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bottom w:val="single" w:sz="4" w:space="0" w:color="000000"/>
              <w:right w:val="single" w:sz="4" w:space="0" w:color="000000"/>
            </w:tcBorders>
            <w:shd w:val="clear" w:color="auto" w:fill="D4D4D4"/>
          </w:tcPr>
          <w:p>
            <w:pPr/>
          </w:p>
        </w:tc>
        <w:tc>
          <w:tcPr>
            <w:tcW w:w="686" w:type="dxa"/>
            <w:vMerge/>
            <w:tcBorders>
              <w:left w:val="single" w:sz="4" w:space="0" w:color="000000"/>
              <w:bottom w:val="single" w:sz="4" w:space="0" w:color="000000"/>
              <w:right w:val="single" w:sz="4" w:space="0" w:color="000000"/>
            </w:tcBorders>
            <w:shd w:val="clear" w:color="auto" w:fill="D4D4D4"/>
          </w:tcPr>
          <w:p>
            <w:pPr/>
          </w:p>
        </w:tc>
        <w:tc>
          <w:tcPr>
            <w:tcW w:w="684" w:type="dxa"/>
            <w:vMerge/>
            <w:tcBorders>
              <w:left w:val="single" w:sz="4" w:space="0" w:color="000000"/>
              <w:bottom w:val="single" w:sz="4" w:space="0" w:color="000000"/>
              <w:right w:val="single" w:sz="4" w:space="0" w:color="000000"/>
            </w:tcBorders>
            <w:shd w:val="clear" w:color="auto" w:fill="D4D4D4"/>
          </w:tcPr>
          <w:p>
            <w:pPr/>
          </w:p>
        </w:tc>
        <w:tc>
          <w:tcPr>
            <w:tcW w:w="782"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12"/>
                <w:sz w:val="18"/>
                <w:szCs w:val="18"/>
              </w:rPr>
              <w:t>一、上年期末余</w:t>
            </w:r>
            <w:r>
              <w:rPr>
                <w:rFonts w:ascii="宋体" w:hAnsi="宋体" w:cs="宋体" w:eastAsia="宋体" w:hint="default"/>
                <w:sz w:val="18"/>
                <w:szCs w:val="18"/>
              </w:rPr>
              <w:t> 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258,845</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,571.61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27,733,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726.20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132,070,7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55.64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518,650,05</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3.45</w:t>
            </w: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12"/>
                <w:sz w:val="18"/>
                <w:szCs w:val="18"/>
              </w:rPr>
              <w:t>二、本年期初余</w:t>
            </w:r>
            <w:r>
              <w:rPr>
                <w:rFonts w:ascii="宋体" w:hAnsi="宋体" w:cs="宋体" w:eastAsia="宋体" w:hint="default"/>
                <w:sz w:val="18"/>
                <w:szCs w:val="18"/>
              </w:rPr>
              <w:t> 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258,845</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,571.61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27,733,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726.20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132,070,7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55.64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518,650,05</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3.45</w:t>
            </w:r>
          </w:p>
        </w:tc>
      </w:tr>
      <w:tr>
        <w:trPr>
          <w:trHeight w:val="1025" w:hRule="exact"/>
        </w:trPr>
        <w:tc>
          <w:tcPr>
            <w:tcW w:w="1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9"/>
              <w:jc w:val="both"/>
              <w:rPr>
                <w:rFonts w:ascii="宋体" w:hAnsi="宋体" w:cs="宋体" w:eastAsia="宋体" w:hint="default"/>
                <w:sz w:val="18"/>
                <w:szCs w:val="18"/>
              </w:rPr>
            </w:pPr>
            <w:r>
              <w:rPr>
                <w:rFonts w:ascii="宋体" w:hAnsi="宋体" w:cs="宋体" w:eastAsia="宋体" w:hint="default"/>
                <w:spacing w:val="-12"/>
                <w:sz w:val="18"/>
                <w:szCs w:val="18"/>
              </w:rPr>
              <w:t>三、本期增减变</w:t>
            </w:r>
            <w:r>
              <w:rPr>
                <w:rFonts w:ascii="宋体" w:hAnsi="宋体" w:cs="宋体" w:eastAsia="宋体" w:hint="default"/>
                <w:sz w:val="18"/>
                <w:szCs w:val="18"/>
              </w:rPr>
              <w:t> </w:t>
            </w:r>
            <w:r>
              <w:rPr>
                <w:rFonts w:ascii="宋体" w:hAnsi="宋体" w:cs="宋体" w:eastAsia="宋体" w:hint="default"/>
                <w:spacing w:val="-12"/>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2"/>
              <w:ind w:left="138"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3,895,3</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80.17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30,058,42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1.51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33,953,801.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68</w:t>
            </w: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12"/>
                <w:sz w:val="18"/>
                <w:szCs w:val="18"/>
              </w:rPr>
              <w:t>（一）综合收益</w:t>
            </w:r>
            <w:r>
              <w:rPr>
                <w:rFonts w:ascii="宋体" w:hAnsi="宋体" w:cs="宋体" w:eastAsia="宋体" w:hint="default"/>
                <w:sz w:val="18"/>
                <w:szCs w:val="18"/>
              </w:rPr>
              <w:t> 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38,953,80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38,953,801.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r>
      <w:tr>
        <w:trPr>
          <w:trHeight w:val="1025" w:hRule="exact"/>
        </w:trPr>
        <w:tc>
          <w:tcPr>
            <w:tcW w:w="1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12"/>
                <w:sz w:val="18"/>
                <w:szCs w:val="18"/>
              </w:rPr>
              <w:t>（二）所有者投</w:t>
            </w:r>
            <w:r>
              <w:rPr>
                <w:rFonts w:ascii="宋体" w:hAnsi="宋体" w:cs="宋体" w:eastAsia="宋体" w:hint="default"/>
                <w:sz w:val="18"/>
                <w:szCs w:val="18"/>
              </w:rPr>
              <w:t> 入和减少资本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2"/>
              <w:ind w:left="138"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138"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4"/>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3,895,3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80.17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-8,895,38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0.17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-5,000,000.</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3,895,3</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80.17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-3,895,38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0.17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7"/>
                <w:sz w:val="18"/>
                <w:szCs w:val="18"/>
              </w:rPr>
              <w:t>．</w:t>
            </w:r>
            <w:r>
              <w:rPr>
                <w:rFonts w:ascii="宋体" w:hAnsi="宋体" w:cs="宋体" w:eastAsia="宋体" w:hint="default"/>
                <w:sz w:val="18"/>
                <w:szCs w:val="18"/>
              </w:rPr>
              <w:t>对所有</w:t>
            </w:r>
            <w:r>
              <w:rPr>
                <w:rFonts w:ascii="宋体" w:hAnsi="宋体" w:cs="宋体" w:eastAsia="宋体" w:hint="default"/>
                <w:spacing w:val="-87"/>
                <w:sz w:val="18"/>
                <w:szCs w:val="18"/>
              </w:rPr>
              <w:t>者</w:t>
            </w:r>
            <w:r>
              <w:rPr>
                <w:rFonts w:ascii="宋体" w:hAnsi="宋体" w:cs="宋体" w:eastAsia="宋体" w:hint="default"/>
                <w:sz w:val="18"/>
                <w:szCs w:val="18"/>
              </w:rPr>
              <w:t>（或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6" w:right="0"/>
              <w:jc w:val="left"/>
              <w:rPr>
                <w:rFonts w:ascii="Times New Roman" w:hAnsi="Times New Roman" w:cs="Times New Roman" w:eastAsia="Times New Roman" w:hint="default"/>
                <w:sz w:val="18"/>
                <w:szCs w:val="18"/>
              </w:rPr>
            </w:pPr>
            <w:r>
              <w:rPr>
                <w:rFonts w:ascii="Times New Roman"/>
                <w:sz w:val="18"/>
              </w:rPr>
              <w:t>-5,000,00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1" w:right="0"/>
              <w:jc w:val="left"/>
              <w:rPr>
                <w:rFonts w:ascii="Times New Roman" w:hAnsi="Times New Roman" w:cs="Times New Roman" w:eastAsia="Times New Roman" w:hint="default"/>
                <w:sz w:val="18"/>
                <w:szCs w:val="18"/>
              </w:rPr>
            </w:pPr>
            <w:r>
              <w:rPr>
                <w:rFonts w:ascii="Times New Roman"/>
                <w:sz w:val="18"/>
              </w:rPr>
              <w:t>-5,000,000.</w:t>
            </w:r>
          </w:p>
        </w:tc>
      </w:tr>
    </w:tbl>
    <w:p>
      <w:pPr>
        <w:spacing w:after="0" w:line="240" w:lineRule="auto"/>
        <w:jc w:val="lef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1"/>
        <w:gridCol w:w="571"/>
        <w:gridCol w:w="686"/>
        <w:gridCol w:w="686"/>
        <w:gridCol w:w="684"/>
        <w:gridCol w:w="782"/>
        <w:gridCol w:w="665"/>
        <w:gridCol w:w="797"/>
        <w:gridCol w:w="797"/>
        <w:gridCol w:w="931"/>
      </w:tblGrid>
      <w:tr>
        <w:trPr>
          <w:trHeight w:val="362" w:hRule="exact"/>
        </w:trPr>
        <w:tc>
          <w:tcPr>
            <w:tcW w:w="1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12"/>
                <w:sz w:val="18"/>
                <w:szCs w:val="18"/>
              </w:rPr>
              <w:t>（四）所有者权</w:t>
            </w:r>
            <w:r>
              <w:rPr>
                <w:rFonts w:ascii="宋体" w:hAnsi="宋体" w:cs="宋体" w:eastAsia="宋体" w:hint="default"/>
                <w:sz w:val="18"/>
                <w:szCs w:val="18"/>
              </w:rPr>
              <w:t> 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4"/>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12"/>
                <w:sz w:val="18"/>
                <w:szCs w:val="18"/>
              </w:rPr>
              <w:t>四、本期期末余</w:t>
            </w:r>
            <w:r>
              <w:rPr>
                <w:rFonts w:ascii="宋体" w:hAnsi="宋体" w:cs="宋体" w:eastAsia="宋体" w:hint="default"/>
                <w:sz w:val="18"/>
                <w:szCs w:val="18"/>
              </w:rPr>
              <w:t> 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178,845</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,571.61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31,629,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106.37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162,129,1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77.15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552,603,85</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5.13</w:t>
            </w:r>
          </w:p>
        </w:tc>
      </w:tr>
    </w:tbl>
    <w:p>
      <w:pPr>
        <w:spacing w:line="240" w:lineRule="auto" w:before="3"/>
        <w:rPr>
          <w:rFonts w:ascii="宋体" w:hAnsi="宋体" w:cs="宋体" w:eastAsia="宋体" w:hint="default"/>
          <w:sz w:val="18"/>
          <w:szCs w:val="18"/>
        </w:rPr>
      </w:pPr>
    </w:p>
    <w:p>
      <w:pPr>
        <w:pStyle w:val="Heading2"/>
        <w:spacing w:line="240" w:lineRule="auto" w:before="26"/>
        <w:ind w:right="0"/>
        <w:jc w:val="both"/>
        <w:rPr>
          <w:b w:val="0"/>
          <w:bCs w:val="0"/>
        </w:rPr>
      </w:pPr>
      <w:bookmarkStart w:name="三、公司基本情况" w:id="168"/>
      <w:bookmarkEnd w:id="168"/>
      <w:r>
        <w:rPr>
          <w:b w:val="0"/>
          <w:bCs w:val="0"/>
        </w:rPr>
      </w:r>
      <w:r>
        <w:rPr/>
        <w:t>三、公司基本情况</w:t>
      </w:r>
      <w:r>
        <w:rPr>
          <w:b w:val="0"/>
          <w:bCs w:val="0"/>
        </w:rPr>
      </w:r>
    </w:p>
    <w:p>
      <w:pPr>
        <w:pStyle w:val="BodyText"/>
        <w:spacing w:line="600" w:lineRule="atLeast" w:before="75"/>
        <w:ind w:left="572" w:right="0"/>
        <w:jc w:val="left"/>
      </w:pPr>
      <w:r>
        <w:rPr/>
        <w:t>（一）公司概况</w:t>
      </w:r>
      <w:r>
        <w:rPr>
          <w:spacing w:val="-103"/>
        </w:rPr>
        <w:t> </w:t>
      </w:r>
      <w:r>
        <w:rPr>
          <w:spacing w:val="-103"/>
        </w:rPr>
      </w:r>
      <w:r>
        <w:rPr>
          <w:spacing w:val="-1"/>
        </w:rPr>
        <w:t>中科院成都信息技术股份有限公司（以下简称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，在包含子公司时统称</w:t>
      </w:r>
      <w:r>
        <w:rPr>
          <w:rFonts w:ascii="Times New Roman" w:hAnsi="Times New Roman" w:cs="Times New Roman" w:eastAsia="Times New Roman" w:hint="default"/>
          <w:spacing w:val="-1"/>
        </w:rPr>
        <w:t>“</w:t>
      </w:r>
      <w:r>
        <w:rPr>
          <w:spacing w:val="-1"/>
        </w:rPr>
        <w:t>本集团</w:t>
      </w:r>
      <w:r>
        <w:rPr>
          <w:rFonts w:ascii="Times New Roman" w:hAnsi="Times New Roman" w:cs="Times New Roman" w:eastAsia="Times New Roman" w:hint="default"/>
          <w:spacing w:val="-1"/>
        </w:rPr>
        <w:t>”</w:t>
      </w:r>
      <w:r>
        <w:rPr>
          <w:spacing w:val="-1"/>
        </w:rPr>
        <w:t>），</w:t>
      </w:r>
    </w:p>
    <w:p>
      <w:pPr>
        <w:pStyle w:val="BodyText"/>
        <w:spacing w:line="386" w:lineRule="auto" w:before="177"/>
        <w:ind w:right="1111"/>
        <w:jc w:val="both"/>
      </w:pPr>
      <w:r>
        <w:rPr/>
        <w:t>系由中国科学院、付忠良、宋昌元等十二名在职职工共同出资设立，于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日，取得成都市工商</w:t>
      </w:r>
      <w:r>
        <w:rPr>
          <w:spacing w:val="-29"/>
        </w:rPr>
        <w:t> </w:t>
      </w:r>
      <w:r>
        <w:rPr>
          <w:spacing w:val="-29"/>
        </w:rPr>
      </w:r>
      <w:r>
        <w:rPr>
          <w:spacing w:val="-2"/>
        </w:rPr>
        <w:t>行政管理局核发的《企业法人营业执照》。本公司统一社会信用代码：</w:t>
      </w:r>
      <w:r>
        <w:rPr>
          <w:rFonts w:ascii="Times New Roman" w:hAnsi="Times New Roman" w:cs="Times New Roman" w:eastAsia="Times New Roman" w:hint="default"/>
          <w:spacing w:val="-2"/>
        </w:rPr>
        <w:t>915101007301965784</w:t>
      </w:r>
      <w:r>
        <w:rPr>
          <w:spacing w:val="-2"/>
        </w:rPr>
        <w:t>；注册地址：</w:t>
      </w:r>
      <w:r>
        <w:rPr>
          <w:spacing w:val="-9"/>
        </w:rPr>
        <w:t> </w:t>
      </w:r>
      <w:r>
        <w:rPr>
          <w:spacing w:val="-9"/>
        </w:rPr>
      </w:r>
      <w:r>
        <w:rPr/>
        <w:t>成都高新区天晖路</w:t>
      </w:r>
      <w:r>
        <w:rPr>
          <w:rFonts w:ascii="Times New Roman" w:hAnsi="Times New Roman" w:cs="Times New Roman" w:eastAsia="Times New Roman" w:hint="default"/>
        </w:rPr>
        <w:t>360</w:t>
      </w:r>
      <w:r>
        <w:rPr/>
        <w:t>号晶科</w:t>
      </w:r>
      <w:r>
        <w:rPr>
          <w:rFonts w:ascii="Times New Roman" w:hAnsi="Times New Roman" w:cs="Times New Roman" w:eastAsia="Times New Roman" w:hint="default"/>
        </w:rPr>
        <w:t>1</w:t>
      </w:r>
      <w:r>
        <w:rPr/>
        <w:t>号大厦</w:t>
      </w:r>
      <w:r>
        <w:rPr>
          <w:rFonts w:ascii="Times New Roman" w:hAnsi="Times New Roman" w:cs="Times New Roman" w:eastAsia="Times New Roman" w:hint="default"/>
        </w:rPr>
        <w:t>18</w:t>
      </w:r>
      <w:r>
        <w:rPr/>
        <w:t>栋</w:t>
      </w:r>
      <w:r>
        <w:rPr>
          <w:rFonts w:ascii="Times New Roman" w:hAnsi="Times New Roman" w:cs="Times New Roman" w:eastAsia="Times New Roman" w:hint="default"/>
        </w:rPr>
        <w:t>1803</w:t>
      </w:r>
      <w:r>
        <w:rPr/>
        <w:t>室；法定代表人：史志明。</w:t>
      </w:r>
    </w:p>
    <w:p>
      <w:pPr>
        <w:pStyle w:val="BodyText"/>
        <w:spacing w:line="386" w:lineRule="auto" w:before="155"/>
        <w:ind w:right="0" w:firstLine="419"/>
        <w:jc w:val="left"/>
      </w:pPr>
      <w:r>
        <w:rPr>
          <w:spacing w:val="-2"/>
        </w:rPr>
        <w:t>经历次变更，截至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日，公司注册资本为</w:t>
      </w:r>
      <w:r>
        <w:rPr>
          <w:rFonts w:ascii="Times New Roman" w:hAnsi="Times New Roman" w:cs="Times New Roman" w:eastAsia="Times New Roman" w:hint="default"/>
          <w:spacing w:val="-2"/>
        </w:rPr>
        <w:t>18,000.00</w:t>
      </w:r>
      <w:r>
        <w:rPr>
          <w:spacing w:val="-2"/>
        </w:rPr>
        <w:t>万元，股份总数为</w:t>
      </w:r>
      <w:r>
        <w:rPr>
          <w:rFonts w:ascii="Times New Roman" w:hAnsi="Times New Roman" w:cs="Times New Roman" w:eastAsia="Times New Roman" w:hint="default"/>
          <w:spacing w:val="-2"/>
        </w:rPr>
        <w:t>18,000.00</w:t>
      </w:r>
      <w:r>
        <w:rPr>
          <w:spacing w:val="-2"/>
        </w:rPr>
        <w:t>万股（每股</w:t>
      </w:r>
      <w:r>
        <w:rPr>
          <w:w w:val="100"/>
        </w:rPr>
        <w:t> </w:t>
      </w:r>
      <w:r>
        <w:rPr/>
        <w:t>面值</w:t>
      </w:r>
      <w:r>
        <w:rPr>
          <w:rFonts w:ascii="Times New Roman" w:hAnsi="Times New Roman" w:cs="Times New Roman" w:eastAsia="Times New Roman" w:hint="default"/>
        </w:rPr>
        <w:t>1</w:t>
      </w:r>
      <w:r>
        <w:rPr/>
        <w:t>元）。其中：有限售条件的流通股份：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10,712.70</w:t>
      </w:r>
      <w:r>
        <w:rPr/>
        <w:t>万股，无限售条件的流动股份：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7,287.30</w:t>
      </w:r>
      <w:r>
        <w:rPr/>
        <w:t>万</w:t>
      </w:r>
    </w:p>
    <w:p>
      <w:pPr>
        <w:spacing w:after="0" w:line="386"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right="0"/>
        <w:jc w:val="left"/>
      </w:pPr>
      <w:r>
        <w:rPr/>
        <w:t>股。</w:t>
      </w:r>
    </w:p>
    <w:p>
      <w:pPr>
        <w:spacing w:line="240" w:lineRule="auto" w:before="12"/>
        <w:rPr>
          <w:rFonts w:ascii="宋体" w:hAnsi="宋体" w:cs="宋体" w:eastAsia="宋体" w:hint="default"/>
          <w:sz w:val="23"/>
          <w:szCs w:val="23"/>
        </w:rPr>
      </w:pPr>
    </w:p>
    <w:p>
      <w:pPr>
        <w:pStyle w:val="BodyText"/>
        <w:spacing w:line="494" w:lineRule="auto"/>
        <w:ind w:left="572" w:right="7334"/>
        <w:jc w:val="left"/>
      </w:pPr>
      <w:r>
        <w:rPr/>
        <w:t>上市时间：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w:t>
      </w:r>
      <w:r>
        <w:rPr>
          <w:w w:val="100"/>
        </w:rPr>
        <w:t> </w:t>
      </w:r>
      <w:r>
        <w:rPr/>
        <w:t>股票简称：中科信息</w:t>
      </w:r>
      <w:r>
        <w:rPr>
          <w:w w:val="100"/>
        </w:rPr>
        <w:t> </w:t>
      </w:r>
      <w:r>
        <w:rPr/>
        <w:t>股票代码：</w:t>
      </w:r>
      <w:r>
        <w:rPr>
          <w:rFonts w:ascii="Times New Roman" w:hAnsi="Times New Roman" w:cs="Times New Roman" w:eastAsia="Times New Roman" w:hint="default"/>
        </w:rPr>
        <w:t>300678</w:t>
      </w:r>
      <w:r>
        <w:rPr>
          <w:rFonts w:ascii="Times New Roman" w:hAnsi="Times New Roman" w:cs="Times New Roman" w:eastAsia="Times New Roman" w:hint="default"/>
          <w:w w:val="100"/>
        </w:rPr>
        <w:t> </w:t>
      </w:r>
      <w:r>
        <w:rPr>
          <w:spacing w:val="-2"/>
        </w:rPr>
        <w:t>上市地点：深圳证券交易所</w:t>
      </w:r>
    </w:p>
    <w:p>
      <w:pPr>
        <w:pStyle w:val="BodyText"/>
        <w:spacing w:line="240" w:lineRule="auto" w:before="90"/>
        <w:ind w:left="572" w:right="0"/>
        <w:jc w:val="left"/>
      </w:pPr>
      <w:r>
        <w:rPr/>
        <w:t>（二）所属行业及经营范围</w:t>
      </w:r>
    </w:p>
    <w:p>
      <w:pPr>
        <w:spacing w:line="240" w:lineRule="auto" w:before="12"/>
        <w:rPr>
          <w:rFonts w:ascii="宋体" w:hAnsi="宋体" w:cs="宋体" w:eastAsia="宋体" w:hint="default"/>
          <w:sz w:val="23"/>
          <w:szCs w:val="23"/>
        </w:rPr>
      </w:pPr>
    </w:p>
    <w:p>
      <w:pPr>
        <w:pStyle w:val="BodyText"/>
        <w:spacing w:line="405" w:lineRule="auto"/>
        <w:ind w:right="0" w:firstLine="420"/>
        <w:jc w:val="left"/>
      </w:pPr>
      <w:r>
        <w:rPr>
          <w:rFonts w:ascii="Times New Roman" w:hAnsi="Times New Roman" w:cs="Times New Roman" w:eastAsia="Times New Roman" w:hint="default"/>
        </w:rPr>
        <w:t>1.</w:t>
      </w:r>
      <w:r>
        <w:rPr/>
        <w:t>经营范围：以计算机软件为重点的电子信息领域相关技术产品开发、生产（生产行业另设分支机构</w:t>
      </w:r>
      <w:r>
        <w:rPr>
          <w:w w:val="100"/>
        </w:rPr>
        <w:t> </w:t>
      </w:r>
      <w:r>
        <w:rPr>
          <w:spacing w:val="-5"/>
        </w:rPr>
        <w:t>或另择经营产地经营）、销售、服务；计算机应用与计算机通讯系统工程设计与实施；信息技术咨询服务； </w:t>
      </w:r>
      <w:r>
        <w:rPr>
          <w:spacing w:val="-5"/>
        </w:rPr>
      </w:r>
      <w:r>
        <w:rPr>
          <w:spacing w:val="-2"/>
        </w:rPr>
        <w:t>计算机及网络通讯设备、电子设备及元器件、计算机软硬件产品代理；涉密计算机系统集成（凭资质许可</w:t>
      </w:r>
      <w:r>
        <w:rPr>
          <w:spacing w:val="-50"/>
        </w:rPr>
        <w:t> </w:t>
      </w:r>
      <w:r>
        <w:rPr>
          <w:spacing w:val="-50"/>
        </w:rPr>
      </w:r>
      <w:r>
        <w:rPr>
          <w:spacing w:val="-7"/>
        </w:rPr>
        <w:t>证在有效期内经营）；建筑智能化工程设计、施工（凭资质证在有效期内经营）；安防工程设计、施工（凭</w:t>
      </w:r>
      <w:r>
        <w:rPr>
          <w:spacing w:val="-24"/>
        </w:rPr>
        <w:t> </w:t>
      </w:r>
      <w:r>
        <w:rPr>
          <w:spacing w:val="-24"/>
        </w:rPr>
      </w:r>
      <w:r>
        <w:rPr>
          <w:spacing w:val="-2"/>
        </w:rPr>
        <w:t>资质证在有效期内经营）；防雷工程设计、施工（凭资质证在有效期内经营）；电子工程安装、通信线路</w:t>
      </w:r>
      <w:r>
        <w:rPr>
          <w:spacing w:val="-45"/>
        </w:rPr>
        <w:t> </w:t>
      </w:r>
      <w:r>
        <w:rPr>
          <w:spacing w:val="-45"/>
        </w:rPr>
      </w:r>
      <w:r>
        <w:rPr>
          <w:spacing w:val="-3"/>
        </w:rPr>
        <w:t>和设备安装（凭资质证在有效期内经营））；仪器仪表、教学模具的技术服务；房屋租赁；（以上经营范</w:t>
      </w:r>
      <w:r>
        <w:rPr>
          <w:spacing w:val="-6"/>
        </w:rPr>
        <w:t> </w:t>
      </w:r>
      <w:r>
        <w:rPr>
          <w:spacing w:val="-6"/>
        </w:rPr>
      </w:r>
      <w:r>
        <w:rPr/>
        <w:t>围依法须经批准的项目，经相关部门批准后方可开展经营活动）。</w:t>
      </w:r>
    </w:p>
    <w:p>
      <w:pPr>
        <w:pStyle w:val="BodyText"/>
        <w:spacing w:line="240" w:lineRule="auto" w:before="168"/>
        <w:ind w:left="572" w:right="0"/>
        <w:jc w:val="left"/>
      </w:pPr>
      <w:r>
        <w:rPr>
          <w:rFonts w:ascii="Times New Roman" w:hAnsi="Times New Roman" w:cs="Times New Roman" w:eastAsia="Times New Roman" w:hint="default"/>
        </w:rPr>
        <w:t>2.</w:t>
      </w:r>
      <w:r>
        <w:rPr/>
        <w:t>主要产品包括：信息化解决方案、技术开发、技术服务等。</w:t>
      </w:r>
    </w:p>
    <w:p>
      <w:pPr>
        <w:spacing w:line="240" w:lineRule="auto" w:before="9"/>
        <w:rPr>
          <w:rFonts w:ascii="宋体" w:hAnsi="宋体" w:cs="宋体" w:eastAsia="宋体" w:hint="default"/>
          <w:sz w:val="22"/>
          <w:szCs w:val="22"/>
        </w:rPr>
      </w:pPr>
    </w:p>
    <w:p>
      <w:pPr>
        <w:pStyle w:val="BodyText"/>
        <w:spacing w:line="513" w:lineRule="auto"/>
        <w:ind w:left="572" w:right="2501"/>
        <w:jc w:val="left"/>
      </w:pPr>
      <w:r>
        <w:rPr/>
        <w:t>（三）母公司以及集团最终母公司的名称。</w:t>
      </w:r>
      <w:r>
        <w:rPr>
          <w:w w:val="100"/>
        </w:rPr>
        <w:t> </w:t>
      </w:r>
      <w:r>
        <w:rPr>
          <w:spacing w:val="-2"/>
        </w:rPr>
        <w:t>中国科学院控股有限公司为本公司的实际控制人。</w:t>
      </w:r>
    </w:p>
    <w:p>
      <w:pPr>
        <w:pStyle w:val="BodyText"/>
        <w:spacing w:line="484" w:lineRule="auto" w:before="73"/>
        <w:ind w:left="572" w:right="0" w:hanging="1"/>
        <w:jc w:val="left"/>
      </w:pPr>
      <w:r>
        <w:rPr/>
        <w:t>（四）本财务报表由本公司董事会于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日批准报出。</w:t>
      </w:r>
      <w:r>
        <w:rPr>
          <w:w w:val="100"/>
        </w:rPr>
        <w:t> </w:t>
      </w:r>
      <w:r>
        <w:rPr>
          <w:spacing w:val="-2"/>
        </w:rPr>
        <w:t>本集团合并财务报表的合并范围以控制为基础确定，包括本公司及全部子公司的财务报表。子公司，</w:t>
      </w:r>
    </w:p>
    <w:p>
      <w:pPr>
        <w:pStyle w:val="BodyText"/>
        <w:spacing w:line="270" w:lineRule="exact"/>
        <w:ind w:right="0"/>
        <w:jc w:val="left"/>
      </w:pPr>
      <w:r>
        <w:rPr/>
        <w:t>是指被本公司控制的企业或主体，本期的合并财务报表范围及其变化情况见附注</w:t>
      </w:r>
      <w:r>
        <w:rPr>
          <w:rFonts w:ascii="Times New Roman" w:hAnsi="Times New Roman" w:cs="Times New Roman" w:eastAsia="Times New Roman" w:hint="default"/>
        </w:rPr>
        <w:t>“</w:t>
      </w:r>
      <w:r>
        <w:rPr/>
        <w:t>七、合并范围的变更</w:t>
      </w:r>
      <w:r>
        <w:rPr>
          <w:rFonts w:ascii="Times New Roman" w:hAnsi="Times New Roman" w:cs="Times New Roman" w:eastAsia="Times New Roman" w:hint="default"/>
        </w:rPr>
        <w:t>”</w:t>
      </w:r>
      <w:r>
        <w:rPr/>
        <w:t>、</w:t>
      </w:r>
    </w:p>
    <w:p>
      <w:pPr>
        <w:pStyle w:val="BodyText"/>
        <w:spacing w:line="240" w:lineRule="auto" w:before="177"/>
        <w:ind w:right="0"/>
        <w:jc w:val="left"/>
      </w:pPr>
      <w:r>
        <w:rPr>
          <w:rFonts w:ascii="Times New Roman" w:hAnsi="Times New Roman" w:cs="Times New Roman" w:eastAsia="Times New Roman" w:hint="default"/>
        </w:rPr>
        <w:t>“</w:t>
      </w:r>
      <w:r>
        <w:rPr/>
        <w:t>八、在其他主体中的权益</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8"/>
          <w:szCs w:val="28"/>
        </w:rPr>
      </w:pPr>
    </w:p>
    <w:p>
      <w:pPr>
        <w:pStyle w:val="Heading2"/>
        <w:spacing w:line="240" w:lineRule="auto"/>
        <w:ind w:right="0"/>
        <w:jc w:val="left"/>
        <w:rPr>
          <w:b w:val="0"/>
          <w:bCs w:val="0"/>
        </w:rPr>
      </w:pPr>
      <w:bookmarkStart w:name="四、财务报表的编制基础" w:id="169"/>
      <w:bookmarkEnd w:id="169"/>
      <w:r>
        <w:rPr>
          <w:b w:val="0"/>
          <w:bCs w:val="0"/>
        </w:rPr>
      </w:r>
      <w:r>
        <w:rPr/>
        <w:t>四、财务报表的编制基础</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70"/>
      <w:bookmarkEnd w:id="170"/>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firstLine="420"/>
        <w:jc w:val="left"/>
      </w:pPr>
      <w:r>
        <w:rPr>
          <w:spacing w:val="-2"/>
        </w:rPr>
        <w:t>本财务报表以公司持续经营假设为基础，根据实际发生的交易事项，按照企业会计准则的有关规定，</w:t>
      </w:r>
      <w:r>
        <w:rPr>
          <w:w w:val="100"/>
        </w:rPr>
        <w:t> </w:t>
      </w:r>
      <w:r>
        <w:rPr/>
        <w:t>并基于以下所述重要会计政策、会计估计进行编制。</w:t>
      </w:r>
    </w:p>
    <w:p>
      <w:pPr>
        <w:spacing w:after="0" w:line="408" w:lineRule="auto"/>
        <w:jc w:val="left"/>
        <w:sectPr>
          <w:pgSz w:w="11910" w:h="16840"/>
          <w:pgMar w:header="880" w:footer="977"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2、持续经营" w:id="171"/>
      <w:bookmarkEnd w:id="17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2" w:right="0"/>
        <w:jc w:val="left"/>
      </w:pPr>
      <w:r>
        <w:rPr/>
        <w:t>本集团自本报告期末起</w:t>
      </w:r>
      <w:r>
        <w:rPr>
          <w:rFonts w:ascii="Times New Roman" w:hAnsi="Times New Roman" w:cs="Times New Roman" w:eastAsia="Times New Roman" w:hint="default"/>
        </w:rPr>
        <w:t>12</w:t>
      </w:r>
      <w:r>
        <w:rPr/>
        <w:t>个月具备持续经营能力，无影响持续经营能力的重大事项。</w:t>
      </w:r>
    </w:p>
    <w:p>
      <w:pPr>
        <w:spacing w:line="240" w:lineRule="auto" w:before="10"/>
        <w:rPr>
          <w:rFonts w:ascii="宋体" w:hAnsi="宋体" w:cs="宋体" w:eastAsia="宋体" w:hint="default"/>
          <w:sz w:val="22"/>
          <w:szCs w:val="22"/>
        </w:rPr>
      </w:pPr>
    </w:p>
    <w:p>
      <w:pPr>
        <w:pStyle w:val="Heading2"/>
        <w:spacing w:line="240" w:lineRule="auto"/>
        <w:ind w:right="0"/>
        <w:jc w:val="left"/>
        <w:rPr>
          <w:b w:val="0"/>
          <w:bCs w:val="0"/>
        </w:rPr>
      </w:pPr>
      <w:bookmarkStart w:name="五、重要会计政策及会计估计" w:id="172"/>
      <w:bookmarkEnd w:id="172"/>
      <w:r>
        <w:rPr>
          <w:b w:val="0"/>
          <w:bCs w:val="0"/>
        </w:rPr>
      </w: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554" w:hanging="1"/>
        <w:jc w:val="left"/>
        <w:rPr>
          <w:rFonts w:ascii="宋体" w:hAnsi="宋体" w:cs="宋体" w:eastAsia="宋体" w:hint="default"/>
          <w:sz w:val="18"/>
          <w:szCs w:val="18"/>
        </w:rPr>
      </w:pPr>
      <w:r>
        <w:rPr>
          <w:rFonts w:ascii="宋体" w:hAnsi="宋体" w:cs="宋体" w:eastAsia="宋体" w:hint="default"/>
          <w:sz w:val="18"/>
          <w:szCs w:val="18"/>
        </w:rPr>
        <w:t>具体会计政策和会计估计提示： 公司是否需要遵守特殊行业的披露要求 是</w:t>
      </w:r>
    </w:p>
    <w:p>
      <w:pPr>
        <w:spacing w:line="316" w:lineRule="auto" w:before="2"/>
        <w:ind w:left="152" w:right="8094"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 具体会计政策和会计估计提示： 无</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1、遵循企业会计准则的声明" w:id="173"/>
      <w:bookmarkEnd w:id="173"/>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5"/>
        <w:rPr>
          <w:rFonts w:ascii="宋体" w:hAnsi="宋体" w:cs="宋体" w:eastAsia="宋体" w:hint="default"/>
          <w:b/>
          <w:bCs/>
          <w:sz w:val="30"/>
          <w:szCs w:val="30"/>
        </w:rPr>
      </w:pPr>
    </w:p>
    <w:p>
      <w:pPr>
        <w:pStyle w:val="BodyText"/>
        <w:spacing w:line="398" w:lineRule="auto"/>
        <w:ind w:right="1130" w:firstLine="420"/>
        <w:jc w:val="both"/>
      </w:pPr>
      <w:r>
        <w:rPr>
          <w:spacing w:val="-2"/>
        </w:rPr>
        <w:t>本集团基于上述编制基础编制的财务报表符合财政部已颁布的最新企业会计准则及其应用指南、解释</w:t>
      </w:r>
      <w:r>
        <w:rPr>
          <w:spacing w:val="-3"/>
          <w:w w:val="100"/>
        </w:rPr>
        <w:t> </w:t>
      </w:r>
      <w:r>
        <w:rPr>
          <w:spacing w:val="-2"/>
        </w:rPr>
        <w:t>以及其他相关规定（统称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）的要求，真实完整地反映了公司的财务状况、经营成果和现金</w:t>
      </w:r>
      <w:r>
        <w:rPr>
          <w:spacing w:val="-19"/>
        </w:rPr>
        <w:t> </w:t>
      </w:r>
      <w:r>
        <w:rPr>
          <w:spacing w:val="-19"/>
        </w:rPr>
      </w:r>
      <w:r>
        <w:rPr/>
        <w:t>流量等有关信息。</w:t>
      </w:r>
    </w:p>
    <w:p>
      <w:pPr>
        <w:pStyle w:val="BodyText"/>
        <w:spacing w:line="386" w:lineRule="auto" w:before="174"/>
        <w:ind w:right="0" w:firstLine="419"/>
        <w:jc w:val="left"/>
      </w:pPr>
      <w:r>
        <w:rPr>
          <w:spacing w:val="-2"/>
        </w:rPr>
        <w:t>此外，本财务报告编制参照了证监会发布的《公开发行证券的公司信息披露编报规则第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w:t>
      </w:r>
      <w:r>
        <w:rPr>
          <w:w w:val="100"/>
        </w:rPr>
        <w:t> </w:t>
      </w:r>
      <w:r>
        <w:rPr>
          <w:spacing w:val="-2"/>
        </w:rPr>
        <w:t>报告的一般规定》（</w:t>
      </w:r>
      <w:r>
        <w:rPr>
          <w:rFonts w:ascii="Times New Roman" w:hAnsi="Times New Roman" w:cs="Times New Roman" w:eastAsia="Times New Roman" w:hint="default"/>
          <w:spacing w:val="-2"/>
        </w:rPr>
        <w:t>2014</w:t>
      </w:r>
      <w:r>
        <w:rPr>
          <w:spacing w:val="-2"/>
        </w:rPr>
        <w:t>年修订）以及《关于上市公司执行新企业会计准则有关事项的通知》（会计部函</w:t>
      </w:r>
    </w:p>
    <w:p>
      <w:pPr>
        <w:pStyle w:val="BodyText"/>
        <w:spacing w:line="240" w:lineRule="auto" w:before="35"/>
        <w:ind w:right="0"/>
        <w:jc w:val="left"/>
      </w:pPr>
      <w:r>
        <w:rPr/>
        <w:t>〔</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453</w:t>
      </w:r>
      <w:r>
        <w:rPr/>
        <w:t>号）的列报和披露要求。</w:t>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bookmarkStart w:name="2、会计期间" w:id="174"/>
      <w:bookmarkEnd w:id="17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2" w:right="0"/>
        <w:jc w:val="left"/>
      </w:pPr>
      <w:r>
        <w:rPr/>
        <w:t>本集团的会计年度从公历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7"/>
        <w:rPr>
          <w:rFonts w:ascii="宋体" w:hAnsi="宋体" w:cs="宋体" w:eastAsia="宋体" w:hint="default"/>
          <w:sz w:val="24"/>
          <w:szCs w:val="24"/>
        </w:rPr>
      </w:pPr>
    </w:p>
    <w:p>
      <w:pPr>
        <w:pStyle w:val="Heading3"/>
        <w:spacing w:line="240" w:lineRule="auto"/>
        <w:ind w:left="153" w:right="0"/>
        <w:jc w:val="left"/>
        <w:rPr>
          <w:b w:val="0"/>
          <w:bCs w:val="0"/>
        </w:rPr>
      </w:pPr>
      <w:bookmarkStart w:name="3、营业周期" w:id="175"/>
      <w:bookmarkEnd w:id="175"/>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2" w:right="0"/>
        <w:jc w:val="left"/>
      </w:pPr>
      <w:r>
        <w:rPr/>
        <w:t>本集团的会计年度从公历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7"/>
        <w:rPr>
          <w:rFonts w:ascii="宋体" w:hAnsi="宋体" w:cs="宋体" w:eastAsia="宋体" w:hint="default"/>
          <w:sz w:val="24"/>
          <w:szCs w:val="24"/>
        </w:rPr>
      </w:pPr>
    </w:p>
    <w:p>
      <w:pPr>
        <w:pStyle w:val="Heading3"/>
        <w:spacing w:line="240" w:lineRule="auto"/>
        <w:ind w:left="153" w:right="0"/>
        <w:jc w:val="left"/>
        <w:rPr>
          <w:b w:val="0"/>
          <w:bCs w:val="0"/>
        </w:rPr>
      </w:pPr>
      <w:bookmarkStart w:name="4、记账本位币" w:id="176"/>
      <w:bookmarkEnd w:id="176"/>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2" w:right="0"/>
        <w:jc w:val="left"/>
      </w:pPr>
      <w:r>
        <w:rPr/>
        <w:t>本集团采用人民币作为记账本位币。</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同一控制下和非同一控制下企业合并的会计处理方法" w:id="177"/>
      <w:bookmarkEnd w:id="177"/>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5"/>
        <w:rPr>
          <w:rFonts w:ascii="宋体" w:hAnsi="宋体" w:cs="宋体" w:eastAsia="宋体" w:hint="default"/>
          <w:b/>
          <w:bCs/>
          <w:sz w:val="30"/>
          <w:szCs w:val="30"/>
        </w:rPr>
      </w:pPr>
    </w:p>
    <w:p>
      <w:pPr>
        <w:pStyle w:val="BodyText"/>
        <w:spacing w:line="484" w:lineRule="auto"/>
        <w:ind w:left="572" w:right="0"/>
        <w:jc w:val="left"/>
      </w:pPr>
      <w:r>
        <w:rPr>
          <w:rFonts w:ascii="Times New Roman" w:hAnsi="Times New Roman" w:cs="Times New Roman" w:eastAsia="Times New Roman" w:hint="default"/>
        </w:rPr>
        <w:t>1.</w:t>
      </w:r>
      <w:r>
        <w:rPr/>
        <w:t>同一控制下企业合并的会计处理方法</w:t>
      </w:r>
      <w:r>
        <w:rPr>
          <w:w w:val="100"/>
        </w:rPr>
        <w:t> </w:t>
      </w:r>
      <w:r>
        <w:rPr>
          <w:spacing w:val="2"/>
        </w:rPr>
        <w:t>本集团在一次交易取得或通过多次交易分步实现同一控制下企业合并，企业合并中取得的资产和负</w:t>
      </w:r>
    </w:p>
    <w:p>
      <w:pPr>
        <w:pStyle w:val="BodyText"/>
        <w:spacing w:line="254" w:lineRule="exact"/>
        <w:ind w:right="0"/>
        <w:jc w:val="left"/>
      </w:pPr>
      <w:r>
        <w:rPr/>
        <w:t>债，按照合并日被合并方在最终控制方合并财务报表中的的账面价值计量。本集团取得的净资产账面价值</w:t>
      </w:r>
    </w:p>
    <w:p>
      <w:pPr>
        <w:spacing w:after="0" w:line="254" w:lineRule="exact"/>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9"/>
        <w:jc w:val="left"/>
      </w:pPr>
      <w:r>
        <w:rPr>
          <w:spacing w:val="-2"/>
        </w:rPr>
        <w:t>与支付的合并对价账面价值（或发行股份面值总额）的差额，调整资本公积；资本公积不足冲减的，调整</w:t>
      </w:r>
      <w:r>
        <w:rPr>
          <w:spacing w:val="-43"/>
        </w:rPr>
        <w:t> </w:t>
      </w:r>
      <w:r>
        <w:rPr>
          <w:spacing w:val="-43"/>
        </w:rPr>
      </w:r>
      <w:r>
        <w:rPr/>
        <w:t>留存收益。</w:t>
      </w:r>
    </w:p>
    <w:p>
      <w:pPr>
        <w:pStyle w:val="BodyText"/>
        <w:spacing w:line="484" w:lineRule="auto" w:before="166"/>
        <w:ind w:left="572" w:right="0"/>
        <w:jc w:val="left"/>
      </w:pPr>
      <w:r>
        <w:rPr>
          <w:rFonts w:ascii="Times New Roman" w:hAnsi="Times New Roman" w:cs="Times New Roman" w:eastAsia="Times New Roman" w:hint="default"/>
        </w:rPr>
        <w:t>2.</w:t>
      </w:r>
      <w:r>
        <w:rPr/>
        <w:t>非同一控制下企业合并的会计处理方法</w:t>
      </w:r>
      <w:r>
        <w:rPr>
          <w:w w:val="100"/>
        </w:rPr>
        <w:t> </w:t>
      </w:r>
      <w:r>
        <w:rPr>
          <w:spacing w:val="-2"/>
        </w:rPr>
        <w:t>本集团在购买日对合并成本大于合并中取得的被购买方可辨认净资产公允价值份额的差额，确认为商</w:t>
      </w:r>
      <w:r>
        <w:rPr/>
      </w:r>
    </w:p>
    <w:p>
      <w:pPr>
        <w:pStyle w:val="BodyText"/>
        <w:spacing w:line="254" w:lineRule="exact"/>
        <w:ind w:right="0"/>
        <w:jc w:val="left"/>
      </w:pPr>
      <w:r>
        <w:rPr/>
        <w:t>誉；如果合并成本小于合并中取得的被购买方可辨认净资产公允价值份额，首先对取得的被购买方各项可</w:t>
      </w:r>
    </w:p>
    <w:p>
      <w:pPr>
        <w:spacing w:line="240" w:lineRule="auto" w:before="10"/>
        <w:rPr>
          <w:rFonts w:ascii="宋体" w:hAnsi="宋体" w:cs="宋体" w:eastAsia="宋体" w:hint="default"/>
          <w:sz w:val="14"/>
          <w:szCs w:val="14"/>
        </w:rPr>
      </w:pPr>
    </w:p>
    <w:p>
      <w:pPr>
        <w:pStyle w:val="BodyText"/>
        <w:spacing w:line="408" w:lineRule="auto"/>
        <w:ind w:right="0"/>
        <w:jc w:val="left"/>
      </w:pPr>
      <w:r>
        <w:rPr>
          <w:spacing w:val="-2"/>
        </w:rPr>
        <w:t>辨认资产、负债及或有负债的公允价值以及合并成本的计量进行复核，经复核后合并成本仍小于合并中取</w:t>
      </w:r>
      <w:r>
        <w:rPr>
          <w:spacing w:val="-42"/>
        </w:rPr>
        <w:t> </w:t>
      </w:r>
      <w:r>
        <w:rPr>
          <w:spacing w:val="-42"/>
        </w:rPr>
      </w:r>
      <w:r>
        <w:rPr/>
        <w:t>得的被购买方可辨认净资产公允价值份额的，其差额计入当期损益。</w:t>
      </w:r>
    </w:p>
    <w:p>
      <w:pPr>
        <w:pStyle w:val="BodyText"/>
        <w:spacing w:line="240" w:lineRule="auto" w:before="166"/>
        <w:ind w:left="572" w:right="0"/>
        <w:jc w:val="left"/>
      </w:pPr>
      <w:r>
        <w:rPr/>
        <w:t>通过多次交易分步实现非同一控制下企业合并，应按以下顺序处理：</w:t>
      </w:r>
    </w:p>
    <w:p>
      <w:pPr>
        <w:spacing w:line="240" w:lineRule="auto" w:before="12"/>
        <w:rPr>
          <w:rFonts w:ascii="宋体" w:hAnsi="宋体" w:cs="宋体" w:eastAsia="宋体" w:hint="default"/>
          <w:sz w:val="23"/>
          <w:szCs w:val="23"/>
        </w:rPr>
      </w:pPr>
    </w:p>
    <w:p>
      <w:pPr>
        <w:pStyle w:val="BodyText"/>
        <w:spacing w:line="400" w:lineRule="auto"/>
        <w:ind w:right="1128" w:firstLine="420"/>
        <w:jc w:val="both"/>
      </w:pPr>
      <w:r>
        <w:rPr/>
        <w:t>（</w:t>
      </w:r>
      <w:r>
        <w:rPr>
          <w:rFonts w:ascii="Times New Roman" w:hAnsi="Times New Roman" w:cs="Times New Roman" w:eastAsia="Times New Roman" w:hint="default"/>
        </w:rPr>
        <w:t>1</w:t>
      </w:r>
      <w:r>
        <w:rPr/>
        <w:t>）调整长期股权投资初始投资成本。购买日之前持有股权采用权益法核算的，按照该股权在购买</w:t>
      </w:r>
      <w:r>
        <w:rPr>
          <w:w w:val="100"/>
        </w:rPr>
        <w:t> </w:t>
      </w:r>
      <w:r>
        <w:rPr>
          <w:spacing w:val="-2"/>
        </w:rPr>
        <w:t>日的公允价值进行重新计量，公允价值与其账面价值的差额计入当期投资收益；购买日之前持有的被购买</w:t>
      </w:r>
      <w:r>
        <w:rPr>
          <w:spacing w:val="-42"/>
        </w:rPr>
        <w:t> </w:t>
      </w:r>
      <w:r>
        <w:rPr>
          <w:spacing w:val="-42"/>
        </w:rPr>
      </w:r>
      <w:r>
        <w:rPr>
          <w:spacing w:val="-2"/>
        </w:rPr>
        <w:t>方的股权涉及权益法核算下的其他综合收益、其他所有者权益变动的，转为购买日所属当期收益，由于被</w:t>
      </w:r>
      <w:r>
        <w:rPr>
          <w:spacing w:val="-43"/>
        </w:rPr>
        <w:t> </w:t>
      </w:r>
      <w:r>
        <w:rPr>
          <w:spacing w:val="-43"/>
        </w:rPr>
      </w:r>
      <w:r>
        <w:rPr/>
        <w:t>投资方重新计量设定受益计划净负债或净资产变动而产生的其他综合收益除外。</w:t>
      </w:r>
    </w:p>
    <w:p>
      <w:pPr>
        <w:pStyle w:val="BodyText"/>
        <w:spacing w:line="398" w:lineRule="auto" w:before="172"/>
        <w:ind w:right="1129" w:firstLine="420"/>
        <w:jc w:val="both"/>
      </w:pPr>
      <w:r>
        <w:rPr/>
        <w:t>（</w:t>
      </w:r>
      <w:r>
        <w:rPr>
          <w:rFonts w:ascii="Times New Roman" w:hAnsi="Times New Roman" w:cs="Times New Roman" w:eastAsia="Times New Roman" w:hint="default"/>
        </w:rPr>
        <w:t>2</w:t>
      </w:r>
      <w:r>
        <w:rPr/>
        <w:t>）确认商誉（或计入当期损益的金额）。将第一步调整后长期股权投资初始投资成本与购买日应</w:t>
      </w:r>
      <w:r>
        <w:rPr>
          <w:w w:val="100"/>
        </w:rPr>
        <w:t> </w:t>
      </w:r>
      <w:r>
        <w:rPr>
          <w:spacing w:val="-2"/>
        </w:rPr>
        <w:t>享有子公司可辨认净资产公允价值份额比较，前者大于后者，差额确认为商誉；前者小于后者，差额计入</w:t>
      </w:r>
      <w:r>
        <w:rPr>
          <w:spacing w:val="-47"/>
        </w:rPr>
        <w:t> </w:t>
      </w:r>
      <w:r>
        <w:rPr>
          <w:spacing w:val="-47"/>
        </w:rPr>
      </w:r>
      <w:r>
        <w:rPr/>
        <w:t>当期损益。</w:t>
      </w:r>
    </w:p>
    <w:p>
      <w:pPr>
        <w:pStyle w:val="BodyText"/>
        <w:spacing w:line="240" w:lineRule="auto" w:before="174"/>
        <w:ind w:left="572" w:right="0"/>
        <w:jc w:val="left"/>
      </w:pPr>
      <w:r>
        <w:rPr/>
        <w:t>通过多次交易分步处置股权至丧失对子公司控制权的情形</w:t>
      </w:r>
    </w:p>
    <w:p>
      <w:pPr>
        <w:spacing w:line="240" w:lineRule="auto" w:before="12"/>
        <w:rPr>
          <w:rFonts w:ascii="宋体" w:hAnsi="宋体" w:cs="宋体" w:eastAsia="宋体" w:hint="default"/>
          <w:sz w:val="23"/>
          <w:szCs w:val="23"/>
        </w:rPr>
      </w:pPr>
    </w:p>
    <w:p>
      <w:pPr>
        <w:pStyle w:val="BodyText"/>
        <w:spacing w:line="484" w:lineRule="auto"/>
        <w:ind w:left="572" w:right="0" w:hanging="1"/>
        <w:jc w:val="left"/>
      </w:pPr>
      <w:r>
        <w:rPr/>
        <w:t>（</w:t>
      </w:r>
      <w:r>
        <w:rPr>
          <w:rFonts w:ascii="Times New Roman" w:hAnsi="Times New Roman" w:cs="Times New Roman" w:eastAsia="Times New Roman" w:hint="default"/>
        </w:rPr>
        <w:t>1</w:t>
      </w:r>
      <w:r>
        <w:rPr/>
        <w:t>）判断分步处置股权至丧失对子公司控制权过程中的各项交易是否属于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的原则</w:t>
      </w:r>
      <w:r>
        <w:rPr>
          <w:spacing w:val="-3"/>
          <w:w w:val="100"/>
        </w:rPr>
        <w:t> </w:t>
      </w:r>
      <w:r>
        <w:rPr>
          <w:spacing w:val="-2"/>
        </w:rPr>
        <w:t>处置对子公司股权投资的各项交易的条款、条件以及经济影响符合以下一种或多种情况，通常表明应</w:t>
      </w:r>
    </w:p>
    <w:p>
      <w:pPr>
        <w:pStyle w:val="BodyText"/>
        <w:spacing w:line="254" w:lineRule="exact"/>
        <w:ind w:right="0"/>
        <w:jc w:val="left"/>
      </w:pPr>
      <w:r>
        <w:rPr/>
        <w:t>将多次交易事项作为一揽子交易进行会计处理：</w:t>
      </w:r>
    </w:p>
    <w:p>
      <w:pPr>
        <w:spacing w:line="240" w:lineRule="auto" w:before="12"/>
        <w:rPr>
          <w:rFonts w:ascii="宋体" w:hAnsi="宋体" w:cs="宋体" w:eastAsia="宋体" w:hint="default"/>
          <w:sz w:val="23"/>
          <w:szCs w:val="23"/>
        </w:rPr>
      </w:pPr>
    </w:p>
    <w:p>
      <w:pPr>
        <w:pStyle w:val="BodyText"/>
        <w:spacing w:line="240" w:lineRule="auto"/>
        <w:ind w:left="572" w:right="0"/>
        <w:jc w:val="left"/>
      </w:pPr>
      <w:r>
        <w:rPr>
          <w:rFonts w:ascii="Times New Roman" w:hAnsi="Times New Roman" w:cs="Times New Roman" w:eastAsia="Times New Roman" w:hint="default"/>
        </w:rPr>
        <w:t>1</w:t>
      </w:r>
      <w:r>
        <w:rPr/>
        <w:t>）这些交易是同时或者在考虑了彼此影响的情况下订立的；</w:t>
      </w:r>
    </w:p>
    <w:p>
      <w:pPr>
        <w:spacing w:line="240" w:lineRule="auto" w:before="9"/>
        <w:rPr>
          <w:rFonts w:ascii="宋体" w:hAnsi="宋体" w:cs="宋体" w:eastAsia="宋体" w:hint="default"/>
          <w:sz w:val="22"/>
          <w:szCs w:val="22"/>
        </w:rPr>
      </w:pPr>
    </w:p>
    <w:p>
      <w:pPr>
        <w:pStyle w:val="BodyText"/>
        <w:spacing w:line="240" w:lineRule="auto"/>
        <w:ind w:left="572" w:right="0"/>
        <w:jc w:val="left"/>
      </w:pPr>
      <w:r>
        <w:rPr>
          <w:rFonts w:ascii="Times New Roman" w:hAnsi="Times New Roman" w:cs="Times New Roman" w:eastAsia="Times New Roman" w:hint="default"/>
        </w:rPr>
        <w:t>2</w:t>
      </w:r>
      <w:r>
        <w:rPr/>
        <w:t>）这些交易整体才能达成一项完整的商业结果；</w:t>
      </w:r>
    </w:p>
    <w:p>
      <w:pPr>
        <w:spacing w:line="240" w:lineRule="auto" w:before="9"/>
        <w:rPr>
          <w:rFonts w:ascii="宋体" w:hAnsi="宋体" w:cs="宋体" w:eastAsia="宋体" w:hint="default"/>
          <w:sz w:val="22"/>
          <w:szCs w:val="22"/>
        </w:rPr>
      </w:pPr>
    </w:p>
    <w:p>
      <w:pPr>
        <w:pStyle w:val="BodyText"/>
        <w:spacing w:line="240" w:lineRule="auto"/>
        <w:ind w:left="572" w:right="0"/>
        <w:jc w:val="left"/>
      </w:pPr>
      <w:r>
        <w:rPr>
          <w:rFonts w:ascii="Times New Roman" w:hAnsi="Times New Roman" w:cs="Times New Roman" w:eastAsia="Times New Roman" w:hint="default"/>
        </w:rPr>
        <w:t>3</w:t>
      </w:r>
      <w:r>
        <w:rPr/>
        <w:t>）一项交易的发生取决于其他至少一项交易的发生；</w:t>
      </w:r>
    </w:p>
    <w:p>
      <w:pPr>
        <w:spacing w:line="240" w:lineRule="auto" w:before="9"/>
        <w:rPr>
          <w:rFonts w:ascii="宋体" w:hAnsi="宋体" w:cs="宋体" w:eastAsia="宋体" w:hint="default"/>
          <w:sz w:val="22"/>
          <w:szCs w:val="22"/>
        </w:rPr>
      </w:pPr>
    </w:p>
    <w:p>
      <w:pPr>
        <w:pStyle w:val="BodyText"/>
        <w:spacing w:line="240" w:lineRule="auto"/>
        <w:ind w:left="572" w:right="0"/>
        <w:jc w:val="left"/>
      </w:pPr>
      <w:r>
        <w:rPr>
          <w:rFonts w:ascii="Times New Roman" w:hAnsi="Times New Roman" w:cs="Times New Roman" w:eastAsia="Times New Roman" w:hint="default"/>
        </w:rPr>
        <w:t>4</w:t>
      </w:r>
      <w:r>
        <w:rPr/>
        <w:t>）一项交易单独看是不经济的，但是和其他交易一并考虑时是经济的。</w:t>
      </w:r>
    </w:p>
    <w:p>
      <w:pPr>
        <w:spacing w:line="240" w:lineRule="auto" w:before="9"/>
        <w:rPr>
          <w:rFonts w:ascii="宋体" w:hAnsi="宋体" w:cs="宋体" w:eastAsia="宋体" w:hint="default"/>
          <w:sz w:val="22"/>
          <w:szCs w:val="22"/>
        </w:rPr>
      </w:pPr>
    </w:p>
    <w:p>
      <w:pPr>
        <w:pStyle w:val="BodyText"/>
        <w:spacing w:line="484" w:lineRule="auto"/>
        <w:ind w:left="572" w:right="0"/>
        <w:jc w:val="left"/>
      </w:pPr>
      <w:r>
        <w:rPr/>
        <w:t>（</w:t>
      </w:r>
      <w:r>
        <w:rPr>
          <w:rFonts w:ascii="Times New Roman" w:hAnsi="Times New Roman" w:cs="Times New Roman" w:eastAsia="Times New Roman" w:hint="default"/>
        </w:rPr>
        <w:t>2</w:t>
      </w:r>
      <w:r>
        <w:rPr/>
        <w:t>）分步处置股权至丧失对子公司控制权过程中的各项交易属于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w:t>
      </w:r>
      <w:r>
        <w:rPr>
          <w:spacing w:val="-3"/>
          <w:w w:val="100"/>
        </w:rPr>
        <w:t> </w:t>
      </w:r>
      <w:r>
        <w:rPr>
          <w:spacing w:val="-2"/>
        </w:rPr>
        <w:t>处置对子公司股权投资直至丧失控制权的各项交易属于一揽子交易的，应当将各项交易作为一项处置</w:t>
      </w:r>
    </w:p>
    <w:p>
      <w:pPr>
        <w:pStyle w:val="BodyText"/>
        <w:spacing w:line="254" w:lineRule="exact"/>
        <w:ind w:right="0"/>
        <w:jc w:val="left"/>
      </w:pPr>
      <w:r>
        <w:rPr/>
        <w:t>子公司并丧失控制权的交易进行会计处理；但是，在丧失控制权之前每一次处置价款与处置投资对应的享</w:t>
      </w:r>
    </w:p>
    <w:p>
      <w:pPr>
        <w:spacing w:after="0" w:line="254" w:lineRule="exact"/>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0"/>
        <w:jc w:val="left"/>
      </w:pPr>
      <w:r>
        <w:rPr>
          <w:spacing w:val="-2"/>
        </w:rPr>
        <w:t>有该子公司净资产份额的差额，在合并财务报表中应当确认为其他综合收益，在丧失控制权时一并转入丧</w:t>
      </w:r>
      <w:r>
        <w:rPr>
          <w:spacing w:val="-42"/>
        </w:rPr>
        <w:t> </w:t>
      </w:r>
      <w:r>
        <w:rPr>
          <w:spacing w:val="-42"/>
        </w:rPr>
      </w:r>
      <w:r>
        <w:rPr/>
        <w:t>失控制权当期的损益。</w:t>
      </w:r>
    </w:p>
    <w:p>
      <w:pPr>
        <w:pStyle w:val="BodyText"/>
        <w:spacing w:line="408" w:lineRule="auto" w:before="166"/>
        <w:ind w:right="1128" w:firstLine="420"/>
        <w:jc w:val="both"/>
      </w:pPr>
      <w:r>
        <w:rPr>
          <w:spacing w:val="-2"/>
        </w:rPr>
        <w:t>在合并财务报表中，对于剩余股权，应当按照其在丧失控制权日的公允价值进行重新计量。处置股权</w:t>
      </w:r>
      <w:r>
        <w:rPr>
          <w:w w:val="100"/>
        </w:rPr>
        <w:t> </w:t>
      </w:r>
      <w:r>
        <w:rPr>
          <w:spacing w:val="-2"/>
        </w:rPr>
        <w:t>取得的对价与剩余股权公允价值之和，减去按原持股比例计算应享有原子公司自购买日开始持续计算的净</w:t>
      </w:r>
      <w:r>
        <w:rPr>
          <w:spacing w:val="-42"/>
        </w:rPr>
        <w:t> </w:t>
      </w:r>
      <w:r>
        <w:rPr>
          <w:spacing w:val="-42"/>
        </w:rPr>
      </w:r>
      <w:r>
        <w:rPr>
          <w:spacing w:val="-2"/>
        </w:rPr>
        <w:t>资产的份额之间的差额，计入丧失控制权当期的投资收益。与原子公司股权投资相关的其他综合收益，应</w:t>
      </w:r>
      <w:r>
        <w:rPr>
          <w:spacing w:val="-42"/>
        </w:rPr>
        <w:t> </w:t>
      </w:r>
      <w:r>
        <w:rPr>
          <w:spacing w:val="-42"/>
        </w:rPr>
      </w:r>
      <w:r>
        <w:rPr/>
        <w:t>当在丧失控制权时转为当期投资收益。</w:t>
      </w:r>
    </w:p>
    <w:p>
      <w:pPr>
        <w:pStyle w:val="BodyText"/>
        <w:spacing w:line="484" w:lineRule="auto" w:before="166"/>
        <w:ind w:left="572" w:right="0"/>
        <w:jc w:val="left"/>
      </w:pPr>
      <w:r>
        <w:rPr/>
        <w:t>（</w:t>
      </w:r>
      <w:r>
        <w:rPr>
          <w:rFonts w:ascii="Times New Roman" w:hAnsi="Times New Roman" w:cs="Times New Roman" w:eastAsia="Times New Roman" w:hint="default"/>
        </w:rPr>
        <w:t>3</w:t>
      </w:r>
      <w:r>
        <w:rPr/>
        <w:t>）分步处置股权至丧失对子公司控制权过程中的各项交易不属于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w:t>
      </w:r>
      <w:r>
        <w:rPr>
          <w:w w:val="100"/>
        </w:rPr>
        <w:t> </w:t>
      </w:r>
      <w:r>
        <w:rPr>
          <w:spacing w:val="-2"/>
        </w:rPr>
        <w:t>处置对子公司的投资未丧失控制权的，合并财务报表中处置价款与处置投资对应的享有该子公司净资</w:t>
      </w:r>
    </w:p>
    <w:p>
      <w:pPr>
        <w:pStyle w:val="BodyText"/>
        <w:spacing w:line="254" w:lineRule="exact"/>
        <w:ind w:right="0"/>
        <w:jc w:val="left"/>
      </w:pPr>
      <w:r>
        <w:rPr/>
        <w:t>产份额的差额计入资本公积（资本溢价或股本溢价），资本溢价不足冲减的，应当调整留存收益。</w:t>
      </w:r>
    </w:p>
    <w:p>
      <w:pPr>
        <w:spacing w:line="240" w:lineRule="auto" w:before="12"/>
        <w:rPr>
          <w:rFonts w:ascii="宋体" w:hAnsi="宋体" w:cs="宋体" w:eastAsia="宋体" w:hint="default"/>
          <w:sz w:val="23"/>
          <w:szCs w:val="23"/>
        </w:rPr>
      </w:pPr>
    </w:p>
    <w:p>
      <w:pPr>
        <w:pStyle w:val="BodyText"/>
        <w:spacing w:line="408" w:lineRule="auto"/>
        <w:ind w:right="1128" w:firstLine="420"/>
        <w:jc w:val="both"/>
      </w:pPr>
      <w:r>
        <w:rPr>
          <w:spacing w:val="-2"/>
        </w:rPr>
        <w:t>处置对子公司的投资丧失控制权的，在合并财务报表中，对于剩余股权，应当按照其在丧失控制权日</w:t>
      </w:r>
      <w:r>
        <w:rPr>
          <w:w w:val="100"/>
        </w:rPr>
        <w:t> </w:t>
      </w:r>
      <w:r>
        <w:rPr>
          <w:spacing w:val="-2"/>
        </w:rPr>
        <w:t>的公允价值进行重新计量。处置股权取得的对价与剩余股权公允价值之和，减去按原持股比例计算应享有</w:t>
      </w:r>
      <w:r>
        <w:rPr>
          <w:spacing w:val="-42"/>
        </w:rPr>
        <w:t> </w:t>
      </w:r>
      <w:r>
        <w:rPr>
          <w:spacing w:val="-42"/>
        </w:rPr>
      </w:r>
      <w:r>
        <w:rPr>
          <w:spacing w:val="-2"/>
        </w:rPr>
        <w:t>原有子公司自购买日开始持续计算的净资产的份额之间的差额，计入丧失控制权当期的投资收益。与原有</w:t>
      </w:r>
      <w:r>
        <w:rPr>
          <w:spacing w:val="-42"/>
        </w:rPr>
        <w:t> </w:t>
      </w:r>
      <w:r>
        <w:rPr>
          <w:spacing w:val="-42"/>
        </w:rPr>
      </w:r>
      <w:r>
        <w:rPr/>
        <w:t>子公司股权投资相关的其他综合收益，应当在丧失控制权时转为当期投资收益。</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6、合并财务报表的编制方法" w:id="178"/>
      <w:bookmarkEnd w:id="178"/>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28" w:firstLine="420"/>
        <w:jc w:val="both"/>
      </w:pPr>
      <w:r>
        <w:rPr>
          <w:spacing w:val="-2"/>
        </w:rPr>
        <w:t>合并财务报表以母公司及其子公司的财务报表为基础，根据其他有关资料，由本集团按照《企业会计</w:t>
      </w:r>
      <w:r>
        <w:rPr>
          <w:w w:val="100"/>
        </w:rPr>
        <w:t> </w:t>
      </w:r>
      <w:r>
        <w:rPr/>
        <w:t>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pStyle w:val="BodyText"/>
        <w:spacing w:line="240" w:lineRule="auto" w:before="132"/>
        <w:ind w:left="572" w:right="0"/>
        <w:jc w:val="left"/>
      </w:pPr>
      <w:r>
        <w:rPr/>
        <w:t>本集团将所有控制的子公司及结构化主体纳入合并财务报表范围。</w:t>
      </w:r>
    </w:p>
    <w:p>
      <w:pPr>
        <w:spacing w:line="240" w:lineRule="auto" w:before="12"/>
        <w:rPr>
          <w:rFonts w:ascii="宋体" w:hAnsi="宋体" w:cs="宋体" w:eastAsia="宋体" w:hint="default"/>
          <w:sz w:val="23"/>
          <w:szCs w:val="23"/>
        </w:rPr>
      </w:pPr>
    </w:p>
    <w:p>
      <w:pPr>
        <w:pStyle w:val="BodyText"/>
        <w:spacing w:line="408" w:lineRule="auto"/>
        <w:ind w:right="1128" w:firstLine="420"/>
        <w:jc w:val="both"/>
      </w:pPr>
      <w:r>
        <w:rPr>
          <w:spacing w:val="-2"/>
        </w:rPr>
        <w:t>在编制合并财务报表时，子公司与本集团采用的会计政策或会计期间不一致的，按照本集团的会计政</w:t>
      </w:r>
      <w:r>
        <w:rPr>
          <w:w w:val="100"/>
        </w:rPr>
        <w:t> </w:t>
      </w:r>
      <w:r>
        <w:rPr/>
        <w:t>策或会计期间对子公司财务报表进行必要的调整。</w:t>
      </w:r>
    </w:p>
    <w:p>
      <w:pPr>
        <w:pStyle w:val="BodyText"/>
        <w:spacing w:line="400" w:lineRule="auto" w:before="166"/>
        <w:ind w:right="1128" w:firstLine="420"/>
        <w:jc w:val="both"/>
      </w:pPr>
      <w:r>
        <w:rPr>
          <w:spacing w:val="-2"/>
        </w:rPr>
        <w:t>合并范围内的所有重大内部交易、往来余额及未实现利润在合并报表编制时予以抵销。子公司的所有</w:t>
      </w:r>
      <w:r>
        <w:rPr>
          <w:w w:val="100"/>
        </w:rPr>
        <w:t> </w:t>
      </w:r>
      <w:r>
        <w:rPr>
          <w:spacing w:val="2"/>
        </w:rPr>
        <w:t>者权益中不属于母公司的份额以及当期净损益、其他综合收益及综合收益总额中属于少数股东权益的份</w:t>
      </w:r>
      <w:r>
        <w:rPr>
          <w:spacing w:val="-28"/>
        </w:rPr>
        <w:t> </w:t>
      </w:r>
      <w:r>
        <w:rPr>
          <w:spacing w:val="-28"/>
        </w:rPr>
      </w:r>
      <w:r>
        <w:rPr/>
        <w:t>额，分别在合并财务报表</w:t>
      </w:r>
      <w:r>
        <w:rPr>
          <w:rFonts w:ascii="Times New Roman" w:hAnsi="Times New Roman" w:cs="Times New Roman" w:eastAsia="Times New Roman" w:hint="default"/>
        </w:rPr>
        <w:t>“</w:t>
      </w:r>
      <w:r>
        <w:rPr/>
        <w:t>少数股东权益、少数股东损益、归属于少数股东的其他综合收益及归属于少数</w:t>
      </w:r>
      <w:r>
        <w:rPr>
          <w:spacing w:val="-18"/>
        </w:rPr>
        <w:t> </w:t>
      </w:r>
      <w:r>
        <w:rPr>
          <w:spacing w:val="-18"/>
        </w:rPr>
      </w:r>
      <w:r>
        <w:rPr/>
        <w:t>股东的综合收益总额</w:t>
      </w:r>
      <w:r>
        <w:rPr>
          <w:rFonts w:ascii="Times New Roman" w:hAnsi="Times New Roman" w:cs="Times New Roman" w:eastAsia="Times New Roman" w:hint="default"/>
        </w:rPr>
        <w:t>”</w:t>
      </w:r>
      <w:r>
        <w:rPr/>
        <w:t>项目列示。</w:t>
      </w:r>
    </w:p>
    <w:p>
      <w:pPr>
        <w:pStyle w:val="BodyText"/>
        <w:spacing w:line="408" w:lineRule="auto" w:before="141"/>
        <w:ind w:right="1106" w:firstLine="420"/>
        <w:jc w:val="both"/>
      </w:pPr>
      <w:r>
        <w:rPr>
          <w:spacing w:val="-2"/>
        </w:rPr>
        <w:t>对于同一控制下企业合并取得的子公司，其经营成果和现金流量自合并当期期初纳入合并财务报表。</w:t>
      </w:r>
      <w:r>
        <w:rPr>
          <w:w w:val="100"/>
        </w:rPr>
        <w:t> </w:t>
      </w:r>
      <w:r>
        <w:rPr>
          <w:spacing w:val="-2"/>
        </w:rPr>
        <w:t>编制比较合并财务报表时，对上年财务报表的相关项目进行调整，视同合并后形成的报告主体自最终控制</w:t>
      </w:r>
      <w:r>
        <w:rPr>
          <w:spacing w:val="-42"/>
        </w:rPr>
        <w:t> </w:t>
      </w:r>
      <w:r>
        <w:rPr>
          <w:spacing w:val="-42"/>
        </w:rPr>
      </w:r>
      <w:r>
        <w:rPr/>
        <w:t>方开始控制时点起一直存在。</w:t>
      </w:r>
    </w:p>
    <w:p>
      <w:pPr>
        <w:spacing w:after="0" w:line="408" w:lineRule="auto"/>
        <w:jc w:val="both"/>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8" w:firstLine="420"/>
        <w:jc w:val="both"/>
      </w:pPr>
      <w:r>
        <w:rPr>
          <w:spacing w:val="-2"/>
        </w:rPr>
        <w:t>通过多次交易分步取得同一控制下被投资单位的股权，最终形成企业合并，编制合并报表时，视同在</w:t>
      </w:r>
      <w:r>
        <w:rPr>
          <w:w w:val="100"/>
        </w:rPr>
        <w:t> </w:t>
      </w:r>
      <w:r>
        <w:rPr>
          <w:spacing w:val="-2"/>
        </w:rPr>
        <w:t>最终控制方开始控制时即以目前的状态存在进行调整，在编制比较报表时，以不早于本集团和被合并方同</w:t>
      </w:r>
      <w:r>
        <w:rPr>
          <w:spacing w:val="-42"/>
        </w:rPr>
        <w:t> </w:t>
      </w:r>
      <w:r>
        <w:rPr>
          <w:spacing w:val="-42"/>
        </w:rPr>
      </w:r>
      <w:r>
        <w:rPr>
          <w:spacing w:val="-2"/>
        </w:rPr>
        <w:t>处于最终控制方的控制之下的时点为限，将被合并方的有关资产、负债并入本集团合并财务报表的比较报</w:t>
      </w:r>
      <w:r>
        <w:rPr>
          <w:spacing w:val="-42"/>
        </w:rPr>
        <w:t> </w:t>
      </w:r>
      <w:r>
        <w:rPr>
          <w:spacing w:val="-42"/>
        </w:rPr>
      </w:r>
      <w:r>
        <w:rPr>
          <w:spacing w:val="-2"/>
        </w:rPr>
        <w:t>表中，并将合并而增加的净资产在比较报表中调整所有者权益项下的相关项目。为避免对被合并方净资产</w:t>
      </w:r>
      <w:r>
        <w:rPr>
          <w:spacing w:val="-42"/>
        </w:rPr>
        <w:t> </w:t>
      </w:r>
      <w:r>
        <w:rPr>
          <w:spacing w:val="-42"/>
        </w:rPr>
      </w:r>
      <w:r>
        <w:rPr>
          <w:spacing w:val="-2"/>
        </w:rPr>
        <w:t>的价值进行重复计算，本集团在达到合并之前持有的长期股权投资，在取得原股权之日与本集团和被合并</w:t>
      </w:r>
      <w:r>
        <w:rPr>
          <w:spacing w:val="-42"/>
        </w:rPr>
        <w:t> </w:t>
      </w:r>
      <w:r>
        <w:rPr>
          <w:spacing w:val="-42"/>
        </w:rPr>
      </w:r>
      <w:r>
        <w:rPr>
          <w:spacing w:val="-2"/>
        </w:rPr>
        <w:t>方处于同一方最终控制之日孰晚日起至合并日之间已确认有关损益、其他综合收益和其他净资产变动，应</w:t>
      </w:r>
      <w:r>
        <w:rPr>
          <w:spacing w:val="-42"/>
        </w:rPr>
        <w:t> </w:t>
      </w:r>
      <w:r>
        <w:rPr>
          <w:spacing w:val="-42"/>
        </w:rPr>
      </w:r>
      <w:r>
        <w:rPr/>
        <w:t>分别冲减比较报表期间的期初留存收益和当期损益。</w:t>
      </w:r>
    </w:p>
    <w:p>
      <w:pPr>
        <w:pStyle w:val="BodyText"/>
        <w:spacing w:line="408" w:lineRule="auto" w:before="166"/>
        <w:ind w:right="1128" w:firstLine="420"/>
        <w:jc w:val="both"/>
      </w:pPr>
      <w:r>
        <w:rPr>
          <w:spacing w:val="-2"/>
        </w:rPr>
        <w:t>对于非同一控制下企业合并取得子公司，经营成果和现金流量自本集团取得控制权之日起纳入合并财</w:t>
      </w:r>
      <w:r>
        <w:rPr>
          <w:w w:val="100"/>
        </w:rPr>
        <w:t> </w:t>
      </w:r>
      <w:r>
        <w:rPr>
          <w:spacing w:val="-2"/>
        </w:rPr>
        <w:t>务报表。在编制合并财务报表时，以购买日确定的各项可辨认资产、负债及或有负债的公允价值为基础对</w:t>
      </w:r>
      <w:r>
        <w:rPr>
          <w:spacing w:val="-43"/>
        </w:rPr>
        <w:t> </w:t>
      </w:r>
      <w:r>
        <w:rPr>
          <w:spacing w:val="-43"/>
        </w:rPr>
      </w:r>
      <w:r>
        <w:rPr/>
        <w:t>子公司的财务报表进行调整。</w:t>
      </w:r>
    </w:p>
    <w:p>
      <w:pPr>
        <w:pStyle w:val="BodyText"/>
        <w:spacing w:line="408" w:lineRule="auto" w:before="166"/>
        <w:ind w:right="0" w:firstLine="420"/>
        <w:jc w:val="left"/>
      </w:pPr>
      <w:r>
        <w:rPr>
          <w:spacing w:val="-2"/>
        </w:rPr>
        <w:t>通过多次交易分步取得非同一控制下被投资单位的股权，最终形成企业合并，编制合并报表时，对于</w:t>
      </w:r>
      <w:r>
        <w:rPr>
          <w:spacing w:val="-3"/>
          <w:w w:val="100"/>
        </w:rPr>
        <w:t> </w:t>
      </w:r>
      <w:r>
        <w:rPr>
          <w:spacing w:val="-2"/>
        </w:rPr>
        <w:t>购买日之前持有的被购买方的股权，按照该股权在购买日的公允价值进行重新计量，公允价值与其账面价</w:t>
      </w:r>
      <w:r>
        <w:rPr>
          <w:spacing w:val="-42"/>
        </w:rPr>
        <w:t> </w:t>
      </w:r>
      <w:r>
        <w:rPr>
          <w:spacing w:val="-42"/>
        </w:rPr>
      </w:r>
      <w:r>
        <w:rPr>
          <w:spacing w:val="-2"/>
        </w:rPr>
        <w:t>值的差额计入当期投资收益；与其相关的购买日之前持有的被购买方的股权涉及权益法核算下的其他综合</w:t>
      </w:r>
      <w:r>
        <w:rPr>
          <w:spacing w:val="-42"/>
        </w:rPr>
        <w:t> </w:t>
      </w:r>
      <w:r>
        <w:rPr>
          <w:spacing w:val="-42"/>
        </w:rPr>
      </w:r>
      <w:r>
        <w:rPr>
          <w:spacing w:val="-5"/>
        </w:rPr>
        <w:t>收益以及除净损益、其他综合收益和利润分配外的其他所有者权益变动，在购买日所属当期转为投资损益， </w:t>
      </w:r>
      <w:r>
        <w:rPr>
          <w:spacing w:val="-5"/>
        </w:rPr>
      </w:r>
      <w:r>
        <w:rPr/>
        <w:t>由于被投资方重新计量设定受益计划净负债或净资产变动而产生的其他综合收益除外。</w:t>
      </w:r>
    </w:p>
    <w:p>
      <w:pPr>
        <w:pStyle w:val="BodyText"/>
        <w:spacing w:line="408" w:lineRule="auto" w:before="166"/>
        <w:ind w:right="1128" w:firstLine="420"/>
        <w:jc w:val="both"/>
      </w:pPr>
      <w:r>
        <w:rPr>
          <w:spacing w:val="-2"/>
        </w:rPr>
        <w:t>本集团在不丧失控制权的情况下部分处置对子公司的长期股权投资，在合并财务报表中，处置价款与</w:t>
      </w:r>
      <w:r>
        <w:rPr>
          <w:w w:val="100"/>
        </w:rPr>
        <w:t> </w:t>
      </w:r>
      <w:r>
        <w:rPr>
          <w:spacing w:val="-2"/>
        </w:rPr>
        <w:t>处置长期股权投资相对应享有子公司自购买日或合并日开始持续计算的净资产份额之间的差额，调整资本</w:t>
      </w:r>
      <w:r>
        <w:rPr>
          <w:spacing w:val="-43"/>
        </w:rPr>
        <w:t> </w:t>
      </w:r>
      <w:r>
        <w:rPr>
          <w:spacing w:val="-43"/>
        </w:rPr>
      </w:r>
      <w:r>
        <w:rPr/>
        <w:t>溢价或股本溢价，资本公积不足冲减的，调整留存收益。</w:t>
      </w:r>
    </w:p>
    <w:p>
      <w:pPr>
        <w:pStyle w:val="BodyText"/>
        <w:spacing w:line="408" w:lineRule="auto" w:before="166"/>
        <w:ind w:right="1108" w:firstLine="420"/>
        <w:jc w:val="both"/>
      </w:pPr>
      <w:r>
        <w:rPr>
          <w:spacing w:val="-2"/>
        </w:rPr>
        <w:t>本集团因处置部分股权投资等原因丧失了对被投资方的控制权的，在编制合并财务报表时，对于剩余</w:t>
      </w:r>
      <w:r>
        <w:rPr>
          <w:w w:val="100"/>
        </w:rPr>
        <w:t> </w:t>
      </w:r>
      <w:r>
        <w:rPr>
          <w:spacing w:val="-2"/>
        </w:rPr>
        <w:t>股权，按照其在丧失控制权日的公允价值进行重新计量。处置股权取得的对价与剩余股权公允价值之和，</w:t>
      </w:r>
      <w:r>
        <w:rPr>
          <w:spacing w:val="-24"/>
        </w:rPr>
        <w:t> </w:t>
      </w:r>
      <w:r>
        <w:rPr>
          <w:spacing w:val="-24"/>
        </w:rPr>
      </w:r>
      <w:r>
        <w:rPr>
          <w:spacing w:val="-2"/>
        </w:rPr>
        <w:t>减去按原持股比例计算应享有原有子公司自购买日或合并日开始持续计算的净资产的份额之间的差额，计</w:t>
      </w:r>
      <w:r>
        <w:rPr>
          <w:spacing w:val="-42"/>
        </w:rPr>
        <w:t> </w:t>
      </w:r>
      <w:r>
        <w:rPr>
          <w:spacing w:val="-42"/>
        </w:rPr>
      </w:r>
      <w:r>
        <w:rPr>
          <w:spacing w:val="-2"/>
        </w:rPr>
        <w:t>入丧失控制权当期的投资损益，同时冲减商誉。与原有子公司股权投资相关的其他综合收益等，在丧失控</w:t>
      </w:r>
      <w:r>
        <w:rPr>
          <w:spacing w:val="-43"/>
        </w:rPr>
        <w:t> </w:t>
      </w:r>
      <w:r>
        <w:rPr>
          <w:spacing w:val="-43"/>
        </w:rPr>
      </w:r>
      <w:r>
        <w:rPr/>
        <w:t>制权时转为当期投资损益</w:t>
      </w:r>
      <w:r>
        <w:rPr>
          <w:spacing w:val="-22"/>
        </w:rPr>
        <w:t> </w:t>
      </w:r>
      <w:r>
        <w:rPr/>
        <w:t>。</w:t>
      </w:r>
    </w:p>
    <w:p>
      <w:pPr>
        <w:pStyle w:val="BodyText"/>
        <w:spacing w:line="408" w:lineRule="auto" w:before="166"/>
        <w:ind w:right="1108" w:firstLine="420"/>
        <w:jc w:val="both"/>
      </w:pPr>
      <w:r>
        <w:rPr>
          <w:spacing w:val="-2"/>
        </w:rPr>
        <w:t>本集团通过多次交易分步处置对子公司股权投资直至丧失控制权的，如果处置对子公司股权投资直至</w:t>
      </w:r>
      <w:r>
        <w:rPr>
          <w:w w:val="100"/>
        </w:rPr>
        <w:t> </w:t>
      </w:r>
      <w:r>
        <w:rPr>
          <w:spacing w:val="-2"/>
        </w:rPr>
        <w:t>丧失控制权的各项交易属于一揽子交易的，应当将各项交易作为一项处置子公司并丧失控制权的交易进行</w:t>
      </w:r>
      <w:r>
        <w:rPr>
          <w:spacing w:val="-42"/>
        </w:rPr>
        <w:t> </w:t>
      </w:r>
      <w:r>
        <w:rPr>
          <w:spacing w:val="-42"/>
        </w:rPr>
      </w:r>
      <w:r>
        <w:rPr>
          <w:spacing w:val="-2"/>
        </w:rPr>
        <w:t>会计处理；但是，在丧失控制权之前每一次处置价款与处置投资对应的享有该子公司净资产份额的差额，</w:t>
      </w:r>
      <w:r>
        <w:rPr>
          <w:spacing w:val="-24"/>
        </w:rPr>
        <w:t> </w:t>
      </w:r>
      <w:r>
        <w:rPr>
          <w:spacing w:val="-24"/>
        </w:rPr>
      </w:r>
      <w:r>
        <w:rPr/>
        <w:t>在合并财务报表中确认为其他综合收益，在丧失控制权时一并转入丧失控制权当期的投资损益。</w:t>
      </w:r>
    </w:p>
    <w:p>
      <w:pPr>
        <w:spacing w:after="0" w:line="408" w:lineRule="auto"/>
        <w:jc w:val="both"/>
        <w:sectPr>
          <w:pgSz w:w="11910" w:h="16840"/>
          <w:pgMar w:header="880" w:footer="977"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both"/>
        <w:rPr>
          <w:b w:val="0"/>
          <w:bCs w:val="0"/>
        </w:rPr>
      </w:pPr>
      <w:bookmarkStart w:name="7、合营安排分类及共同经营会计处理方法" w:id="179"/>
      <w:bookmarkEnd w:id="179"/>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pStyle w:val="BodyText"/>
        <w:spacing w:line="580" w:lineRule="atLeast" w:before="111"/>
        <w:ind w:left="572" w:right="0"/>
        <w:jc w:val="left"/>
      </w:pPr>
      <w:r>
        <w:rPr>
          <w:rFonts w:ascii="Times New Roman" w:hAnsi="Times New Roman" w:cs="Times New Roman" w:eastAsia="Times New Roman" w:hint="default"/>
        </w:rPr>
        <w:t>1.</w:t>
      </w:r>
      <w:r>
        <w:rPr/>
        <w:t>合营安排的认定和分类</w:t>
      </w:r>
      <w:r>
        <w:rPr>
          <w:w w:val="100"/>
        </w:rPr>
        <w:t> </w:t>
      </w:r>
      <w:r>
        <w:rPr/>
        <w:t>合营安排，是指一项由两个或两个以上的参与方共同控制的安排。合营安排具有下列特征：（</w:t>
      </w:r>
      <w:r>
        <w:rPr>
          <w:rFonts w:ascii="Times New Roman" w:hAnsi="Times New Roman" w:cs="Times New Roman" w:eastAsia="Times New Roman" w:hint="default"/>
        </w:rPr>
        <w:t>1</w:t>
      </w:r>
      <w:r>
        <w:rPr/>
        <w:t>）各</w:t>
      </w:r>
    </w:p>
    <w:p>
      <w:pPr>
        <w:pStyle w:val="BodyText"/>
        <w:spacing w:line="398" w:lineRule="auto" w:before="177"/>
        <w:ind w:right="1128"/>
        <w:jc w:val="both"/>
      </w:pPr>
      <w:r>
        <w:rPr/>
        <w:t>参与方均受到该安排的约束；（</w:t>
      </w:r>
      <w:r>
        <w:rPr>
          <w:rFonts w:ascii="Times New Roman" w:hAnsi="Times New Roman" w:cs="Times New Roman" w:eastAsia="Times New Roman" w:hint="default"/>
        </w:rPr>
        <w:t>2</w:t>
      </w:r>
      <w:r>
        <w:rPr/>
        <w:t>）两个或两个以上的参与方对该安排实施共同控制。任何一个参与方都</w:t>
      </w:r>
      <w:r>
        <w:rPr>
          <w:spacing w:val="-25"/>
        </w:rPr>
        <w:t> </w:t>
      </w:r>
      <w:r>
        <w:rPr>
          <w:spacing w:val="-25"/>
        </w:rPr>
      </w:r>
      <w:r>
        <w:rPr>
          <w:spacing w:val="-2"/>
        </w:rPr>
        <w:t>不能够单独控制该安排，对该安排具有共同控制的任何一个参与方均能够阻止其他参与方或参与方组合单</w:t>
      </w:r>
      <w:r>
        <w:rPr>
          <w:spacing w:val="-42"/>
        </w:rPr>
        <w:t> </w:t>
      </w:r>
      <w:r>
        <w:rPr>
          <w:spacing w:val="-42"/>
        </w:rPr>
      </w:r>
      <w:r>
        <w:rPr/>
        <w:t>独控制该安排。</w:t>
      </w:r>
    </w:p>
    <w:p>
      <w:pPr>
        <w:pStyle w:val="BodyText"/>
        <w:spacing w:line="408" w:lineRule="auto" w:before="174"/>
        <w:ind w:right="0" w:firstLine="420"/>
        <w:jc w:val="left"/>
      </w:pPr>
      <w:r>
        <w:rPr>
          <w:spacing w:val="-2"/>
        </w:rPr>
        <w:t>共同控制，是指按照相关约定对某项安排所共有的控制，并且该安排的相关活动必须经过分享控制权</w:t>
      </w:r>
      <w:r>
        <w:rPr>
          <w:w w:val="100"/>
        </w:rPr>
        <w:t> </w:t>
      </w:r>
      <w:r>
        <w:rPr/>
        <w:t>的参与方一致同意后才能决策。</w:t>
      </w:r>
    </w:p>
    <w:p>
      <w:pPr>
        <w:pStyle w:val="BodyText"/>
        <w:spacing w:line="408" w:lineRule="auto" w:before="166"/>
        <w:ind w:right="0" w:firstLine="420"/>
        <w:jc w:val="left"/>
      </w:pPr>
      <w:r>
        <w:rPr>
          <w:spacing w:val="-2"/>
        </w:rPr>
        <w:t>合营安排分为共同经营和合营企业。共同经营，是指合营方享有该安排相关资产且承担该安排相关负</w:t>
      </w:r>
      <w:r>
        <w:rPr>
          <w:w w:val="100"/>
        </w:rPr>
        <w:t> </w:t>
      </w:r>
      <w:r>
        <w:rPr/>
        <w:t>债的合营安排。合营企业，是指合营方仅对该安排的净资产享有权利的合营安排。</w:t>
      </w:r>
    </w:p>
    <w:p>
      <w:pPr>
        <w:pStyle w:val="BodyText"/>
        <w:spacing w:line="484" w:lineRule="auto" w:before="166"/>
        <w:ind w:left="572" w:right="0"/>
        <w:jc w:val="left"/>
      </w:pPr>
      <w:r>
        <w:rPr>
          <w:rFonts w:ascii="Times New Roman" w:hAnsi="Times New Roman" w:cs="Times New Roman" w:eastAsia="Times New Roman" w:hint="default"/>
        </w:rPr>
        <w:t>2.</w:t>
      </w:r>
      <w:r>
        <w:rPr/>
        <w:t>合营安排的会计处理</w:t>
      </w:r>
      <w:r>
        <w:rPr>
          <w:spacing w:val="-3"/>
          <w:w w:val="100"/>
        </w:rPr>
        <w:t> </w:t>
      </w:r>
      <w:r>
        <w:rPr>
          <w:spacing w:val="-2"/>
        </w:rPr>
        <w:t>共同经营参与方应当确认其与共同经营中利益份额相关的下列项目，并按照相关企业会计准则的规定</w:t>
      </w:r>
    </w:p>
    <w:p>
      <w:pPr>
        <w:pStyle w:val="BodyText"/>
        <w:spacing w:line="270" w:lineRule="exact"/>
        <w:ind w:right="0" w:hanging="1"/>
        <w:jc w:val="both"/>
      </w:pPr>
      <w:r>
        <w:rPr>
          <w:spacing w:val="-3"/>
        </w:rPr>
        <w:t>进行会计处理：（</w:t>
      </w:r>
      <w:r>
        <w:rPr>
          <w:rFonts w:ascii="Times New Roman" w:hAnsi="Times New Roman" w:cs="Times New Roman" w:eastAsia="Times New Roman" w:hint="default"/>
          <w:spacing w:val="-3"/>
        </w:rPr>
        <w:t>1</w:t>
      </w:r>
      <w:r>
        <w:rPr>
          <w:spacing w:val="-3"/>
        </w:rPr>
        <w:t>）确认单独所持有的资产，以及按其份额确认共同持有的资产；（</w:t>
      </w:r>
      <w:r>
        <w:rPr>
          <w:rFonts w:ascii="Times New Roman" w:hAnsi="Times New Roman" w:cs="Times New Roman" w:eastAsia="Times New Roman" w:hint="default"/>
          <w:spacing w:val="-3"/>
        </w:rPr>
        <w:t>2</w:t>
      </w:r>
      <w:r>
        <w:rPr>
          <w:spacing w:val="-3"/>
        </w:rPr>
        <w:t>）确认单独所承担</w:t>
      </w:r>
      <w:r>
        <w:rPr/>
      </w:r>
    </w:p>
    <w:p>
      <w:pPr>
        <w:pStyle w:val="BodyText"/>
        <w:spacing w:line="240" w:lineRule="auto" w:before="177"/>
        <w:ind w:right="0"/>
        <w:jc w:val="both"/>
      </w:pPr>
      <w:r>
        <w:rPr/>
        <w:t>的负债，以及按其份额确认共同承担的负债；（</w:t>
      </w:r>
      <w:r>
        <w:rPr>
          <w:rFonts w:ascii="Times New Roman" w:hAnsi="Times New Roman" w:cs="Times New Roman" w:eastAsia="Times New Roman" w:hint="default"/>
        </w:rPr>
        <w:t>3</w:t>
      </w:r>
      <w:r>
        <w:rPr/>
        <w:t>）确认出售其享有的共同经营产出份额所产生的收入；</w:t>
      </w:r>
    </w:p>
    <w:p>
      <w:pPr>
        <w:pStyle w:val="BodyText"/>
        <w:spacing w:line="386" w:lineRule="auto" w:before="177"/>
        <w:ind w:right="1132"/>
        <w:jc w:val="both"/>
      </w:pPr>
      <w:r>
        <w:rPr>
          <w:spacing w:val="-2"/>
        </w:rPr>
        <w:t>（</w:t>
      </w:r>
      <w:r>
        <w:rPr>
          <w:rFonts w:ascii="Times New Roman" w:hAnsi="Times New Roman" w:cs="Times New Roman" w:eastAsia="Times New Roman" w:hint="default"/>
          <w:spacing w:val="-2"/>
        </w:rPr>
        <w:t>4</w:t>
      </w:r>
      <w:r>
        <w:rPr>
          <w:spacing w:val="-2"/>
        </w:rPr>
        <w:t>）按其份额确认共同经营因出售产出所产生的收入；（</w:t>
      </w:r>
      <w:r>
        <w:rPr>
          <w:rFonts w:ascii="Times New Roman" w:hAnsi="Times New Roman" w:cs="Times New Roman" w:eastAsia="Times New Roman" w:hint="default"/>
          <w:spacing w:val="-2"/>
        </w:rPr>
        <w:t>5</w:t>
      </w:r>
      <w:r>
        <w:rPr>
          <w:spacing w:val="-2"/>
        </w:rPr>
        <w:t>）确认单独所发生的费用，以及按其份额确认</w:t>
      </w:r>
      <w:r>
        <w:rPr>
          <w:spacing w:val="-47"/>
        </w:rPr>
        <w:t> </w:t>
      </w:r>
      <w:r>
        <w:rPr>
          <w:spacing w:val="-47"/>
        </w:rPr>
      </w:r>
      <w:r>
        <w:rPr/>
        <w:t>共同经营发生的费用。</w:t>
      </w:r>
    </w:p>
    <w:p>
      <w:pPr>
        <w:spacing w:line="240" w:lineRule="auto" w:before="13"/>
        <w:rPr>
          <w:rFonts w:ascii="宋体" w:hAnsi="宋体" w:cs="宋体" w:eastAsia="宋体" w:hint="default"/>
          <w:sz w:val="13"/>
          <w:szCs w:val="13"/>
        </w:rPr>
      </w:pPr>
    </w:p>
    <w:p>
      <w:pPr>
        <w:pStyle w:val="BodyText"/>
        <w:spacing w:line="386" w:lineRule="auto"/>
        <w:ind w:right="1129" w:firstLine="419"/>
        <w:jc w:val="left"/>
      </w:pPr>
      <w:r>
        <w:rPr/>
        <w:t>合营企业参与方应当按照《企业会计准则第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长期股权投资》的规定对合营企业的投资进行会</w:t>
      </w:r>
      <w:r>
        <w:rPr>
          <w:w w:val="100"/>
        </w:rPr>
        <w:t> </w:t>
      </w:r>
      <w:r>
        <w:rPr/>
        <w:t>计处理。</w:t>
      </w:r>
    </w:p>
    <w:p>
      <w:pPr>
        <w:spacing w:line="240" w:lineRule="auto" w:before="0"/>
        <w:rPr>
          <w:rFonts w:ascii="宋体" w:hAnsi="宋体" w:cs="宋体" w:eastAsia="宋体" w:hint="default"/>
          <w:sz w:val="22"/>
          <w:szCs w:val="22"/>
        </w:rPr>
      </w:pPr>
    </w:p>
    <w:p>
      <w:pPr>
        <w:pStyle w:val="Heading3"/>
        <w:spacing w:line="240" w:lineRule="auto"/>
        <w:ind w:right="0"/>
        <w:jc w:val="both"/>
        <w:rPr>
          <w:b w:val="0"/>
          <w:bCs w:val="0"/>
        </w:rPr>
      </w:pPr>
      <w:bookmarkStart w:name="8、现金及现金等价物的确定标准" w:id="180"/>
      <w:bookmarkEnd w:id="180"/>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firstLine="420"/>
        <w:jc w:val="left"/>
      </w:pPr>
      <w:r>
        <w:rPr>
          <w:spacing w:val="-2"/>
        </w:rPr>
        <w:t>现金流量表的现金指企业库存现金及可以随时用于支付的存款。现金等价物指持有的期限短（一般是</w:t>
      </w:r>
      <w:r>
        <w:rPr>
          <w:w w:val="100"/>
        </w:rPr>
        <w:t> </w:t>
      </w:r>
      <w:r>
        <w:rPr/>
        <w:t>指从购买日起三个月内到期）、流动性强、易于转换为已知金额现金、价值变动风险很小的投资。</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9、外币业务和外币报表折算" w:id="181"/>
      <w:bookmarkEnd w:id="181"/>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30"/>
          <w:szCs w:val="30"/>
        </w:rPr>
      </w:pPr>
    </w:p>
    <w:p>
      <w:pPr>
        <w:pStyle w:val="BodyText"/>
        <w:spacing w:line="484" w:lineRule="auto"/>
        <w:ind w:left="572" w:right="0"/>
        <w:jc w:val="left"/>
      </w:pPr>
      <w:r>
        <w:rPr>
          <w:rFonts w:ascii="Times New Roman" w:hAnsi="Times New Roman" w:cs="Times New Roman" w:eastAsia="Times New Roman" w:hint="default"/>
        </w:rPr>
        <w:t>1.</w:t>
      </w:r>
      <w:r>
        <w:rPr/>
        <w:t>外币业务折算</w:t>
      </w:r>
      <w:r>
        <w:rPr>
          <w:spacing w:val="-103"/>
        </w:rPr>
        <w:t> </w:t>
      </w:r>
      <w:r>
        <w:rPr>
          <w:spacing w:val="-103"/>
        </w:rPr>
      </w:r>
      <w:r>
        <w:rPr>
          <w:spacing w:val="-2"/>
        </w:rPr>
        <w:t>外币交易在初始确认时，采用交易发生日的即期汇率折算为人民币金额。资产负债表日，外币货币性</w:t>
      </w:r>
      <w:r>
        <w:rPr/>
      </w:r>
    </w:p>
    <w:p>
      <w:pPr>
        <w:pStyle w:val="BodyText"/>
        <w:spacing w:line="254" w:lineRule="exact"/>
        <w:ind w:right="0"/>
        <w:jc w:val="both"/>
      </w:pPr>
      <w:r>
        <w:rPr/>
        <w:t>项目采用资产负债表日即期汇率折算，因汇率不同而产生的汇兑差额，除与购建符合资本化条件资产有关</w:t>
      </w:r>
    </w:p>
    <w:p>
      <w:pPr>
        <w:spacing w:line="240" w:lineRule="auto" w:before="10"/>
        <w:rPr>
          <w:rFonts w:ascii="宋体" w:hAnsi="宋体" w:cs="宋体" w:eastAsia="宋体" w:hint="default"/>
          <w:sz w:val="14"/>
          <w:szCs w:val="14"/>
        </w:rPr>
      </w:pPr>
    </w:p>
    <w:p>
      <w:pPr>
        <w:pStyle w:val="BodyText"/>
        <w:spacing w:line="240" w:lineRule="auto"/>
        <w:ind w:right="0"/>
        <w:jc w:val="both"/>
      </w:pPr>
      <w:r>
        <w:rPr/>
        <w:t>的外币专门借款本金及利息的汇兑差额外，计入当期损益；以历史成本计量的外币非货币性项目仍采用交</w:t>
      </w:r>
    </w:p>
    <w:p>
      <w:pPr>
        <w:spacing w:after="0" w:line="240" w:lineRule="auto"/>
        <w:jc w:val="both"/>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0"/>
        <w:jc w:val="left"/>
      </w:pPr>
      <w:r>
        <w:rPr>
          <w:spacing w:val="-2"/>
        </w:rPr>
        <w:t>易发生日的即期汇率折算，不改变其人民币金额；以公允价值计量的外币非货币性项目，采用公允价值确</w:t>
      </w:r>
      <w:r>
        <w:rPr>
          <w:spacing w:val="-43"/>
        </w:rPr>
        <w:t> </w:t>
      </w:r>
      <w:r>
        <w:rPr>
          <w:spacing w:val="-43"/>
        </w:rPr>
      </w:r>
      <w:r>
        <w:rPr/>
        <w:t>定日的即期汇率折算，差额计入当期损益或其他综合收益。</w:t>
      </w:r>
    </w:p>
    <w:p>
      <w:pPr>
        <w:pStyle w:val="BodyText"/>
        <w:spacing w:line="240" w:lineRule="auto" w:before="166"/>
        <w:ind w:left="572" w:right="0"/>
        <w:jc w:val="left"/>
      </w:pPr>
      <w:r>
        <w:rPr>
          <w:rFonts w:ascii="Times New Roman" w:hAnsi="Times New Roman" w:cs="Times New Roman" w:eastAsia="Times New Roman" w:hint="default"/>
        </w:rPr>
        <w:t>2.</w:t>
      </w:r>
      <w:r>
        <w:rPr/>
        <w:t>外币财务报表折算</w:t>
      </w:r>
    </w:p>
    <w:p>
      <w:pPr>
        <w:spacing w:line="240" w:lineRule="auto" w:before="9"/>
        <w:rPr>
          <w:rFonts w:ascii="宋体" w:hAnsi="宋体" w:cs="宋体" w:eastAsia="宋体" w:hint="default"/>
          <w:sz w:val="22"/>
          <w:szCs w:val="22"/>
        </w:rPr>
      </w:pPr>
    </w:p>
    <w:p>
      <w:pPr>
        <w:pStyle w:val="BodyText"/>
        <w:spacing w:line="386" w:lineRule="auto"/>
        <w:ind w:right="1128" w:firstLine="420"/>
        <w:jc w:val="both"/>
      </w:pP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w:t>
      </w:r>
      <w:r>
        <w:rPr>
          <w:w w:val="100"/>
        </w:rPr>
        <w:t> </w:t>
      </w:r>
      <w:r>
        <w:rPr/>
        <w:t>润</w:t>
      </w:r>
      <w:r>
        <w:rPr>
          <w:rFonts w:ascii="Times New Roman" w:hAnsi="Times New Roman" w:cs="Times New Roman" w:eastAsia="Times New Roman" w:hint="default"/>
        </w:rPr>
        <w:t>”</w:t>
      </w:r>
      <w:r>
        <w:rPr/>
        <w:t>项目外，其他项目采用交易发生日的即期汇率折算；利润表中的收入和费用项目，采用交易发生日的</w:t>
      </w:r>
      <w:r>
        <w:rPr>
          <w:spacing w:val="-18"/>
        </w:rPr>
        <w:t> </w:t>
      </w:r>
      <w:r>
        <w:rPr>
          <w:spacing w:val="-18"/>
        </w:rPr>
      </w:r>
      <w:r>
        <w:rPr/>
        <w:t>即期汇率折算。按照上述折算产生的外币财务报表折算差额，确认为其他综合收益。</w:t>
      </w:r>
    </w:p>
    <w:p>
      <w:pPr>
        <w:spacing w:line="240" w:lineRule="auto" w:before="0"/>
        <w:rPr>
          <w:rFonts w:ascii="宋体" w:hAnsi="宋体" w:cs="宋体" w:eastAsia="宋体" w:hint="default"/>
          <w:sz w:val="22"/>
          <w:szCs w:val="22"/>
        </w:rPr>
      </w:pPr>
    </w:p>
    <w:p>
      <w:pPr>
        <w:pStyle w:val="Heading3"/>
        <w:spacing w:line="240" w:lineRule="auto"/>
        <w:ind w:right="0"/>
        <w:jc w:val="left"/>
        <w:rPr>
          <w:b w:val="0"/>
          <w:bCs w:val="0"/>
        </w:rPr>
      </w:pPr>
      <w:bookmarkStart w:name="10、金融工具" w:id="182"/>
      <w:bookmarkEnd w:id="182"/>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30"/>
          <w:szCs w:val="30"/>
        </w:rPr>
      </w:pPr>
    </w:p>
    <w:p>
      <w:pPr>
        <w:pStyle w:val="BodyText"/>
        <w:spacing w:line="484" w:lineRule="auto"/>
        <w:ind w:left="572" w:right="2501"/>
        <w:jc w:val="left"/>
      </w:pPr>
      <w:r>
        <w:rPr>
          <w:rFonts w:ascii="Times New Roman" w:hAnsi="Times New Roman" w:cs="Times New Roman" w:eastAsia="Times New Roman" w:hint="default"/>
        </w:rPr>
        <w:t>1.</w:t>
      </w:r>
      <w:r>
        <w:rPr/>
        <w:t>金融工具的确认和终止确认</w:t>
      </w:r>
      <w:r>
        <w:rPr>
          <w:w w:val="100"/>
        </w:rPr>
        <w:t> </w:t>
      </w:r>
      <w:r>
        <w:rPr>
          <w:spacing w:val="-2"/>
        </w:rPr>
        <w:t>本集团于成为金融工具合同的一方时确认一项金融资产或金融负债。</w:t>
      </w:r>
    </w:p>
    <w:p>
      <w:pPr>
        <w:pStyle w:val="BodyText"/>
        <w:spacing w:line="408" w:lineRule="auto" w:before="99"/>
        <w:ind w:right="1128" w:firstLine="420"/>
        <w:jc w:val="both"/>
      </w:pPr>
      <w:r>
        <w:rPr>
          <w:spacing w:val="-2"/>
        </w:rPr>
        <w:t>以常规方式买卖金融资产，按交易日会计进行确认和终止确认。常规方式买卖金融资产，是指按照合</w:t>
      </w:r>
      <w:r>
        <w:rPr>
          <w:w w:val="100"/>
        </w:rPr>
        <w:t> </w:t>
      </w:r>
      <w:r>
        <w:rPr>
          <w:spacing w:val="-2"/>
        </w:rPr>
        <w:t>同条款的约定，在法规或通行惯例规定的期限内收取或交付金融资产。交易日，是指本集团承诺买入或卖</w:t>
      </w:r>
      <w:r>
        <w:rPr>
          <w:spacing w:val="-43"/>
        </w:rPr>
        <w:t> </w:t>
      </w:r>
      <w:r>
        <w:rPr>
          <w:spacing w:val="-43"/>
        </w:rPr>
      </w:r>
      <w:r>
        <w:rPr/>
        <w:t>出金融资产的日期。</w:t>
      </w:r>
    </w:p>
    <w:p>
      <w:pPr>
        <w:pStyle w:val="BodyText"/>
        <w:spacing w:line="386" w:lineRule="auto" w:before="166"/>
        <w:ind w:right="1130" w:firstLine="419"/>
        <w:jc w:val="both"/>
      </w:pPr>
      <w:r>
        <w:rPr/>
        <w:t>满足下列条件的，终止确认金融资产</w:t>
      </w:r>
      <w:r>
        <w:rPr>
          <w:rFonts w:ascii="Times New Roman" w:hAnsi="Times New Roman" w:cs="Times New Roman" w:eastAsia="Times New Roman" w:hint="default"/>
        </w:rPr>
        <w:t>(</w:t>
      </w:r>
      <w:r>
        <w:rPr/>
        <w:t>或金融资产的一部分，或一组类似金融资产的一部分</w:t>
      </w:r>
      <w:r>
        <w:rPr>
          <w:rFonts w:ascii="Times New Roman" w:hAnsi="Times New Roman" w:cs="Times New Roman" w:eastAsia="Times New Roman" w:hint="default"/>
        </w:rPr>
        <w:t>)</w:t>
      </w:r>
      <w:r>
        <w:rPr/>
        <w:t>，即从其</w:t>
      </w:r>
      <w:r>
        <w:rPr>
          <w:w w:val="100"/>
        </w:rPr>
        <w:t> </w:t>
      </w:r>
      <w:r>
        <w:rPr/>
        <w:t>账户和资产负债表内予以转销：</w:t>
      </w:r>
    </w:p>
    <w:p>
      <w:pPr>
        <w:spacing w:line="240" w:lineRule="auto" w:before="2"/>
        <w:rPr>
          <w:rFonts w:ascii="宋体" w:hAnsi="宋体" w:cs="宋体" w:eastAsia="宋体" w:hint="default"/>
          <w:sz w:val="14"/>
          <w:szCs w:val="14"/>
        </w:rPr>
      </w:pPr>
    </w:p>
    <w:p>
      <w:pPr>
        <w:pStyle w:val="BodyText"/>
        <w:spacing w:line="240" w:lineRule="auto"/>
        <w:ind w:left="573" w:right="0"/>
        <w:jc w:val="left"/>
      </w:pPr>
      <w:r>
        <w:rPr/>
        <w:t>（</w:t>
      </w:r>
      <w:r>
        <w:rPr>
          <w:rFonts w:ascii="Times New Roman" w:hAnsi="Times New Roman" w:cs="Times New Roman" w:eastAsia="Times New Roman" w:hint="default"/>
        </w:rPr>
        <w:t>1</w:t>
      </w:r>
      <w:r>
        <w:rPr/>
        <w:t>）收取金融资产现金流量的权利届满；</w:t>
      </w:r>
    </w:p>
    <w:p>
      <w:pPr>
        <w:spacing w:line="240" w:lineRule="auto" w:before="9"/>
        <w:rPr>
          <w:rFonts w:ascii="宋体" w:hAnsi="宋体" w:cs="宋体" w:eastAsia="宋体" w:hint="default"/>
          <w:sz w:val="22"/>
          <w:szCs w:val="22"/>
        </w:rPr>
      </w:pPr>
    </w:p>
    <w:p>
      <w:pPr>
        <w:pStyle w:val="BodyText"/>
        <w:spacing w:line="386" w:lineRule="auto"/>
        <w:ind w:right="1131" w:firstLine="420"/>
        <w:jc w:val="both"/>
      </w:pPr>
      <w:r>
        <w:rPr>
          <w:spacing w:val="-4"/>
        </w:rPr>
        <w:t>（</w:t>
      </w:r>
      <w:r>
        <w:rPr>
          <w:rFonts w:ascii="Times New Roman" w:hAnsi="Times New Roman" w:cs="Times New Roman" w:eastAsia="Times New Roman" w:hint="default"/>
          <w:spacing w:val="-4"/>
        </w:rPr>
        <w:t>2</w:t>
      </w:r>
      <w:r>
        <w:rPr>
          <w:spacing w:val="-4"/>
        </w:rPr>
        <w:t>）转移了收取金融资产现金流量的权利，或在</w:t>
      </w:r>
      <w:r>
        <w:rPr>
          <w:rFonts w:ascii="Times New Roman" w:hAnsi="Times New Roman" w:cs="Times New Roman" w:eastAsia="Times New Roman" w:hint="default"/>
          <w:spacing w:val="-4"/>
        </w:rPr>
        <w:t>“</w:t>
      </w:r>
      <w:r>
        <w:rPr>
          <w:spacing w:val="-4"/>
        </w:rPr>
        <w:t>过手协议</w:t>
      </w:r>
      <w:r>
        <w:rPr>
          <w:rFonts w:ascii="Times New Roman" w:hAnsi="Times New Roman" w:cs="Times New Roman" w:eastAsia="Times New Roman" w:hint="default"/>
          <w:spacing w:val="-4"/>
        </w:rPr>
        <w:t>”</w:t>
      </w:r>
      <w:r>
        <w:rPr>
          <w:spacing w:val="-4"/>
        </w:rPr>
        <w:t>下承担了及时将收取的现金流量全额支付</w:t>
      </w:r>
      <w:r>
        <w:rPr>
          <w:spacing w:val="-3"/>
          <w:w w:val="100"/>
        </w:rPr>
        <w:t> </w:t>
      </w:r>
      <w:r>
        <w:rPr>
          <w:spacing w:val="-2"/>
        </w:rPr>
        <w:t>给第三方的义务；并且（</w:t>
      </w:r>
      <w:r>
        <w:rPr>
          <w:rFonts w:ascii="Times New Roman" w:hAnsi="Times New Roman" w:cs="Times New Roman" w:eastAsia="Times New Roman" w:hint="default"/>
          <w:spacing w:val="-2"/>
        </w:rPr>
        <w:t>a</w:t>
      </w:r>
      <w:r>
        <w:rPr>
          <w:spacing w:val="-2"/>
        </w:rPr>
        <w:t>）实质上转让了金融资产所有权上几乎所有的风险和报酬，或（</w:t>
      </w:r>
      <w:r>
        <w:rPr>
          <w:rFonts w:ascii="Times New Roman" w:hAnsi="Times New Roman" w:cs="Times New Roman" w:eastAsia="Times New Roman" w:hint="default"/>
          <w:spacing w:val="-2"/>
        </w:rPr>
        <w:t>b</w:t>
      </w:r>
      <w:r>
        <w:rPr>
          <w:spacing w:val="-2"/>
        </w:rPr>
        <w:t>）虽然实质上</w:t>
      </w:r>
      <w:r>
        <w:rPr>
          <w:spacing w:val="-38"/>
        </w:rPr>
        <w:t> </w:t>
      </w:r>
      <w:r>
        <w:rPr>
          <w:spacing w:val="-38"/>
        </w:rPr>
      </w:r>
      <w:r>
        <w:rPr/>
        <w:t>既没有转移也没有保留金融资产所有权上几乎所有的风险和报酬，但放弃了对该金融资产的控制。</w:t>
      </w:r>
    </w:p>
    <w:p>
      <w:pPr>
        <w:spacing w:line="240" w:lineRule="auto" w:before="2"/>
        <w:rPr>
          <w:rFonts w:ascii="宋体" w:hAnsi="宋体" w:cs="宋体" w:eastAsia="宋体" w:hint="default"/>
          <w:sz w:val="14"/>
          <w:szCs w:val="14"/>
        </w:rPr>
      </w:pPr>
    </w:p>
    <w:p>
      <w:pPr>
        <w:pStyle w:val="BodyText"/>
        <w:spacing w:line="484" w:lineRule="auto"/>
        <w:ind w:left="573" w:right="0"/>
        <w:jc w:val="left"/>
      </w:pPr>
      <w:r>
        <w:rPr>
          <w:rFonts w:ascii="Times New Roman" w:hAnsi="Times New Roman" w:cs="Times New Roman" w:eastAsia="Times New Roman" w:hint="default"/>
        </w:rPr>
        <w:t>2.</w:t>
      </w:r>
      <w:r>
        <w:rPr/>
        <w:t>金融资产分类和计量</w:t>
      </w:r>
      <w:r>
        <w:rPr>
          <w:spacing w:val="-3"/>
          <w:w w:val="100"/>
        </w:rPr>
        <w:t> </w:t>
      </w:r>
      <w:r>
        <w:rPr>
          <w:spacing w:val="2"/>
        </w:rPr>
        <w:t>本集团的金融资产于初始确认时根据本集团管理金融资产的业务模式和金融资产的合同现金流量特</w:t>
      </w:r>
    </w:p>
    <w:p>
      <w:pPr>
        <w:pStyle w:val="BodyText"/>
        <w:spacing w:line="254" w:lineRule="exact"/>
        <w:ind w:right="0"/>
        <w:jc w:val="left"/>
      </w:pPr>
      <w:r>
        <w:rPr/>
        <w:t>征分类为：以摊余成本计量的金融资产、以公允价值计量且其变动计入其他综合收益的金融资产以及以公</w:t>
      </w:r>
    </w:p>
    <w:p>
      <w:pPr>
        <w:spacing w:line="240" w:lineRule="auto" w:before="10"/>
        <w:rPr>
          <w:rFonts w:ascii="宋体" w:hAnsi="宋体" w:cs="宋体" w:eastAsia="宋体" w:hint="default"/>
          <w:sz w:val="14"/>
          <w:szCs w:val="14"/>
        </w:rPr>
      </w:pPr>
    </w:p>
    <w:p>
      <w:pPr>
        <w:pStyle w:val="BodyText"/>
        <w:spacing w:line="240" w:lineRule="auto"/>
        <w:ind w:right="0"/>
        <w:jc w:val="left"/>
      </w:pPr>
      <w:r>
        <w:rPr/>
        <w:t>允价值计量且其变动计入当期损益的金融资产。金融资产的后续计量取决于其分类。</w:t>
      </w:r>
    </w:p>
    <w:p>
      <w:pPr>
        <w:spacing w:line="240" w:lineRule="auto" w:before="12"/>
        <w:rPr>
          <w:rFonts w:ascii="宋体" w:hAnsi="宋体" w:cs="宋体" w:eastAsia="宋体" w:hint="default"/>
          <w:sz w:val="23"/>
          <w:szCs w:val="23"/>
        </w:rPr>
      </w:pPr>
    </w:p>
    <w:p>
      <w:pPr>
        <w:pStyle w:val="BodyText"/>
        <w:spacing w:line="408" w:lineRule="auto"/>
        <w:ind w:right="1132" w:firstLine="420"/>
        <w:jc w:val="both"/>
      </w:pPr>
      <w:r>
        <w:rPr>
          <w:spacing w:val="2"/>
        </w:rPr>
        <w:t>本集团对金融资产的分类，依据本集团管理金融资产的业务模式和金融资产的现金流量特征进行分</w:t>
      </w:r>
      <w:r>
        <w:rPr>
          <w:w w:val="100"/>
        </w:rPr>
        <w:t> </w:t>
      </w:r>
      <w:r>
        <w:rPr/>
        <w:t>类。</w:t>
      </w:r>
    </w:p>
    <w:p>
      <w:pPr>
        <w:pStyle w:val="BodyText"/>
        <w:spacing w:line="484" w:lineRule="auto" w:before="166"/>
        <w:ind w:left="573" w:right="0"/>
        <w:jc w:val="left"/>
      </w:pPr>
      <w:r>
        <w:rPr/>
        <w:t>（</w:t>
      </w:r>
      <w:r>
        <w:rPr>
          <w:rFonts w:ascii="Times New Roman" w:hAnsi="Times New Roman" w:cs="Times New Roman" w:eastAsia="Times New Roman" w:hint="default"/>
        </w:rPr>
        <w:t>1</w:t>
      </w:r>
      <w:r>
        <w:rPr/>
        <w:t>）以摊余成本计量的金融资产</w:t>
      </w:r>
      <w:r>
        <w:rPr>
          <w:w w:val="100"/>
        </w:rPr>
        <w:t> </w:t>
      </w:r>
      <w:r>
        <w:rPr>
          <w:spacing w:val="-2"/>
        </w:rPr>
        <w:t>金融资产同时符合下列条件的，分类为以摊余成本计量的金融资产：本集团管理该金融资产的业务模</w:t>
      </w:r>
    </w:p>
    <w:p>
      <w:pPr>
        <w:spacing w:after="0" w:line="484"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8"/>
        <w:jc w:val="both"/>
      </w:pPr>
      <w:r>
        <w:rPr>
          <w:spacing w:val="-2"/>
        </w:rPr>
        <w:t>式是以收取合同现金流量为目标；该金融资产的合同条款规定，在特定日期产生的现金流量，仅为对本金</w:t>
      </w:r>
      <w:r>
        <w:rPr>
          <w:spacing w:val="-43"/>
        </w:rPr>
        <w:t> </w:t>
      </w:r>
      <w:r>
        <w:rPr>
          <w:spacing w:val="-43"/>
        </w:rPr>
      </w:r>
      <w:r>
        <w:rPr>
          <w:spacing w:val="-2"/>
        </w:rPr>
        <w:t>和以未偿付本金金额为基础的利息的支付。对于此类金融资产，采用实际利率法，按照摊余成本进行后续</w:t>
      </w:r>
      <w:r>
        <w:rPr>
          <w:spacing w:val="-47"/>
        </w:rPr>
        <w:t> </w:t>
      </w:r>
      <w:r>
        <w:rPr>
          <w:spacing w:val="-47"/>
        </w:rPr>
      </w:r>
      <w:r>
        <w:rPr/>
        <w:t>计量，其摊销或减值产生的利得或损失，均计入当期损益。</w:t>
      </w:r>
    </w:p>
    <w:p>
      <w:pPr>
        <w:pStyle w:val="BodyText"/>
        <w:spacing w:line="484" w:lineRule="auto" w:before="166"/>
        <w:ind w:left="572" w:right="0"/>
        <w:jc w:val="left"/>
      </w:pPr>
      <w:r>
        <w:rPr/>
        <w:t>（</w:t>
      </w:r>
      <w:r>
        <w:rPr>
          <w:rFonts w:ascii="Times New Roman" w:hAnsi="Times New Roman" w:cs="Times New Roman" w:eastAsia="Times New Roman" w:hint="default"/>
        </w:rPr>
        <w:t>2</w:t>
      </w:r>
      <w:r>
        <w:rPr/>
        <w:t>）以公允价值计量且其变动计入其他综合收益的债务工具投资</w:t>
      </w:r>
      <w:r>
        <w:rPr>
          <w:spacing w:val="-3"/>
          <w:w w:val="100"/>
        </w:rPr>
        <w:t> </w:t>
      </w:r>
      <w:r>
        <w:rPr>
          <w:spacing w:val="-2"/>
        </w:rPr>
        <w:t>金融资产同时符合下列条件的，分类为以公允价值计量且其变动计入其他综合收益的金融资产：本集</w:t>
      </w:r>
    </w:p>
    <w:p>
      <w:pPr>
        <w:pStyle w:val="BodyText"/>
        <w:spacing w:line="254" w:lineRule="exact"/>
        <w:ind w:right="0"/>
        <w:jc w:val="both"/>
      </w:pPr>
      <w:r>
        <w:rPr/>
        <w:t>团管理该金融资产的业务模式是既以收取合同现金流量为目标又以出售金融资产为目标；该金融资产的合</w:t>
      </w:r>
    </w:p>
    <w:p>
      <w:pPr>
        <w:spacing w:line="240" w:lineRule="auto" w:before="10"/>
        <w:rPr>
          <w:rFonts w:ascii="宋体" w:hAnsi="宋体" w:cs="宋体" w:eastAsia="宋体" w:hint="default"/>
          <w:sz w:val="14"/>
          <w:szCs w:val="14"/>
        </w:rPr>
      </w:pPr>
    </w:p>
    <w:p>
      <w:pPr>
        <w:pStyle w:val="BodyText"/>
        <w:spacing w:line="408" w:lineRule="auto"/>
        <w:ind w:right="1128"/>
        <w:jc w:val="both"/>
      </w:pPr>
      <w:r>
        <w:rPr>
          <w:spacing w:val="-2"/>
        </w:rPr>
        <w:t>同条款规定，在特定日期产生的现金流量，仅为对本金和以未偿付本金金额为基础的利息的支付。对于此</w:t>
      </w:r>
      <w:r>
        <w:rPr>
          <w:spacing w:val="-44"/>
        </w:rPr>
        <w:t> </w:t>
      </w:r>
      <w:r>
        <w:rPr>
          <w:spacing w:val="-44"/>
        </w:rPr>
      </w:r>
      <w:r>
        <w:rPr>
          <w:spacing w:val="-2"/>
        </w:rPr>
        <w:t>类金融资产，采用公允价值进行后续计量。其折价或溢价采用实际利率法进行摊销并确认为利息收入或费</w:t>
      </w:r>
      <w:r>
        <w:rPr>
          <w:spacing w:val="-42"/>
        </w:rPr>
        <w:t> </w:t>
      </w:r>
      <w:r>
        <w:rPr>
          <w:spacing w:val="-42"/>
        </w:rPr>
      </w:r>
      <w:r>
        <w:rPr>
          <w:spacing w:val="-2"/>
        </w:rPr>
        <w:t>用。除减值损失及外币货币性金融资产的汇兑差额确认为当期损益外，此类金融资产的公允价值变动作为</w:t>
      </w:r>
      <w:r>
        <w:rPr>
          <w:spacing w:val="-42"/>
        </w:rPr>
        <w:t> </w:t>
      </w:r>
      <w:r>
        <w:rPr>
          <w:spacing w:val="-42"/>
        </w:rPr>
      </w:r>
      <w:r>
        <w:rPr>
          <w:spacing w:val="-2"/>
        </w:rPr>
        <w:t>其他综合收益确认，直到该金融资产终止确认时，其累计利得或损失转入当期损益。与此类金融资产相关</w:t>
      </w:r>
      <w:r>
        <w:rPr>
          <w:spacing w:val="-42"/>
        </w:rPr>
        <w:t> </w:t>
      </w:r>
      <w:r>
        <w:rPr>
          <w:spacing w:val="-42"/>
        </w:rPr>
      </w:r>
      <w:r>
        <w:rPr/>
        <w:t>利息收入，计入当期损益。</w:t>
      </w:r>
    </w:p>
    <w:p>
      <w:pPr>
        <w:pStyle w:val="BodyText"/>
        <w:spacing w:line="484" w:lineRule="auto" w:before="166"/>
        <w:ind w:left="572" w:right="0"/>
        <w:jc w:val="left"/>
      </w:pPr>
      <w:r>
        <w:rPr/>
        <w:t>（</w:t>
      </w:r>
      <w:r>
        <w:rPr>
          <w:rFonts w:ascii="Times New Roman" w:hAnsi="Times New Roman" w:cs="Times New Roman" w:eastAsia="Times New Roman" w:hint="default"/>
        </w:rPr>
        <w:t>3</w:t>
      </w:r>
      <w:r>
        <w:rPr/>
        <w:t>）以公允价值计量且其变动计入其他综合收益的权益工具投资</w:t>
      </w:r>
      <w:r>
        <w:rPr>
          <w:spacing w:val="-3"/>
          <w:w w:val="100"/>
        </w:rPr>
        <w:t> </w:t>
      </w:r>
      <w:r>
        <w:rPr>
          <w:spacing w:val="2"/>
        </w:rPr>
        <w:t>本集团不可撤销地选择将部分非交易性权益工具投资指定为以公允价值计量且其变动计入其他综合</w:t>
      </w:r>
    </w:p>
    <w:p>
      <w:pPr>
        <w:pStyle w:val="BodyText"/>
        <w:spacing w:line="254" w:lineRule="exact"/>
        <w:ind w:right="0"/>
        <w:jc w:val="both"/>
      </w:pPr>
      <w:r>
        <w:rPr/>
        <w:t>收益的金融资产，仅将相关股利收入计入当期损益，公允价值变动作为其他综合收益确认，直到该金融资</w:t>
      </w:r>
    </w:p>
    <w:p>
      <w:pPr>
        <w:spacing w:line="240" w:lineRule="auto" w:before="10"/>
        <w:rPr>
          <w:rFonts w:ascii="宋体" w:hAnsi="宋体" w:cs="宋体" w:eastAsia="宋体" w:hint="default"/>
          <w:sz w:val="14"/>
          <w:szCs w:val="14"/>
        </w:rPr>
      </w:pPr>
    </w:p>
    <w:p>
      <w:pPr>
        <w:pStyle w:val="BodyText"/>
        <w:spacing w:line="240" w:lineRule="auto"/>
        <w:ind w:right="0"/>
        <w:jc w:val="both"/>
      </w:pPr>
      <w:r>
        <w:rPr/>
        <w:t>产终止确认时，其累计利得或损失转入留存收益。</w:t>
      </w:r>
    </w:p>
    <w:p>
      <w:pPr>
        <w:spacing w:line="240" w:lineRule="auto" w:before="12"/>
        <w:rPr>
          <w:rFonts w:ascii="宋体" w:hAnsi="宋体" w:cs="宋体" w:eastAsia="宋体" w:hint="default"/>
          <w:sz w:val="23"/>
          <w:szCs w:val="23"/>
        </w:rPr>
      </w:pPr>
    </w:p>
    <w:p>
      <w:pPr>
        <w:pStyle w:val="BodyText"/>
        <w:spacing w:line="484" w:lineRule="auto"/>
        <w:ind w:left="572" w:right="0"/>
        <w:jc w:val="left"/>
      </w:pPr>
      <w:r>
        <w:rPr/>
        <w:t>（</w:t>
      </w:r>
      <w:r>
        <w:rPr>
          <w:rFonts w:ascii="Times New Roman" w:hAnsi="Times New Roman" w:cs="Times New Roman" w:eastAsia="Times New Roman" w:hint="default"/>
        </w:rPr>
        <w:t>4</w:t>
      </w:r>
      <w:r>
        <w:rPr/>
        <w:t>）以公允价值计量且其变动计入当期损益的金融资产</w:t>
      </w:r>
      <w:r>
        <w:rPr>
          <w:w w:val="100"/>
        </w:rPr>
        <w:t> </w:t>
      </w:r>
      <w:r>
        <w:rPr>
          <w:spacing w:val="2"/>
        </w:rPr>
        <w:t>上述以摊余成本计量的金融资产和以公允价值计量且其变动计入其他综合收益的金融资产之外的金</w:t>
      </w:r>
    </w:p>
    <w:p>
      <w:pPr>
        <w:pStyle w:val="BodyText"/>
        <w:spacing w:line="254" w:lineRule="exact"/>
        <w:ind w:right="0"/>
        <w:jc w:val="both"/>
      </w:pPr>
      <w:r>
        <w:rPr/>
        <w:t>融资产，分类为以公允价值计量且其变动计入当期损益的金融资产。在初始确认时，为了能够消除或显著</w:t>
      </w:r>
    </w:p>
    <w:p>
      <w:pPr>
        <w:spacing w:line="240" w:lineRule="auto" w:before="10"/>
        <w:rPr>
          <w:rFonts w:ascii="宋体" w:hAnsi="宋体" w:cs="宋体" w:eastAsia="宋体" w:hint="default"/>
          <w:sz w:val="14"/>
          <w:szCs w:val="14"/>
        </w:rPr>
      </w:pPr>
    </w:p>
    <w:p>
      <w:pPr>
        <w:pStyle w:val="BodyText"/>
        <w:spacing w:line="408" w:lineRule="auto"/>
        <w:ind w:right="1128"/>
        <w:jc w:val="both"/>
      </w:pPr>
      <w:r>
        <w:rPr>
          <w:spacing w:val="-2"/>
        </w:rPr>
        <w:t>减少会计错配，可以将金融资产指定为以公允价值计量且其变动计入当期损益的金融资产。对于此类金融</w:t>
      </w:r>
      <w:r>
        <w:rPr>
          <w:spacing w:val="-42"/>
        </w:rPr>
        <w:t> </w:t>
      </w:r>
      <w:r>
        <w:rPr>
          <w:spacing w:val="-42"/>
        </w:rPr>
      </w:r>
      <w:r>
        <w:rPr/>
        <w:t>资产，采用公允价值进行后续计量，所有公允价值变动计入当期损益。</w:t>
      </w:r>
    </w:p>
    <w:p>
      <w:pPr>
        <w:pStyle w:val="BodyText"/>
        <w:spacing w:line="240" w:lineRule="auto" w:before="166"/>
        <w:ind w:left="572" w:right="0"/>
        <w:jc w:val="left"/>
      </w:pPr>
      <w:r>
        <w:rPr/>
        <w:t>当且仅当本集团改变管理金融资产的业务模式时，才对所有受影响的相关金融资产进行重分类。</w:t>
      </w:r>
    </w:p>
    <w:p>
      <w:pPr>
        <w:spacing w:line="240" w:lineRule="auto" w:before="12"/>
        <w:rPr>
          <w:rFonts w:ascii="宋体" w:hAnsi="宋体" w:cs="宋体" w:eastAsia="宋体" w:hint="default"/>
          <w:sz w:val="23"/>
          <w:szCs w:val="23"/>
        </w:rPr>
      </w:pPr>
    </w:p>
    <w:p>
      <w:pPr>
        <w:pStyle w:val="BodyText"/>
        <w:spacing w:line="408" w:lineRule="auto"/>
        <w:ind w:right="0" w:firstLine="420"/>
        <w:jc w:val="left"/>
      </w:pPr>
      <w:r>
        <w:rPr>
          <w:spacing w:val="-2"/>
        </w:rPr>
        <w:t>对于以公允价值计量且其变动计入当期损益的金融资产，相关交易费用直接计入当期损益，其他类别</w:t>
      </w:r>
      <w:r>
        <w:rPr>
          <w:w w:val="100"/>
        </w:rPr>
        <w:t> </w:t>
      </w:r>
      <w:r>
        <w:rPr/>
        <w:t>的金融资产相关交易费用计入其初始确认金额。</w:t>
      </w:r>
    </w:p>
    <w:p>
      <w:pPr>
        <w:pStyle w:val="BodyText"/>
        <w:spacing w:line="484" w:lineRule="auto" w:before="166"/>
        <w:ind w:left="572" w:right="0"/>
        <w:jc w:val="left"/>
      </w:pPr>
      <w:r>
        <w:rPr>
          <w:rFonts w:ascii="Times New Roman" w:hAnsi="Times New Roman" w:cs="Times New Roman" w:eastAsia="Times New Roman" w:hint="default"/>
        </w:rPr>
        <w:t>3.</w:t>
      </w:r>
      <w:r>
        <w:rPr/>
        <w:t>金融负债分类和计量</w:t>
      </w:r>
      <w:r>
        <w:rPr>
          <w:spacing w:val="-3"/>
          <w:w w:val="100"/>
        </w:rPr>
        <w:t> </w:t>
      </w:r>
      <w:r>
        <w:rPr>
          <w:spacing w:val="-2"/>
        </w:rPr>
        <w:t>本集团的金融负债于初始确认时分类为：以摊余成本计量的金融负债与以公允价值计量且其变动计入</w:t>
      </w:r>
    </w:p>
    <w:p>
      <w:pPr>
        <w:pStyle w:val="BodyText"/>
        <w:spacing w:line="254" w:lineRule="exact"/>
        <w:ind w:right="0"/>
        <w:jc w:val="both"/>
      </w:pPr>
      <w:r>
        <w:rPr/>
        <w:t>当期损益的金融负债。</w:t>
      </w:r>
    </w:p>
    <w:p>
      <w:pPr>
        <w:spacing w:line="240" w:lineRule="auto" w:before="12"/>
        <w:rPr>
          <w:rFonts w:ascii="宋体" w:hAnsi="宋体" w:cs="宋体" w:eastAsia="宋体" w:hint="default"/>
          <w:sz w:val="23"/>
          <w:szCs w:val="23"/>
        </w:rPr>
      </w:pPr>
    </w:p>
    <w:p>
      <w:pPr>
        <w:pStyle w:val="BodyText"/>
        <w:spacing w:line="240" w:lineRule="auto"/>
        <w:ind w:left="572" w:right="0"/>
        <w:jc w:val="left"/>
      </w:pPr>
      <w:r>
        <w:rPr>
          <w:spacing w:val="2"/>
        </w:rPr>
        <w:t>符合以下条件之一的金融负债可在初始计量时指定为以公允价值计量且其变动计入当期损益的金融</w:t>
      </w:r>
    </w:p>
    <w:p>
      <w:pPr>
        <w:spacing w:after="0" w:line="240"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398" w:lineRule="auto" w:before="36"/>
        <w:ind w:right="1128"/>
        <w:jc w:val="both"/>
      </w:pPr>
      <w:r>
        <w:rPr>
          <w:spacing w:val="-2"/>
        </w:rPr>
        <w:t>负债：（</w:t>
      </w:r>
      <w:r>
        <w:rPr>
          <w:rFonts w:ascii="Times New Roman" w:hAnsi="Times New Roman" w:cs="Times New Roman" w:eastAsia="Times New Roman" w:hint="default"/>
          <w:spacing w:val="-2"/>
        </w:rPr>
        <w:t>1</w:t>
      </w:r>
      <w:r>
        <w:rPr>
          <w:spacing w:val="-2"/>
        </w:rPr>
        <w:t>）该项指定能够消除或显著减少会计错配；（</w:t>
      </w:r>
      <w:r>
        <w:rPr>
          <w:rFonts w:ascii="Times New Roman" w:hAnsi="Times New Roman" w:cs="Times New Roman" w:eastAsia="Times New Roman" w:hint="default"/>
          <w:spacing w:val="-2"/>
        </w:rPr>
        <w:t>2</w:t>
      </w:r>
      <w:r>
        <w:rPr>
          <w:spacing w:val="-2"/>
        </w:rPr>
        <w:t>）根据正式书面文件载明的集团风险管理或投资</w:t>
      </w:r>
      <w:r>
        <w:rPr>
          <w:spacing w:val="-42"/>
        </w:rPr>
        <w:t> </w:t>
      </w:r>
      <w:r>
        <w:rPr>
          <w:spacing w:val="-42"/>
        </w:rPr>
      </w:r>
      <w:r>
        <w:rPr>
          <w:spacing w:val="-2"/>
        </w:rPr>
        <w:t>策略，以公允价值为基础对金融负债组合或金融资产和金融负债组合进行管理和业绩评价，并在集团内部</w:t>
      </w:r>
      <w:r>
        <w:rPr>
          <w:spacing w:val="-42"/>
        </w:rPr>
        <w:t> </w:t>
      </w:r>
      <w:r>
        <w:rPr>
          <w:spacing w:val="-42"/>
        </w:rPr>
      </w:r>
      <w:r>
        <w:rPr/>
        <w:t>以此为基础向关键管理人员报告；（</w:t>
      </w:r>
      <w:r>
        <w:rPr>
          <w:rFonts w:ascii="Times New Roman" w:hAnsi="Times New Roman" w:cs="Times New Roman" w:eastAsia="Times New Roman" w:hint="default"/>
        </w:rPr>
        <w:t>3</w:t>
      </w:r>
      <w:r>
        <w:rPr/>
        <w:t>）该金融负债包含需单独分拆的嵌入衍生工具。</w:t>
      </w:r>
    </w:p>
    <w:p>
      <w:pPr>
        <w:pStyle w:val="BodyText"/>
        <w:spacing w:line="408" w:lineRule="auto" w:before="143"/>
        <w:ind w:right="0" w:firstLine="420"/>
        <w:jc w:val="left"/>
      </w:pPr>
      <w:r>
        <w:rPr>
          <w:spacing w:val="-2"/>
        </w:rPr>
        <w:t>本集团在初始确认时确定金融负债的分类。对于以公允价值计量且其变动计入当期损益的金融负债，</w:t>
      </w:r>
      <w:r>
        <w:rPr>
          <w:w w:val="100"/>
        </w:rPr>
        <w:t> </w:t>
      </w:r>
      <w:r>
        <w:rPr/>
        <w:t>相关交易费用直接计入当期损益，其他金融负债的相关交易费用计入其初始确认金额。</w:t>
      </w:r>
    </w:p>
    <w:p>
      <w:pPr>
        <w:pStyle w:val="BodyText"/>
        <w:spacing w:line="240" w:lineRule="auto" w:before="166"/>
        <w:ind w:left="572" w:right="0"/>
        <w:jc w:val="left"/>
      </w:pPr>
      <w:r>
        <w:rPr/>
        <w:t>金融负债的后续计量取决于其分类：</w:t>
      </w:r>
    </w:p>
    <w:p>
      <w:pPr>
        <w:spacing w:line="240" w:lineRule="auto" w:before="12"/>
        <w:rPr>
          <w:rFonts w:ascii="宋体" w:hAnsi="宋体" w:cs="宋体" w:eastAsia="宋体" w:hint="default"/>
          <w:sz w:val="23"/>
          <w:szCs w:val="23"/>
        </w:rPr>
      </w:pPr>
    </w:p>
    <w:p>
      <w:pPr>
        <w:pStyle w:val="BodyText"/>
        <w:spacing w:line="484" w:lineRule="auto"/>
        <w:ind w:left="572" w:right="1129"/>
        <w:jc w:val="left"/>
      </w:pPr>
      <w:r>
        <w:rPr/>
        <w:t>（</w:t>
      </w:r>
      <w:r>
        <w:rPr>
          <w:rFonts w:ascii="Times New Roman" w:hAnsi="Times New Roman" w:cs="Times New Roman" w:eastAsia="Times New Roman" w:hint="default"/>
        </w:rPr>
        <w:t>1</w:t>
      </w:r>
      <w:r>
        <w:rPr/>
        <w:t>）以摊余成本计量的金融负债</w:t>
      </w:r>
      <w:r>
        <w:rPr>
          <w:w w:val="100"/>
        </w:rPr>
        <w:t> </w:t>
      </w:r>
      <w:r>
        <w:rPr>
          <w:spacing w:val="-2"/>
        </w:rPr>
        <w:t>对于此类金融负债，采用实际利率法，按照摊余成本进行后续计量。</w:t>
      </w:r>
    </w:p>
    <w:p>
      <w:pPr>
        <w:pStyle w:val="BodyText"/>
        <w:spacing w:line="240" w:lineRule="auto" w:before="99"/>
        <w:ind w:left="572" w:right="0"/>
        <w:jc w:val="left"/>
      </w:pPr>
      <w:r>
        <w:rPr/>
        <w:t>（</w:t>
      </w:r>
      <w:r>
        <w:rPr>
          <w:rFonts w:ascii="Times New Roman" w:hAnsi="Times New Roman" w:cs="Times New Roman" w:eastAsia="Times New Roman" w:hint="default"/>
        </w:rPr>
        <w:t>2</w:t>
      </w:r>
      <w:r>
        <w:rPr/>
        <w:t>）以公允价值计量且其变动计入当期损益的金融负债</w:t>
      </w:r>
    </w:p>
    <w:p>
      <w:pPr>
        <w:spacing w:line="240" w:lineRule="auto" w:before="9"/>
        <w:rPr>
          <w:rFonts w:ascii="宋体" w:hAnsi="宋体" w:cs="宋体" w:eastAsia="宋体" w:hint="default"/>
          <w:sz w:val="22"/>
          <w:szCs w:val="22"/>
        </w:rPr>
      </w:pPr>
    </w:p>
    <w:p>
      <w:pPr>
        <w:pStyle w:val="BodyText"/>
        <w:spacing w:line="386" w:lineRule="auto"/>
        <w:ind w:right="0" w:firstLine="420"/>
        <w:jc w:val="left"/>
      </w:pPr>
      <w:r>
        <w:rPr>
          <w:spacing w:val="-4"/>
          <w:w w:val="100"/>
        </w:rPr>
        <w:t>以公允价值计量且其变动计入当期损益的金融负债，包括交易性金融负债</w:t>
      </w:r>
      <w:r>
        <w:rPr>
          <w:rFonts w:ascii="Times New Roman" w:hAnsi="Times New Roman" w:cs="Times New Roman" w:eastAsia="Times New Roman" w:hint="default"/>
          <w:spacing w:val="-4"/>
          <w:w w:val="100"/>
        </w:rPr>
        <w:t>(</w:t>
      </w:r>
      <w:r>
        <w:rPr>
          <w:spacing w:val="-4"/>
          <w:w w:val="100"/>
        </w:rPr>
        <w:t>含属于金融负债的衍生工具</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 </w:t>
      </w:r>
      <w:r>
        <w:rPr/>
        <w:t>和初始确认时指定为以公允价值计量且其变动计入当期损益的金融负债。</w:t>
      </w:r>
    </w:p>
    <w:p>
      <w:pPr>
        <w:spacing w:line="240" w:lineRule="auto" w:before="2"/>
        <w:rPr>
          <w:rFonts w:ascii="宋体" w:hAnsi="宋体" w:cs="宋体" w:eastAsia="宋体" w:hint="default"/>
          <w:sz w:val="14"/>
          <w:szCs w:val="14"/>
        </w:rPr>
      </w:pPr>
    </w:p>
    <w:p>
      <w:pPr>
        <w:pStyle w:val="BodyText"/>
        <w:spacing w:line="484" w:lineRule="auto"/>
        <w:ind w:left="572" w:right="0"/>
        <w:jc w:val="left"/>
      </w:pPr>
      <w:r>
        <w:rPr>
          <w:rFonts w:ascii="Times New Roman" w:hAnsi="Times New Roman" w:cs="Times New Roman" w:eastAsia="Times New Roman" w:hint="default"/>
        </w:rPr>
        <w:t>4.</w:t>
      </w:r>
      <w:r>
        <w:rPr/>
        <w:t>金融工具抵销</w:t>
      </w:r>
      <w:r>
        <w:rPr>
          <w:spacing w:val="-103"/>
        </w:rPr>
        <w:t> </w:t>
      </w:r>
      <w:r>
        <w:rPr>
          <w:spacing w:val="-103"/>
        </w:rPr>
      </w:r>
      <w:r>
        <w:rPr>
          <w:spacing w:val="-2"/>
        </w:rPr>
        <w:t>同时满足下列条件的，金融资产和金融负债以相互抵销后的净额在资产负债表内列示：具有抵销已确</w:t>
      </w:r>
    </w:p>
    <w:p>
      <w:pPr>
        <w:pStyle w:val="BodyText"/>
        <w:spacing w:line="254" w:lineRule="exact"/>
        <w:ind w:right="0"/>
        <w:jc w:val="both"/>
      </w:pPr>
      <w:r>
        <w:rPr/>
        <w:t>认金额的法定权利，且该种法定权利是当前可执行的；计划以净额结算，或同时变现该金融资产和清偿该</w:t>
      </w:r>
    </w:p>
    <w:p>
      <w:pPr>
        <w:spacing w:line="240" w:lineRule="auto" w:before="10"/>
        <w:rPr>
          <w:rFonts w:ascii="宋体" w:hAnsi="宋体" w:cs="宋体" w:eastAsia="宋体" w:hint="default"/>
          <w:sz w:val="14"/>
          <w:szCs w:val="14"/>
        </w:rPr>
      </w:pPr>
    </w:p>
    <w:p>
      <w:pPr>
        <w:pStyle w:val="BodyText"/>
        <w:spacing w:line="240" w:lineRule="auto"/>
        <w:ind w:right="0"/>
        <w:jc w:val="both"/>
      </w:pPr>
      <w:r>
        <w:rPr/>
        <w:t>金融负债。</w:t>
      </w:r>
    </w:p>
    <w:p>
      <w:pPr>
        <w:spacing w:line="240" w:lineRule="auto" w:before="12"/>
        <w:rPr>
          <w:rFonts w:ascii="宋体" w:hAnsi="宋体" w:cs="宋体" w:eastAsia="宋体" w:hint="default"/>
          <w:sz w:val="23"/>
          <w:szCs w:val="23"/>
        </w:rPr>
      </w:pPr>
    </w:p>
    <w:p>
      <w:pPr>
        <w:pStyle w:val="BodyText"/>
        <w:spacing w:line="484" w:lineRule="auto"/>
        <w:ind w:left="572" w:right="0"/>
        <w:jc w:val="left"/>
      </w:pPr>
      <w:r>
        <w:rPr>
          <w:rFonts w:ascii="Times New Roman" w:hAnsi="Times New Roman" w:cs="Times New Roman" w:eastAsia="Times New Roman" w:hint="default"/>
        </w:rPr>
        <w:t>5.</w:t>
      </w:r>
      <w:r>
        <w:rPr/>
        <w:t>金融资产减值</w:t>
      </w:r>
      <w:r>
        <w:rPr>
          <w:spacing w:val="-103"/>
        </w:rPr>
        <w:t> </w:t>
      </w:r>
      <w:r>
        <w:rPr>
          <w:spacing w:val="-103"/>
        </w:rPr>
      </w:r>
      <w:r>
        <w:rPr>
          <w:spacing w:val="-2"/>
        </w:rPr>
        <w:t>本集团对于以摊余成本计量的金融资产、以公允价值计量且其变动计入其他综合收益的债务工具投资</w:t>
      </w:r>
    </w:p>
    <w:p>
      <w:pPr>
        <w:pStyle w:val="BodyText"/>
        <w:spacing w:line="254" w:lineRule="exact"/>
        <w:ind w:right="0"/>
        <w:jc w:val="both"/>
      </w:pPr>
      <w:r>
        <w:rPr>
          <w:spacing w:val="-5"/>
        </w:rPr>
        <w:t>和财务担保合同等，以预期信用损失为基础确认损失准备。信用损失，是指本集团按照原实际利率折现的、</w:t>
      </w:r>
    </w:p>
    <w:p>
      <w:pPr>
        <w:spacing w:line="240" w:lineRule="auto" w:before="10"/>
        <w:rPr>
          <w:rFonts w:ascii="宋体" w:hAnsi="宋体" w:cs="宋体" w:eastAsia="宋体" w:hint="default"/>
          <w:sz w:val="14"/>
          <w:szCs w:val="14"/>
        </w:rPr>
      </w:pPr>
    </w:p>
    <w:p>
      <w:pPr>
        <w:pStyle w:val="BodyText"/>
        <w:spacing w:line="240" w:lineRule="auto"/>
        <w:ind w:right="0"/>
        <w:jc w:val="both"/>
      </w:pPr>
      <w:r>
        <w:rPr/>
        <w:t>根据合同应收的所有合同现金流量与预期收取的所有现金流量之间的差额，即全部现金短缺的现值。</w:t>
      </w:r>
    </w:p>
    <w:p>
      <w:pPr>
        <w:spacing w:line="240" w:lineRule="auto" w:before="12"/>
        <w:rPr>
          <w:rFonts w:ascii="宋体" w:hAnsi="宋体" w:cs="宋体" w:eastAsia="宋体" w:hint="default"/>
          <w:sz w:val="23"/>
          <w:szCs w:val="23"/>
        </w:rPr>
      </w:pPr>
    </w:p>
    <w:p>
      <w:pPr>
        <w:pStyle w:val="BodyText"/>
        <w:spacing w:line="408" w:lineRule="auto"/>
        <w:ind w:right="0" w:firstLine="420"/>
        <w:jc w:val="left"/>
        <w:rPr>
          <w:rFonts w:ascii="宋体" w:hAnsi="宋体" w:cs="宋体" w:eastAsia="宋体" w:hint="default"/>
        </w:rPr>
      </w:pPr>
      <w:r>
        <w:rPr>
          <w:spacing w:val="-2"/>
        </w:rPr>
        <w:t>本集团考虑所有合理且有依据的信息，包括前瞻性信息，以单项或组合的方式对以摊余成本计量的金</w:t>
      </w:r>
      <w:r>
        <w:rPr>
          <w:w w:val="100"/>
        </w:rPr>
        <w:t> </w:t>
      </w:r>
      <w:r>
        <w:rPr>
          <w:spacing w:val="-2"/>
        </w:rPr>
        <w:t>融资产和以公允价值计量且其变动计入其他综合收益的金融资产（债务工具）的预期信用损失进行估计。</w:t>
      </w:r>
      <w:r>
        <w:rPr>
          <w:rFonts w:ascii="宋体" w:hAnsi="宋体" w:cs="宋体" w:eastAsia="宋体" w:hint="default"/>
        </w:rPr>
        <w:t> </w:t>
      </w:r>
    </w:p>
    <w:p>
      <w:pPr>
        <w:pStyle w:val="BodyText"/>
        <w:spacing w:line="484" w:lineRule="auto" w:before="166"/>
        <w:ind w:left="572" w:right="0"/>
        <w:jc w:val="left"/>
      </w:pPr>
      <w:r>
        <w:rPr/>
        <w:t>（</w:t>
      </w:r>
      <w:r>
        <w:rPr>
          <w:rFonts w:ascii="Times New Roman" w:hAnsi="Times New Roman" w:cs="Times New Roman" w:eastAsia="Times New Roman" w:hint="default"/>
        </w:rPr>
        <w:t>1</w:t>
      </w:r>
      <w:r>
        <w:rPr/>
        <w:t>）预期信用损失一般模型</w:t>
      </w:r>
      <w:r>
        <w:rPr>
          <w:spacing w:val="-3"/>
          <w:w w:val="100"/>
        </w:rPr>
        <w:t> </w:t>
      </w:r>
      <w:r>
        <w:rPr>
          <w:spacing w:val="-2"/>
        </w:rPr>
        <w:t>如果该金融工具的信用风险自初始确认后已显著增加，本集团按照相当于该金融工具整个存续期内预</w:t>
      </w:r>
    </w:p>
    <w:p>
      <w:pPr>
        <w:pStyle w:val="BodyText"/>
        <w:spacing w:line="254" w:lineRule="exact"/>
        <w:ind w:right="0"/>
        <w:jc w:val="both"/>
      </w:pPr>
      <w:r>
        <w:rPr/>
        <w:t>期信用损失的金额计量其损失准备；如果该金融工具的信用风险自初始确认后并未显著增加，本集团按照</w:t>
      </w:r>
    </w:p>
    <w:p>
      <w:pPr>
        <w:spacing w:line="240" w:lineRule="auto" w:before="10"/>
        <w:rPr>
          <w:rFonts w:ascii="宋体" w:hAnsi="宋体" w:cs="宋体" w:eastAsia="宋体" w:hint="default"/>
          <w:sz w:val="14"/>
          <w:szCs w:val="14"/>
        </w:rPr>
      </w:pPr>
    </w:p>
    <w:p>
      <w:pPr>
        <w:pStyle w:val="BodyText"/>
        <w:spacing w:line="386" w:lineRule="auto"/>
        <w:ind w:right="1129"/>
        <w:jc w:val="both"/>
      </w:pPr>
      <w:r>
        <w:rPr>
          <w:spacing w:val="-2"/>
        </w:rPr>
        <w:t>相当于该金融工具未来</w:t>
      </w:r>
      <w:r>
        <w:rPr>
          <w:rFonts w:ascii="Times New Roman" w:hAnsi="Times New Roman" w:cs="Times New Roman" w:eastAsia="Times New Roman" w:hint="default"/>
          <w:spacing w:val="-2"/>
        </w:rPr>
        <w:t>12</w:t>
      </w:r>
      <w:r>
        <w:rPr>
          <w:spacing w:val="-2"/>
        </w:rPr>
        <w:t>个月内预期信用损失的金额计量其损失准备。由此形成的损失准备的增加或转回</w:t>
      </w:r>
      <w:r>
        <w:rPr>
          <w:spacing w:val="-41"/>
        </w:rPr>
        <w:t> </w:t>
      </w:r>
      <w:r>
        <w:rPr>
          <w:spacing w:val="-41"/>
        </w:rPr>
      </w:r>
      <w:r>
        <w:rPr/>
        <w:t>金额，作为减值损失或利得计入当期损益。本集团对信用风险的具体评估，详见附注</w:t>
      </w:r>
      <w:r>
        <w:rPr>
          <w:rFonts w:ascii="Times New Roman" w:hAnsi="Times New Roman" w:cs="Times New Roman" w:eastAsia="Times New Roman" w:hint="default"/>
        </w:rPr>
        <w:t>“</w:t>
      </w:r>
      <w:r>
        <w:rPr/>
        <w:t>九、与金融工具相</w:t>
      </w:r>
    </w:p>
    <w:p>
      <w:pPr>
        <w:spacing w:after="0" w:line="386" w:lineRule="auto"/>
        <w:jc w:val="both"/>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right="0"/>
        <w:jc w:val="left"/>
      </w:pPr>
      <w:r>
        <w:rPr/>
        <w:t>关的风险</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22"/>
          <w:szCs w:val="22"/>
        </w:rPr>
      </w:pPr>
    </w:p>
    <w:p>
      <w:pPr>
        <w:pStyle w:val="BodyText"/>
        <w:spacing w:line="386" w:lineRule="auto"/>
        <w:ind w:right="0" w:firstLine="420"/>
        <w:jc w:val="left"/>
      </w:pPr>
      <w:r>
        <w:rPr>
          <w:spacing w:val="-2"/>
        </w:rPr>
        <w:t>通常逾期超过</w:t>
      </w:r>
      <w:r>
        <w:rPr>
          <w:rFonts w:ascii="Times New Roman" w:hAnsi="Times New Roman" w:cs="Times New Roman" w:eastAsia="Times New Roman" w:hint="default"/>
          <w:spacing w:val="-2"/>
        </w:rPr>
        <w:t>30</w:t>
      </w:r>
      <w:r>
        <w:rPr>
          <w:spacing w:val="-2"/>
        </w:rPr>
        <w:t>日，本集团即认为该金融工具的信用风险已显著增加，除非有确凿证据证明该金融工</w:t>
      </w:r>
      <w:r>
        <w:rPr>
          <w:w w:val="100"/>
        </w:rPr>
        <w:t> </w:t>
      </w:r>
      <w:r>
        <w:rPr/>
        <w:t>具的信用风险自初始确认后并未显著增加。</w:t>
      </w:r>
    </w:p>
    <w:p>
      <w:pPr>
        <w:spacing w:line="240" w:lineRule="auto" w:before="2"/>
        <w:rPr>
          <w:rFonts w:ascii="宋体" w:hAnsi="宋体" w:cs="宋体" w:eastAsia="宋体" w:hint="default"/>
          <w:sz w:val="14"/>
          <w:szCs w:val="14"/>
        </w:rPr>
      </w:pPr>
    </w:p>
    <w:p>
      <w:pPr>
        <w:pStyle w:val="BodyText"/>
        <w:spacing w:line="408" w:lineRule="auto"/>
        <w:ind w:right="0" w:firstLine="420"/>
        <w:jc w:val="left"/>
      </w:pPr>
      <w:r>
        <w:rPr>
          <w:spacing w:val="-2"/>
        </w:rPr>
        <w:t>具体来说，本集团将购买或源生时未发生信用减值的金融工具发生信用减值的过程分为三个阶段，对</w:t>
      </w:r>
      <w:r>
        <w:rPr>
          <w:w w:val="100"/>
        </w:rPr>
        <w:t> </w:t>
      </w:r>
      <w:r>
        <w:rPr/>
        <w:t>于不同阶段的金融工具的减值有不同的会计处理方法：</w:t>
      </w:r>
    </w:p>
    <w:p>
      <w:pPr>
        <w:pStyle w:val="BodyText"/>
        <w:spacing w:line="240" w:lineRule="auto" w:before="166"/>
        <w:ind w:left="572" w:right="0"/>
        <w:jc w:val="left"/>
      </w:pPr>
      <w:r>
        <w:rPr/>
        <w:t>第一阶段：信用风险自初始确认后未显著增加</w:t>
      </w:r>
    </w:p>
    <w:p>
      <w:pPr>
        <w:spacing w:line="240" w:lineRule="auto" w:before="12"/>
        <w:rPr>
          <w:rFonts w:ascii="宋体" w:hAnsi="宋体" w:cs="宋体" w:eastAsia="宋体" w:hint="default"/>
          <w:sz w:val="23"/>
          <w:szCs w:val="23"/>
        </w:rPr>
      </w:pPr>
    </w:p>
    <w:p>
      <w:pPr>
        <w:pStyle w:val="BodyText"/>
        <w:spacing w:line="386" w:lineRule="auto"/>
        <w:ind w:left="153" w:right="0" w:firstLine="419"/>
        <w:jc w:val="left"/>
      </w:pPr>
      <w:r>
        <w:rPr>
          <w:spacing w:val="-2"/>
        </w:rPr>
        <w:t>对于处于该阶段的金融工具，企业应当按照未来</w:t>
      </w:r>
      <w:r>
        <w:rPr>
          <w:rFonts w:ascii="Times New Roman" w:hAnsi="Times New Roman" w:cs="Times New Roman" w:eastAsia="Times New Roman" w:hint="default"/>
          <w:spacing w:val="-2"/>
        </w:rPr>
        <w:t>12</w:t>
      </w:r>
      <w:r>
        <w:rPr>
          <w:spacing w:val="-2"/>
        </w:rPr>
        <w:t>个月的预期信用损失计量损失准备，并按其账面余</w:t>
      </w:r>
      <w:r>
        <w:rPr>
          <w:w w:val="100"/>
        </w:rPr>
        <w:t> </w:t>
      </w:r>
      <w:r>
        <w:rPr/>
        <w:t>额（即未扣除减值准备）和实际利率计算利息收入（若该工具为金融资产，下同）。</w:t>
      </w:r>
    </w:p>
    <w:p>
      <w:pPr>
        <w:spacing w:line="240" w:lineRule="auto" w:before="2"/>
        <w:rPr>
          <w:rFonts w:ascii="宋体" w:hAnsi="宋体" w:cs="宋体" w:eastAsia="宋体" w:hint="default"/>
          <w:sz w:val="14"/>
          <w:szCs w:val="14"/>
        </w:rPr>
      </w:pPr>
    </w:p>
    <w:p>
      <w:pPr>
        <w:pStyle w:val="BodyText"/>
        <w:spacing w:line="240" w:lineRule="auto"/>
        <w:ind w:left="573" w:right="0"/>
        <w:jc w:val="left"/>
      </w:pPr>
      <w:r>
        <w:rPr/>
        <w:t>第二阶段：信用风险自初始确认后己显著增加但尚未发生信用减值</w:t>
      </w:r>
    </w:p>
    <w:p>
      <w:pPr>
        <w:spacing w:line="240" w:lineRule="auto" w:before="12"/>
        <w:rPr>
          <w:rFonts w:ascii="宋体" w:hAnsi="宋体" w:cs="宋体" w:eastAsia="宋体" w:hint="default"/>
          <w:sz w:val="23"/>
          <w:szCs w:val="23"/>
        </w:rPr>
      </w:pPr>
    </w:p>
    <w:p>
      <w:pPr>
        <w:pStyle w:val="BodyText"/>
        <w:spacing w:line="408" w:lineRule="auto"/>
        <w:ind w:left="153" w:right="0" w:firstLine="420"/>
        <w:jc w:val="left"/>
      </w:pPr>
      <w:r>
        <w:rPr>
          <w:spacing w:val="-2"/>
        </w:rPr>
        <w:t>对于处于该阶段的金融工具，企业应当按照该工具整个存续期的预期信用损失计量损失准备，并按其</w:t>
      </w:r>
      <w:r>
        <w:rPr>
          <w:w w:val="100"/>
        </w:rPr>
        <w:t> </w:t>
      </w:r>
      <w:r>
        <w:rPr/>
        <w:t>账面余额和实际利率计算利息收入。</w:t>
      </w:r>
    </w:p>
    <w:p>
      <w:pPr>
        <w:pStyle w:val="BodyText"/>
        <w:spacing w:line="240" w:lineRule="auto" w:before="166"/>
        <w:ind w:left="572" w:right="0"/>
        <w:jc w:val="left"/>
      </w:pPr>
      <w:r>
        <w:rPr/>
        <w:t>第三阶段：初始确认后发生信用减值</w:t>
      </w:r>
    </w:p>
    <w:p>
      <w:pPr>
        <w:spacing w:line="240" w:lineRule="auto" w:before="12"/>
        <w:rPr>
          <w:rFonts w:ascii="宋体" w:hAnsi="宋体" w:cs="宋体" w:eastAsia="宋体" w:hint="default"/>
          <w:sz w:val="23"/>
          <w:szCs w:val="23"/>
        </w:rPr>
      </w:pPr>
    </w:p>
    <w:p>
      <w:pPr>
        <w:pStyle w:val="BodyText"/>
        <w:spacing w:line="408" w:lineRule="auto"/>
        <w:ind w:right="0" w:firstLine="420"/>
        <w:jc w:val="left"/>
      </w:pPr>
      <w:r>
        <w:rPr>
          <w:spacing w:val="-2"/>
        </w:rPr>
        <w:t>对于处于该阶段的金融工具，企业应当按照该工具整个存续期的预期信用损失计量损失准备，但对利</w:t>
      </w:r>
      <w:r>
        <w:rPr>
          <w:w w:val="100"/>
        </w:rPr>
        <w:t> </w:t>
      </w:r>
      <w:r>
        <w:rPr>
          <w:spacing w:val="-2"/>
        </w:rPr>
        <w:t>息收入的计算不同于处于前两阶段的金融资产。对于已发生信用减值的金融资产，企业应当按其摊余成本</w:t>
      </w:r>
    </w:p>
    <w:p>
      <w:pPr>
        <w:pStyle w:val="BodyText"/>
        <w:spacing w:line="240" w:lineRule="auto" w:before="46"/>
        <w:ind w:right="0"/>
        <w:jc w:val="left"/>
      </w:pPr>
      <w:r>
        <w:rPr/>
        <w:t>（账面余额减已计提减值准备，也即账面价值）和实际利率计算利息收入。</w:t>
      </w:r>
    </w:p>
    <w:p>
      <w:pPr>
        <w:spacing w:line="240" w:lineRule="auto" w:before="12"/>
        <w:rPr>
          <w:rFonts w:ascii="宋体" w:hAnsi="宋体" w:cs="宋体" w:eastAsia="宋体" w:hint="default"/>
          <w:sz w:val="23"/>
          <w:szCs w:val="23"/>
        </w:rPr>
      </w:pPr>
    </w:p>
    <w:p>
      <w:pPr>
        <w:pStyle w:val="BodyText"/>
        <w:spacing w:line="408" w:lineRule="auto"/>
        <w:ind w:right="0" w:firstLine="420"/>
        <w:jc w:val="left"/>
      </w:pPr>
      <w:r>
        <w:rPr>
          <w:spacing w:val="-2"/>
        </w:rPr>
        <w:t>对于购买或源生时已发生信用减值的金融资产，企业应当仅将初始确认后整个存续期内预期信用损失</w:t>
      </w:r>
      <w:r>
        <w:rPr>
          <w:w w:val="100"/>
        </w:rPr>
        <w:t> </w:t>
      </w:r>
      <w:r>
        <w:rPr/>
        <w:t>的变动确认为损失准备，并按其摊余成本和经信用调整的实际利率计算利息收入。</w:t>
      </w:r>
    </w:p>
    <w:p>
      <w:pPr>
        <w:pStyle w:val="BodyText"/>
        <w:spacing w:line="386" w:lineRule="auto" w:before="166"/>
        <w:ind w:right="0" w:firstLine="420"/>
        <w:jc w:val="left"/>
      </w:pPr>
      <w:r>
        <w:rPr/>
        <w:t>（</w:t>
      </w:r>
      <w:r>
        <w:rPr>
          <w:rFonts w:ascii="Times New Roman" w:hAnsi="Times New Roman" w:cs="Times New Roman" w:eastAsia="Times New Roman" w:hint="default"/>
        </w:rPr>
        <w:t>2</w:t>
      </w:r>
      <w:r>
        <w:rPr/>
        <w:t>）本集团对在资产负债表日具有较低信用风险的金融工具，选择不与其初始确认时的信用风险进</w:t>
      </w:r>
      <w:r>
        <w:rPr>
          <w:w w:val="100"/>
        </w:rPr>
        <w:t> </w:t>
      </w:r>
      <w:r>
        <w:rPr/>
        <w:t>行比较，而直接做出该工具的信用风险自初始确认后未显著增加的假定。</w:t>
      </w:r>
    </w:p>
    <w:p>
      <w:pPr>
        <w:spacing w:line="240" w:lineRule="auto" w:before="2"/>
        <w:rPr>
          <w:rFonts w:ascii="宋体" w:hAnsi="宋体" w:cs="宋体" w:eastAsia="宋体" w:hint="default"/>
          <w:sz w:val="14"/>
          <w:szCs w:val="14"/>
        </w:rPr>
      </w:pPr>
    </w:p>
    <w:p>
      <w:pPr>
        <w:pStyle w:val="BodyText"/>
        <w:spacing w:line="408" w:lineRule="auto"/>
        <w:ind w:right="1107" w:firstLine="420"/>
        <w:jc w:val="both"/>
      </w:pPr>
      <w:r>
        <w:rPr>
          <w:spacing w:val="-2"/>
        </w:rPr>
        <w:t>如果企业确定金融工具的违约风险较低，借款人在短期内履行其支付合同现金流量义务的能力很强，</w:t>
      </w:r>
      <w:r>
        <w:rPr>
          <w:w w:val="100"/>
        </w:rPr>
        <w:t> </w:t>
      </w:r>
      <w:r>
        <w:rPr>
          <w:spacing w:val="-2"/>
        </w:rPr>
        <w:t>并且即使较长时期内经济形势和经营环境存在不利变化，也不一定会降低借款人履行其支付合同现金流量</w:t>
      </w:r>
      <w:r>
        <w:rPr>
          <w:spacing w:val="-43"/>
        </w:rPr>
        <w:t> </w:t>
      </w:r>
      <w:r>
        <w:rPr>
          <w:spacing w:val="-43"/>
        </w:rPr>
      </w:r>
      <w:r>
        <w:rPr/>
        <w:t>义务的能力，那么该金融工具可被视为具有较低的信用风险。</w:t>
      </w:r>
    </w:p>
    <w:p>
      <w:pPr>
        <w:pStyle w:val="BodyText"/>
        <w:spacing w:line="484" w:lineRule="auto" w:before="166"/>
        <w:ind w:left="572" w:right="0"/>
        <w:jc w:val="left"/>
      </w:pPr>
      <w:r>
        <w:rPr/>
        <w:t>（</w:t>
      </w:r>
      <w:r>
        <w:rPr>
          <w:rFonts w:ascii="Times New Roman" w:hAnsi="Times New Roman" w:cs="Times New Roman" w:eastAsia="Times New Roman" w:hint="default"/>
        </w:rPr>
        <w:t>3</w:t>
      </w:r>
      <w:r>
        <w:rPr/>
        <w:t>）应收款项</w:t>
      </w:r>
      <w:r>
        <w:rPr>
          <w:w w:val="100"/>
        </w:rPr>
        <w:t> </w:t>
      </w:r>
      <w:r>
        <w:rPr>
          <w:spacing w:val="-2"/>
        </w:rPr>
        <w:t>对于应收票据、应收账款等应收款项，无论是否存在重大融资成分，本集团考虑所有合理且有依据的</w:t>
      </w:r>
      <w:r>
        <w:rPr/>
      </w:r>
    </w:p>
    <w:p>
      <w:pPr>
        <w:pStyle w:val="BodyText"/>
        <w:spacing w:line="254" w:lineRule="exact"/>
        <w:ind w:right="0"/>
        <w:jc w:val="left"/>
      </w:pPr>
      <w:r>
        <w:rPr/>
        <w:t>信息，包括前瞻性信息，以单项或组合的方式对上述应收款项预期信用损失进行估计，并采用预期信用损</w:t>
      </w:r>
    </w:p>
    <w:p>
      <w:pPr>
        <w:spacing w:line="240" w:lineRule="auto" w:before="10"/>
        <w:rPr>
          <w:rFonts w:ascii="宋体" w:hAnsi="宋体" w:cs="宋体" w:eastAsia="宋体" w:hint="default"/>
          <w:sz w:val="14"/>
          <w:szCs w:val="14"/>
        </w:rPr>
      </w:pPr>
    </w:p>
    <w:p>
      <w:pPr>
        <w:pStyle w:val="BodyText"/>
        <w:spacing w:line="240" w:lineRule="auto"/>
        <w:ind w:right="0"/>
        <w:jc w:val="left"/>
      </w:pPr>
      <w:r>
        <w:rPr/>
        <w:t>失的简化模型，始终按照整个存续期的预期信用损失计量损失准备。</w:t>
      </w:r>
    </w:p>
    <w:p>
      <w:pPr>
        <w:spacing w:after="0" w:line="240"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06" w:firstLine="420"/>
        <w:jc w:val="both"/>
      </w:pPr>
      <w:r>
        <w:rPr>
          <w:spacing w:val="-2"/>
        </w:rPr>
        <w:t>①期末对有客观证据表明其已发生减值以及其他适用于单项评估的应收票据、应收账款，应收款项融</w:t>
      </w:r>
      <w:r>
        <w:rPr>
          <w:w w:val="100"/>
        </w:rPr>
        <w:t> </w:t>
      </w:r>
      <w:r>
        <w:rPr>
          <w:spacing w:val="-2"/>
        </w:rPr>
        <w:t>资及长期应收款等的应收款项单独进行减值测试，根据其预计未来现金流量现值低于其账面价值的差额，</w:t>
      </w:r>
      <w:r>
        <w:rPr>
          <w:spacing w:val="-21"/>
        </w:rPr>
        <w:t> </w:t>
      </w:r>
      <w:r>
        <w:rPr>
          <w:spacing w:val="-21"/>
        </w:rPr>
      </w:r>
      <w:r>
        <w:rPr/>
        <w:t>确认减值损失，计提坏账准备。</w:t>
      </w:r>
    </w:p>
    <w:p>
      <w:pPr>
        <w:pStyle w:val="BodyText"/>
        <w:spacing w:line="408" w:lineRule="auto" w:before="166"/>
        <w:ind w:right="1127" w:firstLine="419"/>
        <w:jc w:val="both"/>
        <w:rPr>
          <w:rFonts w:ascii="宋体" w:hAnsi="宋体" w:cs="宋体" w:eastAsia="宋体" w:hint="default"/>
        </w:rPr>
      </w:pPr>
      <w:r>
        <w:rPr>
          <w:spacing w:val="-2"/>
        </w:rPr>
        <w:t>②当单项金融资产无法以合理成本评估预期信用损失的信息时，本集团依据信用风险特征划分应收款</w:t>
      </w:r>
      <w:r>
        <w:rPr>
          <w:w w:val="100"/>
        </w:rPr>
        <w:t> </w:t>
      </w:r>
      <w:r>
        <w:rPr/>
        <w:t>项组合，在组合基础上计算预期信用损失。</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2"/>
          <w:szCs w:val="12"/>
        </w:rPr>
      </w:pPr>
    </w:p>
    <w:tbl>
      <w:tblPr>
        <w:tblW w:w="0" w:type="auto"/>
        <w:jc w:val="left"/>
        <w:tblInd w:w="680" w:type="dxa"/>
        <w:tblLayout w:type="fixed"/>
        <w:tblCellMar>
          <w:top w:w="0" w:type="dxa"/>
          <w:left w:w="0" w:type="dxa"/>
          <w:bottom w:w="0" w:type="dxa"/>
          <w:right w:w="0" w:type="dxa"/>
        </w:tblCellMar>
        <w:tblLook w:val="01E0"/>
      </w:tblPr>
      <w:tblGrid>
        <w:gridCol w:w="2342"/>
        <w:gridCol w:w="2333"/>
        <w:gridCol w:w="3905"/>
      </w:tblGrid>
      <w:tr>
        <w:trPr>
          <w:trHeight w:val="468" w:hRule="exact"/>
        </w:trPr>
        <w:tc>
          <w:tcPr>
            <w:tcW w:w="234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844"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2333"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655" w:right="0"/>
              <w:jc w:val="left"/>
              <w:rPr>
                <w:rFonts w:ascii="宋体" w:hAnsi="宋体" w:cs="宋体" w:eastAsia="宋体" w:hint="default"/>
                <w:sz w:val="18"/>
                <w:szCs w:val="18"/>
              </w:rPr>
            </w:pPr>
            <w:r>
              <w:rPr>
                <w:rFonts w:ascii="宋体" w:hAnsi="宋体" w:cs="宋体" w:eastAsia="宋体" w:hint="default"/>
                <w:b/>
                <w:bCs/>
                <w:sz w:val="18"/>
                <w:szCs w:val="18"/>
              </w:rPr>
              <w:t>确定组合依据</w:t>
            </w:r>
            <w:r>
              <w:rPr>
                <w:rFonts w:ascii="宋体" w:hAnsi="宋体" w:cs="宋体" w:eastAsia="宋体" w:hint="default"/>
                <w:sz w:val="18"/>
                <w:szCs w:val="18"/>
              </w:rPr>
            </w:r>
          </w:p>
        </w:tc>
        <w:tc>
          <w:tcPr>
            <w:tcW w:w="3905"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b/>
                <w:bCs/>
                <w:sz w:val="18"/>
                <w:szCs w:val="18"/>
              </w:rPr>
              <w:t>计提方法</w:t>
            </w:r>
            <w:r>
              <w:rPr>
                <w:rFonts w:ascii="宋体" w:hAnsi="宋体" w:cs="宋体" w:eastAsia="宋体" w:hint="default"/>
                <w:sz w:val="18"/>
                <w:szCs w:val="18"/>
              </w:rPr>
            </w:r>
          </w:p>
        </w:tc>
      </w:tr>
      <w:tr>
        <w:trPr>
          <w:trHeight w:val="778" w:hRule="exact"/>
        </w:trPr>
        <w:tc>
          <w:tcPr>
            <w:tcW w:w="234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应收票据组合</w:t>
            </w:r>
            <w:r>
              <w:rPr>
                <w:rFonts w:ascii="宋体" w:hAnsi="宋体" w:cs="宋体" w:eastAsia="宋体" w:hint="default"/>
                <w:sz w:val="18"/>
                <w:szCs w:val="18"/>
              </w:rPr>
              <w:t>1 </w:t>
            </w:r>
          </w:p>
        </w:tc>
        <w:tc>
          <w:tcPr>
            <w:tcW w:w="2333"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79" w:right="5"/>
              <w:jc w:val="left"/>
              <w:rPr>
                <w:rFonts w:ascii="宋体" w:hAnsi="宋体" w:cs="宋体" w:eastAsia="宋体" w:hint="default"/>
                <w:sz w:val="18"/>
                <w:szCs w:val="18"/>
              </w:rPr>
            </w:pPr>
            <w:r>
              <w:rPr>
                <w:rFonts w:ascii="宋体" w:hAnsi="宋体" w:cs="宋体" w:eastAsia="宋体" w:hint="default"/>
                <w:spacing w:val="7"/>
                <w:sz w:val="18"/>
                <w:szCs w:val="18"/>
              </w:rPr>
              <w:t>本组合为信用较高的商业承 </w:t>
            </w:r>
            <w:r>
              <w:rPr>
                <w:rFonts w:ascii="宋体" w:hAnsi="宋体" w:cs="宋体" w:eastAsia="宋体" w:hint="default"/>
                <w:sz w:val="18"/>
                <w:szCs w:val="18"/>
              </w:rPr>
              <w:t>兑汇票和银行承兑汇票</w:t>
            </w:r>
            <w:r>
              <w:rPr>
                <w:rFonts w:ascii="宋体" w:hAnsi="宋体" w:cs="宋体" w:eastAsia="宋体" w:hint="default"/>
                <w:sz w:val="18"/>
                <w:szCs w:val="18"/>
              </w:rPr>
              <w:t> </w:t>
            </w:r>
          </w:p>
        </w:tc>
        <w:tc>
          <w:tcPr>
            <w:tcW w:w="3905"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单独进行减值测试</w:t>
            </w:r>
            <w:r>
              <w:rPr>
                <w:rFonts w:ascii="宋体" w:hAnsi="宋体" w:cs="宋体" w:eastAsia="宋体" w:hint="default"/>
                <w:sz w:val="18"/>
                <w:szCs w:val="18"/>
              </w:rPr>
              <w:t> </w:t>
            </w:r>
          </w:p>
        </w:tc>
      </w:tr>
      <w:tr>
        <w:trPr>
          <w:trHeight w:val="1092" w:hRule="exact"/>
        </w:trPr>
        <w:tc>
          <w:tcPr>
            <w:tcW w:w="2342"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应收票据组合</w:t>
            </w:r>
            <w:r>
              <w:rPr>
                <w:rFonts w:ascii="宋体" w:hAnsi="宋体" w:cs="宋体" w:eastAsia="宋体" w:hint="default"/>
                <w:sz w:val="18"/>
                <w:szCs w:val="18"/>
              </w:rPr>
              <w:t>2 </w:t>
            </w:r>
          </w:p>
        </w:tc>
        <w:tc>
          <w:tcPr>
            <w:tcW w:w="2333" w:type="dxa"/>
            <w:tcBorders>
              <w:top w:val="single" w:sz="6" w:space="0" w:color="000000"/>
              <w:left w:val="nil" w:sz="6" w:space="0" w:color="auto"/>
              <w:bottom w:val="single" w:sz="6" w:space="0" w:color="000000"/>
              <w:right w:val="nil" w:sz="6" w:space="0" w:color="auto"/>
            </w:tcBorders>
          </w:tcPr>
          <w:p>
            <w:pPr>
              <w:pStyle w:val="TableParagraph"/>
              <w:spacing w:line="316" w:lineRule="auto" w:before="22"/>
              <w:ind w:left="79" w:right="5"/>
              <w:jc w:val="left"/>
              <w:rPr>
                <w:rFonts w:ascii="宋体" w:hAnsi="宋体" w:cs="宋体" w:eastAsia="宋体" w:hint="default"/>
                <w:sz w:val="18"/>
                <w:szCs w:val="18"/>
              </w:rPr>
            </w:pPr>
            <w:r>
              <w:rPr>
                <w:rFonts w:ascii="宋体" w:hAnsi="宋体" w:cs="宋体" w:eastAsia="宋体" w:hint="default"/>
                <w:spacing w:val="7"/>
                <w:sz w:val="18"/>
                <w:szCs w:val="18"/>
              </w:rPr>
              <w:t>信用风险较低的商业承兑汇 </w:t>
            </w:r>
            <w:r>
              <w:rPr>
                <w:rFonts w:ascii="宋体" w:hAnsi="宋体" w:cs="宋体" w:eastAsia="宋体" w:hint="default"/>
                <w:sz w:val="18"/>
                <w:szCs w:val="18"/>
              </w:rPr>
              <w:t>票</w:t>
            </w:r>
            <w:r>
              <w:rPr>
                <w:rFonts w:ascii="宋体" w:hAnsi="宋体" w:cs="宋体" w:eastAsia="宋体" w:hint="default"/>
                <w:sz w:val="18"/>
                <w:szCs w:val="18"/>
              </w:rPr>
              <w:t> </w:t>
            </w:r>
          </w:p>
        </w:tc>
        <w:tc>
          <w:tcPr>
            <w:tcW w:w="3905" w:type="dxa"/>
            <w:tcBorders>
              <w:top w:val="single" w:sz="6" w:space="0" w:color="000000"/>
              <w:left w:val="nil" w:sz="6" w:space="0" w:color="auto"/>
              <w:bottom w:val="single" w:sz="6" w:space="0" w:color="000000"/>
              <w:right w:val="nil" w:sz="6" w:space="0" w:color="auto"/>
            </w:tcBorders>
          </w:tcPr>
          <w:p>
            <w:pPr>
              <w:pStyle w:val="TableParagraph"/>
              <w:spacing w:line="316" w:lineRule="auto" w:before="22"/>
              <w:ind w:left="7" w:right="7"/>
              <w:jc w:val="both"/>
              <w:rPr>
                <w:rFonts w:ascii="宋体" w:hAnsi="宋体" w:cs="宋体" w:eastAsia="宋体" w:hint="default"/>
                <w:sz w:val="18"/>
                <w:szCs w:val="18"/>
              </w:rPr>
            </w:pPr>
            <w:r>
              <w:rPr>
                <w:rFonts w:ascii="宋体" w:hAnsi="宋体" w:cs="宋体" w:eastAsia="宋体" w:hint="default"/>
                <w:spacing w:val="-4"/>
                <w:sz w:val="18"/>
                <w:szCs w:val="18"/>
              </w:rPr>
              <w:t>参考历史信用损失经验，结合当前状况以及对未来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经济状况的预测，编制应收账款账龄与整个存续期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预期信用损失率对照表，计算预期信用损失</w:t>
            </w:r>
            <w:r>
              <w:rPr>
                <w:rFonts w:ascii="宋体" w:hAnsi="宋体" w:cs="宋体" w:eastAsia="宋体" w:hint="default"/>
                <w:sz w:val="18"/>
                <w:szCs w:val="18"/>
              </w:rPr>
              <w:t> </w:t>
            </w:r>
          </w:p>
        </w:tc>
      </w:tr>
      <w:tr>
        <w:trPr>
          <w:trHeight w:val="1090" w:hRule="exact"/>
        </w:trPr>
        <w:tc>
          <w:tcPr>
            <w:tcW w:w="234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应收账款信用风险特征组合</w:t>
            </w:r>
            <w:r>
              <w:rPr>
                <w:rFonts w:ascii="宋体" w:hAnsi="宋体" w:cs="宋体" w:eastAsia="宋体" w:hint="default"/>
                <w:sz w:val="18"/>
                <w:szCs w:val="18"/>
              </w:rPr>
              <w:t> </w:t>
            </w:r>
          </w:p>
        </w:tc>
        <w:tc>
          <w:tcPr>
            <w:tcW w:w="2333"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79" w:right="0"/>
              <w:jc w:val="left"/>
              <w:rPr>
                <w:rFonts w:ascii="宋体" w:hAnsi="宋体" w:cs="宋体" w:eastAsia="宋体" w:hint="default"/>
                <w:sz w:val="18"/>
                <w:szCs w:val="18"/>
              </w:rPr>
            </w:pPr>
            <w:r>
              <w:rPr>
                <w:rFonts w:ascii="宋体" w:hAnsi="宋体" w:cs="宋体" w:eastAsia="宋体" w:hint="default"/>
                <w:sz w:val="18"/>
                <w:szCs w:val="18"/>
              </w:rPr>
              <w:t>账龄风险组合</w:t>
            </w:r>
            <w:r>
              <w:rPr>
                <w:rFonts w:ascii="宋体" w:hAnsi="宋体" w:cs="宋体" w:eastAsia="宋体" w:hint="default"/>
                <w:sz w:val="18"/>
                <w:szCs w:val="18"/>
              </w:rPr>
              <w:t> </w:t>
            </w:r>
          </w:p>
        </w:tc>
        <w:tc>
          <w:tcPr>
            <w:tcW w:w="3905"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7" w:right="7"/>
              <w:jc w:val="both"/>
              <w:rPr>
                <w:rFonts w:ascii="宋体" w:hAnsi="宋体" w:cs="宋体" w:eastAsia="宋体" w:hint="default"/>
                <w:sz w:val="18"/>
                <w:szCs w:val="18"/>
              </w:rPr>
            </w:pPr>
            <w:r>
              <w:rPr>
                <w:rFonts w:ascii="宋体" w:hAnsi="宋体" w:cs="宋体" w:eastAsia="宋体" w:hint="default"/>
                <w:spacing w:val="-4"/>
                <w:sz w:val="18"/>
                <w:szCs w:val="18"/>
              </w:rPr>
              <w:t>参考历史信用损失经验，结合当前状况以及对未来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经济状况的预测，编制应收账款账龄与整个存续期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预期信用损失率对照表，计算预期信用损失</w:t>
            </w:r>
            <w:r>
              <w:rPr>
                <w:rFonts w:ascii="宋体" w:hAnsi="宋体" w:cs="宋体" w:eastAsia="宋体" w:hint="default"/>
                <w:sz w:val="18"/>
                <w:szCs w:val="18"/>
              </w:rPr>
              <w:t> </w:t>
            </w:r>
          </w:p>
        </w:tc>
      </w:tr>
      <w:tr>
        <w:trPr>
          <w:trHeight w:val="697" w:hRule="exact"/>
        </w:trPr>
        <w:tc>
          <w:tcPr>
            <w:tcW w:w="2342" w:type="dxa"/>
            <w:tcBorders>
              <w:top w:val="single" w:sz="6" w:space="0" w:color="000000"/>
              <w:left w:val="nil" w:sz="6" w:space="0" w:color="auto"/>
              <w:bottom w:val="nil" w:sz="6" w:space="0" w:color="auto"/>
              <w:right w:val="nil" w:sz="6" w:space="0" w:color="auto"/>
            </w:tcBorders>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应收账款无风险组合</w:t>
            </w:r>
            <w:r>
              <w:rPr>
                <w:rFonts w:ascii="宋体" w:hAnsi="宋体" w:cs="宋体" w:eastAsia="宋体" w:hint="default"/>
                <w:sz w:val="18"/>
                <w:szCs w:val="18"/>
              </w:rPr>
              <w:t> </w:t>
            </w:r>
          </w:p>
        </w:tc>
        <w:tc>
          <w:tcPr>
            <w:tcW w:w="2333" w:type="dxa"/>
            <w:tcBorders>
              <w:top w:val="single" w:sz="6" w:space="0" w:color="000000"/>
              <w:left w:val="nil" w:sz="6" w:space="0" w:color="auto"/>
              <w:bottom w:val="nil" w:sz="6" w:space="0" w:color="auto"/>
              <w:right w:val="nil" w:sz="6" w:space="0" w:color="auto"/>
            </w:tcBorders>
          </w:tcPr>
          <w:p>
            <w:pPr>
              <w:pStyle w:val="TableParagraph"/>
              <w:spacing w:line="240" w:lineRule="auto" w:before="22"/>
              <w:ind w:left="79" w:right="0"/>
              <w:jc w:val="left"/>
              <w:rPr>
                <w:rFonts w:ascii="宋体" w:hAnsi="宋体" w:cs="宋体" w:eastAsia="宋体" w:hint="default"/>
                <w:sz w:val="18"/>
                <w:szCs w:val="18"/>
              </w:rPr>
            </w:pPr>
            <w:r>
              <w:rPr>
                <w:rFonts w:ascii="宋体" w:hAnsi="宋体" w:cs="宋体" w:eastAsia="宋体" w:hint="default"/>
                <w:sz w:val="18"/>
                <w:szCs w:val="18"/>
              </w:rPr>
              <w:t>无风险组合</w:t>
            </w:r>
            <w:r>
              <w:rPr>
                <w:rFonts w:ascii="宋体" w:hAnsi="宋体" w:cs="宋体" w:eastAsia="宋体" w:hint="default"/>
                <w:sz w:val="18"/>
                <w:szCs w:val="18"/>
              </w:rPr>
              <w:t> </w:t>
            </w:r>
          </w:p>
        </w:tc>
        <w:tc>
          <w:tcPr>
            <w:tcW w:w="3905" w:type="dxa"/>
            <w:tcBorders>
              <w:top w:val="single" w:sz="6" w:space="0" w:color="000000"/>
              <w:left w:val="nil" w:sz="6" w:space="0" w:color="auto"/>
              <w:bottom w:val="nil" w:sz="6" w:space="0" w:color="auto"/>
              <w:right w:val="nil" w:sz="6" w:space="0" w:color="auto"/>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不计提坏账准备</w:t>
            </w:r>
            <w:r>
              <w:rPr>
                <w:rFonts w:ascii="宋体" w:hAnsi="宋体" w:cs="宋体" w:eastAsia="宋体" w:hint="default"/>
                <w:sz w:val="18"/>
                <w:szCs w:val="18"/>
              </w:rPr>
              <w:t> </w:t>
            </w: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sz w:val="18"/>
              </w:rPr>
              <w:t> </w:t>
            </w:r>
          </w:p>
        </w:tc>
      </w:tr>
    </w:tbl>
    <w:p>
      <w:pPr>
        <w:spacing w:line="240" w:lineRule="auto" w:before="1"/>
        <w:rPr>
          <w:rFonts w:ascii="宋体" w:hAnsi="宋体" w:cs="宋体" w:eastAsia="宋体" w:hint="default"/>
          <w:sz w:val="17"/>
          <w:szCs w:val="17"/>
        </w:rPr>
      </w:pPr>
    </w:p>
    <w:p>
      <w:pPr>
        <w:pStyle w:val="BodyText"/>
        <w:spacing w:line="240" w:lineRule="auto" w:before="36"/>
        <w:ind w:left="572" w:right="0"/>
        <w:jc w:val="left"/>
        <w:rPr>
          <w:rFonts w:ascii="宋体" w:hAnsi="宋体" w:cs="宋体" w:eastAsia="宋体" w:hint="default"/>
        </w:rPr>
      </w:pPr>
      <w:r>
        <w:rPr/>
        <w:t>③信用风险特征组合的账龄与整个存续期预期信用损失率对照表</w:t>
      </w:r>
      <w:r>
        <w:rPr>
          <w:rFonts w:ascii="宋体" w:hAnsi="宋体" w:cs="宋体" w:eastAsia="宋体" w:hint="default"/>
        </w:rPr>
        <w:t> </w:t>
      </w:r>
    </w:p>
    <w:p>
      <w:pPr>
        <w:spacing w:line="240" w:lineRule="auto" w:before="0"/>
        <w:rPr>
          <w:rFonts w:ascii="宋体" w:hAnsi="宋体" w:cs="宋体" w:eastAsia="宋体" w:hint="default"/>
          <w:sz w:val="19"/>
          <w:szCs w:val="19"/>
        </w:rPr>
      </w:pPr>
    </w:p>
    <w:tbl>
      <w:tblPr>
        <w:tblW w:w="0" w:type="auto"/>
        <w:jc w:val="left"/>
        <w:tblInd w:w="680" w:type="dxa"/>
        <w:tblLayout w:type="fixed"/>
        <w:tblCellMar>
          <w:top w:w="0" w:type="dxa"/>
          <w:left w:w="0" w:type="dxa"/>
          <w:bottom w:w="0" w:type="dxa"/>
          <w:right w:w="0" w:type="dxa"/>
        </w:tblCellMar>
        <w:tblLook w:val="01E0"/>
      </w:tblPr>
      <w:tblGrid>
        <w:gridCol w:w="4277"/>
        <w:gridCol w:w="4303"/>
      </w:tblGrid>
      <w:tr>
        <w:trPr>
          <w:trHeight w:val="346" w:hRule="exact"/>
        </w:trPr>
        <w:tc>
          <w:tcPr>
            <w:tcW w:w="427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722" w:right="0"/>
              <w:jc w:val="center"/>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63"/>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4303"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519" w:right="0"/>
              <w:jc w:val="left"/>
              <w:rPr>
                <w:rFonts w:ascii="宋体" w:hAnsi="宋体" w:cs="宋体" w:eastAsia="宋体" w:hint="default"/>
                <w:sz w:val="18"/>
                <w:szCs w:val="18"/>
              </w:rPr>
            </w:pPr>
            <w:r>
              <w:rPr>
                <w:rFonts w:ascii="宋体" w:hAnsi="宋体" w:cs="宋体" w:eastAsia="宋体" w:hint="default"/>
                <w:b/>
                <w:bCs/>
                <w:sz w:val="18"/>
                <w:szCs w:val="18"/>
              </w:rPr>
              <w:t>预期信用损失率（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8" w:hRule="exact"/>
        </w:trPr>
        <w:tc>
          <w:tcPr>
            <w:tcW w:w="4277"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年，以下同）</w:t>
            </w:r>
          </w:p>
        </w:tc>
        <w:tc>
          <w:tcPr>
            <w:tcW w:w="4303"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5"/>
              <w:jc w:val="right"/>
              <w:rPr>
                <w:rFonts w:ascii="Times New Roman" w:hAnsi="Times New Roman" w:cs="Times New Roman" w:eastAsia="Times New Roman" w:hint="default"/>
                <w:sz w:val="18"/>
                <w:szCs w:val="18"/>
              </w:rPr>
            </w:pPr>
            <w:r>
              <w:rPr>
                <w:rFonts w:ascii="Times New Roman"/>
                <w:spacing w:val="-1"/>
                <w:sz w:val="18"/>
              </w:rPr>
              <w:t>5.00</w:t>
            </w:r>
            <w:r>
              <w:rPr>
                <w:rFonts w:ascii="Times New Roman"/>
                <w:sz w:val="18"/>
              </w:rPr>
            </w:r>
          </w:p>
        </w:tc>
      </w:tr>
      <w:tr>
        <w:trPr>
          <w:trHeight w:val="348" w:hRule="exact"/>
        </w:trPr>
        <w:tc>
          <w:tcPr>
            <w:tcW w:w="427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4303"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10.00</w:t>
            </w:r>
          </w:p>
        </w:tc>
      </w:tr>
      <w:tr>
        <w:trPr>
          <w:trHeight w:val="346" w:hRule="exact"/>
        </w:trPr>
        <w:tc>
          <w:tcPr>
            <w:tcW w:w="427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4303"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30.00</w:t>
            </w:r>
          </w:p>
        </w:tc>
      </w:tr>
      <w:tr>
        <w:trPr>
          <w:trHeight w:val="348" w:hRule="exact"/>
        </w:trPr>
        <w:tc>
          <w:tcPr>
            <w:tcW w:w="4277"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4303"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z w:val="18"/>
              </w:rPr>
              <w:t>50.00</w:t>
            </w:r>
          </w:p>
        </w:tc>
      </w:tr>
      <w:tr>
        <w:trPr>
          <w:trHeight w:val="346" w:hRule="exact"/>
        </w:trPr>
        <w:tc>
          <w:tcPr>
            <w:tcW w:w="427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4303"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70.00</w:t>
            </w:r>
          </w:p>
        </w:tc>
      </w:tr>
      <w:tr>
        <w:trPr>
          <w:trHeight w:val="275" w:hRule="exact"/>
        </w:trPr>
        <w:tc>
          <w:tcPr>
            <w:tcW w:w="4277" w:type="dxa"/>
            <w:tcBorders>
              <w:top w:val="single" w:sz="6" w:space="0" w:color="000000"/>
              <w:left w:val="nil" w:sz="6" w:space="0" w:color="auto"/>
              <w:bottom w:val="nil" w:sz="6" w:space="0" w:color="auto"/>
              <w:right w:val="nil" w:sz="6" w:space="0" w:color="auto"/>
            </w:tcBorders>
          </w:tcPr>
          <w:p>
            <w:pPr>
              <w:pStyle w:val="TableParagraph"/>
              <w:spacing w:line="240" w:lineRule="auto" w:before="2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4303" w:type="dxa"/>
            <w:tcBorders>
              <w:top w:val="single" w:sz="6" w:space="0" w:color="000000"/>
              <w:left w:val="nil" w:sz="6" w:space="0" w:color="auto"/>
              <w:bottom w:val="nil" w:sz="6" w:space="0" w:color="auto"/>
              <w:right w:val="nil" w:sz="6" w:space="0" w:color="auto"/>
            </w:tcBorders>
          </w:tcPr>
          <w:p>
            <w:pPr>
              <w:pStyle w:val="TableParagraph"/>
              <w:spacing w:line="240" w:lineRule="auto" w:before="64"/>
              <w:ind w:right="5"/>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484" w:lineRule="auto" w:before="36"/>
        <w:ind w:left="572" w:right="0"/>
        <w:jc w:val="left"/>
      </w:pPr>
      <w:r>
        <w:rPr>
          <w:rFonts w:ascii="Times New Roman" w:hAnsi="Times New Roman" w:cs="Times New Roman" w:eastAsia="Times New Roman" w:hint="default"/>
        </w:rPr>
        <w:t>6.</w:t>
      </w:r>
      <w:r>
        <w:rPr/>
        <w:t>金融资产转移</w:t>
      </w:r>
      <w:r>
        <w:rPr>
          <w:spacing w:val="-103"/>
        </w:rPr>
        <w:t> </w:t>
      </w:r>
      <w:r>
        <w:rPr>
          <w:spacing w:val="-103"/>
        </w:rPr>
      </w:r>
      <w:r>
        <w:rPr>
          <w:spacing w:val="-2"/>
        </w:rPr>
        <w:t>本集团已将金融资产所有权上几乎所有的风险和报酬转移给转入方的，终止确认该金融资产；保留了</w:t>
      </w:r>
    </w:p>
    <w:p>
      <w:pPr>
        <w:pStyle w:val="BodyText"/>
        <w:spacing w:line="254" w:lineRule="exact"/>
        <w:ind w:right="0"/>
        <w:jc w:val="left"/>
      </w:pPr>
      <w:r>
        <w:rPr/>
        <w:t>金融资产所有权上几乎所有的风险和报酬的，不终止确认该金融资产。</w:t>
      </w:r>
    </w:p>
    <w:p>
      <w:pPr>
        <w:spacing w:line="240" w:lineRule="auto" w:before="12"/>
        <w:rPr>
          <w:rFonts w:ascii="宋体" w:hAnsi="宋体" w:cs="宋体" w:eastAsia="宋体" w:hint="default"/>
          <w:sz w:val="23"/>
          <w:szCs w:val="23"/>
        </w:rPr>
      </w:pPr>
    </w:p>
    <w:p>
      <w:pPr>
        <w:pStyle w:val="BodyText"/>
        <w:spacing w:line="408" w:lineRule="auto"/>
        <w:ind w:right="1128" w:firstLine="420"/>
        <w:jc w:val="both"/>
      </w:pPr>
      <w:r>
        <w:rPr>
          <w:spacing w:val="-2"/>
        </w:rPr>
        <w:t>本集团既没有转移也没有保留金融资产所有权上几乎所有的风险和报酬的，分别下列情况处理：放弃</w:t>
      </w:r>
      <w:r>
        <w:rPr>
          <w:w w:val="100"/>
        </w:rPr>
        <w:t> </w:t>
      </w:r>
      <w:r>
        <w:rPr>
          <w:spacing w:val="-2"/>
        </w:rPr>
        <w:t>了对该金融资产控制的，终止确认该金融资产并确认产生的资产和负债；未放弃对该金融资产控制的，按</w:t>
      </w:r>
      <w:r>
        <w:rPr>
          <w:spacing w:val="-43"/>
        </w:rPr>
        <w:t> </w:t>
      </w:r>
      <w:r>
        <w:rPr>
          <w:spacing w:val="-43"/>
        </w:rPr>
      </w:r>
      <w:r>
        <w:rPr/>
        <w:t>照其继续涉入所转移金融资产的程度确认有关金融资产，并相应确认有关负债。</w:t>
      </w:r>
    </w:p>
    <w:p>
      <w:pPr>
        <w:spacing w:after="0" w:line="408" w:lineRule="auto"/>
        <w:jc w:val="both"/>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8" w:firstLine="420"/>
        <w:jc w:val="both"/>
      </w:pPr>
      <w:r>
        <w:rPr>
          <w:spacing w:val="-2"/>
        </w:rPr>
        <w:t>通过对所转移金融资产提供财务担保方式继续涉入的，按照金融资产的账面价值和财务担保金额两者</w:t>
      </w:r>
      <w:r>
        <w:rPr>
          <w:w w:val="100"/>
        </w:rPr>
        <w:t> </w:t>
      </w:r>
      <w:r>
        <w:rPr>
          <w:spacing w:val="-2"/>
        </w:rPr>
        <w:t>之中的较低者，确认继续涉入形成的资产。财务担保金额，是指所收到的对价中，将被要求偿还的最高金</w:t>
      </w:r>
      <w:r>
        <w:rPr>
          <w:spacing w:val="-50"/>
        </w:rPr>
        <w:t> </w:t>
      </w:r>
      <w:r>
        <w:rPr>
          <w:spacing w:val="-50"/>
        </w:rPr>
      </w:r>
      <w:r>
        <w:rPr/>
        <w:t>额。</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11、应收款项融资" w:id="183"/>
      <w:bookmarkEnd w:id="183"/>
      <w:r>
        <w:rPr>
          <w:b w:val="0"/>
          <w:bCs w:val="0"/>
        </w:rPr>
      </w:r>
      <w:r>
        <w:rPr>
          <w:rFonts w:ascii="Times New Roman" w:hAnsi="Times New Roman" w:cs="Times New Roman" w:eastAsia="Times New Roman" w:hint="default"/>
        </w:rPr>
        <w:t>11</w:t>
      </w:r>
      <w:r>
        <w:rPr/>
        <w:t>、应收款项融资</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28" w:firstLine="420"/>
        <w:jc w:val="both"/>
      </w:pPr>
      <w:r>
        <w:rPr>
          <w:spacing w:val="-2"/>
        </w:rPr>
        <w:t>金融资产同时符合下列条件的，分类为以公允价值计量且其变动计入其他综合收益的金融资产：本集</w:t>
      </w:r>
      <w:r>
        <w:rPr>
          <w:w w:val="100"/>
        </w:rPr>
        <w:t> </w:t>
      </w:r>
      <w:r>
        <w:rPr>
          <w:spacing w:val="-2"/>
        </w:rPr>
        <w:t>团管理该金融资产的业务模式是既以收取合同现金流量为目标又以出售金融资产为目标；该金融资产的合</w:t>
      </w:r>
      <w:r>
        <w:rPr>
          <w:spacing w:val="-42"/>
        </w:rPr>
        <w:t> </w:t>
      </w:r>
      <w:r>
        <w:rPr>
          <w:spacing w:val="-42"/>
        </w:rPr>
      </w:r>
      <w:r>
        <w:rPr/>
        <w:t>同条款规定，在特定日期产生的现金流量，仅为对本金和以未偿付本金金额为基础的利息的支付。</w:t>
      </w:r>
    </w:p>
    <w:p>
      <w:pPr>
        <w:pStyle w:val="BodyText"/>
        <w:spacing w:line="408" w:lineRule="auto" w:before="166"/>
        <w:ind w:right="1128" w:firstLine="420"/>
        <w:jc w:val="both"/>
      </w:pPr>
      <w:r>
        <w:rPr>
          <w:spacing w:val="-2"/>
        </w:rPr>
        <w:t>本集团将持有的应收款项，以贴现或背书等形式转让，且该类业务较为频繁、涉及金额也较大的，其</w:t>
      </w:r>
      <w:r>
        <w:rPr>
          <w:w w:val="100"/>
        </w:rPr>
        <w:t> </w:t>
      </w:r>
      <w:r>
        <w:rPr>
          <w:spacing w:val="-2"/>
        </w:rPr>
        <w:t>管理业务模式实质为既收取合同现金流量又出售，按照金融工具准则的相关规定，将其分类至以公允价值</w:t>
      </w:r>
      <w:r>
        <w:rPr>
          <w:spacing w:val="-42"/>
        </w:rPr>
        <w:t> </w:t>
      </w:r>
      <w:r>
        <w:rPr>
          <w:spacing w:val="-42"/>
        </w:rPr>
      </w:r>
      <w:r>
        <w:rPr/>
        <w:t>计量变动且其变动计入其他综合收益的金融资产。</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12、存货" w:id="184"/>
      <w:bookmarkEnd w:id="184"/>
      <w:r>
        <w:rPr>
          <w:b w:val="0"/>
          <w:bCs w:val="0"/>
        </w:rPr>
      </w:r>
      <w:r>
        <w:rPr>
          <w:rFonts w:ascii="Times New Roman" w:hAnsi="Times New Roman" w:cs="Times New Roman" w:eastAsia="Times New Roman" w:hint="default"/>
        </w:rPr>
        <w:t>12</w:t>
      </w:r>
      <w:r>
        <w:rPr/>
        <w:t>、存货</w:t>
      </w:r>
      <w:r>
        <w:rPr>
          <w:b w:val="0"/>
          <w:bCs w:val="0"/>
        </w:rPr>
      </w:r>
    </w:p>
    <w:p>
      <w:pPr>
        <w:pStyle w:val="BodyText"/>
        <w:spacing w:line="580" w:lineRule="atLeast" w:before="92"/>
        <w:ind w:left="572" w:right="0"/>
        <w:jc w:val="left"/>
      </w:pPr>
      <w:r>
        <w:rPr/>
        <w:t>本集团存货主要包括原材料、低值易耗品、未完工合同成本等。</w:t>
      </w:r>
      <w:r>
        <w:rPr>
          <w:w w:val="100"/>
        </w:rPr>
        <w:t> </w:t>
      </w:r>
      <w:r>
        <w:rPr>
          <w:spacing w:val="-2"/>
        </w:rPr>
        <w:t>存货实行永续盘存制，存货在取得时按实际成本计价；领用或发出存货，采用个别认定法确定其实际</w:t>
      </w:r>
    </w:p>
    <w:p>
      <w:pPr>
        <w:spacing w:line="240" w:lineRule="auto" w:before="10"/>
        <w:rPr>
          <w:rFonts w:ascii="宋体" w:hAnsi="宋体" w:cs="宋体" w:eastAsia="宋体" w:hint="default"/>
          <w:sz w:val="14"/>
          <w:szCs w:val="14"/>
        </w:rPr>
      </w:pPr>
    </w:p>
    <w:p>
      <w:pPr>
        <w:pStyle w:val="BodyText"/>
        <w:spacing w:line="240" w:lineRule="auto"/>
        <w:ind w:right="0"/>
        <w:jc w:val="left"/>
      </w:pPr>
      <w:r>
        <w:rPr/>
        <w:t>成本。低值易耗品采用一次转销法进行摊销。</w:t>
      </w:r>
    </w:p>
    <w:p>
      <w:pPr>
        <w:spacing w:line="240" w:lineRule="auto" w:before="12"/>
        <w:rPr>
          <w:rFonts w:ascii="宋体" w:hAnsi="宋体" w:cs="宋体" w:eastAsia="宋体" w:hint="default"/>
          <w:sz w:val="23"/>
          <w:szCs w:val="23"/>
        </w:rPr>
      </w:pPr>
    </w:p>
    <w:p>
      <w:pPr>
        <w:pStyle w:val="BodyText"/>
        <w:spacing w:line="408" w:lineRule="auto"/>
        <w:ind w:right="1128" w:firstLine="420"/>
        <w:jc w:val="both"/>
      </w:pPr>
      <w:r>
        <w:rPr>
          <w:spacing w:val="-2"/>
        </w:rPr>
        <w:t>在资产负债表日，存货按成本与可变现净值孰低原则计价，当其可变现净值低于成本时，计提存货跌</w:t>
      </w:r>
      <w:r>
        <w:rPr>
          <w:w w:val="100"/>
        </w:rPr>
        <w:t> </w:t>
      </w:r>
      <w:r>
        <w:rPr/>
        <w:t>价准备。</w:t>
      </w:r>
    </w:p>
    <w:p>
      <w:pPr>
        <w:pStyle w:val="BodyText"/>
        <w:spacing w:line="408" w:lineRule="auto" w:before="166"/>
        <w:ind w:right="0" w:firstLine="420"/>
        <w:jc w:val="left"/>
      </w:pPr>
      <w:r>
        <w:rPr>
          <w:spacing w:val="-5"/>
        </w:rPr>
        <w:t>为信息化项目建设、提供技术服务、技术开发等而持有的以备项目建设或者提供服务过程中需要使用、</w:t>
      </w:r>
      <w:r>
        <w:rPr>
          <w:spacing w:val="-3"/>
          <w:w w:val="100"/>
        </w:rPr>
        <w:t> </w:t>
      </w:r>
      <w:r>
        <w:rPr/>
        <w:t>消耗的存货，若已签订项目合同或者服务合同等，其可变现净值以合同价格为基础计算。</w:t>
      </w:r>
    </w:p>
    <w:p>
      <w:pPr>
        <w:pStyle w:val="BodyText"/>
        <w:spacing w:line="408" w:lineRule="auto" w:before="166"/>
        <w:ind w:right="1128" w:firstLine="420"/>
        <w:jc w:val="both"/>
      </w:pPr>
      <w:r>
        <w:rPr>
          <w:spacing w:val="-2"/>
        </w:rPr>
        <w:t>本集团于期末对未完工合同成本进行检查，如果合同项目预计总成本将超过合同总收入时，提取跌价</w:t>
      </w:r>
      <w:r>
        <w:rPr>
          <w:w w:val="100"/>
        </w:rPr>
        <w:t> </w:t>
      </w:r>
      <w:r>
        <w:rPr/>
        <w:t>准备，将预计损失确认为当期损益。</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13、持有待售资产" w:id="185"/>
      <w:bookmarkEnd w:id="185"/>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8"/>
        <w:rPr>
          <w:rFonts w:ascii="宋体" w:hAnsi="宋体" w:cs="宋体" w:eastAsia="宋体" w:hint="default"/>
          <w:b/>
          <w:bCs/>
          <w:sz w:val="30"/>
          <w:szCs w:val="30"/>
        </w:rPr>
      </w:pPr>
    </w:p>
    <w:p>
      <w:pPr>
        <w:pStyle w:val="BodyText"/>
        <w:spacing w:line="393" w:lineRule="auto"/>
        <w:ind w:right="1128" w:firstLine="420"/>
        <w:jc w:val="both"/>
      </w:pPr>
      <w:r>
        <w:rPr/>
        <w:t>本集团将同时满足下列条件的集团组成部分（或非流动资产）划分为持有待售：（</w:t>
      </w:r>
      <w:r>
        <w:rPr>
          <w:rFonts w:ascii="Times New Roman" w:hAnsi="Times New Roman" w:cs="Times New Roman" w:eastAsia="Times New Roman" w:hint="default"/>
        </w:rPr>
        <w:t>1</w:t>
      </w:r>
      <w:r>
        <w:rPr/>
        <w:t>）根据类似交易</w:t>
      </w:r>
      <w:r>
        <w:rPr>
          <w:w w:val="100"/>
        </w:rPr>
        <w:t> </w:t>
      </w:r>
      <w:r>
        <w:rPr/>
        <w:t>中出售此类资产或处置组的惯例，在当前状况下即可立即出售；（</w:t>
      </w:r>
      <w:r>
        <w:rPr>
          <w:rFonts w:ascii="Times New Roman" w:hAnsi="Times New Roman" w:cs="Times New Roman" w:eastAsia="Times New Roman" w:hint="default"/>
        </w:rPr>
        <w:t>2</w:t>
      </w:r>
      <w:r>
        <w:rPr/>
        <w:t>）出售极可能发生，已经就一项出售</w:t>
      </w:r>
      <w:r>
        <w:rPr>
          <w:spacing w:val="-25"/>
        </w:rPr>
        <w:t> </w:t>
      </w:r>
      <w:r>
        <w:rPr>
          <w:spacing w:val="-25"/>
        </w:rPr>
      </w:r>
      <w:r>
        <w:rPr>
          <w:spacing w:val="-2"/>
        </w:rPr>
        <w:t>计划作出决议且获得确定的购买承诺（确定的购买承诺，是指企业与其他方签订的具有法律约束力的购买</w:t>
      </w:r>
      <w:r>
        <w:rPr>
          <w:spacing w:val="-42"/>
        </w:rPr>
        <w:t> </w:t>
      </w:r>
      <w:r>
        <w:rPr>
          <w:spacing w:val="-42"/>
        </w:rPr>
      </w:r>
      <w:r>
        <w:rPr>
          <w:spacing w:val="-2"/>
        </w:rPr>
        <w:t>协议，该协议包含交易价格、时间和足够严厉的违约惩罚等重要条款，使协议出现重大调整或者撤销的可</w:t>
      </w:r>
    </w:p>
    <w:p>
      <w:pPr>
        <w:spacing w:after="0" w:line="393" w:lineRule="auto"/>
        <w:jc w:val="both"/>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left="572" w:right="0" w:hanging="421"/>
        <w:jc w:val="left"/>
      </w:pPr>
      <w:r>
        <w:rPr/>
        <w:t>能性极小。预计出售将在一年内完成。已经获得按照有关规定需得到相关权力机构或者监管部门的批准。</w:t>
      </w:r>
    </w:p>
    <w:p>
      <w:pPr>
        <w:spacing w:line="240" w:lineRule="auto" w:before="12"/>
        <w:rPr>
          <w:rFonts w:ascii="宋体" w:hAnsi="宋体" w:cs="宋体" w:eastAsia="宋体" w:hint="default"/>
          <w:sz w:val="23"/>
          <w:szCs w:val="23"/>
        </w:rPr>
      </w:pPr>
    </w:p>
    <w:p>
      <w:pPr>
        <w:pStyle w:val="BodyText"/>
        <w:spacing w:line="408" w:lineRule="auto"/>
        <w:ind w:right="1128" w:firstLine="420"/>
        <w:jc w:val="both"/>
      </w:pPr>
      <w:r>
        <w:rPr>
          <w:spacing w:val="-2"/>
        </w:rPr>
        <w:t>本集团将持有待售的预计净残值调整为反映其公允价值减去出售费用后的净额（但不得超过该项持有</w:t>
      </w:r>
      <w:r>
        <w:rPr>
          <w:w w:val="100"/>
        </w:rPr>
        <w:t> </w:t>
      </w:r>
      <w:r>
        <w:rPr>
          <w:spacing w:val="-2"/>
        </w:rPr>
        <w:t>待售的原账面价值），原账面价值高于调整后预计净残值的差额，作为资产减值损失计入当期损益，同时</w:t>
      </w:r>
      <w:r>
        <w:rPr>
          <w:spacing w:val="-47"/>
        </w:rPr>
        <w:t> </w:t>
      </w:r>
      <w:r>
        <w:rPr>
          <w:spacing w:val="-47"/>
        </w:rPr>
      </w:r>
      <w:r>
        <w:rPr>
          <w:spacing w:val="-2"/>
        </w:rPr>
        <w:t>计提持有待售资产减值准备。对于持有待售的处置组确认的资产减值损失金额，应当先抵减处置组中商誉</w:t>
      </w:r>
      <w:r>
        <w:rPr>
          <w:spacing w:val="-42"/>
        </w:rPr>
        <w:t> </w:t>
      </w:r>
      <w:r>
        <w:rPr>
          <w:spacing w:val="-42"/>
        </w:rPr>
      </w:r>
      <w:r>
        <w:rPr>
          <w:spacing w:val="-2"/>
        </w:rPr>
        <w:t>的账面价值，再根据处置组中适用本准则计量规定的各项非流动资产账面价值所占比重，按比例抵减其账</w:t>
      </w:r>
      <w:r>
        <w:rPr>
          <w:spacing w:val="-42"/>
        </w:rPr>
        <w:t> </w:t>
      </w:r>
      <w:r>
        <w:rPr>
          <w:spacing w:val="-42"/>
        </w:rPr>
      </w:r>
      <w:r>
        <w:rPr/>
        <w:t>面价值。</w:t>
      </w:r>
    </w:p>
    <w:p>
      <w:pPr>
        <w:pStyle w:val="BodyText"/>
        <w:spacing w:line="408" w:lineRule="auto" w:before="166"/>
        <w:ind w:right="1128" w:firstLine="420"/>
        <w:jc w:val="both"/>
      </w:pPr>
      <w:r>
        <w:rPr>
          <w:spacing w:val="-2"/>
        </w:rPr>
        <w:t>后续资产负债表日持有待售的非流动资产公允价值减去出售费用后的净额增加的，以前减记的金额应</w:t>
      </w:r>
      <w:r>
        <w:rPr>
          <w:spacing w:val="-3"/>
          <w:w w:val="100"/>
        </w:rPr>
        <w:t> </w:t>
      </w:r>
      <w:r>
        <w:rPr>
          <w:spacing w:val="-2"/>
        </w:rPr>
        <w:t>当予以恢复，并在划分为持有待售类别后确认的资产减值损失金额内转回，转回金额计入当期损益。划分</w:t>
      </w:r>
      <w:r>
        <w:rPr>
          <w:spacing w:val="-42"/>
        </w:rPr>
        <w:t> </w:t>
      </w:r>
      <w:r>
        <w:rPr>
          <w:spacing w:val="-42"/>
        </w:rPr>
      </w:r>
      <w:r>
        <w:rPr>
          <w:spacing w:val="-2"/>
        </w:rPr>
        <w:t>为持有待售类别前确认的资产减值损失不得转回。后续资产负债表日持有待售的处置组公允价值减去出售</w:t>
      </w:r>
      <w:r>
        <w:rPr>
          <w:spacing w:val="-42"/>
        </w:rPr>
        <w:t> </w:t>
      </w:r>
      <w:r>
        <w:rPr>
          <w:spacing w:val="-42"/>
        </w:rPr>
      </w:r>
      <w:r>
        <w:rPr>
          <w:spacing w:val="-2"/>
        </w:rPr>
        <w:t>费用后的净额增加的，以前减记的金额应当予以恢复，并在划分为持有待售类别后适用本准则计量规定的</w:t>
      </w:r>
      <w:r>
        <w:rPr>
          <w:spacing w:val="-42"/>
        </w:rPr>
        <w:t> </w:t>
      </w:r>
      <w:r>
        <w:rPr>
          <w:spacing w:val="-42"/>
        </w:rPr>
      </w:r>
      <w:r>
        <w:rPr>
          <w:spacing w:val="-2"/>
        </w:rPr>
        <w:t>非流动资产确认的资产减值损失金额内转回，转回金额计入当期损益。已抵减的商誉账面价值，以及适用</w:t>
      </w:r>
      <w:r>
        <w:rPr>
          <w:spacing w:val="-42"/>
        </w:rPr>
        <w:t> </w:t>
      </w:r>
      <w:r>
        <w:rPr>
          <w:spacing w:val="-42"/>
        </w:rPr>
      </w:r>
      <w:r>
        <w:rPr>
          <w:spacing w:val="-2"/>
        </w:rPr>
        <w:t>本准则计量规定的非流动资产在划分为持有待售类别前确认的资产减值损失不得转回。持有待售的处置组</w:t>
      </w:r>
      <w:r>
        <w:rPr>
          <w:spacing w:val="-43"/>
        </w:rPr>
        <w:t> </w:t>
      </w:r>
      <w:r>
        <w:rPr>
          <w:spacing w:val="-43"/>
        </w:rPr>
      </w:r>
      <w:r>
        <w:rPr/>
        <w:t>确认的资产减值损失后续转回金额，</w:t>
      </w:r>
      <w:r>
        <w:rPr>
          <w:spacing w:val="57"/>
        </w:rPr>
        <w:t> </w:t>
      </w:r>
      <w:r>
        <w:rPr/>
        <w:t>应当根据处置组中除商誉外适用本准则计量规定的各项非流动资产</w:t>
      </w:r>
      <w:r>
        <w:rPr>
          <w:spacing w:val="-88"/>
        </w:rPr>
        <w:t> </w:t>
      </w:r>
      <w:r>
        <w:rPr>
          <w:spacing w:val="-88"/>
        </w:rPr>
      </w:r>
      <w:r>
        <w:rPr/>
        <w:t>账面价值所占比重，按比例增加其账面价值。</w:t>
      </w:r>
    </w:p>
    <w:p>
      <w:pPr>
        <w:pStyle w:val="BodyText"/>
        <w:spacing w:line="408" w:lineRule="auto" w:before="166"/>
        <w:ind w:right="1128" w:firstLine="420"/>
        <w:jc w:val="both"/>
      </w:pPr>
      <w:r>
        <w:rPr>
          <w:spacing w:val="-2"/>
        </w:rPr>
        <w:t>企业因出售对子公司的投资等原因导致其丧失对子公司控制权的，无论出售后企业是否保留部分权益</w:t>
      </w:r>
      <w:r>
        <w:rPr>
          <w:w w:val="100"/>
        </w:rPr>
        <w:t> </w:t>
      </w:r>
      <w:r>
        <w:rPr>
          <w:spacing w:val="-2"/>
        </w:rPr>
        <w:t>性投资，应当在拟出售的对子公司投资满足持有待售类别划分条件时，在母公司个别财务报表中将对子公</w:t>
      </w:r>
      <w:r>
        <w:rPr>
          <w:spacing w:val="-42"/>
        </w:rPr>
        <w:t> </w:t>
      </w:r>
      <w:r>
        <w:rPr>
          <w:spacing w:val="-42"/>
        </w:rPr>
      </w:r>
      <w:r>
        <w:rPr/>
        <w:t>司投资整体划分为持有待售类别，在合并财务报表中将子公司所有资产和负债划分为持有待售类别。</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14、长期股权投资" w:id="186"/>
      <w:bookmarkEnd w:id="186"/>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5"/>
        <w:rPr>
          <w:rFonts w:ascii="宋体" w:hAnsi="宋体" w:cs="宋体" w:eastAsia="宋体" w:hint="default"/>
          <w:b/>
          <w:bCs/>
          <w:sz w:val="30"/>
          <w:szCs w:val="30"/>
        </w:rPr>
      </w:pPr>
    </w:p>
    <w:p>
      <w:pPr>
        <w:pStyle w:val="BodyText"/>
        <w:spacing w:line="240" w:lineRule="auto"/>
        <w:ind w:left="572" w:right="0"/>
        <w:jc w:val="left"/>
      </w:pPr>
      <w:r>
        <w:rPr>
          <w:rFonts w:ascii="Times New Roman" w:hAnsi="Times New Roman" w:cs="Times New Roman" w:eastAsia="Times New Roman" w:hint="default"/>
        </w:rPr>
        <w:t>1.</w:t>
      </w:r>
      <w:r>
        <w:rPr/>
        <w:t>投资成本的确定</w:t>
      </w:r>
    </w:p>
    <w:p>
      <w:pPr>
        <w:spacing w:line="240" w:lineRule="auto" w:before="9"/>
        <w:rPr>
          <w:rFonts w:ascii="宋体" w:hAnsi="宋体" w:cs="宋体" w:eastAsia="宋体" w:hint="default"/>
          <w:sz w:val="22"/>
          <w:szCs w:val="22"/>
        </w:rPr>
      </w:pPr>
    </w:p>
    <w:p>
      <w:pPr>
        <w:pStyle w:val="BodyText"/>
        <w:spacing w:line="400" w:lineRule="auto"/>
        <w:ind w:right="1128" w:firstLine="420"/>
        <w:jc w:val="both"/>
      </w:pPr>
      <w:r>
        <w:rPr/>
        <w:t>（</w:t>
      </w:r>
      <w:r>
        <w:rPr>
          <w:rFonts w:ascii="Times New Roman" w:hAnsi="Times New Roman" w:cs="Times New Roman" w:eastAsia="Times New Roman" w:hint="default"/>
        </w:rPr>
        <w:t>1</w:t>
      </w:r>
      <w:r>
        <w:rPr/>
        <w:t>）同一控制下的企业合并形成的，合并方以支付现金、转让非现金资产、承担债务或发行权益性</w:t>
      </w:r>
      <w:r>
        <w:rPr>
          <w:w w:val="100"/>
        </w:rPr>
        <w:t> </w:t>
      </w:r>
      <w:r>
        <w:rPr>
          <w:spacing w:val="-2"/>
        </w:rPr>
        <w:t>证券作为合并对价的，在合并日按照被合并方所有者权益在最终控制方合并财务报表中的账面价值的份额</w:t>
      </w:r>
      <w:r>
        <w:rPr>
          <w:spacing w:val="-42"/>
        </w:rPr>
        <w:t> </w:t>
      </w:r>
      <w:r>
        <w:rPr>
          <w:spacing w:val="-42"/>
        </w:rPr>
      </w:r>
      <w:r>
        <w:rPr>
          <w:spacing w:val="-2"/>
        </w:rPr>
        <w:t>作为其初始投资成本。长期股权投资初始投资成本与支付的合并对价的账面价值或发行股份的面值总额之</w:t>
      </w:r>
      <w:r>
        <w:rPr>
          <w:spacing w:val="-42"/>
        </w:rPr>
        <w:t> </w:t>
      </w:r>
      <w:r>
        <w:rPr>
          <w:spacing w:val="-42"/>
        </w:rPr>
      </w:r>
      <w:r>
        <w:rPr/>
        <w:t>间的差额调整资本公积</w:t>
      </w:r>
      <w:r>
        <w:rPr>
          <w:rFonts w:ascii="Times New Roman" w:hAnsi="Times New Roman" w:cs="Times New Roman" w:eastAsia="Times New Roman" w:hint="default"/>
        </w:rPr>
        <w:t>(</w:t>
      </w:r>
      <w:r>
        <w:rPr/>
        <w:t>资本溢价或股本溢价</w:t>
      </w:r>
      <w:r>
        <w:rPr>
          <w:rFonts w:ascii="Times New Roman" w:hAnsi="Times New Roman" w:cs="Times New Roman" w:eastAsia="Times New Roman" w:hint="default"/>
        </w:rPr>
        <w:t>)</w:t>
      </w:r>
      <w:r>
        <w:rPr/>
        <w:t>；资本公积不足冲减的，调整留存收益。</w:t>
      </w:r>
    </w:p>
    <w:p>
      <w:pPr>
        <w:pStyle w:val="BodyText"/>
        <w:spacing w:line="408" w:lineRule="auto" w:before="141"/>
        <w:ind w:right="1128" w:firstLine="420"/>
        <w:jc w:val="both"/>
      </w:pPr>
      <w:r>
        <w:rPr>
          <w:spacing w:val="-2"/>
        </w:rPr>
        <w:t>分步实现同一控制下企业合并的，应当以持股比例计算的合并日应享有被合并方账面所有者权益份额</w:t>
      </w:r>
      <w:r>
        <w:rPr>
          <w:w w:val="100"/>
        </w:rPr>
        <w:t> </w:t>
      </w:r>
      <w:r>
        <w:rPr>
          <w:spacing w:val="-2"/>
        </w:rPr>
        <w:t>作为该项投资的初始投资成本。初始投资成本与其原长期股权投资账面价值加上合并日取得进一步股份新</w:t>
      </w:r>
      <w:r>
        <w:rPr>
          <w:spacing w:val="-43"/>
        </w:rPr>
        <w:t> </w:t>
      </w:r>
      <w:r>
        <w:rPr>
          <w:spacing w:val="-43"/>
        </w:rPr>
      </w:r>
      <w:r>
        <w:rPr>
          <w:spacing w:val="-2"/>
        </w:rPr>
        <w:t>支付对价的账面价值之和的差额，调整资本公积（资本溢价或股本溢价），资本公积不足冲减的，冲减留</w:t>
      </w:r>
      <w:r>
        <w:rPr>
          <w:spacing w:val="-43"/>
        </w:rPr>
        <w:t> </w:t>
      </w:r>
      <w:r>
        <w:rPr>
          <w:spacing w:val="-43"/>
        </w:rPr>
      </w:r>
      <w:r>
        <w:rPr/>
        <w:t>存收益。</w:t>
      </w:r>
    </w:p>
    <w:p>
      <w:pPr>
        <w:spacing w:after="0" w:line="408" w:lineRule="auto"/>
        <w:jc w:val="both"/>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386" w:lineRule="auto" w:before="36"/>
        <w:ind w:right="1133" w:firstLine="420"/>
        <w:jc w:val="both"/>
      </w:pPr>
      <w:r>
        <w:rPr/>
        <w:t>（</w:t>
      </w:r>
      <w:r>
        <w:rPr>
          <w:rFonts w:ascii="Times New Roman" w:hAnsi="Times New Roman" w:cs="Times New Roman" w:eastAsia="Times New Roman" w:hint="default"/>
        </w:rPr>
        <w:t>2</w:t>
      </w:r>
      <w:r>
        <w:rPr/>
        <w:t>）非同一控制下的企业合并形成的，在购买日按照支付的合并对价的公允价值作为其初始投资成</w:t>
      </w:r>
      <w:r>
        <w:rPr>
          <w:w w:val="100"/>
        </w:rPr>
        <w:t> </w:t>
      </w:r>
      <w:r>
        <w:rPr/>
        <w:t>本。</w:t>
      </w:r>
    </w:p>
    <w:p>
      <w:pPr>
        <w:spacing w:line="240" w:lineRule="auto" w:before="2"/>
        <w:rPr>
          <w:rFonts w:ascii="宋体" w:hAnsi="宋体" w:cs="宋体" w:eastAsia="宋体" w:hint="default"/>
          <w:sz w:val="14"/>
          <w:szCs w:val="14"/>
        </w:rPr>
      </w:pPr>
    </w:p>
    <w:p>
      <w:pPr>
        <w:pStyle w:val="BodyText"/>
        <w:spacing w:line="398" w:lineRule="auto"/>
        <w:ind w:right="1128" w:firstLine="420"/>
        <w:jc w:val="both"/>
      </w:pPr>
      <w:r>
        <w:rPr/>
        <w:t>（</w:t>
      </w:r>
      <w:r>
        <w:rPr>
          <w:rFonts w:ascii="Times New Roman" w:hAnsi="Times New Roman" w:cs="Times New Roman" w:eastAsia="Times New Roman" w:hint="default"/>
        </w:rPr>
        <w:t>3</w:t>
      </w:r>
      <w:r>
        <w:rPr/>
        <w:t>）除企业合并形成以外的：以支付现金取得的，按照实际支付的购买价款作为其初始投资成本；</w:t>
      </w:r>
      <w:r>
        <w:rPr>
          <w:w w:val="100"/>
        </w:rPr>
        <w:t> </w:t>
      </w:r>
      <w:r>
        <w:rPr>
          <w:spacing w:val="-2"/>
        </w:rPr>
        <w:t>以发行权益性证券取得的，按照发行权益性证券的公允价值作为其初始投资成本；投资者投入的，按照投</w:t>
      </w:r>
      <w:r>
        <w:rPr>
          <w:spacing w:val="-44"/>
        </w:rPr>
        <w:t> </w:t>
      </w:r>
      <w:r>
        <w:rPr>
          <w:spacing w:val="-44"/>
        </w:rPr>
      </w:r>
      <w:r>
        <w:rPr/>
        <w:t>资合同或协议约定的价值作为其初始投资成本（合同或协议约定价值不公允的除外）。</w:t>
      </w:r>
    </w:p>
    <w:p>
      <w:pPr>
        <w:pStyle w:val="BodyText"/>
        <w:spacing w:line="240" w:lineRule="auto" w:before="174"/>
        <w:ind w:left="572" w:right="0"/>
        <w:jc w:val="left"/>
      </w:pPr>
      <w:r>
        <w:rPr>
          <w:rFonts w:ascii="Times New Roman" w:hAnsi="Times New Roman" w:cs="Times New Roman" w:eastAsia="Times New Roman" w:hint="default"/>
        </w:rPr>
        <w:t>2.</w:t>
      </w:r>
      <w:r>
        <w:rPr/>
        <w:t>后续计量及损益确认方法</w:t>
      </w:r>
    </w:p>
    <w:p>
      <w:pPr>
        <w:spacing w:line="240" w:lineRule="auto" w:before="9"/>
        <w:rPr>
          <w:rFonts w:ascii="宋体" w:hAnsi="宋体" w:cs="宋体" w:eastAsia="宋体" w:hint="default"/>
          <w:sz w:val="22"/>
          <w:szCs w:val="22"/>
        </w:rPr>
      </w:pPr>
    </w:p>
    <w:p>
      <w:pPr>
        <w:pStyle w:val="BodyText"/>
        <w:spacing w:line="386" w:lineRule="auto"/>
        <w:ind w:right="1128" w:firstLine="420"/>
        <w:jc w:val="both"/>
      </w:pPr>
      <w:r>
        <w:rPr>
          <w:spacing w:val="-3"/>
        </w:rPr>
        <w:t>本集团能够对被投资单位实施控制的长期股权投资</w:t>
      </w:r>
      <w:r>
        <w:rPr>
          <w:rFonts w:ascii="Times New Roman" w:hAnsi="Times New Roman" w:cs="Times New Roman" w:eastAsia="Times New Roman" w:hint="default"/>
          <w:spacing w:val="-3"/>
        </w:rPr>
        <w:t>,</w:t>
      </w:r>
      <w:r>
        <w:rPr>
          <w:spacing w:val="-3"/>
        </w:rPr>
        <w:t>在本集团个别财务报表中采用成本法核算；对具有</w:t>
      </w:r>
      <w:r>
        <w:rPr>
          <w:w w:val="100"/>
        </w:rPr>
        <w:t> </w:t>
      </w:r>
      <w:r>
        <w:rPr/>
        <w:t>共同控制或重大影响的长期股权投资，采用权益法核算。</w:t>
      </w:r>
    </w:p>
    <w:p>
      <w:pPr>
        <w:spacing w:line="240" w:lineRule="auto" w:before="2"/>
        <w:rPr>
          <w:rFonts w:ascii="宋体" w:hAnsi="宋体" w:cs="宋体" w:eastAsia="宋体" w:hint="default"/>
          <w:sz w:val="14"/>
          <w:szCs w:val="14"/>
        </w:rPr>
      </w:pPr>
    </w:p>
    <w:p>
      <w:pPr>
        <w:pStyle w:val="BodyText"/>
        <w:spacing w:line="386" w:lineRule="auto"/>
        <w:ind w:right="1130" w:firstLine="420"/>
        <w:jc w:val="both"/>
      </w:pPr>
      <w:r>
        <w:rPr/>
        <w:t>采用成本法时</w:t>
      </w:r>
      <w:r>
        <w:rPr>
          <w:rFonts w:ascii="Times New Roman" w:hAnsi="Times New Roman" w:cs="Times New Roman" w:eastAsia="Times New Roman" w:hint="default"/>
        </w:rPr>
        <w:t>,</w:t>
      </w:r>
      <w:r>
        <w:rPr/>
        <w:t>长期股权投资按初始投资成本计价</w:t>
      </w:r>
      <w:r>
        <w:rPr>
          <w:rFonts w:ascii="Times New Roman" w:hAnsi="Times New Roman" w:cs="Times New Roman" w:eastAsia="Times New Roman" w:hint="default"/>
        </w:rPr>
        <w:t>,</w:t>
      </w:r>
      <w:r>
        <w:rPr/>
        <w:t>除取得投资时实际支付的价款或对价中包含的已宣</w:t>
      </w:r>
      <w:r>
        <w:rPr>
          <w:w w:val="100"/>
        </w:rPr>
        <w:t> </w:t>
      </w:r>
      <w:r>
        <w:rPr>
          <w:spacing w:val="-1"/>
        </w:rPr>
        <w:t>告但尚未发放的现金股利或利润外</w:t>
      </w:r>
      <w:r>
        <w:rPr>
          <w:rFonts w:ascii="Times New Roman" w:hAnsi="Times New Roman" w:cs="Times New Roman" w:eastAsia="Times New Roman" w:hint="default"/>
          <w:spacing w:val="-1"/>
        </w:rPr>
        <w:t>,</w:t>
      </w:r>
      <w:r>
        <w:rPr>
          <w:spacing w:val="-1"/>
        </w:rPr>
        <w:t>按享有被投资单位宣告分派的现金股利或利润</w:t>
      </w:r>
      <w:r>
        <w:rPr>
          <w:rFonts w:ascii="Times New Roman" w:hAnsi="Times New Roman" w:cs="Times New Roman" w:eastAsia="Times New Roman" w:hint="default"/>
          <w:spacing w:val="-1"/>
        </w:rPr>
        <w:t>,</w:t>
      </w:r>
      <w:r>
        <w:rPr>
          <w:spacing w:val="-1"/>
        </w:rPr>
        <w:t>确认为当期投资收益</w:t>
      </w:r>
      <w:r>
        <w:rPr>
          <w:rFonts w:ascii="Times New Roman" w:hAnsi="Times New Roman" w:cs="Times New Roman" w:eastAsia="Times New Roman" w:hint="default"/>
          <w:spacing w:val="-1"/>
        </w:rPr>
        <w:t>,</w:t>
      </w:r>
      <w:r>
        <w:rPr>
          <w:spacing w:val="-1"/>
        </w:rPr>
        <w:t>并</w:t>
      </w:r>
      <w:r>
        <w:rPr>
          <w:spacing w:val="-29"/>
        </w:rPr>
        <w:t> </w:t>
      </w:r>
      <w:r>
        <w:rPr/>
        <w:t>同时根据有关资产减值政策考虑长期投资是否减值。</w:t>
      </w:r>
    </w:p>
    <w:p>
      <w:pPr>
        <w:spacing w:line="240" w:lineRule="auto" w:before="2"/>
        <w:rPr>
          <w:rFonts w:ascii="宋体" w:hAnsi="宋体" w:cs="宋体" w:eastAsia="宋体" w:hint="default"/>
          <w:sz w:val="14"/>
          <w:szCs w:val="14"/>
        </w:rPr>
      </w:pPr>
    </w:p>
    <w:p>
      <w:pPr>
        <w:pStyle w:val="BodyText"/>
        <w:spacing w:line="386" w:lineRule="auto"/>
        <w:ind w:right="1130" w:firstLine="419"/>
        <w:jc w:val="both"/>
      </w:pPr>
      <w:r>
        <w:rPr/>
        <w:t>采用权益法时</w:t>
      </w:r>
      <w:r>
        <w:rPr>
          <w:rFonts w:ascii="Times New Roman" w:hAnsi="Times New Roman" w:cs="Times New Roman" w:eastAsia="Times New Roman" w:hint="default"/>
        </w:rPr>
        <w:t>,</w:t>
      </w:r>
      <w:r>
        <w:rPr/>
        <w:t>长期股权投资的初始投资成本大于投资时应享有被投资单位可辨认净资产公允价值份</w:t>
      </w:r>
      <w:r>
        <w:rPr>
          <w:spacing w:val="2"/>
          <w:w w:val="100"/>
        </w:rPr>
        <w:t> </w:t>
      </w:r>
      <w:r>
        <w:rPr>
          <w:spacing w:val="-3"/>
        </w:rPr>
        <w:t>额的</w:t>
      </w:r>
      <w:r>
        <w:rPr>
          <w:rFonts w:ascii="Times New Roman" w:hAnsi="Times New Roman" w:cs="Times New Roman" w:eastAsia="Times New Roman" w:hint="default"/>
          <w:spacing w:val="-3"/>
        </w:rPr>
        <w:t>,</w:t>
      </w:r>
      <w:r>
        <w:rPr>
          <w:spacing w:val="-3"/>
        </w:rPr>
        <w:t>归入长期股权投资的初始投资成本；长期股权投资的初始投资成本小于投资时应享有被投资单位可辨</w:t>
      </w:r>
      <w:r>
        <w:rPr>
          <w:spacing w:val="-49"/>
        </w:rPr>
        <w:t> </w:t>
      </w:r>
      <w:r>
        <w:rPr>
          <w:spacing w:val="-49"/>
        </w:rPr>
      </w:r>
      <w:r>
        <w:rPr/>
        <w:t>认净资产公允价值份额的</w:t>
      </w:r>
      <w:r>
        <w:rPr>
          <w:rFonts w:ascii="Times New Roman" w:hAnsi="Times New Roman" w:cs="Times New Roman" w:eastAsia="Times New Roman" w:hint="default"/>
        </w:rPr>
        <w:t>,</w:t>
      </w:r>
      <w:r>
        <w:rPr/>
        <w:t>其差额计入当期损益</w:t>
      </w:r>
      <w:r>
        <w:rPr>
          <w:rFonts w:ascii="Times New Roman" w:hAnsi="Times New Roman" w:cs="Times New Roman" w:eastAsia="Times New Roman" w:hint="default"/>
        </w:rPr>
        <w:t>,</w:t>
      </w:r>
      <w:r>
        <w:rPr/>
        <w:t>同时调整长期股权投资的成本。</w:t>
      </w:r>
    </w:p>
    <w:p>
      <w:pPr>
        <w:pStyle w:val="BodyText"/>
        <w:spacing w:line="386" w:lineRule="auto" w:before="155"/>
        <w:ind w:right="1128" w:firstLine="420"/>
        <w:jc w:val="both"/>
      </w:pPr>
      <w:r>
        <w:rPr>
          <w:spacing w:val="-1"/>
        </w:rPr>
        <w:t>采用权益法时</w:t>
      </w:r>
      <w:r>
        <w:rPr>
          <w:rFonts w:ascii="Times New Roman" w:hAnsi="Times New Roman" w:cs="Times New Roman" w:eastAsia="Times New Roman" w:hint="default"/>
          <w:spacing w:val="-1"/>
        </w:rPr>
        <w:t>,</w:t>
      </w:r>
      <w:r>
        <w:rPr>
          <w:spacing w:val="-1"/>
        </w:rPr>
        <w:t>取得长期股权投资后</w:t>
      </w:r>
      <w:r>
        <w:rPr>
          <w:rFonts w:ascii="Times New Roman" w:hAnsi="Times New Roman" w:cs="Times New Roman" w:eastAsia="Times New Roman" w:hint="default"/>
          <w:spacing w:val="-1"/>
        </w:rPr>
        <w:t>,</w:t>
      </w:r>
      <w:r>
        <w:rPr>
          <w:spacing w:val="-1"/>
        </w:rPr>
        <w:t>按照应享有或应分担的被投资单位实现的净损益的份额</w:t>
      </w:r>
      <w:r>
        <w:rPr>
          <w:rFonts w:ascii="Times New Roman" w:hAnsi="Times New Roman" w:cs="Times New Roman" w:eastAsia="Times New Roman" w:hint="default"/>
          <w:spacing w:val="-1"/>
        </w:rPr>
        <w:t>,</w:t>
      </w:r>
      <w:r>
        <w:rPr>
          <w:spacing w:val="-1"/>
        </w:rPr>
        <w:t>确认投资</w:t>
      </w:r>
      <w:r>
        <w:rPr>
          <w:w w:val="100"/>
        </w:rPr>
        <w:t> </w:t>
      </w:r>
      <w:r>
        <w:rPr>
          <w:spacing w:val="-4"/>
        </w:rPr>
        <w:t>损益并调整长期股权投资的账面价值。在确认应享有被投资单位净损益的份额时</w:t>
      </w:r>
      <w:r>
        <w:rPr>
          <w:rFonts w:ascii="Times New Roman" w:hAnsi="Times New Roman" w:cs="Times New Roman" w:eastAsia="Times New Roman" w:hint="default"/>
          <w:spacing w:val="-4"/>
        </w:rPr>
        <w:t>,</w:t>
      </w:r>
      <w:r>
        <w:rPr>
          <w:spacing w:val="-4"/>
        </w:rPr>
        <w:t>以取得投资时被投资单位</w:t>
      </w:r>
      <w:r>
        <w:rPr>
          <w:spacing w:val="-6"/>
        </w:rPr>
        <w:t> </w:t>
      </w:r>
      <w:r>
        <w:rPr>
          <w:spacing w:val="-6"/>
        </w:rPr>
      </w:r>
      <w:r>
        <w:rPr/>
        <w:t>各项可辨认资产等的公允价值为基础</w:t>
      </w:r>
      <w:r>
        <w:rPr>
          <w:rFonts w:ascii="Times New Roman" w:hAnsi="Times New Roman" w:cs="Times New Roman" w:eastAsia="Times New Roman" w:hint="default"/>
        </w:rPr>
        <w:t>,</w:t>
      </w:r>
      <w:r>
        <w:rPr/>
        <w:t>按照本集团的会计政策及会计期间</w:t>
      </w:r>
      <w:r>
        <w:rPr>
          <w:rFonts w:ascii="Times New Roman" w:hAnsi="Times New Roman" w:cs="Times New Roman" w:eastAsia="Times New Roman" w:hint="default"/>
        </w:rPr>
        <w:t>,</w:t>
      </w:r>
      <w:r>
        <w:rPr/>
        <w:t>并抵销与联营企业及合营企业之</w:t>
      </w:r>
      <w:r>
        <w:rPr>
          <w:spacing w:val="-27"/>
        </w:rPr>
        <w:t> </w:t>
      </w:r>
      <w:r>
        <w:rPr>
          <w:spacing w:val="-27"/>
        </w:rPr>
      </w:r>
      <w:r>
        <w:rPr/>
        <w:t>间发生的内部交易损益按照持股比例计算归属于投资企业的部分</w:t>
      </w:r>
      <w:r>
        <w:rPr>
          <w:rFonts w:ascii="Times New Roman" w:hAnsi="Times New Roman" w:cs="Times New Roman" w:eastAsia="Times New Roman" w:hint="default"/>
        </w:rPr>
        <w:t>(</w:t>
      </w:r>
      <w:r>
        <w:rPr/>
        <w:t>但内部交易损失属于资产减值损失的</w:t>
      </w:r>
      <w:r>
        <w:rPr>
          <w:rFonts w:ascii="Times New Roman" w:hAnsi="Times New Roman" w:cs="Times New Roman" w:eastAsia="Times New Roman" w:hint="default"/>
        </w:rPr>
        <w:t>,</w:t>
      </w:r>
      <w:r>
        <w:rPr/>
        <w:t>应</w:t>
      </w:r>
      <w:r>
        <w:rPr>
          <w:spacing w:val="-40"/>
        </w:rPr>
        <w:t> </w:t>
      </w:r>
      <w:r>
        <w:rPr>
          <w:spacing w:val="-4"/>
        </w:rPr>
        <w:t>全额确认</w:t>
      </w:r>
      <w:r>
        <w:rPr>
          <w:rFonts w:ascii="Times New Roman" w:hAnsi="Times New Roman" w:cs="Times New Roman" w:eastAsia="Times New Roman" w:hint="default"/>
          <w:spacing w:val="-4"/>
        </w:rPr>
        <w:t>)</w:t>
      </w:r>
      <w:r>
        <w:rPr>
          <w:spacing w:val="-4"/>
        </w:rPr>
        <w:t>，对被投资单位的净利润进行调整后确认。按照被投资单位宣告分派的利润或现金股利计算应分</w:t>
      </w:r>
      <w:r>
        <w:rPr>
          <w:spacing w:val="-17"/>
        </w:rPr>
        <w:t> </w:t>
      </w:r>
      <w:r>
        <w:rPr>
          <w:spacing w:val="-17"/>
        </w:rPr>
      </w:r>
      <w:r>
        <w:rPr/>
        <w:t>得的部分</w:t>
      </w:r>
      <w:r>
        <w:rPr>
          <w:rFonts w:ascii="Times New Roman" w:hAnsi="Times New Roman" w:cs="Times New Roman" w:eastAsia="Times New Roman" w:hint="default"/>
        </w:rPr>
        <w:t>,</w:t>
      </w:r>
      <w:r>
        <w:rPr/>
        <w:t>相应减少长期股权投资的账面价值。本集团确认被投资单位发生的净亏损</w:t>
      </w:r>
      <w:r>
        <w:rPr>
          <w:rFonts w:ascii="Times New Roman" w:hAnsi="Times New Roman" w:cs="Times New Roman" w:eastAsia="Times New Roman" w:hint="default"/>
        </w:rPr>
        <w:t>,</w:t>
      </w:r>
      <w:r>
        <w:rPr/>
        <w:t>以长期股权投资的账</w:t>
      </w:r>
      <w:r>
        <w:rPr>
          <w:spacing w:val="-27"/>
        </w:rPr>
        <w:t> </w:t>
      </w:r>
      <w:r>
        <w:rPr>
          <w:spacing w:val="-27"/>
        </w:rPr>
      </w:r>
      <w:r>
        <w:rPr/>
        <w:t>面价值以及其他实质上构成对被投资单位净投资的长期权益减记至零为限</w:t>
      </w:r>
      <w:r>
        <w:rPr>
          <w:rFonts w:ascii="Times New Roman" w:hAnsi="Times New Roman" w:cs="Times New Roman" w:eastAsia="Times New Roman" w:hint="default"/>
        </w:rPr>
        <w:t>,</w:t>
      </w:r>
      <w:r>
        <w:rPr/>
        <w:t>本集团负有承担额外损失义务</w:t>
      </w:r>
      <w:r>
        <w:rPr>
          <w:spacing w:val="19"/>
        </w:rPr>
        <w:t> </w:t>
      </w:r>
      <w:r>
        <w:rPr>
          <w:spacing w:val="19"/>
        </w:rPr>
      </w:r>
      <w:r>
        <w:rPr>
          <w:spacing w:val="-4"/>
        </w:rPr>
        <w:t>的除外。对于被投资单位除净损益以外所有者权益的其他变动</w:t>
      </w:r>
      <w:r>
        <w:rPr>
          <w:rFonts w:ascii="Times New Roman" w:hAnsi="Times New Roman" w:cs="Times New Roman" w:eastAsia="Times New Roman" w:hint="default"/>
          <w:spacing w:val="-4"/>
        </w:rPr>
        <w:t>,</w:t>
      </w:r>
      <w:r>
        <w:rPr>
          <w:spacing w:val="-4"/>
        </w:rPr>
        <w:t>调整长期股权投资的账面价值并计入所有者</w:t>
      </w:r>
      <w:r>
        <w:rPr>
          <w:spacing w:val="-5"/>
        </w:rPr>
        <w:t> </w:t>
      </w:r>
      <w:r>
        <w:rPr>
          <w:spacing w:val="-5"/>
        </w:rPr>
      </w:r>
      <w:r>
        <w:rPr/>
        <w:t>权益。</w:t>
      </w:r>
    </w:p>
    <w:p>
      <w:pPr>
        <w:spacing w:line="240" w:lineRule="auto" w:before="2"/>
        <w:rPr>
          <w:rFonts w:ascii="宋体" w:hAnsi="宋体" w:cs="宋体" w:eastAsia="宋体" w:hint="default"/>
          <w:sz w:val="14"/>
          <w:szCs w:val="14"/>
        </w:rPr>
      </w:pPr>
    </w:p>
    <w:p>
      <w:pPr>
        <w:pStyle w:val="BodyText"/>
        <w:spacing w:line="484" w:lineRule="auto"/>
        <w:ind w:left="573" w:right="0"/>
        <w:jc w:val="left"/>
      </w:pPr>
      <w:r>
        <w:rPr>
          <w:rFonts w:ascii="Times New Roman" w:hAnsi="Times New Roman" w:cs="Times New Roman" w:eastAsia="Times New Roman" w:hint="default"/>
        </w:rPr>
        <w:t>3.</w:t>
      </w:r>
      <w:r>
        <w:rPr/>
        <w:t>确定对被投资单位具有控制、重大影响的依据</w:t>
      </w:r>
      <w:r>
        <w:rPr>
          <w:w w:val="100"/>
        </w:rPr>
        <w:t> </w:t>
      </w:r>
      <w:r>
        <w:rPr>
          <w:spacing w:val="-2"/>
        </w:rPr>
        <w:t>控制，是指拥有对被投资方的权力，通过参与被投资方的相关活动而享有可变回报，并且有能力运用</w:t>
      </w:r>
    </w:p>
    <w:p>
      <w:pPr>
        <w:pStyle w:val="BodyText"/>
        <w:spacing w:line="254" w:lineRule="exact"/>
        <w:ind w:right="0"/>
        <w:jc w:val="left"/>
      </w:pPr>
      <w:r>
        <w:rPr/>
        <w:t>对被投资方的权力影响回报金额；重大影响，是指投资方对被投资单位的财务和经营政策有参与决策的权</w:t>
      </w:r>
    </w:p>
    <w:p>
      <w:pPr>
        <w:spacing w:line="240" w:lineRule="auto" w:before="10"/>
        <w:rPr>
          <w:rFonts w:ascii="宋体" w:hAnsi="宋体" w:cs="宋体" w:eastAsia="宋体" w:hint="default"/>
          <w:sz w:val="14"/>
          <w:szCs w:val="14"/>
        </w:rPr>
      </w:pPr>
    </w:p>
    <w:p>
      <w:pPr>
        <w:pStyle w:val="BodyText"/>
        <w:spacing w:line="240" w:lineRule="auto"/>
        <w:ind w:right="0"/>
        <w:jc w:val="left"/>
      </w:pPr>
      <w:r>
        <w:rPr/>
        <w:t>力，但并不能够控制或者与其他方一起共同控制这些政策的制定。</w:t>
      </w:r>
    </w:p>
    <w:p>
      <w:pPr>
        <w:spacing w:after="0" w:line="240"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left="572" w:right="0"/>
        <w:jc w:val="left"/>
      </w:pPr>
      <w:r>
        <w:rPr>
          <w:rFonts w:ascii="Times New Roman" w:hAnsi="Times New Roman" w:cs="Times New Roman" w:eastAsia="Times New Roman" w:hint="default"/>
        </w:rPr>
        <w:t>4.</w:t>
      </w:r>
      <w:r>
        <w:rPr/>
        <w:t>长期股权投资的处置</w:t>
      </w:r>
    </w:p>
    <w:p>
      <w:pPr>
        <w:spacing w:line="240" w:lineRule="auto" w:before="9"/>
        <w:rPr>
          <w:rFonts w:ascii="宋体" w:hAnsi="宋体" w:cs="宋体" w:eastAsia="宋体" w:hint="default"/>
          <w:sz w:val="22"/>
          <w:szCs w:val="22"/>
        </w:rPr>
      </w:pPr>
    </w:p>
    <w:p>
      <w:pPr>
        <w:pStyle w:val="BodyText"/>
        <w:spacing w:line="484" w:lineRule="auto"/>
        <w:ind w:left="572" w:right="0"/>
        <w:jc w:val="left"/>
      </w:pPr>
      <w:r>
        <w:rPr/>
        <w:t>（</w:t>
      </w:r>
      <w:r>
        <w:rPr>
          <w:rFonts w:ascii="Times New Roman" w:hAnsi="Times New Roman" w:cs="Times New Roman" w:eastAsia="Times New Roman" w:hint="default"/>
        </w:rPr>
        <w:t>1</w:t>
      </w:r>
      <w:r>
        <w:rPr/>
        <w:t>）部分处置对子公司的长期股权投资，但不丧失控制权的情形</w:t>
      </w:r>
      <w:r>
        <w:rPr>
          <w:spacing w:val="-3"/>
          <w:w w:val="100"/>
        </w:rPr>
        <w:t> </w:t>
      </w:r>
      <w:r>
        <w:rPr>
          <w:spacing w:val="-2"/>
        </w:rPr>
        <w:t>部分处置对子公司的长期股权投资，但不丧失控制权时，应当将处置价款与处置投资对应的账面价值</w:t>
      </w:r>
    </w:p>
    <w:p>
      <w:pPr>
        <w:pStyle w:val="BodyText"/>
        <w:spacing w:line="254" w:lineRule="exact"/>
        <w:ind w:right="0"/>
        <w:jc w:val="both"/>
      </w:pPr>
      <w:r>
        <w:rPr/>
        <w:t>的差额确认为当期投资收益。</w:t>
      </w:r>
    </w:p>
    <w:p>
      <w:pPr>
        <w:spacing w:line="240" w:lineRule="auto" w:before="12"/>
        <w:rPr>
          <w:rFonts w:ascii="宋体" w:hAnsi="宋体" w:cs="宋体" w:eastAsia="宋体" w:hint="default"/>
          <w:sz w:val="23"/>
          <w:szCs w:val="23"/>
        </w:rPr>
      </w:pPr>
    </w:p>
    <w:p>
      <w:pPr>
        <w:pStyle w:val="BodyText"/>
        <w:spacing w:line="484" w:lineRule="auto"/>
        <w:ind w:left="572" w:right="0"/>
        <w:jc w:val="left"/>
      </w:pPr>
      <w:r>
        <w:rPr/>
        <w:t>（</w:t>
      </w:r>
      <w:r>
        <w:rPr>
          <w:rFonts w:ascii="Times New Roman" w:hAnsi="Times New Roman" w:cs="Times New Roman" w:eastAsia="Times New Roman" w:hint="default"/>
        </w:rPr>
        <w:t>2</w:t>
      </w:r>
      <w:r>
        <w:rPr/>
        <w:t>）部分处置股权投资或其他原因丧失了对子公司控制权的情形</w:t>
      </w:r>
      <w:r>
        <w:rPr>
          <w:spacing w:val="-3"/>
          <w:w w:val="100"/>
        </w:rPr>
        <w:t> </w:t>
      </w:r>
      <w:r>
        <w:rPr>
          <w:spacing w:val="-2"/>
        </w:rPr>
        <w:t>部分处置股权投资或其他原因丧失了对子公司控制权的，对于处置的股权，应结转与所售股权相对应</w:t>
      </w:r>
    </w:p>
    <w:p>
      <w:pPr>
        <w:pStyle w:val="BodyText"/>
        <w:spacing w:line="254" w:lineRule="exact"/>
        <w:ind w:right="0"/>
        <w:jc w:val="both"/>
      </w:pPr>
      <w:r>
        <w:rPr/>
        <w:t>的长期股权投资的账面价值，出售所得价款与处置长期股权投资账面价值之间差额，确认为投资收益（损</w:t>
      </w:r>
    </w:p>
    <w:p>
      <w:pPr>
        <w:spacing w:line="240" w:lineRule="auto" w:before="10"/>
        <w:rPr>
          <w:rFonts w:ascii="宋体" w:hAnsi="宋体" w:cs="宋体" w:eastAsia="宋体" w:hint="default"/>
          <w:sz w:val="14"/>
          <w:szCs w:val="14"/>
        </w:rPr>
      </w:pPr>
    </w:p>
    <w:p>
      <w:pPr>
        <w:pStyle w:val="BodyText"/>
        <w:spacing w:line="408" w:lineRule="auto"/>
        <w:ind w:right="0"/>
        <w:jc w:val="left"/>
      </w:pPr>
      <w:r>
        <w:rPr>
          <w:spacing w:val="-2"/>
        </w:rPr>
        <w:t>失）；同时，对于剩余股权，应当按其账面价值确认为长期股权投资或其它相关金融资产。处置后的剩余</w:t>
      </w:r>
      <w:r>
        <w:rPr>
          <w:spacing w:val="-43"/>
        </w:rPr>
        <w:t> </w:t>
      </w:r>
      <w:r>
        <w:rPr>
          <w:spacing w:val="-43"/>
        </w:rPr>
      </w:r>
      <w:r>
        <w:rPr/>
        <w:t>股权能够对子公司实施共同控制或重大影响的，应按有关成本法转为权益法的相关规定进行会计处理。</w:t>
      </w:r>
    </w:p>
    <w:p>
      <w:pPr>
        <w:pStyle w:val="BodyText"/>
        <w:spacing w:line="484" w:lineRule="auto" w:before="166"/>
        <w:ind w:left="572" w:right="0"/>
        <w:jc w:val="left"/>
      </w:pPr>
      <w:r>
        <w:rPr>
          <w:rFonts w:ascii="Times New Roman" w:hAnsi="Times New Roman" w:cs="Times New Roman" w:eastAsia="Times New Roman" w:hint="default"/>
        </w:rPr>
        <w:t>5.</w:t>
      </w:r>
      <w:r>
        <w:rPr/>
        <w:t>减值测试方法及减值准备计提方法</w:t>
      </w:r>
      <w:r>
        <w:rPr>
          <w:w w:val="100"/>
        </w:rPr>
        <w:t> </w:t>
      </w:r>
      <w:r>
        <w:rPr>
          <w:spacing w:val="-2"/>
        </w:rPr>
        <w:t>对子公司、联营企业及合营企业的投资，在资产负债表日有客观证据表明其发生减值的，按照账面价</w:t>
      </w:r>
    </w:p>
    <w:p>
      <w:pPr>
        <w:pStyle w:val="BodyText"/>
        <w:spacing w:line="254" w:lineRule="exact"/>
        <w:ind w:right="0"/>
        <w:jc w:val="both"/>
      </w:pPr>
      <w:r>
        <w:rPr/>
        <w:t>值与可收回金额的差额计提相应的减值准备。</w:t>
      </w:r>
    </w:p>
    <w:p>
      <w:pPr>
        <w:spacing w:line="240" w:lineRule="auto" w:before="0"/>
        <w:rPr>
          <w:rFonts w:ascii="宋体" w:hAnsi="宋体" w:cs="宋体" w:eastAsia="宋体" w:hint="default"/>
          <w:sz w:val="20"/>
          <w:szCs w:val="20"/>
        </w:rPr>
      </w:pPr>
    </w:p>
    <w:p>
      <w:pPr>
        <w:pStyle w:val="Heading3"/>
        <w:spacing w:line="240" w:lineRule="auto" w:before="154"/>
        <w:ind w:right="0"/>
        <w:jc w:val="both"/>
        <w:rPr>
          <w:b w:val="0"/>
          <w:bCs w:val="0"/>
        </w:rPr>
      </w:pPr>
      <w:bookmarkStart w:name="15、固定资产" w:id="187"/>
      <w:bookmarkEnd w:id="187"/>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确认条件" w:id="188"/>
      <w:bookmarkEnd w:id="18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5"/>
        <w:rPr>
          <w:rFonts w:ascii="宋体" w:hAnsi="宋体" w:cs="宋体" w:eastAsia="宋体" w:hint="default"/>
          <w:b/>
          <w:bCs/>
          <w:sz w:val="30"/>
          <w:szCs w:val="30"/>
        </w:rPr>
      </w:pPr>
    </w:p>
    <w:p>
      <w:pPr>
        <w:pStyle w:val="BodyText"/>
        <w:spacing w:line="410" w:lineRule="auto"/>
        <w:ind w:right="0" w:firstLine="420"/>
        <w:jc w:val="left"/>
        <w:rPr>
          <w:rFonts w:ascii="宋体" w:hAnsi="宋体" w:cs="宋体" w:eastAsia="宋体" w:hint="default"/>
        </w:rPr>
      </w:pPr>
      <w:r>
        <w:rPr>
          <w:spacing w:val="-3"/>
        </w:rPr>
        <w:t>本集团固定资产是指同时具有以下特征，即为生产商品、提供劳务、出租或经营管理而持有的，使用</w:t>
      </w:r>
      <w:r>
        <w:rPr>
          <w:spacing w:val="-3"/>
          <w:w w:val="100"/>
        </w:rPr>
        <w:t> </w:t>
      </w:r>
      <w:r>
        <w:rPr/>
        <w:t>年限超过一年，单位价值超过</w:t>
      </w:r>
      <w:r>
        <w:rPr>
          <w:spacing w:val="-55"/>
        </w:rPr>
        <w:t> </w:t>
      </w:r>
      <w:r>
        <w:rPr>
          <w:rFonts w:ascii="宋体" w:hAnsi="宋体" w:cs="宋体" w:eastAsia="宋体" w:hint="default"/>
        </w:rPr>
        <w:t>2,000.00</w:t>
      </w:r>
      <w:r>
        <w:rPr>
          <w:rFonts w:ascii="宋体" w:hAnsi="宋体" w:cs="宋体" w:eastAsia="宋体" w:hint="default"/>
          <w:spacing w:val="-57"/>
        </w:rPr>
        <w:t> </w:t>
      </w:r>
      <w:r>
        <w:rPr/>
        <w:t>元的有形资产。</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439" w:lineRule="auto" w:before="85"/>
        <w:ind w:left="572" w:right="0"/>
        <w:jc w:val="left"/>
      </w:pPr>
      <w:r>
        <w:rPr/>
        <w:t>固定资产在与其有关的经济利益很可能流入本集团、且其成本能够可靠计量时予以确认。</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spacing w:val="-5"/>
        </w:rPr>
        <w:t>本集团固定资产包括房屋建筑物、设备、运输工具和其他，按其取得时的成本作为入账的价值，其中，</w:t>
      </w:r>
    </w:p>
    <w:p>
      <w:pPr>
        <w:pStyle w:val="BodyText"/>
        <w:spacing w:line="410" w:lineRule="auto" w:before="19"/>
        <w:ind w:right="1128"/>
        <w:jc w:val="both"/>
        <w:rPr>
          <w:rFonts w:ascii="宋体" w:hAnsi="宋体" w:cs="宋体" w:eastAsia="宋体" w:hint="default"/>
        </w:rPr>
      </w:pPr>
      <w:r>
        <w:rPr>
          <w:spacing w:val="-2"/>
        </w:rPr>
        <w:t>外购的固定资产成本包括买价和进口关税等相关税费，以及为使固定资产达到预定可使用状态前所发生的</w:t>
      </w:r>
      <w:r>
        <w:rPr>
          <w:spacing w:val="-42"/>
        </w:rPr>
        <w:t> </w:t>
      </w:r>
      <w:r>
        <w:rPr>
          <w:spacing w:val="-42"/>
        </w:rPr>
      </w:r>
      <w:r>
        <w:rPr>
          <w:spacing w:val="-2"/>
        </w:rPr>
        <w:t>可直接归属于该资产的其他支出；自行建造固定资产的成本，由建造该项资产达到预定可使用状态前所发</w:t>
      </w:r>
      <w:r>
        <w:rPr>
          <w:spacing w:val="-42"/>
        </w:rPr>
        <w:t> </w:t>
      </w:r>
      <w:r>
        <w:rPr>
          <w:spacing w:val="-42"/>
        </w:rPr>
      </w:r>
      <w:r>
        <w:rPr>
          <w:spacing w:val="-2"/>
        </w:rPr>
        <w:t>生的必要支出构成；投资者投入的固定资产，按投资合同或协议约定的价值作为入账价值，但合同或协议</w:t>
      </w:r>
      <w:r>
        <w:rPr>
          <w:spacing w:val="-43"/>
        </w:rPr>
        <w:t> </w:t>
      </w:r>
      <w:r>
        <w:rPr>
          <w:spacing w:val="-43"/>
        </w:rPr>
      </w:r>
      <w:r>
        <w:rPr>
          <w:spacing w:val="-2"/>
        </w:rPr>
        <w:t>约定价值不公允的按公允价值入账；融资租赁租入的固定资产，按租赁开始日租赁资产公允价值与最低租</w:t>
      </w:r>
      <w:r>
        <w:rPr>
          <w:spacing w:val="-42"/>
        </w:rPr>
        <w:t> </w:t>
      </w:r>
      <w:r>
        <w:rPr>
          <w:spacing w:val="-42"/>
        </w:rPr>
      </w:r>
      <w:r>
        <w:rPr/>
        <w:t>赁付款额现值两者中较低者作为入账价值。</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410" w:lineRule="auto" w:before="82"/>
        <w:ind w:right="0" w:firstLine="420"/>
        <w:jc w:val="left"/>
        <w:rPr>
          <w:rFonts w:ascii="宋体" w:hAnsi="宋体" w:cs="宋体" w:eastAsia="宋体" w:hint="default"/>
        </w:rPr>
      </w:pPr>
      <w:r>
        <w:rPr>
          <w:rFonts w:ascii="宋体" w:hAnsi="宋体" w:cs="宋体" w:eastAsia="宋体" w:hint="default"/>
          <w:w w:val="100"/>
        </w:rPr>
        <w:t> </w:t>
      </w:r>
      <w:r>
        <w:rPr>
          <w:spacing w:val="-2"/>
        </w:rPr>
        <w:t>除已提足折旧仍继续使用的固定资产和单独计价入账的土地外，本集团对所有固定资产计提折旧。</w:t>
      </w:r>
      <w:r>
        <w:rPr>
          <w:w w:val="100"/>
        </w:rPr>
        <w:t> </w:t>
      </w:r>
      <w:r>
        <w:rPr/>
        <w:t>计提折旧时采用年限平均法，并根据用途分别计入相关资产的成本或当期费用。</w:t>
      </w:r>
      <w:r>
        <w:rPr>
          <w:rFonts w:ascii="宋体" w:hAnsi="宋体" w:cs="宋体" w:eastAsia="宋体" w:hint="default"/>
        </w:rPr>
        <w:t> </w:t>
      </w:r>
    </w:p>
    <w:p>
      <w:pPr>
        <w:spacing w:after="0" w:line="410" w:lineRule="auto"/>
        <w:jc w:val="left"/>
        <w:rPr>
          <w:rFonts w:ascii="宋体" w:hAnsi="宋体" w:cs="宋体" w:eastAsia="宋体" w:hint="default"/>
        </w:rPr>
        <w:sectPr>
          <w:pgSz w:w="11910" w:h="16840"/>
          <w:pgMar w:header="880" w:footer="977"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2）折旧方法" w:id="189"/>
      <w:bookmarkEnd w:id="18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2.38%-4.75%</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9.50%-19.00%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16、在建工程" w:id="190"/>
      <w:bookmarkEnd w:id="190"/>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28" w:firstLine="420"/>
        <w:jc w:val="both"/>
      </w:pPr>
      <w:r>
        <w:rPr>
          <w:spacing w:val="-3"/>
        </w:rPr>
        <w:t>在建工程按实际发生的成本计量。自营建筑工程按直接材料、直接工资、直接施工费等计量；出包建</w:t>
      </w:r>
      <w:r>
        <w:rPr>
          <w:spacing w:val="-3"/>
          <w:w w:val="100"/>
        </w:rPr>
        <w:t> </w:t>
      </w:r>
      <w:r>
        <w:rPr>
          <w:spacing w:val="-2"/>
        </w:rPr>
        <w:t>筑工程按应支付的工程价款等计量；设备安装工程按所安装设备的价值、安装费用、工程试运转等所发生</w:t>
      </w:r>
      <w:r>
        <w:rPr>
          <w:spacing w:val="-44"/>
        </w:rPr>
        <w:t> </w:t>
      </w:r>
      <w:r>
        <w:rPr>
          <w:spacing w:val="-44"/>
        </w:rPr>
      </w:r>
      <w:r>
        <w:rPr/>
        <w:t>的支出等确定工程成本。在建工程成本还包括应当资本化的借款费用和汇兑损益。</w:t>
      </w:r>
    </w:p>
    <w:p>
      <w:pPr>
        <w:pStyle w:val="BodyText"/>
        <w:spacing w:line="408" w:lineRule="auto" w:before="166"/>
        <w:ind w:right="1128" w:firstLine="420"/>
        <w:jc w:val="both"/>
      </w:pPr>
      <w:r>
        <w:rPr>
          <w:spacing w:val="-2"/>
        </w:rPr>
        <w:t>在建工程在达到预定可使用状态之日起，根据工程预算、造价或工程实际成本等，按估计的价值结转</w:t>
      </w:r>
      <w:r>
        <w:rPr>
          <w:spacing w:val="-3"/>
          <w:w w:val="100"/>
        </w:rPr>
        <w:t> </w:t>
      </w:r>
      <w:r>
        <w:rPr>
          <w:spacing w:val="-2"/>
        </w:rPr>
        <w:t>固定资产，次月起开始计提折旧，待办理了竣工决算手续后再对固定资产原值差异进行调整，但不再调整</w:t>
      </w:r>
      <w:r>
        <w:rPr>
          <w:spacing w:val="-44"/>
        </w:rPr>
        <w:t> </w:t>
      </w:r>
      <w:r>
        <w:rPr>
          <w:spacing w:val="-44"/>
        </w:rPr>
      </w:r>
      <w:r>
        <w:rPr/>
        <w:t>原已计提的折旧。</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17、借款费用" w:id="191"/>
      <w:bookmarkEnd w:id="191"/>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5"/>
        <w:rPr>
          <w:rFonts w:ascii="宋体" w:hAnsi="宋体" w:cs="宋体" w:eastAsia="宋体" w:hint="default"/>
          <w:b/>
          <w:bCs/>
          <w:sz w:val="30"/>
          <w:szCs w:val="30"/>
        </w:rPr>
      </w:pPr>
    </w:p>
    <w:p>
      <w:pPr>
        <w:pStyle w:val="BodyText"/>
        <w:spacing w:line="484" w:lineRule="auto"/>
        <w:ind w:left="572" w:right="0"/>
        <w:jc w:val="left"/>
      </w:pPr>
      <w:r>
        <w:rPr>
          <w:rFonts w:ascii="Times New Roman" w:hAnsi="Times New Roman" w:cs="Times New Roman" w:eastAsia="Times New Roman" w:hint="default"/>
        </w:rPr>
        <w:t>1.</w:t>
      </w:r>
      <w:r>
        <w:rPr/>
        <w:t>借款费用资本化的确认原则</w:t>
      </w:r>
      <w:r>
        <w:rPr>
          <w:w w:val="100"/>
        </w:rPr>
        <w:t> </w:t>
      </w:r>
      <w:r>
        <w:rPr>
          <w:spacing w:val="-2"/>
        </w:rPr>
        <w:t>本集团发生的借款费用，可直接归属于符合资本化条件的资产的购建或者生产的，予以资本化，计入</w:t>
      </w:r>
    </w:p>
    <w:p>
      <w:pPr>
        <w:pStyle w:val="BodyText"/>
        <w:spacing w:line="254" w:lineRule="exact"/>
        <w:ind w:right="0"/>
        <w:jc w:val="left"/>
      </w:pPr>
      <w:r>
        <w:rPr/>
        <w:t>相关资产成本；其他借款费用，在发生时确认为费用，计入当期损益。</w:t>
      </w:r>
    </w:p>
    <w:p>
      <w:pPr>
        <w:spacing w:line="240" w:lineRule="auto" w:before="12"/>
        <w:rPr>
          <w:rFonts w:ascii="宋体" w:hAnsi="宋体" w:cs="宋体" w:eastAsia="宋体" w:hint="default"/>
          <w:sz w:val="23"/>
          <w:szCs w:val="23"/>
        </w:rPr>
      </w:pPr>
    </w:p>
    <w:p>
      <w:pPr>
        <w:pStyle w:val="BodyText"/>
        <w:spacing w:line="240" w:lineRule="auto"/>
        <w:ind w:left="572" w:right="0"/>
        <w:jc w:val="left"/>
      </w:pPr>
      <w:r>
        <w:rPr>
          <w:rFonts w:ascii="Times New Roman" w:hAnsi="Times New Roman" w:cs="Times New Roman" w:eastAsia="Times New Roman" w:hint="default"/>
        </w:rPr>
        <w:t>2.</w:t>
      </w:r>
      <w:r>
        <w:rPr/>
        <w:t>借款费用资本化期间</w:t>
      </w:r>
    </w:p>
    <w:p>
      <w:pPr>
        <w:spacing w:line="240" w:lineRule="auto" w:before="9"/>
        <w:rPr>
          <w:rFonts w:ascii="宋体" w:hAnsi="宋体" w:cs="宋体" w:eastAsia="宋体" w:hint="default"/>
          <w:sz w:val="22"/>
          <w:szCs w:val="22"/>
        </w:rPr>
      </w:pPr>
    </w:p>
    <w:p>
      <w:pPr>
        <w:pStyle w:val="BodyText"/>
        <w:spacing w:line="240" w:lineRule="auto"/>
        <w:ind w:left="572" w:right="0"/>
        <w:jc w:val="left"/>
      </w:pPr>
      <w:r>
        <w:rPr/>
        <w:t>（</w:t>
      </w:r>
      <w:r>
        <w:rPr>
          <w:rFonts w:ascii="Times New Roman" w:hAnsi="Times New Roman" w:cs="Times New Roman" w:eastAsia="Times New Roman" w:hint="default"/>
        </w:rPr>
        <w:t>1</w:t>
      </w:r>
      <w:r>
        <w:rPr/>
        <w:t>）当借款费用同时满足下列条件时，开始资本化：</w:t>
      </w:r>
      <w:r>
        <w:rPr>
          <w:rFonts w:ascii="Times New Roman" w:hAnsi="Times New Roman" w:cs="Times New Roman" w:eastAsia="Times New Roman" w:hint="default"/>
        </w:rPr>
        <w:t>1</w:t>
      </w:r>
      <w:r>
        <w:rPr/>
        <w:t>）资产支出已经发生；</w:t>
      </w:r>
      <w:r>
        <w:rPr>
          <w:rFonts w:ascii="Times New Roman" w:hAnsi="Times New Roman" w:cs="Times New Roman" w:eastAsia="Times New Roman" w:hint="default"/>
        </w:rPr>
        <w:t>2</w:t>
      </w:r>
      <w:r>
        <w:rPr/>
        <w:t>）借款费用已经发生；</w:t>
      </w:r>
    </w:p>
    <w:p>
      <w:pPr>
        <w:pStyle w:val="BodyText"/>
        <w:spacing w:line="240" w:lineRule="auto" w:before="177"/>
        <w:ind w:right="0"/>
        <w:jc w:val="left"/>
      </w:pPr>
      <w:r>
        <w:rPr>
          <w:rFonts w:ascii="Times New Roman" w:hAnsi="Times New Roman" w:cs="Times New Roman" w:eastAsia="Times New Roman" w:hint="default"/>
        </w:rPr>
        <w:t>3</w:t>
      </w:r>
      <w:r>
        <w:rPr/>
        <w:t>）为使资产达到预定可使用或可销售状态所必要的购建或者生产活动已经开始。</w:t>
      </w:r>
    </w:p>
    <w:p>
      <w:pPr>
        <w:spacing w:line="240" w:lineRule="auto" w:before="9"/>
        <w:rPr>
          <w:rFonts w:ascii="宋体" w:hAnsi="宋体" w:cs="宋体" w:eastAsia="宋体" w:hint="default"/>
          <w:sz w:val="22"/>
          <w:szCs w:val="22"/>
        </w:rPr>
      </w:pPr>
    </w:p>
    <w:p>
      <w:pPr>
        <w:pStyle w:val="BodyText"/>
        <w:spacing w:line="398" w:lineRule="auto"/>
        <w:ind w:right="1024" w:firstLine="419"/>
        <w:jc w:val="left"/>
      </w:pPr>
      <w:r>
        <w:rPr>
          <w:spacing w:val="-5"/>
        </w:rPr>
        <w:t>（</w:t>
      </w:r>
      <w:r>
        <w:rPr>
          <w:rFonts w:ascii="Times New Roman" w:hAnsi="Times New Roman" w:cs="Times New Roman" w:eastAsia="Times New Roman" w:hint="default"/>
          <w:spacing w:val="-5"/>
        </w:rPr>
        <w:t>2</w:t>
      </w:r>
      <w:r>
        <w:rPr>
          <w:spacing w:val="-5"/>
        </w:rPr>
        <w:t>）若符合资本化条件的资产在购建或者生产过程中发生非正常中断，并且中断时间连续超过</w:t>
      </w:r>
      <w:r>
        <w:rPr>
          <w:rFonts w:ascii="Times New Roman" w:hAnsi="Times New Roman" w:cs="Times New Roman" w:eastAsia="Times New Roman" w:hint="default"/>
          <w:spacing w:val="-5"/>
        </w:rPr>
        <w:t>3</w:t>
      </w:r>
      <w:r>
        <w:rPr>
          <w:spacing w:val="-5"/>
        </w:rPr>
        <w:t>个月，</w:t>
      </w:r>
      <w:r>
        <w:rPr>
          <w:w w:val="100"/>
        </w:rPr>
        <w:t> </w:t>
      </w:r>
      <w:r>
        <w:rPr>
          <w:spacing w:val="-2"/>
        </w:rPr>
        <w:t>暂停借款费用的资本化；中断期间发生的借款费用确认为当期费用，直至资产的购建或者生产活动重新开</w:t>
      </w:r>
      <w:r>
        <w:rPr>
          <w:spacing w:val="-42"/>
        </w:rPr>
        <w:t> </w:t>
      </w:r>
      <w:r>
        <w:rPr>
          <w:spacing w:val="-42"/>
        </w:rPr>
      </w:r>
      <w:r>
        <w:rPr/>
        <w:t>始。</w:t>
      </w:r>
    </w:p>
    <w:p>
      <w:pPr>
        <w:pStyle w:val="BodyText"/>
        <w:spacing w:line="386" w:lineRule="auto" w:before="174"/>
        <w:ind w:right="1133" w:firstLine="420"/>
        <w:jc w:val="both"/>
      </w:pPr>
      <w:r>
        <w:rPr/>
        <w:t>（</w:t>
      </w:r>
      <w:r>
        <w:rPr>
          <w:rFonts w:ascii="Times New Roman" w:hAnsi="Times New Roman" w:cs="Times New Roman" w:eastAsia="Times New Roman" w:hint="default"/>
        </w:rPr>
        <w:t>3</w:t>
      </w:r>
      <w:r>
        <w:rPr/>
        <w:t>）当所购建或者生产符合资本化条件的资产达到预定可使用或可销售状态时，借款费用停止资本</w:t>
      </w:r>
      <w:r>
        <w:rPr>
          <w:w w:val="100"/>
        </w:rPr>
        <w:t> </w:t>
      </w:r>
      <w:r>
        <w:rPr/>
        <w:t>化。</w:t>
      </w:r>
    </w:p>
    <w:p>
      <w:pPr>
        <w:spacing w:line="240" w:lineRule="auto" w:before="2"/>
        <w:rPr>
          <w:rFonts w:ascii="宋体" w:hAnsi="宋体" w:cs="宋体" w:eastAsia="宋体" w:hint="default"/>
          <w:sz w:val="14"/>
          <w:szCs w:val="14"/>
        </w:rPr>
      </w:pPr>
    </w:p>
    <w:p>
      <w:pPr>
        <w:pStyle w:val="BodyText"/>
        <w:spacing w:line="240" w:lineRule="auto"/>
        <w:ind w:left="573" w:right="0"/>
        <w:jc w:val="left"/>
      </w:pPr>
      <w:r>
        <w:rPr>
          <w:rFonts w:ascii="Times New Roman" w:hAnsi="Times New Roman" w:cs="Times New Roman" w:eastAsia="Times New Roman" w:hint="default"/>
        </w:rPr>
        <w:t>3.</w:t>
      </w:r>
      <w:r>
        <w:rPr/>
        <w:t>借款费用资本化金额</w:t>
      </w:r>
    </w:p>
    <w:p>
      <w:pPr>
        <w:spacing w:after="0" w:line="240"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8" w:firstLine="420"/>
        <w:jc w:val="both"/>
      </w:pPr>
      <w:r>
        <w:rPr>
          <w:spacing w:val="-2"/>
        </w:rPr>
        <w:t>为购建或者生产符合资本化条件的资产而借入专门借款的，以专门借款当期实际发生的利息费用（包</w:t>
      </w:r>
      <w:r>
        <w:rPr>
          <w:w w:val="100"/>
        </w:rPr>
        <w:t> </w:t>
      </w:r>
      <w:r>
        <w:rPr>
          <w:spacing w:val="-2"/>
        </w:rPr>
        <w:t>括按照实际利率法确定的折价或溢价的摊销），减去将尚未动用的借款资金存入银行取得的利息收入或进</w:t>
      </w:r>
      <w:r>
        <w:rPr>
          <w:spacing w:val="-42"/>
        </w:rPr>
        <w:t> </w:t>
      </w:r>
      <w:r>
        <w:rPr>
          <w:spacing w:val="-42"/>
        </w:rPr>
      </w:r>
      <w:r>
        <w:rPr>
          <w:spacing w:val="-2"/>
        </w:rPr>
        <w:t>行暂时性投资取得的投资收益后的金额，确定应予资本化的利息金额；为购建或者生产符合资本化条件的</w:t>
      </w:r>
      <w:r>
        <w:rPr>
          <w:spacing w:val="-42"/>
        </w:rPr>
        <w:t> </w:t>
      </w:r>
      <w:r>
        <w:rPr>
          <w:spacing w:val="-42"/>
        </w:rPr>
      </w:r>
      <w:r>
        <w:rPr>
          <w:spacing w:val="-2"/>
        </w:rPr>
        <w:t>资产占用了一般借款的，根据累计资产支出超过专门借款的资产支出加权平均数乘以占用一般借款的资本</w:t>
      </w:r>
      <w:r>
        <w:rPr>
          <w:spacing w:val="-42"/>
        </w:rPr>
        <w:t> </w:t>
      </w:r>
      <w:r>
        <w:rPr>
          <w:spacing w:val="-42"/>
        </w:rPr>
      </w:r>
      <w:r>
        <w:rPr/>
        <w:t>化率，计算确定一般借款应予资本化的利息金额。</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18、无形资产" w:id="192"/>
      <w:bookmarkEnd w:id="192"/>
      <w:r>
        <w:rPr>
          <w:b w:val="0"/>
          <w:bCs w:val="0"/>
        </w:rPr>
      </w:r>
      <w:r>
        <w:rPr>
          <w:rFonts w:ascii="Times New Roman" w:hAnsi="Times New Roman" w:cs="Times New Roman" w:eastAsia="Times New Roman" w:hint="default"/>
        </w:rPr>
        <w:t>18</w:t>
      </w:r>
      <w:r>
        <w:rPr/>
        <w:t>、无形资产</w:t>
      </w:r>
      <w:r>
        <w:rPr>
          <w:b w:val="0"/>
          <w:bCs w:val="0"/>
        </w:rPr>
      </w:r>
    </w:p>
    <w:p>
      <w:pPr>
        <w:spacing w:line="688" w:lineRule="exact" w:before="18"/>
        <w:ind w:left="572" w:right="0" w:hanging="421"/>
        <w:jc w:val="left"/>
        <w:rPr>
          <w:rFonts w:ascii="宋体" w:hAnsi="宋体" w:cs="宋体" w:eastAsia="宋体" w:hint="default"/>
          <w:sz w:val="21"/>
          <w:szCs w:val="21"/>
        </w:rPr>
      </w:pPr>
      <w:bookmarkStart w:name="（1）计价方法、使用寿命、减值测试" w:id="193"/>
      <w:bookmarkEnd w:id="1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本集团无形资产包括土地使用权、专利技术、非专利技术等，按取得时的实际成本计量，其中，购入</w:t>
      </w:r>
    </w:p>
    <w:p>
      <w:pPr>
        <w:pStyle w:val="BodyText"/>
        <w:spacing w:line="408" w:lineRule="auto" w:before="85"/>
        <w:ind w:right="0"/>
        <w:jc w:val="left"/>
      </w:pPr>
      <w:r>
        <w:rPr>
          <w:spacing w:val="-2"/>
        </w:rPr>
        <w:t>的无形资产，按实际支付的价款和相关的其他支出作为实际成本；投资者投入的无形资产，按投资合同或</w:t>
      </w:r>
      <w:r>
        <w:rPr>
          <w:spacing w:val="-44"/>
        </w:rPr>
        <w:t> </w:t>
      </w:r>
      <w:r>
        <w:rPr>
          <w:spacing w:val="-44"/>
        </w:rPr>
      </w:r>
      <w:r>
        <w:rPr/>
        <w:t>协议约定的价值确定实际成本，但合同或协议约定价值不公允的，按公允价值确定实际成本。</w:t>
      </w:r>
    </w:p>
    <w:p>
      <w:pPr>
        <w:pStyle w:val="BodyText"/>
        <w:spacing w:line="408" w:lineRule="auto" w:before="166"/>
        <w:ind w:right="1128" w:firstLine="420"/>
        <w:jc w:val="both"/>
      </w:pPr>
      <w:r>
        <w:rPr>
          <w:spacing w:val="-2"/>
        </w:rPr>
        <w:t>土地使用权从出让起始日起，按其出让年限平均摊销；专利技术、非专利技术和其他无形资产按预计</w:t>
      </w:r>
      <w:r>
        <w:rPr>
          <w:w w:val="100"/>
        </w:rPr>
        <w:t> </w:t>
      </w:r>
      <w:r>
        <w:rPr>
          <w:spacing w:val="-2"/>
        </w:rPr>
        <w:t>使用年限、合同规定的受益年限和法律规定的有效年限三者中最短者分期平均摊销，摊销金额按其受益对</w:t>
      </w:r>
      <w:r>
        <w:rPr>
          <w:spacing w:val="-42"/>
        </w:rPr>
        <w:t> </w:t>
      </w:r>
      <w:r>
        <w:rPr>
          <w:spacing w:val="-42"/>
        </w:rPr>
      </w:r>
      <w:r>
        <w:rPr/>
        <w:t>象计入相关资产成本和当期损益。各类无形资产的摊销年限如下：</w:t>
      </w:r>
    </w:p>
    <w:p>
      <w:pPr>
        <w:spacing w:line="240" w:lineRule="auto" w:before="10"/>
        <w:rPr>
          <w:rFonts w:ascii="宋体" w:hAnsi="宋体" w:cs="宋体" w:eastAsia="宋体" w:hint="default"/>
          <w:sz w:val="7"/>
          <w:szCs w:val="7"/>
        </w:rPr>
      </w:pPr>
    </w:p>
    <w:tbl>
      <w:tblPr>
        <w:tblW w:w="0" w:type="auto"/>
        <w:jc w:val="left"/>
        <w:tblInd w:w="680" w:type="dxa"/>
        <w:tblLayout w:type="fixed"/>
        <w:tblCellMar>
          <w:top w:w="0" w:type="dxa"/>
          <w:left w:w="0" w:type="dxa"/>
          <w:bottom w:w="0" w:type="dxa"/>
          <w:right w:w="0" w:type="dxa"/>
        </w:tblCellMar>
        <w:tblLook w:val="01E0"/>
      </w:tblPr>
      <w:tblGrid>
        <w:gridCol w:w="3506"/>
        <w:gridCol w:w="5074"/>
      </w:tblGrid>
      <w:tr>
        <w:trPr>
          <w:trHeight w:val="348" w:hRule="exact"/>
        </w:trPr>
        <w:tc>
          <w:tcPr>
            <w:tcW w:w="350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297"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3"/>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507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295" w:right="0"/>
              <w:jc w:val="center"/>
              <w:rPr>
                <w:rFonts w:ascii="宋体" w:hAnsi="宋体" w:cs="宋体" w:eastAsia="宋体" w:hint="default"/>
                <w:sz w:val="18"/>
                <w:szCs w:val="18"/>
              </w:rPr>
            </w:pPr>
            <w:r>
              <w:rPr>
                <w:rFonts w:ascii="宋体" w:hAnsi="宋体" w:cs="宋体" w:eastAsia="宋体" w:hint="default"/>
                <w:b/>
                <w:bCs/>
                <w:sz w:val="18"/>
                <w:szCs w:val="18"/>
              </w:rPr>
              <w:t>摊销年限（年）</w:t>
            </w:r>
            <w:r>
              <w:rPr>
                <w:rFonts w:ascii="宋体" w:hAnsi="宋体" w:cs="宋体" w:eastAsia="宋体" w:hint="default"/>
                <w:sz w:val="18"/>
                <w:szCs w:val="18"/>
              </w:rPr>
            </w:r>
          </w:p>
        </w:tc>
      </w:tr>
      <w:tr>
        <w:trPr>
          <w:trHeight w:val="346" w:hRule="exact"/>
        </w:trPr>
        <w:tc>
          <w:tcPr>
            <w:tcW w:w="350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5074"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297" w:right="0"/>
              <w:jc w:val="center"/>
              <w:rPr>
                <w:rFonts w:ascii="Times New Roman" w:hAnsi="Times New Roman" w:cs="Times New Roman" w:eastAsia="Times New Roman" w:hint="default"/>
                <w:sz w:val="18"/>
                <w:szCs w:val="18"/>
              </w:rPr>
            </w:pPr>
            <w:r>
              <w:rPr>
                <w:rFonts w:ascii="Times New Roman"/>
                <w:sz w:val="18"/>
              </w:rPr>
              <w:t>50</w:t>
            </w:r>
          </w:p>
        </w:tc>
      </w:tr>
      <w:tr>
        <w:trPr>
          <w:trHeight w:val="275" w:hRule="exact"/>
        </w:trPr>
        <w:tc>
          <w:tcPr>
            <w:tcW w:w="3506" w:type="dxa"/>
            <w:tcBorders>
              <w:top w:val="single" w:sz="6" w:space="0" w:color="000000"/>
              <w:left w:val="nil" w:sz="6" w:space="0" w:color="auto"/>
              <w:bottom w:val="nil" w:sz="6" w:space="0" w:color="auto"/>
              <w:right w:val="nil" w:sz="6" w:space="0" w:color="auto"/>
            </w:tcBorders>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5074" w:type="dxa"/>
            <w:tcBorders>
              <w:top w:val="single" w:sz="6" w:space="0" w:color="000000"/>
              <w:left w:val="nil" w:sz="6" w:space="0" w:color="auto"/>
              <w:bottom w:val="nil" w:sz="6" w:space="0" w:color="auto"/>
              <w:right w:val="nil" w:sz="6" w:space="0" w:color="auto"/>
            </w:tcBorders>
          </w:tcPr>
          <w:p>
            <w:pPr>
              <w:pStyle w:val="TableParagraph"/>
              <w:spacing w:line="240" w:lineRule="auto" w:before="64"/>
              <w:ind w:left="291" w:right="0"/>
              <w:jc w:val="center"/>
              <w:rPr>
                <w:rFonts w:ascii="Times New Roman" w:hAnsi="Times New Roman" w:cs="Times New Roman" w:eastAsia="Times New Roman" w:hint="default"/>
                <w:sz w:val="18"/>
                <w:szCs w:val="18"/>
              </w:rPr>
            </w:pPr>
            <w:r>
              <w:rPr>
                <w:rFonts w:ascii="Times New Roman"/>
                <w:sz w:val="18"/>
              </w:rPr>
              <w:t>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408" w:lineRule="auto" w:before="36"/>
        <w:ind w:right="1128" w:firstLine="420"/>
        <w:jc w:val="both"/>
      </w:pPr>
      <w:r>
        <w:rPr>
          <w:spacing w:val="-2"/>
        </w:rPr>
        <w:t>对使用寿命有限的无形资产的预计使用寿命及摊销方法于每年年度终了进行复核，如发生改变，则作</w:t>
      </w:r>
      <w:r>
        <w:rPr>
          <w:w w:val="100"/>
        </w:rPr>
        <w:t> </w:t>
      </w:r>
      <w:r>
        <w:rPr>
          <w:spacing w:val="-2"/>
        </w:rPr>
        <w:t>为会计估计变更处理。在每个会计期间对使用寿命不确定的无形资产的预计使用寿命进行复核，如有证据</w:t>
      </w:r>
      <w:r>
        <w:rPr>
          <w:spacing w:val="-42"/>
        </w:rPr>
        <w:t> </w:t>
      </w:r>
      <w:r>
        <w:rPr>
          <w:spacing w:val="-42"/>
        </w:rPr>
      </w:r>
      <w:r>
        <w:rPr/>
        <w:t>表明无形资产的使用寿命是有限的，则估计其使用寿命并在预计使用寿命内摊销。</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内部研究开发支出会计政策" w:id="194"/>
      <w:bookmarkEnd w:id="194"/>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5"/>
        <w:rPr>
          <w:rFonts w:ascii="宋体" w:hAnsi="宋体" w:cs="宋体" w:eastAsia="宋体" w:hint="default"/>
          <w:b/>
          <w:bCs/>
          <w:sz w:val="30"/>
          <w:szCs w:val="30"/>
        </w:rPr>
      </w:pPr>
    </w:p>
    <w:p>
      <w:pPr>
        <w:pStyle w:val="BodyText"/>
        <w:spacing w:line="408" w:lineRule="auto"/>
        <w:ind w:right="1129" w:firstLine="420"/>
        <w:jc w:val="both"/>
      </w:pPr>
      <w:r>
        <w:rPr>
          <w:spacing w:val="-2"/>
        </w:rPr>
        <w:t>本集团内部研究开发项目支出根据其性质以及研发活动最终形成无形资产是否具有较大不确定性，分</w:t>
      </w:r>
      <w:r>
        <w:rPr>
          <w:w w:val="100"/>
        </w:rPr>
        <w:t> </w:t>
      </w:r>
      <w:r>
        <w:rPr/>
        <w:t>为研究阶段支出和开发阶段支出。</w:t>
      </w:r>
    </w:p>
    <w:p>
      <w:pPr>
        <w:pStyle w:val="BodyText"/>
        <w:spacing w:line="408" w:lineRule="auto" w:before="166"/>
        <w:ind w:right="1128" w:firstLine="420"/>
        <w:jc w:val="both"/>
      </w:pPr>
      <w:r>
        <w:rPr>
          <w:spacing w:val="-2"/>
        </w:rPr>
        <w:t>内部研究开发项目研究阶段的支出，于发生时计入当期损益。内部研究开发项目开发阶段的支出，同</w:t>
      </w:r>
      <w:r>
        <w:rPr>
          <w:w w:val="100"/>
        </w:rPr>
        <w:t> </w:t>
      </w:r>
      <w:r>
        <w:rPr/>
        <w:t>时满足下列条件的，确认为无形资产：</w:t>
      </w:r>
    </w:p>
    <w:p>
      <w:pPr>
        <w:pStyle w:val="BodyText"/>
        <w:spacing w:line="240" w:lineRule="auto" w:before="166"/>
        <w:ind w:left="572"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spacing w:line="240" w:lineRule="auto" w:before="9"/>
        <w:rPr>
          <w:rFonts w:ascii="宋体" w:hAnsi="宋体" w:cs="宋体" w:eastAsia="宋体" w:hint="default"/>
          <w:sz w:val="22"/>
          <w:szCs w:val="22"/>
        </w:rPr>
      </w:pPr>
    </w:p>
    <w:p>
      <w:pPr>
        <w:pStyle w:val="BodyText"/>
        <w:spacing w:line="240" w:lineRule="auto"/>
        <w:ind w:left="572" w:right="0"/>
        <w:jc w:val="left"/>
      </w:pPr>
      <w:r>
        <w:rPr/>
        <w:t>（</w:t>
      </w:r>
      <w:r>
        <w:rPr>
          <w:rFonts w:ascii="Times New Roman" w:hAnsi="Times New Roman" w:cs="Times New Roman" w:eastAsia="Times New Roman" w:hint="default"/>
        </w:rPr>
        <w:t>2</w:t>
      </w:r>
      <w:r>
        <w:rPr/>
        <w:t>）具有完成该无形资产并使用或出售的意图；</w:t>
      </w:r>
    </w:p>
    <w:p>
      <w:pPr>
        <w:spacing w:after="0" w:line="240"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386" w:lineRule="auto" w:before="36"/>
        <w:ind w:right="0" w:firstLine="42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w:t>
      </w:r>
      <w:r>
        <w:rPr>
          <w:w w:val="100"/>
        </w:rPr>
        <w:t> </w:t>
      </w:r>
      <w:r>
        <w:rPr/>
        <w:t>自身存在市场，无形资产将在内部使用的，能证明其有用性；</w:t>
      </w:r>
    </w:p>
    <w:p>
      <w:pPr>
        <w:spacing w:line="240" w:lineRule="auto" w:before="2"/>
        <w:rPr>
          <w:rFonts w:ascii="宋体" w:hAnsi="宋体" w:cs="宋体" w:eastAsia="宋体" w:hint="default"/>
          <w:sz w:val="14"/>
          <w:szCs w:val="14"/>
        </w:rPr>
      </w:pPr>
    </w:p>
    <w:p>
      <w:pPr>
        <w:pStyle w:val="BodyText"/>
        <w:spacing w:line="386" w:lineRule="auto"/>
        <w:ind w:right="1129" w:firstLine="42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w:t>
      </w:r>
      <w:r>
        <w:rPr>
          <w:w w:val="100"/>
        </w:rPr>
        <w:t> </w:t>
      </w:r>
      <w:r>
        <w:rPr/>
        <w:t>无形资产；</w:t>
      </w:r>
    </w:p>
    <w:p>
      <w:pPr>
        <w:spacing w:line="240" w:lineRule="auto" w:before="2"/>
        <w:rPr>
          <w:rFonts w:ascii="宋体" w:hAnsi="宋体" w:cs="宋体" w:eastAsia="宋体" w:hint="default"/>
          <w:sz w:val="14"/>
          <w:szCs w:val="14"/>
        </w:rPr>
      </w:pPr>
    </w:p>
    <w:p>
      <w:pPr>
        <w:pStyle w:val="BodyText"/>
        <w:spacing w:line="484" w:lineRule="auto"/>
        <w:ind w:left="572" w:right="0"/>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2"/>
        </w:rPr>
        <w:t>不满足上述条件的开发阶段的支出，于发生时计入当期损益。前期已计入损益的开发支出不在以后期</w:t>
      </w:r>
    </w:p>
    <w:p>
      <w:pPr>
        <w:pStyle w:val="BodyText"/>
        <w:spacing w:line="254" w:lineRule="exact"/>
        <w:ind w:right="0"/>
        <w:jc w:val="left"/>
      </w:pPr>
      <w:r>
        <w:rPr/>
        <w:t>间确认为资产。已资本化的开发阶段的支出在资产负债表上列示为开发支出，自该项目达到预定可使用状</w:t>
      </w:r>
    </w:p>
    <w:p>
      <w:pPr>
        <w:spacing w:line="240" w:lineRule="auto" w:before="10"/>
        <w:rPr>
          <w:rFonts w:ascii="宋体" w:hAnsi="宋体" w:cs="宋体" w:eastAsia="宋体" w:hint="default"/>
          <w:sz w:val="14"/>
          <w:szCs w:val="14"/>
        </w:rPr>
      </w:pPr>
    </w:p>
    <w:p>
      <w:pPr>
        <w:pStyle w:val="BodyText"/>
        <w:spacing w:line="240" w:lineRule="auto"/>
        <w:ind w:right="0"/>
        <w:jc w:val="left"/>
      </w:pPr>
      <w:r>
        <w:rPr/>
        <w:t>态之日起转为无形资产。</w:t>
      </w:r>
    </w:p>
    <w:p>
      <w:pPr>
        <w:spacing w:line="240" w:lineRule="auto" w:before="0"/>
        <w:rPr>
          <w:rFonts w:ascii="宋体" w:hAnsi="宋体" w:cs="宋体" w:eastAsia="宋体" w:hint="default"/>
          <w:sz w:val="20"/>
          <w:szCs w:val="20"/>
        </w:rPr>
      </w:pPr>
    </w:p>
    <w:p>
      <w:pPr>
        <w:spacing w:line="571" w:lineRule="auto" w:before="154"/>
        <w:ind w:left="572" w:right="4273" w:hanging="421"/>
        <w:jc w:val="left"/>
        <w:rPr>
          <w:rFonts w:ascii="宋体" w:hAnsi="宋体" w:cs="宋体" w:eastAsia="宋体" w:hint="default"/>
          <w:sz w:val="21"/>
          <w:szCs w:val="21"/>
        </w:rPr>
      </w:pPr>
      <w:bookmarkStart w:name="19、长期资产减值" w:id="195"/>
      <w:bookmarkEnd w:id="195"/>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、长期资产减值</w:t>
      </w:r>
      <w:r>
        <w:rPr>
          <w:rFonts w:ascii="宋体" w:hAnsi="宋体" w:cs="宋体" w:eastAsia="宋体" w:hint="default"/>
          <w:b/>
          <w:bCs/>
          <w:w w:val="100"/>
          <w:sz w:val="21"/>
          <w:szCs w:val="21"/>
        </w:rPr>
        <w:t> </w:t>
      </w:r>
      <w:r>
        <w:rPr>
          <w:rFonts w:ascii="宋体" w:hAnsi="宋体" w:cs="宋体" w:eastAsia="宋体" w:hint="default"/>
          <w:spacing w:val="-2"/>
          <w:sz w:val="21"/>
          <w:szCs w:val="21"/>
        </w:rPr>
        <w:t>企业应当在资产负债表日判断资产是否存在可能发生减值的迹象。</w:t>
      </w:r>
    </w:p>
    <w:p>
      <w:pPr>
        <w:pStyle w:val="BodyText"/>
        <w:spacing w:line="408" w:lineRule="auto" w:before="23"/>
        <w:ind w:right="1129" w:firstLine="420"/>
        <w:jc w:val="left"/>
      </w:pPr>
      <w:r>
        <w:rPr>
          <w:spacing w:val="-2"/>
        </w:rPr>
        <w:t>因企业合并所形成的商誉和使用寿命不确定的无形资产，无论是否存在减值迹象，每年都应当进行减</w:t>
      </w:r>
      <w:r>
        <w:rPr>
          <w:w w:val="100"/>
        </w:rPr>
        <w:t> </w:t>
      </w:r>
      <w:r>
        <w:rPr/>
        <w:t>值测试。</w:t>
      </w:r>
    </w:p>
    <w:p>
      <w:pPr>
        <w:pStyle w:val="BodyText"/>
        <w:spacing w:line="240" w:lineRule="auto" w:before="166"/>
        <w:ind w:left="572" w:right="0"/>
        <w:jc w:val="left"/>
      </w:pPr>
      <w:r>
        <w:rPr/>
        <w:t>存在下列迹象的，表明资产可能发生了减值：</w:t>
      </w:r>
    </w:p>
    <w:p>
      <w:pPr>
        <w:spacing w:line="240" w:lineRule="auto" w:before="12"/>
        <w:rPr>
          <w:rFonts w:ascii="宋体" w:hAnsi="宋体" w:cs="宋体" w:eastAsia="宋体" w:hint="default"/>
          <w:sz w:val="23"/>
          <w:szCs w:val="23"/>
        </w:rPr>
      </w:pPr>
    </w:p>
    <w:p>
      <w:pPr>
        <w:pStyle w:val="BodyText"/>
        <w:spacing w:line="393" w:lineRule="auto"/>
        <w:ind w:right="1107" w:firstLine="419"/>
        <w:jc w:val="both"/>
      </w:pPr>
      <w:r>
        <w:rPr>
          <w:spacing w:val="-2"/>
        </w:rPr>
        <w:t>（</w:t>
      </w:r>
      <w:r>
        <w:rPr>
          <w:rFonts w:ascii="Times New Roman" w:hAnsi="Times New Roman" w:cs="Times New Roman" w:eastAsia="Times New Roman" w:hint="default"/>
          <w:spacing w:val="-2"/>
        </w:rPr>
        <w:t>1</w:t>
      </w:r>
      <w:r>
        <w:rPr>
          <w:spacing w:val="-2"/>
        </w:rPr>
        <w:t>）资产的市价当期大幅度下跌，其跌幅明显高于因时间的推移或者正常使用而预计的下跌；（</w:t>
      </w:r>
      <w:r>
        <w:rPr>
          <w:rFonts w:ascii="Times New Roman" w:hAnsi="Times New Roman" w:cs="Times New Roman" w:eastAsia="Times New Roman" w:hint="default"/>
          <w:spacing w:val="-2"/>
        </w:rPr>
        <w:t>2</w:t>
      </w:r>
      <w:r>
        <w:rPr>
          <w:spacing w:val="-2"/>
        </w:rPr>
        <w:t>）</w:t>
      </w:r>
      <w:r>
        <w:rPr>
          <w:w w:val="100"/>
        </w:rPr>
        <w:t> </w:t>
      </w:r>
      <w:r>
        <w:rPr>
          <w:spacing w:val="-2"/>
        </w:rPr>
        <w:t>企业经营所处的经济、技术或者法律等环境以及资产所处的市场在当期或者将在近期发生重大变化，从而</w:t>
      </w:r>
      <w:r>
        <w:rPr>
          <w:spacing w:val="-42"/>
        </w:rPr>
        <w:t> </w:t>
      </w:r>
      <w:r>
        <w:rPr>
          <w:spacing w:val="-42"/>
        </w:rPr>
      </w:r>
      <w:r>
        <w:rPr/>
        <w:t>对企业产生不利影响；（</w:t>
      </w:r>
      <w:r>
        <w:rPr>
          <w:rFonts w:ascii="Times New Roman" w:hAnsi="Times New Roman" w:cs="Times New Roman" w:eastAsia="Times New Roman" w:hint="default"/>
        </w:rPr>
        <w:t>3</w:t>
      </w:r>
      <w:r>
        <w:rPr/>
        <w:t>）市场利率或者其他市场投资报酬率在当期已经提高，从而影响企业计算资产</w:t>
      </w:r>
      <w:r>
        <w:rPr>
          <w:spacing w:val="-25"/>
        </w:rPr>
        <w:t> </w:t>
      </w:r>
      <w:r>
        <w:rPr>
          <w:spacing w:val="-25"/>
        </w:rPr>
      </w:r>
      <w:r>
        <w:rPr/>
        <w:t>预计未来现金流量现值的折现率，</w:t>
      </w:r>
      <w:r>
        <w:rPr>
          <w:spacing w:val="-29"/>
        </w:rPr>
        <w:t> </w:t>
      </w:r>
      <w:r>
        <w:rPr/>
        <w:t>导致资产可收回金额大幅度降低；（</w:t>
      </w:r>
      <w:r>
        <w:rPr>
          <w:rFonts w:ascii="Times New Roman" w:hAnsi="Times New Roman" w:cs="Times New Roman" w:eastAsia="Times New Roman" w:hint="default"/>
        </w:rPr>
        <w:t>4</w:t>
      </w:r>
      <w:r>
        <w:rPr/>
        <w:t>）有证据表明资产已经陈旧过时</w:t>
      </w:r>
      <w:r>
        <w:rPr>
          <w:w w:val="100"/>
        </w:rPr>
        <w:t> </w:t>
      </w:r>
      <w:r>
        <w:rPr>
          <w:spacing w:val="-3"/>
        </w:rPr>
        <w:t>或者其实体已经损坏；（</w:t>
      </w:r>
      <w:r>
        <w:rPr>
          <w:rFonts w:ascii="Times New Roman" w:hAnsi="Times New Roman" w:cs="Times New Roman" w:eastAsia="Times New Roman" w:hint="default"/>
          <w:spacing w:val="-3"/>
        </w:rPr>
        <w:t>5</w:t>
      </w:r>
      <w:r>
        <w:rPr>
          <w:spacing w:val="-3"/>
        </w:rPr>
        <w:t>）资产已经或者将被闲置、终止使用或者计划提前处置；（</w:t>
      </w:r>
      <w:r>
        <w:rPr>
          <w:rFonts w:ascii="Times New Roman" w:hAnsi="Times New Roman" w:cs="Times New Roman" w:eastAsia="Times New Roman" w:hint="default"/>
          <w:spacing w:val="-3"/>
        </w:rPr>
        <w:t>6</w:t>
      </w:r>
      <w:r>
        <w:rPr>
          <w:spacing w:val="-3"/>
        </w:rPr>
        <w:t>）企业内部报告的</w:t>
      </w:r>
      <w:r>
        <w:rPr>
          <w:spacing w:val="-8"/>
        </w:rPr>
        <w:t> </w:t>
      </w:r>
      <w:r>
        <w:rPr>
          <w:spacing w:val="-8"/>
        </w:rPr>
      </w:r>
      <w:r>
        <w:rPr>
          <w:spacing w:val="-2"/>
        </w:rPr>
        <w:t>证据表明资产的经济绩效已经低于或者将低于预期，如资产所创造的净现金流量或者实现的营业利润（或</w:t>
      </w:r>
      <w:r>
        <w:rPr>
          <w:spacing w:val="-42"/>
        </w:rPr>
        <w:t> </w:t>
      </w:r>
      <w:r>
        <w:rPr>
          <w:spacing w:val="-42"/>
        </w:rPr>
      </w:r>
      <w:r>
        <w:rPr/>
        <w:t>者亏损）远远低于（或者高于）预计金额等；（</w:t>
      </w:r>
      <w:r>
        <w:rPr>
          <w:rFonts w:ascii="Times New Roman" w:hAnsi="Times New Roman" w:cs="Times New Roman" w:eastAsia="Times New Roman" w:hint="default"/>
        </w:rPr>
        <w:t>7</w:t>
      </w:r>
      <w:r>
        <w:rPr/>
        <w:t>）其他表明资产可能已经发生减值的迹象。</w:t>
      </w:r>
    </w:p>
    <w:p>
      <w:pPr>
        <w:pStyle w:val="BodyText"/>
        <w:spacing w:line="240" w:lineRule="auto" w:before="148"/>
        <w:ind w:left="572" w:right="0"/>
        <w:jc w:val="left"/>
      </w:pPr>
      <w:r>
        <w:rPr/>
        <w:t>资产存在减值迹象的，应当估计其可收回金额。</w:t>
      </w:r>
    </w:p>
    <w:p>
      <w:pPr>
        <w:spacing w:line="240" w:lineRule="auto" w:before="12"/>
        <w:rPr>
          <w:rFonts w:ascii="宋体" w:hAnsi="宋体" w:cs="宋体" w:eastAsia="宋体" w:hint="default"/>
          <w:sz w:val="23"/>
          <w:szCs w:val="23"/>
        </w:rPr>
      </w:pPr>
    </w:p>
    <w:p>
      <w:pPr>
        <w:pStyle w:val="BodyText"/>
        <w:spacing w:line="408" w:lineRule="auto"/>
        <w:ind w:right="0" w:firstLine="420"/>
        <w:jc w:val="left"/>
      </w:pPr>
      <w:r>
        <w:rPr>
          <w:spacing w:val="2"/>
        </w:rPr>
        <w:t>可收回金额应当根据资产的公允价值减去处置费用后的净额与资产预计未来现金流量的现值两者之</w:t>
      </w:r>
      <w:r>
        <w:rPr>
          <w:w w:val="100"/>
        </w:rPr>
        <w:t> </w:t>
      </w:r>
      <w:r>
        <w:rPr/>
        <w:t>间较高者确定。</w:t>
      </w:r>
    </w:p>
    <w:p>
      <w:pPr>
        <w:pStyle w:val="BodyText"/>
        <w:spacing w:line="408" w:lineRule="auto" w:before="166"/>
        <w:ind w:right="0" w:firstLine="420"/>
        <w:jc w:val="left"/>
      </w:pPr>
      <w:r>
        <w:rPr>
          <w:spacing w:val="-2"/>
        </w:rPr>
        <w:t>处置费用包括与资产处置有关的法律费用、相关税费、搬运费以及为使资产达到可销售状态所发生的</w:t>
      </w:r>
      <w:r>
        <w:rPr>
          <w:w w:val="100"/>
        </w:rPr>
        <w:t> </w:t>
      </w:r>
      <w:r>
        <w:rPr/>
        <w:t>直接费用等。</w:t>
      </w:r>
    </w:p>
    <w:p>
      <w:pPr>
        <w:pStyle w:val="BodyText"/>
        <w:spacing w:line="240" w:lineRule="auto" w:before="166"/>
        <w:ind w:left="572" w:right="0"/>
        <w:jc w:val="left"/>
      </w:pPr>
      <w:r>
        <w:rPr/>
        <w:t>资产预计未来现金流量的现值，应当按照资产在持续使用过程中和最终处置时所产生的预计未来现金</w:t>
      </w:r>
    </w:p>
    <w:p>
      <w:pPr>
        <w:spacing w:after="0" w:line="240"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30"/>
        <w:jc w:val="both"/>
      </w:pPr>
      <w:r>
        <w:rPr>
          <w:spacing w:val="-2"/>
        </w:rPr>
        <w:t>流量，选择恰当的折现率对其进行折现后的金额加以确定。预计资产未来现金流量的现值，应当综合考虑</w:t>
      </w:r>
      <w:r>
        <w:rPr>
          <w:spacing w:val="-47"/>
        </w:rPr>
        <w:t> </w:t>
      </w:r>
      <w:r>
        <w:rPr>
          <w:spacing w:val="-47"/>
        </w:rPr>
      </w:r>
      <w:r>
        <w:rPr/>
        <w:t>资产的预计未来现金流量、使用寿命和折现率等因素。</w:t>
      </w:r>
    </w:p>
    <w:p>
      <w:pPr>
        <w:pStyle w:val="BodyText"/>
        <w:spacing w:line="408" w:lineRule="auto" w:before="166"/>
        <w:ind w:right="1128" w:firstLine="420"/>
        <w:jc w:val="both"/>
      </w:pPr>
      <w:r>
        <w:rPr>
          <w:spacing w:val="-2"/>
        </w:rPr>
        <w:t>可收回金额的计量结果表明，资产的可收回金额低于其账面价值的，应当将资产的账面价值减记至可</w:t>
      </w:r>
      <w:r>
        <w:rPr>
          <w:w w:val="100"/>
        </w:rPr>
        <w:t> </w:t>
      </w:r>
      <w:r>
        <w:rPr/>
        <w:t>收回金额，减记的金额确认为资产减值损失，计入当期损益，同时计提相应的资产减值准备。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690" w:lineRule="atLeast"/>
        <w:ind w:left="572" w:right="0" w:hanging="420"/>
        <w:jc w:val="left"/>
      </w:pPr>
      <w:bookmarkStart w:name="20、长期待摊费用" w:id="196"/>
      <w:bookmarkEnd w:id="196"/>
      <w:r>
        <w:rPr/>
      </w:r>
      <w:r>
        <w:rPr>
          <w:rFonts w:ascii="Times New Roman" w:hAnsi="Times New Roman" w:cs="Times New Roman" w:eastAsia="Times New Roman" w:hint="default"/>
          <w:b/>
          <w:bCs/>
        </w:rPr>
        <w:t>20</w:t>
      </w:r>
      <w:r>
        <w:rPr>
          <w:rFonts w:ascii="宋体" w:hAnsi="宋体" w:cs="宋体" w:eastAsia="宋体" w:hint="default"/>
          <w:b/>
          <w:bCs/>
        </w:rPr>
        <w:t>、长期待摊费用</w:t>
      </w:r>
      <w:r>
        <w:rPr>
          <w:rFonts w:ascii="宋体" w:hAnsi="宋体" w:cs="宋体" w:eastAsia="宋体" w:hint="default"/>
          <w:b/>
          <w:bCs/>
          <w:w w:val="100"/>
        </w:rPr>
        <w:t> </w:t>
      </w:r>
      <w:r>
        <w:rPr>
          <w:spacing w:val="-2"/>
        </w:rPr>
        <w:t>本集团的长期待摊费用是指已经支出，但应由当期及以后各期承担的摊销期限在</w:t>
      </w:r>
      <w:r>
        <w:rPr>
          <w:rFonts w:ascii="Times New Roman" w:hAnsi="Times New Roman" w:cs="Times New Roman" w:eastAsia="Times New Roman" w:hint="default"/>
          <w:spacing w:val="-2"/>
        </w:rPr>
        <w:t>1</w:t>
      </w:r>
      <w:r>
        <w:rPr>
          <w:spacing w:val="-2"/>
        </w:rPr>
        <w:t>年以上（不含</w:t>
      </w:r>
      <w:r>
        <w:rPr>
          <w:rFonts w:ascii="Times New Roman" w:hAnsi="Times New Roman" w:cs="Times New Roman" w:eastAsia="Times New Roman" w:hint="default"/>
          <w:spacing w:val="-2"/>
        </w:rPr>
        <w:t>1</w:t>
      </w:r>
      <w:r>
        <w:rPr>
          <w:spacing w:val="-2"/>
        </w:rPr>
        <w:t>年）</w:t>
      </w:r>
      <w:r>
        <w:rPr/>
      </w:r>
    </w:p>
    <w:p>
      <w:pPr>
        <w:pStyle w:val="BodyText"/>
        <w:spacing w:line="408" w:lineRule="auto" w:before="177"/>
        <w:ind w:right="1128"/>
        <w:jc w:val="both"/>
      </w:pPr>
      <w:r>
        <w:rPr>
          <w:spacing w:val="-2"/>
        </w:rPr>
        <w:t>的费用，该等费用在受益期内平均摊销。如果长期待摊费用项目不能使以后会计期间受益，则将尚未摊销</w:t>
      </w:r>
      <w:r>
        <w:rPr>
          <w:spacing w:val="-44"/>
        </w:rPr>
        <w:t> </w:t>
      </w:r>
      <w:r>
        <w:rPr>
          <w:spacing w:val="-44"/>
        </w:rPr>
      </w:r>
      <w:r>
        <w:rPr/>
        <w:t>的该项目的摊余价值全部转入当期损益。</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1、职工薪酬" w:id="197"/>
      <w:bookmarkEnd w:id="197"/>
      <w:r>
        <w:rPr>
          <w:b w:val="0"/>
          <w:bCs w:val="0"/>
        </w:rPr>
      </w:r>
      <w:r>
        <w:rPr>
          <w:rFonts w:ascii="Times New Roman" w:hAnsi="Times New Roman" w:cs="Times New Roman" w:eastAsia="Times New Roman" w:hint="default"/>
        </w:rPr>
        <w:t>21</w:t>
      </w:r>
      <w:r>
        <w:rPr/>
        <w:t>、职工薪酬</w:t>
      </w:r>
      <w:r>
        <w:rPr>
          <w:b w:val="0"/>
          <w:bCs w:val="0"/>
        </w:rPr>
      </w:r>
    </w:p>
    <w:p>
      <w:pPr>
        <w:spacing w:line="692" w:lineRule="exact" w:before="13"/>
        <w:ind w:left="572" w:right="0" w:hanging="420"/>
        <w:jc w:val="left"/>
        <w:rPr>
          <w:rFonts w:ascii="宋体" w:hAnsi="宋体" w:cs="宋体" w:eastAsia="宋体" w:hint="default"/>
          <w:sz w:val="21"/>
          <w:szCs w:val="21"/>
        </w:rPr>
      </w:pPr>
      <w:bookmarkStart w:name="（1）短期薪酬的会计处理方法"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短期薪酬主要包括职工工资、奖金、职工福利费、医疗保险费、住房公积金等，在职工提供服务的会</w:t>
      </w:r>
    </w:p>
    <w:p>
      <w:pPr>
        <w:pStyle w:val="BodyText"/>
        <w:spacing w:line="240" w:lineRule="auto" w:before="84"/>
        <w:ind w:right="0"/>
        <w:jc w:val="left"/>
      </w:pPr>
      <w:r>
        <w:rPr/>
        <w:t>计期间，将实际发生的短期薪酬确认为负债，并按照受益对象计入当期损益或相关资产成本。</w:t>
      </w:r>
    </w:p>
    <w:p>
      <w:pPr>
        <w:spacing w:line="670" w:lineRule="atLeast" w:before="37"/>
        <w:ind w:left="572" w:right="0" w:hanging="420"/>
        <w:jc w:val="left"/>
        <w:rPr>
          <w:rFonts w:ascii="宋体" w:hAnsi="宋体" w:cs="宋体" w:eastAsia="宋体" w:hint="default"/>
          <w:sz w:val="21"/>
          <w:szCs w:val="21"/>
        </w:rPr>
      </w:pPr>
      <w:bookmarkStart w:name="（2）离职后福利的会计处理方法"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离职后福利主要包括基本养老保险费、失业保险费等，按照公司承担的风险和义务，分类为设定提存</w:t>
      </w:r>
    </w:p>
    <w:p>
      <w:pPr>
        <w:spacing w:line="240" w:lineRule="auto" w:before="10"/>
        <w:rPr>
          <w:rFonts w:ascii="宋体" w:hAnsi="宋体" w:cs="宋体" w:eastAsia="宋体" w:hint="default"/>
          <w:sz w:val="14"/>
          <w:szCs w:val="14"/>
        </w:rPr>
      </w:pPr>
    </w:p>
    <w:p>
      <w:pPr>
        <w:pStyle w:val="BodyText"/>
        <w:spacing w:line="408" w:lineRule="auto"/>
        <w:ind w:right="1128"/>
        <w:jc w:val="both"/>
      </w:pPr>
      <w:r>
        <w:rPr>
          <w:spacing w:val="-2"/>
        </w:rPr>
        <w:t>计划、设定受益计划。对于设定提存计划在根据在资产负债表日为换取职工在会计期间提供的服务而向单</w:t>
      </w:r>
      <w:r>
        <w:rPr>
          <w:spacing w:val="-42"/>
        </w:rPr>
        <w:t> </w:t>
      </w:r>
      <w:r>
        <w:rPr>
          <w:spacing w:val="-42"/>
        </w:rPr>
      </w:r>
      <w:r>
        <w:rPr>
          <w:spacing w:val="-2"/>
        </w:rPr>
        <w:t>独主体缴存的提存金确认为负债，并按照受益对象计入当期损益或相关资产成本。本集团不存在设定受益</w:t>
      </w:r>
      <w:r>
        <w:rPr>
          <w:spacing w:val="-42"/>
        </w:rPr>
        <w:t> </w:t>
      </w:r>
      <w:r>
        <w:rPr>
          <w:spacing w:val="-42"/>
        </w:rPr>
      </w:r>
      <w:r>
        <w:rPr/>
        <w:t>计划。</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3）辞退福利的会计处理方法" w:id="200"/>
      <w:bookmarkEnd w:id="200"/>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28" w:firstLine="420"/>
        <w:jc w:val="both"/>
      </w:pPr>
      <w:r>
        <w:rPr>
          <w:spacing w:val="-2"/>
        </w:rPr>
        <w:t>如在职工劳动合同到期之前决定解除与职工的劳动关系，或为鼓励职工自愿接受裁减而提出给予补偿</w:t>
      </w:r>
      <w:r>
        <w:rPr>
          <w:w w:val="100"/>
        </w:rPr>
        <w:t> </w:t>
      </w:r>
      <w:r>
        <w:rPr>
          <w:spacing w:val="-2"/>
        </w:rPr>
        <w:t>的建议，如果本集团已经制定正式的解除劳动关系计划或提出自愿裁减建议，并即将实施，同时本集团不</w:t>
      </w:r>
      <w:r>
        <w:rPr>
          <w:spacing w:val="-44"/>
        </w:rPr>
        <w:t> </w:t>
      </w:r>
      <w:r>
        <w:rPr>
          <w:spacing w:val="-44"/>
        </w:rPr>
      </w:r>
      <w:r>
        <w:rPr>
          <w:spacing w:val="-2"/>
        </w:rPr>
        <w:t>能单方面撤回解除劳动关系计划或裁减建议的，确认因解除与职工劳动关系给予补偿产生的负债，计入当</w:t>
      </w:r>
      <w:r>
        <w:rPr>
          <w:spacing w:val="-42"/>
        </w:rPr>
        <w:t> </w:t>
      </w:r>
      <w:r>
        <w:rPr>
          <w:spacing w:val="-42"/>
        </w:rPr>
      </w:r>
      <w:r>
        <w:rPr/>
        <w:t>期损益。本集团辞退福利是由于职工内部离退休产生。</w:t>
      </w:r>
    </w:p>
    <w:p>
      <w:pPr>
        <w:spacing w:after="0" w:line="408" w:lineRule="auto"/>
        <w:jc w:val="both"/>
        <w:sectPr>
          <w:pgSz w:w="11910" w:h="16840"/>
          <w:pgMar w:header="880" w:footer="977"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22、预计负债" w:id="201"/>
      <w:bookmarkEnd w:id="201"/>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28" w:firstLine="420"/>
        <w:jc w:val="both"/>
        <w:rPr>
          <w:rFonts w:ascii="宋体" w:hAnsi="宋体" w:cs="宋体" w:eastAsia="宋体" w:hint="default"/>
        </w:rPr>
      </w:pPr>
      <w:r>
        <w:rPr>
          <w:spacing w:val="-2"/>
        </w:rPr>
        <w:t>当与对外担保、商业承兑汇票贴现、未决诉讼或仲裁、产品质量保证等或有事项相关的业务同时符合</w:t>
      </w:r>
      <w:r>
        <w:rPr>
          <w:w w:val="100"/>
        </w:rPr>
        <w:t> </w:t>
      </w:r>
      <w:r>
        <w:rPr>
          <w:spacing w:val="-2"/>
        </w:rPr>
        <w:t>以下条件时，本集团将其确认为负债：该义务是本集团承担的现时义务；该义务的履行很可能导致经济利</w:t>
      </w:r>
      <w:r>
        <w:rPr>
          <w:spacing w:val="-46"/>
        </w:rPr>
        <w:t> </w:t>
      </w:r>
      <w:r>
        <w:rPr>
          <w:spacing w:val="-46"/>
        </w:rPr>
      </w:r>
      <w:r>
        <w:rPr/>
        <w:t>益流出企业；该义务的金额能够可靠地计量。</w:t>
      </w:r>
      <w:r>
        <w:rPr>
          <w:rFonts w:ascii="宋体" w:hAnsi="宋体" w:cs="宋体" w:eastAsia="宋体" w:hint="default"/>
        </w:rPr>
        <w:t> </w:t>
      </w:r>
    </w:p>
    <w:p>
      <w:pPr>
        <w:pStyle w:val="BodyText"/>
        <w:spacing w:line="408" w:lineRule="auto" w:before="166"/>
        <w:ind w:right="1128" w:firstLine="420"/>
        <w:jc w:val="both"/>
        <w:rPr>
          <w:rFonts w:ascii="宋体" w:hAnsi="宋体" w:cs="宋体" w:eastAsia="宋体" w:hint="default"/>
        </w:rPr>
      </w:pPr>
      <w:r>
        <w:rPr>
          <w:spacing w:val="-2"/>
        </w:rPr>
        <w:t>预计负债按照履行相关现时义务所需支出的最佳估计数进行初始计量，并综合考虑与或有事项有关的</w:t>
      </w:r>
      <w:r>
        <w:rPr>
          <w:w w:val="100"/>
        </w:rPr>
        <w:t> </w:t>
      </w:r>
      <w:r>
        <w:rPr>
          <w:spacing w:val="-2"/>
        </w:rPr>
        <w:t>风险、不确定性和货币时间价值等因素。货币时间价值影响重大的，通过对相关未来现金流出进行折现后</w:t>
      </w:r>
      <w:r>
        <w:rPr>
          <w:spacing w:val="-48"/>
        </w:rPr>
        <w:t> </w:t>
      </w:r>
      <w:r>
        <w:rPr>
          <w:spacing w:val="-48"/>
        </w:rPr>
      </w:r>
      <w:r>
        <w:rPr>
          <w:spacing w:val="-2"/>
        </w:rPr>
        <w:t>确定最佳估计数。每个资产负债表日对预计负债的账面价值进行复核，如有改变则对账面价值进行调整以</w:t>
      </w:r>
      <w:r>
        <w:rPr>
          <w:spacing w:val="-42"/>
        </w:rPr>
        <w:t> </w:t>
      </w:r>
      <w:r>
        <w:rPr>
          <w:spacing w:val="-42"/>
        </w:rPr>
      </w:r>
      <w:r>
        <w:rPr/>
        <w:t>反映当前最佳估计数。</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3、股份支付" w:id="202"/>
      <w:bookmarkEnd w:id="202"/>
      <w:r>
        <w:rPr>
          <w:b w:val="0"/>
          <w:bCs w:val="0"/>
        </w:rPr>
      </w:r>
      <w:r>
        <w:rPr>
          <w:rFonts w:ascii="Times New Roman" w:hAnsi="Times New Roman" w:cs="Times New Roman" w:eastAsia="Times New Roman" w:hint="default"/>
        </w:rPr>
        <w:t>23</w:t>
      </w:r>
      <w:r>
        <w:rPr/>
        <w:t>、股份支付</w:t>
      </w:r>
      <w:r>
        <w:rPr>
          <w:b w:val="0"/>
          <w:bCs w:val="0"/>
        </w:rPr>
      </w:r>
    </w:p>
    <w:p>
      <w:pPr>
        <w:spacing w:line="240" w:lineRule="auto" w:before="5"/>
        <w:rPr>
          <w:rFonts w:ascii="宋体" w:hAnsi="宋体" w:cs="宋体" w:eastAsia="宋体" w:hint="default"/>
          <w:b/>
          <w:bCs/>
          <w:sz w:val="30"/>
          <w:szCs w:val="30"/>
        </w:rPr>
      </w:pPr>
    </w:p>
    <w:p>
      <w:pPr>
        <w:pStyle w:val="BodyText"/>
        <w:spacing w:line="408" w:lineRule="auto"/>
        <w:ind w:right="1132" w:firstLine="420"/>
        <w:jc w:val="both"/>
      </w:pPr>
      <w:r>
        <w:rPr>
          <w:spacing w:val="2"/>
        </w:rPr>
        <w:t>股份支付是指为了获取职工或其他方提供服务而授予权益工具或者承担以权益工具为基础确定的负</w:t>
      </w:r>
      <w:r>
        <w:rPr>
          <w:w w:val="100"/>
        </w:rPr>
        <w:t> </w:t>
      </w:r>
      <w:r>
        <w:rPr/>
        <w:t>债的交易。股份支付分为以权益结算的股份支付和以现金结算的股份支付。</w:t>
      </w:r>
    </w:p>
    <w:p>
      <w:pPr>
        <w:pStyle w:val="BodyText"/>
        <w:spacing w:line="408" w:lineRule="auto" w:before="166"/>
        <w:ind w:right="1128" w:firstLine="420"/>
        <w:jc w:val="both"/>
      </w:pPr>
      <w:r>
        <w:rPr>
          <w:spacing w:val="-2"/>
        </w:rPr>
        <w:t>用以换取职工提供服务的以权益结算的股份支付，以授予职工权益工具在授予日的公允价值计量。该</w:t>
      </w:r>
      <w:r>
        <w:rPr>
          <w:w w:val="100"/>
        </w:rPr>
        <w:t> </w:t>
      </w:r>
      <w:r>
        <w:rPr>
          <w:spacing w:val="-2"/>
        </w:rPr>
        <w:t>公允价值的金额在完成等待期内的服务或达到规定业绩条件才可行权的情况下，在等待期内以对可行权权</w:t>
      </w:r>
      <w:r>
        <w:rPr>
          <w:spacing w:val="-42"/>
        </w:rPr>
        <w:t> </w:t>
      </w:r>
      <w:r>
        <w:rPr>
          <w:spacing w:val="-42"/>
        </w:rPr>
      </w:r>
      <w:r>
        <w:rPr/>
        <w:t>益工具数量的最佳估计为基础，按直线法计算计入相关成本或费用，相应增加资本公积。</w:t>
      </w:r>
    </w:p>
    <w:p>
      <w:pPr>
        <w:pStyle w:val="BodyText"/>
        <w:spacing w:line="408" w:lineRule="auto" w:before="166"/>
        <w:ind w:right="1128" w:firstLine="420"/>
        <w:jc w:val="both"/>
      </w:pPr>
      <w:r>
        <w:rPr>
          <w:spacing w:val="2"/>
        </w:rPr>
        <w:t>以现金结算的股份支付，按照本集团承担的以股份或其他权益工具为基础确定的负债的公允价值计</w:t>
      </w:r>
      <w:r>
        <w:rPr>
          <w:w w:val="100"/>
        </w:rPr>
        <w:t> </w:t>
      </w:r>
      <w:r>
        <w:rPr>
          <w:spacing w:val="-2"/>
        </w:rPr>
        <w:t>量。如授予后立即可行权，在授予日以承担负债的公允价值计入相关成本或费用，相应增加负债；如需完</w:t>
      </w:r>
      <w:r>
        <w:rPr>
          <w:spacing w:val="-48"/>
        </w:rPr>
        <w:t> </w:t>
      </w:r>
      <w:r>
        <w:rPr>
          <w:spacing w:val="-48"/>
        </w:rPr>
      </w:r>
      <w:r>
        <w:rPr>
          <w:spacing w:val="-2"/>
        </w:rPr>
        <w:t>成等待期内的服务或达到规定业绩条件以后才可行权，在等待期的每个资产负债表日，以对可行权情况的</w:t>
      </w:r>
      <w:r>
        <w:rPr>
          <w:spacing w:val="-42"/>
        </w:rPr>
        <w:t> </w:t>
      </w:r>
      <w:r>
        <w:rPr>
          <w:spacing w:val="-42"/>
        </w:rPr>
      </w:r>
      <w:r>
        <w:rPr>
          <w:spacing w:val="-2"/>
        </w:rPr>
        <w:t>最佳估计为基础，按照本集团承担负债的公允价值金额，将当期取得的服务计入成本或费用，相应调整负</w:t>
      </w:r>
      <w:r>
        <w:rPr>
          <w:spacing w:val="-48"/>
        </w:rPr>
        <w:t> </w:t>
      </w:r>
      <w:r>
        <w:rPr>
          <w:spacing w:val="-48"/>
        </w:rPr>
      </w:r>
      <w:r>
        <w:rPr/>
        <w:t>债。</w:t>
      </w:r>
    </w:p>
    <w:p>
      <w:pPr>
        <w:pStyle w:val="BodyText"/>
        <w:spacing w:line="408" w:lineRule="auto" w:before="166"/>
        <w:ind w:right="1128" w:firstLine="420"/>
        <w:jc w:val="both"/>
      </w:pPr>
      <w:r>
        <w:rPr>
          <w:spacing w:val="-2"/>
        </w:rPr>
        <w:t>在相关负债结算前的每个资产负债表日以及结算日，对负债的公允价值重新计量，其变动计入当期损</w:t>
      </w:r>
      <w:r>
        <w:rPr>
          <w:w w:val="100"/>
        </w:rPr>
        <w:t> </w:t>
      </w:r>
      <w:r>
        <w:rPr/>
        <w:t>益。</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4、收入" w:id="203"/>
      <w:bookmarkEnd w:id="203"/>
      <w:r>
        <w:rPr>
          <w:b w:val="0"/>
          <w:bCs w:val="0"/>
        </w:rPr>
      </w:r>
      <w:r>
        <w:rPr>
          <w:rFonts w:ascii="Times New Roman" w:hAnsi="Times New Roman" w:cs="Times New Roman" w:eastAsia="Times New Roman" w:hint="default"/>
        </w:rPr>
        <w:t>24</w:t>
      </w:r>
      <w:r>
        <w:rPr/>
        <w:t>、收入</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408" w:lineRule="auto" w:before="155"/>
        <w:ind w:right="1131" w:firstLine="420"/>
        <w:jc w:val="both"/>
      </w:pPr>
      <w:r>
        <w:rPr>
          <w:spacing w:val="-3"/>
        </w:rPr>
        <w:t>本集团的营业收入主要包括信息化解决方案、软件开发收入、服务收入、销售商品收入、让渡资产使</w:t>
      </w:r>
      <w:r>
        <w:rPr>
          <w:spacing w:val="-3"/>
          <w:w w:val="100"/>
        </w:rPr>
        <w:t> </w:t>
      </w:r>
      <w:r>
        <w:rPr/>
        <w:t>用权收入，收入确认原则和方法如下：</w:t>
      </w:r>
    </w:p>
    <w:p>
      <w:pPr>
        <w:pStyle w:val="BodyText"/>
        <w:spacing w:line="240" w:lineRule="auto" w:before="166"/>
        <w:ind w:left="572" w:right="0"/>
        <w:jc w:val="left"/>
      </w:pPr>
      <w:r>
        <w:rPr/>
        <w:t>收入确认的原则：本集团在已将商品所有权上的主要风险和报酬转移给购货方、本集团既没有保留通</w:t>
      </w:r>
    </w:p>
    <w:p>
      <w:pPr>
        <w:spacing w:after="0" w:line="240"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8"/>
        <w:jc w:val="both"/>
      </w:pPr>
      <w:r>
        <w:rPr>
          <w:spacing w:val="-2"/>
        </w:rPr>
        <w:t>常与所有权相联系的继续管理权、也没有对已售出的商品实施有效控制、收入的金额能够可靠地计量、相</w:t>
      </w:r>
      <w:r>
        <w:rPr>
          <w:spacing w:val="-43"/>
        </w:rPr>
        <w:t> </w:t>
      </w:r>
      <w:r>
        <w:rPr>
          <w:spacing w:val="-43"/>
        </w:rPr>
      </w:r>
      <w:r>
        <w:rPr>
          <w:spacing w:val="-2"/>
        </w:rPr>
        <w:t>关的经济利益很可能流入企业、相关的已发生或将发生的成本能够可靠地计量时，确认销售商品收入的实</w:t>
      </w:r>
      <w:r>
        <w:rPr>
          <w:spacing w:val="-42"/>
        </w:rPr>
        <w:t> </w:t>
      </w:r>
      <w:r>
        <w:rPr>
          <w:spacing w:val="-42"/>
        </w:rPr>
      </w:r>
      <w:r>
        <w:rPr/>
        <w:t>现。</w:t>
      </w:r>
    </w:p>
    <w:p>
      <w:pPr>
        <w:pStyle w:val="BodyText"/>
        <w:spacing w:line="240" w:lineRule="auto" w:before="166"/>
        <w:ind w:left="572" w:right="0"/>
        <w:jc w:val="left"/>
      </w:pPr>
      <w:r>
        <w:rPr/>
        <w:t>具体确认方法如下：</w:t>
      </w:r>
    </w:p>
    <w:p>
      <w:pPr>
        <w:spacing w:line="240" w:lineRule="auto" w:before="12"/>
        <w:rPr>
          <w:rFonts w:ascii="宋体" w:hAnsi="宋体" w:cs="宋体" w:eastAsia="宋体" w:hint="default"/>
          <w:sz w:val="23"/>
          <w:szCs w:val="23"/>
        </w:rPr>
      </w:pPr>
    </w:p>
    <w:p>
      <w:pPr>
        <w:pStyle w:val="BodyText"/>
        <w:spacing w:line="400" w:lineRule="auto"/>
        <w:ind w:right="1127" w:firstLine="420"/>
        <w:jc w:val="both"/>
      </w:pPr>
      <w:r>
        <w:rPr>
          <w:rFonts w:ascii="Times New Roman" w:hAnsi="Times New Roman" w:cs="Times New Roman" w:eastAsia="Times New Roman" w:hint="default"/>
          <w:spacing w:val="-1"/>
        </w:rPr>
        <w:t>1.</w:t>
      </w:r>
      <w:r>
        <w:rPr>
          <w:spacing w:val="-1"/>
        </w:rPr>
        <w:t>信息化解决方案：本集团信息化解决方案合同一般包括工艺设计、设备采购、系统集成及安装调试</w:t>
      </w:r>
      <w:r>
        <w:rPr>
          <w:w w:val="100"/>
        </w:rPr>
        <w:t> </w:t>
      </w:r>
      <w:r>
        <w:rPr>
          <w:spacing w:val="-2"/>
        </w:rPr>
        <w:t>等一系列业务。对信息化解决方案，若合同规定需经客户或其他第三方验收的，本集团在系统交付客户运</w:t>
      </w:r>
      <w:r>
        <w:rPr>
          <w:spacing w:val="-44"/>
        </w:rPr>
        <w:t> </w:t>
      </w:r>
      <w:r>
        <w:rPr>
          <w:spacing w:val="-44"/>
        </w:rPr>
      </w:r>
      <w:r>
        <w:rPr>
          <w:spacing w:val="-2"/>
        </w:rPr>
        <w:t>行并取得客户或其他第三方签署的验收文件后一次性确认收入的实现；若合同未规定需经客户或其他第三</w:t>
      </w:r>
      <w:r>
        <w:rPr>
          <w:spacing w:val="-43"/>
        </w:rPr>
        <w:t> </w:t>
      </w:r>
      <w:r>
        <w:rPr>
          <w:spacing w:val="-43"/>
        </w:rPr>
      </w:r>
      <w:r>
        <w:rPr/>
        <w:t>方验收的，本集团在项目完工并移交客户使用时确认收入的实现。</w:t>
      </w:r>
    </w:p>
    <w:p>
      <w:pPr>
        <w:pStyle w:val="BodyText"/>
        <w:spacing w:line="400" w:lineRule="auto" w:before="172"/>
        <w:ind w:right="1128" w:firstLine="420"/>
        <w:jc w:val="both"/>
      </w:pPr>
      <w:r>
        <w:rPr>
          <w:rFonts w:ascii="Times New Roman" w:hAnsi="Times New Roman" w:cs="Times New Roman" w:eastAsia="Times New Roman" w:hint="default"/>
          <w:spacing w:val="-1"/>
        </w:rPr>
        <w:t>2.</w:t>
      </w:r>
      <w:r>
        <w:rPr>
          <w:spacing w:val="-1"/>
        </w:rPr>
        <w:t>软件开发收入：本集团软件开发合同主要为客户定制开发的软件产品。对软件开发收入，若合同规</w:t>
      </w:r>
      <w:r>
        <w:rPr>
          <w:w w:val="100"/>
        </w:rPr>
        <w:t> </w:t>
      </w:r>
      <w:r>
        <w:rPr>
          <w:spacing w:val="-2"/>
        </w:rPr>
        <w:t>定需经客户验收的，本集团在软件交付客户运行并取得客户或第三方签署的验收文件后一次性确认收入的</w:t>
      </w:r>
      <w:r>
        <w:rPr>
          <w:spacing w:val="-43"/>
        </w:rPr>
        <w:t> </w:t>
      </w:r>
      <w:r>
        <w:rPr>
          <w:spacing w:val="-43"/>
        </w:rPr>
      </w:r>
      <w:r>
        <w:rPr>
          <w:spacing w:val="-2"/>
        </w:rPr>
        <w:t>实现；若合同未规定需经客户或其他第三方验收的，本集团在项目完成并将开发的软件移交客户后确认收</w:t>
      </w:r>
      <w:r>
        <w:rPr>
          <w:spacing w:val="-42"/>
        </w:rPr>
        <w:t> </w:t>
      </w:r>
      <w:r>
        <w:rPr>
          <w:spacing w:val="-42"/>
        </w:rPr>
      </w:r>
      <w:r>
        <w:rPr/>
        <w:t>入的实现。</w:t>
      </w:r>
    </w:p>
    <w:p>
      <w:pPr>
        <w:pStyle w:val="BodyText"/>
        <w:spacing w:line="400" w:lineRule="auto" w:before="172"/>
        <w:ind w:right="0" w:firstLine="420"/>
        <w:jc w:val="left"/>
      </w:pPr>
      <w:r>
        <w:rPr>
          <w:rFonts w:ascii="Times New Roman" w:hAnsi="Times New Roman" w:cs="Times New Roman" w:eastAsia="Times New Roman" w:hint="default"/>
          <w:spacing w:val="-3"/>
        </w:rPr>
        <w:t>3.</w:t>
      </w:r>
      <w:r>
        <w:rPr>
          <w:spacing w:val="-3"/>
        </w:rPr>
        <w:t>服务收入：服务收入主要分为烟草信息化服务业务和会议服务业务两类，包括系统的日常维护保养、</w:t>
      </w:r>
      <w:r>
        <w:rPr>
          <w:w w:val="100"/>
        </w:rPr>
        <w:t> </w:t>
      </w:r>
      <w:r>
        <w:rPr>
          <w:spacing w:val="-5"/>
        </w:rPr>
        <w:t>技术支持、系统升级等，还包括公司会议设备的租赁服务等。对服务收入，针对烟草客户信息化服务业务，</w:t>
      </w:r>
      <w:r>
        <w:rPr>
          <w:spacing w:val="-7"/>
        </w:rPr>
        <w:t> </w:t>
      </w:r>
      <w:r>
        <w:rPr>
          <w:spacing w:val="-7"/>
        </w:rPr>
      </w:r>
      <w:r>
        <w:rPr>
          <w:spacing w:val="-2"/>
        </w:rPr>
        <w:t>本集团在服务完成且取得客户签署的验收文件时一次性确认收入；针对会议服务项目，本集团在会议服务</w:t>
      </w:r>
      <w:r>
        <w:rPr>
          <w:spacing w:val="-42"/>
        </w:rPr>
        <w:t> </w:t>
      </w:r>
      <w:r>
        <w:rPr>
          <w:spacing w:val="-42"/>
        </w:rPr>
      </w:r>
      <w:r>
        <w:rPr/>
        <w:t>完成且成果获得客户确认时一次性确认收入。</w:t>
      </w:r>
    </w:p>
    <w:p>
      <w:pPr>
        <w:pStyle w:val="BodyText"/>
        <w:spacing w:line="400" w:lineRule="auto" w:before="172"/>
        <w:ind w:right="1128" w:firstLine="420"/>
        <w:jc w:val="both"/>
      </w:pPr>
      <w:r>
        <w:rPr>
          <w:rFonts w:ascii="Times New Roman" w:hAnsi="Times New Roman" w:cs="Times New Roman" w:eastAsia="Times New Roman" w:hint="default"/>
          <w:spacing w:val="-1"/>
        </w:rPr>
        <w:t>4.</w:t>
      </w:r>
      <w:r>
        <w:rPr>
          <w:spacing w:val="-1"/>
        </w:rPr>
        <w:t>销售商品收入：本集团对客户销售商品可分为两类，一类为纯粹的商品销售（主要是信息化硬件产</w:t>
      </w:r>
      <w:r>
        <w:rPr>
          <w:w w:val="100"/>
        </w:rPr>
        <w:t> </w:t>
      </w:r>
      <w:r>
        <w:rPr>
          <w:spacing w:val="-2"/>
        </w:rPr>
        <w:t>品），本集团在商品交付客户验收后确认销售商品收入的实现；一类对信息化解决方案项目中包括的商品</w:t>
      </w:r>
      <w:r>
        <w:rPr>
          <w:spacing w:val="-43"/>
        </w:rPr>
        <w:t> </w:t>
      </w:r>
      <w:r>
        <w:rPr>
          <w:spacing w:val="-43"/>
        </w:rPr>
      </w:r>
      <w:r>
        <w:rPr>
          <w:spacing w:val="-2"/>
        </w:rPr>
        <w:t>销售，本集团将其作为信息化解决方案项目一体，在信息化解决方案项目达到收入确认条件时，确认收入</w:t>
      </w:r>
      <w:r>
        <w:rPr>
          <w:spacing w:val="-43"/>
        </w:rPr>
        <w:t> </w:t>
      </w:r>
      <w:r>
        <w:rPr>
          <w:spacing w:val="-43"/>
        </w:rPr>
      </w:r>
      <w:r>
        <w:rPr/>
        <w:t>的实现。</w:t>
      </w:r>
    </w:p>
    <w:p>
      <w:pPr>
        <w:pStyle w:val="BodyText"/>
        <w:spacing w:line="398" w:lineRule="auto" w:before="172"/>
        <w:ind w:right="1128" w:firstLine="420"/>
        <w:jc w:val="both"/>
      </w:pPr>
      <w:r>
        <w:rPr>
          <w:rFonts w:ascii="Times New Roman" w:hAnsi="Times New Roman" w:cs="Times New Roman" w:eastAsia="Times New Roman" w:hint="default"/>
          <w:spacing w:val="-1"/>
        </w:rPr>
        <w:t>5.</w:t>
      </w:r>
      <w:r>
        <w:rPr>
          <w:spacing w:val="-1"/>
        </w:rPr>
        <w:t>让渡资产使用权收入：与交易相关的经济利益很可能流入本集团、收入的金额能够可靠地计量时，</w:t>
      </w:r>
      <w:r>
        <w:rPr>
          <w:w w:val="100"/>
        </w:rPr>
        <w:t> </w:t>
      </w:r>
      <w:r>
        <w:rPr>
          <w:spacing w:val="-2"/>
        </w:rPr>
        <w:t>确认让渡资产使用权收入的实现。本集团让渡资产使用权收入以房租收入为主，本集团对经营租赁中的租</w:t>
      </w:r>
      <w:r>
        <w:rPr>
          <w:spacing w:val="-42"/>
        </w:rPr>
        <w:t> </w:t>
      </w:r>
      <w:r>
        <w:rPr>
          <w:spacing w:val="-42"/>
        </w:rPr>
      </w:r>
      <w:r>
        <w:rPr/>
        <w:t>金在租赁期内各个期间按照直线法（按月）确认收入。</w:t>
      </w:r>
    </w:p>
    <w:p>
      <w:pPr>
        <w:pStyle w:val="BodyText"/>
        <w:spacing w:line="240" w:lineRule="auto" w:before="174"/>
        <w:ind w:left="572" w:right="0"/>
        <w:jc w:val="left"/>
      </w:pPr>
      <w:r>
        <w:rPr/>
        <w:t>本集团没有采用完工百分比法进行收入确认。</w:t>
      </w:r>
    </w:p>
    <w:p>
      <w:pPr>
        <w:spacing w:line="240" w:lineRule="auto" w:before="0"/>
        <w:rPr>
          <w:rFonts w:ascii="宋体" w:hAnsi="宋体" w:cs="宋体" w:eastAsia="宋体" w:hint="default"/>
          <w:sz w:val="20"/>
          <w:szCs w:val="20"/>
        </w:rPr>
      </w:pPr>
    </w:p>
    <w:p>
      <w:pPr>
        <w:pStyle w:val="Heading3"/>
        <w:spacing w:line="240" w:lineRule="auto" w:before="154"/>
        <w:ind w:right="0"/>
        <w:jc w:val="both"/>
        <w:rPr>
          <w:b w:val="0"/>
          <w:bCs w:val="0"/>
        </w:rPr>
      </w:pPr>
      <w:bookmarkStart w:name="25、政府补助" w:id="204"/>
      <w:bookmarkEnd w:id="204"/>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5"/>
        <w:rPr>
          <w:rFonts w:ascii="宋体" w:hAnsi="宋体" w:cs="宋体" w:eastAsia="宋体" w:hint="default"/>
          <w:b/>
          <w:bCs/>
          <w:sz w:val="30"/>
          <w:szCs w:val="30"/>
        </w:rPr>
      </w:pPr>
    </w:p>
    <w:p>
      <w:pPr>
        <w:pStyle w:val="BodyText"/>
        <w:spacing w:line="240" w:lineRule="auto"/>
        <w:ind w:left="572" w:right="0"/>
        <w:jc w:val="left"/>
      </w:pPr>
      <w:r>
        <w:rPr>
          <w:rFonts w:ascii="Times New Roman" w:hAnsi="Times New Roman" w:cs="Times New Roman" w:eastAsia="Times New Roman" w:hint="default"/>
        </w:rPr>
        <w:t>1.</w:t>
      </w:r>
      <w:r>
        <w:rPr/>
        <w:t>政府补助包括与资产相关的政府补助和与收益相关的政府补助。</w:t>
      </w:r>
    </w:p>
    <w:p>
      <w:pPr>
        <w:spacing w:line="240" w:lineRule="auto" w:before="9"/>
        <w:rPr>
          <w:rFonts w:ascii="宋体" w:hAnsi="宋体" w:cs="宋体" w:eastAsia="宋体" w:hint="default"/>
          <w:sz w:val="22"/>
          <w:szCs w:val="22"/>
        </w:rPr>
      </w:pPr>
    </w:p>
    <w:p>
      <w:pPr>
        <w:pStyle w:val="BodyText"/>
        <w:spacing w:line="240" w:lineRule="auto"/>
        <w:ind w:left="572" w:right="0"/>
        <w:jc w:val="left"/>
      </w:pPr>
      <w:r>
        <w:rPr>
          <w:rFonts w:ascii="Times New Roman" w:hAnsi="Times New Roman" w:cs="Times New Roman" w:eastAsia="Times New Roman" w:hint="default"/>
        </w:rPr>
        <w:t>2.</w:t>
      </w:r>
      <w:r>
        <w:rPr/>
        <w:t>政府补助为货币性资产的，按照收到或应收的金额计量；政府补助为非货币性资产的，按照公允价</w:t>
      </w:r>
    </w:p>
    <w:p>
      <w:pPr>
        <w:spacing w:after="0" w:line="240"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right="0"/>
        <w:jc w:val="left"/>
      </w:pPr>
      <w:r>
        <w:rPr/>
        <w:t>值计量，公允价值不能可靠取得的，按照名义金额计量。</w:t>
      </w:r>
    </w:p>
    <w:p>
      <w:pPr>
        <w:spacing w:line="240" w:lineRule="auto" w:before="12"/>
        <w:rPr>
          <w:rFonts w:ascii="宋体" w:hAnsi="宋体" w:cs="宋体" w:eastAsia="宋体" w:hint="default"/>
          <w:sz w:val="23"/>
          <w:szCs w:val="23"/>
        </w:rPr>
      </w:pPr>
    </w:p>
    <w:p>
      <w:pPr>
        <w:pStyle w:val="BodyText"/>
        <w:spacing w:line="240" w:lineRule="auto"/>
        <w:ind w:left="572" w:right="0"/>
        <w:jc w:val="left"/>
      </w:pPr>
      <w:r>
        <w:rPr>
          <w:rFonts w:ascii="Times New Roman" w:hAnsi="Times New Roman" w:cs="Times New Roman" w:eastAsia="Times New Roman" w:hint="default"/>
        </w:rPr>
        <w:t>3.</w:t>
      </w:r>
      <w:r>
        <w:rPr/>
        <w:t>政府补助采用总额法</w:t>
      </w:r>
    </w:p>
    <w:p>
      <w:pPr>
        <w:spacing w:line="240" w:lineRule="auto" w:before="9"/>
        <w:rPr>
          <w:rFonts w:ascii="宋体" w:hAnsi="宋体" w:cs="宋体" w:eastAsia="宋体" w:hint="default"/>
          <w:sz w:val="22"/>
          <w:szCs w:val="22"/>
        </w:rPr>
      </w:pPr>
    </w:p>
    <w:p>
      <w:pPr>
        <w:pStyle w:val="BodyText"/>
        <w:spacing w:line="398" w:lineRule="auto"/>
        <w:ind w:right="1130" w:firstLine="420"/>
        <w:jc w:val="both"/>
      </w:pPr>
      <w:r>
        <w:rPr/>
        <w:t>（</w:t>
      </w:r>
      <w:r>
        <w:rPr>
          <w:rFonts w:ascii="Times New Roman" w:hAnsi="Times New Roman" w:cs="Times New Roman" w:eastAsia="Times New Roman" w:hint="default"/>
        </w:rPr>
        <w:t>1</w:t>
      </w:r>
      <w:r>
        <w:rPr/>
        <w:t>）与资产相关的政府补助，确认为递延收益，在相关资产使用寿命内按照合理、系统的方法分期</w:t>
      </w:r>
      <w:r>
        <w:rPr>
          <w:w w:val="100"/>
        </w:rPr>
        <w:t> </w:t>
      </w:r>
      <w:r>
        <w:rPr>
          <w:spacing w:val="-2"/>
        </w:rPr>
        <w:t>计入损益。相关资产在使用寿命结束前被出售、转让、报废或发生毁损的，将尚未分配的相关递延收益余</w:t>
      </w:r>
      <w:r>
        <w:rPr>
          <w:spacing w:val="-47"/>
        </w:rPr>
        <w:t> </w:t>
      </w:r>
      <w:r>
        <w:rPr>
          <w:spacing w:val="-47"/>
        </w:rPr>
      </w:r>
      <w:r>
        <w:rPr/>
        <w:t>额转入资产处置当期的损益。</w:t>
      </w:r>
    </w:p>
    <w:p>
      <w:pPr>
        <w:pStyle w:val="BodyText"/>
        <w:spacing w:line="386" w:lineRule="auto" w:before="174"/>
        <w:ind w:right="1133" w:firstLine="420"/>
        <w:jc w:val="both"/>
      </w:pPr>
      <w:r>
        <w:rPr/>
        <w:t>（</w:t>
      </w:r>
      <w:r>
        <w:rPr>
          <w:rFonts w:ascii="Times New Roman" w:hAnsi="Times New Roman" w:cs="Times New Roman" w:eastAsia="Times New Roman" w:hint="default"/>
        </w:rPr>
        <w:t>2</w:t>
      </w:r>
      <w:r>
        <w:rPr/>
        <w:t>）与收益相关的政府补助，用于补偿以后期间的相关费用或损失的，确认为递延收益，在确认相</w:t>
      </w:r>
      <w:r>
        <w:rPr>
          <w:w w:val="100"/>
        </w:rPr>
        <w:t> </w:t>
      </w:r>
      <w:r>
        <w:rPr/>
        <w:t>关费用的期间，计入当期损益；用于补偿已发生的相关费用或损失的，直接计入当期损益。</w:t>
      </w:r>
    </w:p>
    <w:p>
      <w:pPr>
        <w:spacing w:line="240" w:lineRule="auto" w:before="2"/>
        <w:rPr>
          <w:rFonts w:ascii="宋体" w:hAnsi="宋体" w:cs="宋体" w:eastAsia="宋体" w:hint="default"/>
          <w:sz w:val="14"/>
          <w:szCs w:val="14"/>
        </w:rPr>
      </w:pPr>
    </w:p>
    <w:p>
      <w:pPr>
        <w:pStyle w:val="BodyText"/>
        <w:spacing w:line="386" w:lineRule="auto"/>
        <w:ind w:right="1128" w:firstLine="420"/>
        <w:jc w:val="both"/>
      </w:pPr>
      <w:r>
        <w:rPr>
          <w:rFonts w:ascii="Times New Roman" w:hAnsi="Times New Roman" w:cs="Times New Roman" w:eastAsia="Times New Roman" w:hint="default"/>
          <w:spacing w:val="-1"/>
        </w:rPr>
        <w:t>4.</w:t>
      </w:r>
      <w:r>
        <w:rPr>
          <w:spacing w:val="-1"/>
        </w:rPr>
        <w:t>对于同时包含与资产相关部分和与收益相关部分的政府补助，区分不同部分分别进行会计处理；难</w:t>
      </w:r>
      <w:r>
        <w:rPr>
          <w:w w:val="100"/>
        </w:rPr>
        <w:t> </w:t>
      </w:r>
      <w:r>
        <w:rPr/>
        <w:t>以区分的，整体归类为与收益相关的政府补助。</w:t>
      </w:r>
    </w:p>
    <w:p>
      <w:pPr>
        <w:spacing w:line="240" w:lineRule="auto" w:before="2"/>
        <w:rPr>
          <w:rFonts w:ascii="宋体" w:hAnsi="宋体" w:cs="宋体" w:eastAsia="宋体" w:hint="default"/>
          <w:sz w:val="14"/>
          <w:szCs w:val="14"/>
        </w:rPr>
      </w:pPr>
    </w:p>
    <w:p>
      <w:pPr>
        <w:pStyle w:val="BodyText"/>
        <w:spacing w:line="386" w:lineRule="auto"/>
        <w:ind w:right="1128" w:firstLine="420"/>
        <w:jc w:val="both"/>
      </w:pPr>
      <w:r>
        <w:rPr>
          <w:rFonts w:ascii="Times New Roman" w:hAnsi="Times New Roman" w:cs="Times New Roman" w:eastAsia="Times New Roman" w:hint="default"/>
          <w:spacing w:val="-1"/>
        </w:rPr>
        <w:t>5.</w:t>
      </w:r>
      <w:r>
        <w:rPr>
          <w:spacing w:val="-1"/>
        </w:rPr>
        <w:t>本集团将与本集团日常活动相关的政府补助按照经济业务实质计入其他收益或冲减相关成本费用；</w:t>
      </w:r>
      <w:r>
        <w:rPr>
          <w:w w:val="100"/>
        </w:rPr>
        <w:t> </w:t>
      </w:r>
      <w:r>
        <w:rPr/>
        <w:t>将与本集团日常活动无关的政府补助，应当计入营业外收支。</w:t>
      </w:r>
    </w:p>
    <w:p>
      <w:pPr>
        <w:spacing w:line="240" w:lineRule="auto" w:before="2"/>
        <w:rPr>
          <w:rFonts w:ascii="宋体" w:hAnsi="宋体" w:cs="宋体" w:eastAsia="宋体" w:hint="default"/>
          <w:sz w:val="14"/>
          <w:szCs w:val="14"/>
        </w:rPr>
      </w:pPr>
    </w:p>
    <w:p>
      <w:pPr>
        <w:pStyle w:val="BodyText"/>
        <w:spacing w:line="386" w:lineRule="auto"/>
        <w:ind w:right="1128" w:firstLine="420"/>
        <w:jc w:val="both"/>
      </w:pPr>
      <w:r>
        <w:rPr>
          <w:rFonts w:ascii="Times New Roman" w:hAnsi="Times New Roman" w:cs="Times New Roman" w:eastAsia="Times New Roman" w:hint="default"/>
          <w:spacing w:val="-1"/>
        </w:rPr>
        <w:t>6.</w:t>
      </w:r>
      <w:r>
        <w:rPr>
          <w:spacing w:val="-1"/>
        </w:rPr>
        <w:t>本集团将取得的政策性优惠贷款贴息按照财政将贴息资金拨付给贷款银行和财政将贴息资金直接拨</w:t>
      </w:r>
      <w:r>
        <w:rPr>
          <w:w w:val="100"/>
        </w:rPr>
        <w:t> </w:t>
      </w:r>
      <w:r>
        <w:rPr/>
        <w:t>付给本集团两种情况处理：</w:t>
      </w:r>
    </w:p>
    <w:p>
      <w:pPr>
        <w:spacing w:line="240" w:lineRule="auto" w:before="2"/>
        <w:rPr>
          <w:rFonts w:ascii="宋体" w:hAnsi="宋体" w:cs="宋体" w:eastAsia="宋体" w:hint="default"/>
          <w:sz w:val="14"/>
          <w:szCs w:val="14"/>
        </w:rPr>
      </w:pPr>
    </w:p>
    <w:p>
      <w:pPr>
        <w:pStyle w:val="BodyText"/>
        <w:spacing w:line="398" w:lineRule="auto"/>
        <w:ind w:right="1128" w:firstLine="420"/>
        <w:jc w:val="both"/>
      </w:pPr>
      <w:r>
        <w:rPr/>
        <w:t>（</w:t>
      </w:r>
      <w:r>
        <w:rPr>
          <w:rFonts w:ascii="Times New Roman" w:hAnsi="Times New Roman" w:cs="Times New Roman" w:eastAsia="Times New Roman" w:hint="default"/>
        </w:rPr>
        <w:t>1</w:t>
      </w:r>
      <w:r>
        <w:rPr/>
        <w:t>）财政将贴息资金拨付给贷款银行，由贷款银行以政策性优惠利率向本集团提供贷款的，本集团</w:t>
      </w:r>
      <w:r>
        <w:rPr>
          <w:w w:val="100"/>
        </w:rPr>
        <w:t> </w:t>
      </w:r>
      <w:r>
        <w:rPr>
          <w:spacing w:val="-2"/>
        </w:rPr>
        <w:t>选择按照以下方法进行会计处理：以实际收到的借款金额作为借款的入账价值，按照借款本金和该政策性</w:t>
      </w:r>
      <w:r>
        <w:rPr>
          <w:spacing w:val="-42"/>
        </w:rPr>
        <w:t> </w:t>
      </w:r>
      <w:r>
        <w:rPr>
          <w:spacing w:val="-42"/>
        </w:rPr>
      </w:r>
      <w:r>
        <w:rPr/>
        <w:t>优惠利率计算相关借款费用。</w:t>
      </w:r>
    </w:p>
    <w:p>
      <w:pPr>
        <w:pStyle w:val="BodyText"/>
        <w:spacing w:line="240" w:lineRule="auto" w:before="174"/>
        <w:ind w:left="572" w:right="0"/>
        <w:jc w:val="left"/>
      </w:pPr>
      <w:r>
        <w:rPr/>
        <w:t>（</w:t>
      </w:r>
      <w:r>
        <w:rPr>
          <w:rFonts w:ascii="Times New Roman" w:hAnsi="Times New Roman" w:cs="Times New Roman" w:eastAsia="Times New Roman" w:hint="default"/>
        </w:rPr>
        <w:t>2</w:t>
      </w:r>
      <w:r>
        <w:rPr/>
        <w:t>）财政将贴息资金直接拨付给本集团的，本集团将对应的贴息冲减相关借款费用。</w:t>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bookmarkStart w:name="26、递延所得税资产/递延所得税负债" w:id="205"/>
      <w:bookmarkEnd w:id="205"/>
      <w:r>
        <w:rPr>
          <w:b w:val="0"/>
          <w:bCs w:val="0"/>
        </w:rPr>
      </w: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30"/>
          <w:szCs w:val="30"/>
        </w:rPr>
      </w:pPr>
    </w:p>
    <w:p>
      <w:pPr>
        <w:pStyle w:val="BodyText"/>
        <w:spacing w:line="398" w:lineRule="auto"/>
        <w:ind w:right="1128" w:firstLine="420"/>
        <w:jc w:val="both"/>
      </w:pPr>
      <w:r>
        <w:rPr>
          <w:rFonts w:ascii="Times New Roman" w:hAnsi="Times New Roman" w:cs="Times New Roman" w:eastAsia="Times New Roman" w:hint="default"/>
          <w:spacing w:val="-1"/>
        </w:rPr>
        <w:t>1.</w:t>
      </w:r>
      <w:r>
        <w:rPr>
          <w:spacing w:val="-1"/>
        </w:rPr>
        <w:t>根据资产、负债的账面价值与其计税基础之间的差额（未作为资产和负债确认的项目按照税法规定</w:t>
      </w:r>
      <w:r>
        <w:rPr>
          <w:w w:val="100"/>
        </w:rPr>
        <w:t> </w:t>
      </w:r>
      <w:r>
        <w:rPr>
          <w:spacing w:val="-2"/>
        </w:rPr>
        <w:t>可以确定其计税基础的，该计税基础与其账面数之间的差额），按照预期收回该资产或清偿该负债期间的</w:t>
      </w:r>
      <w:r>
        <w:rPr>
          <w:spacing w:val="-43"/>
        </w:rPr>
        <w:t> </w:t>
      </w:r>
      <w:r>
        <w:rPr>
          <w:spacing w:val="-43"/>
        </w:rPr>
      </w:r>
      <w:r>
        <w:rPr/>
        <w:t>适用税率计算确认递延所得税资产或递延所得税负债。</w:t>
      </w:r>
    </w:p>
    <w:p>
      <w:pPr>
        <w:pStyle w:val="BodyText"/>
        <w:spacing w:line="398" w:lineRule="auto" w:before="174"/>
        <w:ind w:right="0" w:firstLine="420"/>
        <w:jc w:val="left"/>
      </w:pPr>
      <w:r>
        <w:rPr>
          <w:rFonts w:ascii="Times New Roman" w:hAnsi="Times New Roman" w:cs="Times New Roman" w:eastAsia="Times New Roman" w:hint="default"/>
          <w:spacing w:val="-3"/>
        </w:rPr>
        <w:t>2.</w:t>
      </w:r>
      <w:r>
        <w:rPr>
          <w:spacing w:val="-3"/>
        </w:rPr>
        <w:t>确认递延所得税资产以很可能取得用来抵扣可抵扣暂时性差异的应纳税所得额为限。资产负债表日，</w:t>
      </w:r>
      <w:r>
        <w:rPr>
          <w:w w:val="100"/>
        </w:rPr>
        <w:t> </w:t>
      </w:r>
      <w:r>
        <w:rPr>
          <w:spacing w:val="-2"/>
        </w:rPr>
        <w:t>有确凿证据表明未来期间很可能获得足够的应纳税所得额用来抵扣可抵扣暂时性差异的，确认以前会计期</w:t>
      </w:r>
      <w:r>
        <w:rPr>
          <w:spacing w:val="-42"/>
        </w:rPr>
        <w:t> </w:t>
      </w:r>
      <w:r>
        <w:rPr>
          <w:spacing w:val="-42"/>
        </w:rPr>
      </w:r>
      <w:r>
        <w:rPr/>
        <w:t>间未确认的递延所得税资产。</w:t>
      </w:r>
    </w:p>
    <w:p>
      <w:pPr>
        <w:pStyle w:val="BodyText"/>
        <w:spacing w:line="386" w:lineRule="auto" w:before="174"/>
        <w:ind w:right="1128" w:firstLine="420"/>
        <w:jc w:val="both"/>
      </w:pPr>
      <w:r>
        <w:rPr>
          <w:rFonts w:ascii="Times New Roman" w:hAnsi="Times New Roman" w:cs="Times New Roman" w:eastAsia="Times New Roman" w:hint="default"/>
          <w:spacing w:val="-1"/>
        </w:rPr>
        <w:t>3.</w:t>
      </w:r>
      <w:r>
        <w:rPr>
          <w:spacing w:val="-1"/>
        </w:rPr>
        <w:t>资产负债表日，对递延所得税资产的账面价值进行复核，如果未来期间很可能无法获得足够的应纳</w:t>
      </w:r>
      <w:r>
        <w:rPr>
          <w:w w:val="100"/>
        </w:rPr>
        <w:t> </w:t>
      </w:r>
      <w:r>
        <w:rPr>
          <w:spacing w:val="-2"/>
        </w:rPr>
        <w:t>税所得额用以抵扣递延所得税资产的利益，则减记递延所得税资产的账面价值。在很可能获得足够的应纳</w:t>
      </w:r>
    </w:p>
    <w:p>
      <w:pPr>
        <w:spacing w:after="0" w:line="386" w:lineRule="auto"/>
        <w:jc w:val="both"/>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right="0"/>
        <w:jc w:val="left"/>
      </w:pPr>
      <w:r>
        <w:rPr/>
        <w:t>税所得额时，转回减记的金额。</w:t>
      </w:r>
    </w:p>
    <w:p>
      <w:pPr>
        <w:spacing w:line="240" w:lineRule="auto" w:before="12"/>
        <w:rPr>
          <w:rFonts w:ascii="宋体" w:hAnsi="宋体" w:cs="宋体" w:eastAsia="宋体" w:hint="default"/>
          <w:sz w:val="23"/>
          <w:szCs w:val="23"/>
        </w:rPr>
      </w:pPr>
    </w:p>
    <w:p>
      <w:pPr>
        <w:pStyle w:val="BodyText"/>
        <w:spacing w:line="386" w:lineRule="auto"/>
        <w:ind w:right="1128" w:firstLine="420"/>
        <w:jc w:val="both"/>
      </w:pPr>
      <w:r>
        <w:rPr>
          <w:rFonts w:ascii="Times New Roman" w:hAnsi="Times New Roman" w:cs="Times New Roman" w:eastAsia="Times New Roman" w:hint="default"/>
          <w:spacing w:val="-1"/>
        </w:rPr>
        <w:t>4.</w:t>
      </w:r>
      <w:r>
        <w:rPr>
          <w:spacing w:val="-1"/>
        </w:rPr>
        <w:t>本集团当期所得税和递延所得税作为所得税费用或收益计入当期损益，但不包括下列情况产生的所</w:t>
      </w:r>
      <w:r>
        <w:rPr>
          <w:w w:val="100"/>
        </w:rPr>
        <w:t> </w:t>
      </w:r>
      <w:r>
        <w:rPr/>
        <w:t>得税：（</w:t>
      </w:r>
      <w:r>
        <w:rPr>
          <w:rFonts w:ascii="Times New Roman" w:hAnsi="Times New Roman" w:cs="Times New Roman" w:eastAsia="Times New Roman" w:hint="default"/>
        </w:rPr>
        <w:t>1</w:t>
      </w:r>
      <w:r>
        <w:rPr/>
        <w:t>）企业合并；（</w:t>
      </w:r>
      <w:r>
        <w:rPr>
          <w:rFonts w:ascii="Times New Roman" w:hAnsi="Times New Roman" w:cs="Times New Roman" w:eastAsia="Times New Roman" w:hint="default"/>
        </w:rPr>
        <w:t>2</w:t>
      </w:r>
      <w:r>
        <w:rPr/>
        <w:t>）直接在所有者权益中确认的交易或者事项。</w:t>
      </w: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bookmarkStart w:name="27、租赁" w:id="206"/>
      <w:bookmarkEnd w:id="206"/>
      <w:r>
        <w:rPr>
          <w:b w:val="0"/>
          <w:bCs w:val="0"/>
        </w:rPr>
      </w:r>
      <w:r>
        <w:rPr>
          <w:rFonts w:ascii="Times New Roman" w:hAnsi="Times New Roman" w:cs="Times New Roman" w:eastAsia="Times New Roman" w:hint="default"/>
        </w:rPr>
        <w:t>27</w:t>
      </w:r>
      <w:r>
        <w:rPr/>
        <w:t>、租赁</w:t>
      </w:r>
      <w:r>
        <w:rPr>
          <w:b w:val="0"/>
          <w:bCs w:val="0"/>
        </w:rPr>
      </w:r>
    </w:p>
    <w:p>
      <w:pPr>
        <w:spacing w:line="688" w:lineRule="exact" w:before="18"/>
        <w:ind w:left="572" w:right="0" w:hanging="420"/>
        <w:jc w:val="left"/>
        <w:rPr>
          <w:rFonts w:ascii="宋体" w:hAnsi="宋体" w:cs="宋体" w:eastAsia="宋体" w:hint="default"/>
          <w:sz w:val="21"/>
          <w:szCs w:val="21"/>
        </w:rPr>
      </w:pPr>
      <w:bookmarkStart w:name="（1）经营租赁的会计处理方法" w:id="207"/>
      <w:bookmarkEnd w:id="2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本集团为承租人时，在租赁期内各个期间按照直线法将租金计入相关资产成本或确认为当期损益，发</w:t>
      </w:r>
    </w:p>
    <w:p>
      <w:pPr>
        <w:pStyle w:val="BodyText"/>
        <w:spacing w:line="240" w:lineRule="auto" w:before="85"/>
        <w:ind w:right="0"/>
        <w:jc w:val="left"/>
      </w:pPr>
      <w:r>
        <w:rPr/>
        <w:t>生的初始直接费用，直接计入当期损益。或有租金在实际发生时计入当期损益。</w:t>
      </w:r>
    </w:p>
    <w:p>
      <w:pPr>
        <w:spacing w:line="240" w:lineRule="auto" w:before="12"/>
        <w:rPr>
          <w:rFonts w:ascii="宋体" w:hAnsi="宋体" w:cs="宋体" w:eastAsia="宋体" w:hint="default"/>
          <w:sz w:val="23"/>
          <w:szCs w:val="23"/>
        </w:rPr>
      </w:pPr>
    </w:p>
    <w:p>
      <w:pPr>
        <w:pStyle w:val="BodyText"/>
        <w:spacing w:line="408" w:lineRule="auto"/>
        <w:ind w:right="0" w:firstLine="420"/>
        <w:jc w:val="left"/>
      </w:pPr>
      <w:r>
        <w:rPr/>
        <w:t>本集团为出租人时，在租赁期内各个期间按照直线法将租金确认为当期损益，发生的初始直接费用，</w:t>
      </w:r>
      <w:r>
        <w:rPr>
          <w:w w:val="100"/>
        </w:rPr>
        <w:t> </w:t>
      </w:r>
      <w:r>
        <w:rPr>
          <w:spacing w:val="-5"/>
        </w:rPr>
        <w:t>除金额较大的予以资本化并分期计入损益外，均直接计入当期损益。或有租金在实际发生时计入当期损益。</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融资租赁的会计处理方法" w:id="208"/>
      <w:bookmarkEnd w:id="208"/>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28" w:firstLine="420"/>
        <w:jc w:val="both"/>
      </w:pPr>
      <w:r>
        <w:rPr>
          <w:spacing w:val="-2"/>
        </w:rPr>
        <w:t>本集团为承租人时，在租赁期开始日，本集团以租赁开始日租赁资产公允价值与最低租赁付款额现值</w:t>
      </w:r>
      <w:r>
        <w:rPr>
          <w:w w:val="100"/>
        </w:rPr>
        <w:t> </w:t>
      </w:r>
      <w:r>
        <w:rPr>
          <w:spacing w:val="-2"/>
        </w:rPr>
        <w:t>中两者较低者作为租入资产的入账价值，将最低租赁付款额作为长期应付款的入账价值，其差额为未确认</w:t>
      </w:r>
      <w:r>
        <w:rPr>
          <w:spacing w:val="-42"/>
        </w:rPr>
        <w:t> </w:t>
      </w:r>
      <w:r>
        <w:rPr>
          <w:spacing w:val="-42"/>
        </w:rPr>
      </w:r>
      <w:r>
        <w:rPr>
          <w:spacing w:val="-2"/>
        </w:rPr>
        <w:t>融资费用，发生的初始直接费用，计入租赁资产价值。在租赁期各个期间，采用实际利率法计算确认当期</w:t>
      </w:r>
      <w:r>
        <w:rPr>
          <w:spacing w:val="-47"/>
        </w:rPr>
        <w:t> </w:t>
      </w:r>
      <w:r>
        <w:rPr>
          <w:spacing w:val="-47"/>
        </w:rPr>
      </w:r>
      <w:r>
        <w:rPr/>
        <w:t>的融资费用。</w:t>
      </w:r>
    </w:p>
    <w:p>
      <w:pPr>
        <w:pStyle w:val="BodyText"/>
        <w:spacing w:line="408" w:lineRule="auto" w:before="166"/>
        <w:ind w:right="1128" w:firstLine="420"/>
        <w:jc w:val="both"/>
      </w:pPr>
      <w:r>
        <w:rPr>
          <w:spacing w:val="-2"/>
        </w:rPr>
        <w:t>本集团为出租人时，在租赁期开始日，本集团以租赁开始日最低租赁收款额与初始直接费用之和作为</w:t>
      </w:r>
      <w:r>
        <w:rPr>
          <w:w w:val="100"/>
        </w:rPr>
        <w:t> </w:t>
      </w:r>
      <w:r>
        <w:rPr>
          <w:spacing w:val="-2"/>
        </w:rPr>
        <w:t>应收融资租赁款的入账价值，同时记录未担保余值；将最低租赁收款额、初始直接费用及未担保余值之和</w:t>
      </w:r>
      <w:r>
        <w:rPr>
          <w:spacing w:val="-43"/>
        </w:rPr>
        <w:t> </w:t>
      </w:r>
      <w:r>
        <w:rPr>
          <w:spacing w:val="-43"/>
        </w:rPr>
      </w:r>
      <w:r>
        <w:rPr>
          <w:spacing w:val="-2"/>
        </w:rPr>
        <w:t>与其现值之和的差额确认为未实现融资收益。在租赁期各个期间，采用实际利率法计算确认当期的融资收</w:t>
      </w:r>
      <w:r>
        <w:rPr>
          <w:spacing w:val="-42"/>
        </w:rPr>
        <w:t> </w:t>
      </w:r>
      <w:r>
        <w:rPr>
          <w:spacing w:val="-42"/>
        </w:rPr>
      </w:r>
      <w:r>
        <w:rPr/>
        <w:t>入。</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8、重要会计政策和会计估计变更" w:id="209"/>
      <w:bookmarkEnd w:id="209"/>
      <w:r>
        <w:rPr>
          <w:b w:val="0"/>
          <w:bCs w:val="0"/>
        </w:rPr>
      </w:r>
      <w:r>
        <w:rPr>
          <w:rFonts w:ascii="Times New Roman" w:hAnsi="Times New Roman" w:cs="Times New Roman" w:eastAsia="Times New Roman" w:hint="default"/>
        </w:rPr>
        <w:t>28</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0"/>
      <w:bookmarkEnd w:id="21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3192"/>
        <w:gridCol w:w="3190"/>
        <w:gridCol w:w="3187"/>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10"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97" w:lineRule="auto"/>
              <w:ind w:left="23" w:right="115"/>
              <w:jc w:val="left"/>
              <w:rPr>
                <w:rFonts w:ascii="宋体" w:hAnsi="宋体" w:cs="宋体" w:eastAsia="宋体" w:hint="default"/>
                <w:sz w:val="18"/>
                <w:szCs w:val="18"/>
              </w:rPr>
            </w:pPr>
            <w:r>
              <w:rPr>
                <w:rFonts w:ascii="宋体" w:hAnsi="宋体" w:cs="宋体" w:eastAsia="宋体" w:hint="default"/>
                <w:sz w:val="18"/>
                <w:szCs w:val="18"/>
              </w:rPr>
              <w:t>将</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拆分为应收账 款与应收票据列示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日董事会会议批准</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日合并应收票据列</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示金额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6,032,518.40</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元，合并应收账款列</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示金额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198,011,739.45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日母公司应收票据列示金额</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3,817,518.40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元，应收账款列示金额</w:t>
            </w:r>
          </w:p>
        </w:tc>
      </w:tr>
    </w:tbl>
    <w:p>
      <w:pPr>
        <w:spacing w:after="0" w:line="240" w:lineRule="auto"/>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8"/>
        <w:rPr>
          <w:rFonts w:ascii="宋体" w:hAnsi="宋体" w:cs="宋体" w:eastAsia="宋体" w:hint="default"/>
          <w:sz w:val="24"/>
          <w:szCs w:val="24"/>
        </w:rPr>
      </w:pPr>
      <w:r>
        <w:rPr/>
        <w:pict>
          <v:shape style="position:absolute;margin-left:203.039993pt;margin-top:173.039978pt;width:174.15pt;height:113.3pt;mso-position-horizontal-relative:page;mso-position-vertical-relative:page;z-index:-9857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0" w:right="0" w:firstLine="0"/>
                    <w:jc w:val="left"/>
                    <w:rPr>
                      <w:rFonts w:ascii="宋体" w:hAnsi="宋体" w:cs="宋体" w:eastAsia="宋体" w:hint="default"/>
                      <w:sz w:val="18"/>
                      <w:szCs w:val="18"/>
                    </w:rPr>
                  </w:pPr>
                  <w:r>
                    <w:rPr>
                      <w:rFonts w:ascii="宋体" w:hAnsi="宋体" w:cs="宋体" w:eastAsia="宋体" w:hint="default"/>
                      <w:sz w:val="18"/>
                      <w:szCs w:val="18"/>
                    </w:rPr>
                    <w:t>加：</w:t>
                  </w:r>
                </w:p>
              </w:txbxContent>
            </v:textbox>
            <w10:wrap type="none"/>
          </v:shape>
        </w:pict>
      </w:r>
      <w:r>
        <w:rPr/>
        <w:pict>
          <v:group style="position:absolute;margin-left:218.160004pt;margin-top:173.039978pt;width:159pt;height:46.8pt;mso-position-horizontal-relative:page;mso-position-vertical-relative:page;z-index:-985696" coordorigin="4363,3461" coordsize="3180,936">
            <v:shape style="position:absolute;left:4363;top:3461;width:3180;height:936" coordorigin="4363,3461" coordsize="3180,936" path="m4363,4397l7543,4397,7543,3461,4363,3461,4363,4397xe" filled="true" fillcolor="#ffffff" stroked="false">
              <v:path arrowok="t"/>
              <v:fill type="solid"/>
            </v:shape>
            <w10:wrap type="none"/>
          </v:group>
        </w:pict>
      </w:r>
      <w:r>
        <w:rPr/>
        <w:pict>
          <v:group style="position:absolute;margin-left:218.160004pt;margin-top:239.519989pt;width:159pt;height:46.8pt;mso-position-horizontal-relative:page;mso-position-vertical-relative:page;z-index:-985672" coordorigin="4363,4790" coordsize="3180,936">
            <v:shape style="position:absolute;left:4363;top:4790;width:3180;height:936" coordorigin="4363,4790" coordsize="3180,936" path="m4363,5726l7543,5726,7543,4790,4363,4790,4363,5726xe" filled="true" fillcolor="#ffffff" stroked="false">
              <v:path arrowok="t"/>
              <v:fill type="solid"/>
            </v:shape>
            <w10:wrap type="none"/>
          </v:group>
        </w:pict>
      </w:r>
    </w:p>
    <w:tbl>
      <w:tblPr>
        <w:tblW w:w="0" w:type="auto"/>
        <w:jc w:val="left"/>
        <w:tblInd w:w="181" w:type="dxa"/>
        <w:tblLayout w:type="fixed"/>
        <w:tblCellMar>
          <w:top w:w="0" w:type="dxa"/>
          <w:left w:w="0" w:type="dxa"/>
          <w:bottom w:w="0" w:type="dxa"/>
          <w:right w:w="0" w:type="dxa"/>
        </w:tblCellMar>
        <w:tblLook w:val="01E0"/>
      </w:tblPr>
      <w:tblGrid>
        <w:gridCol w:w="3192"/>
        <w:gridCol w:w="3190"/>
        <w:gridCol w:w="3187"/>
      </w:tblGrid>
      <w:tr>
        <w:trPr>
          <w:trHeight w:val="362" w:hRule="exact"/>
        </w:trPr>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176,004,344.56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363" w:hRule="exact"/>
        </w:trPr>
        <w:tc>
          <w:tcPr>
            <w:tcW w:w="3192"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c>
          <w:tcPr>
            <w:tcW w:w="31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日合并应付票据列</w:t>
            </w:r>
          </w:p>
        </w:tc>
      </w:tr>
      <w:tr>
        <w:trPr>
          <w:trHeight w:val="936"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300" w:lineRule="auto" w:before="161"/>
              <w:ind w:left="23" w:right="115"/>
              <w:jc w:val="left"/>
              <w:rPr>
                <w:rFonts w:ascii="宋体" w:hAnsi="宋体" w:cs="宋体" w:eastAsia="宋体" w:hint="default"/>
                <w:sz w:val="18"/>
                <w:szCs w:val="18"/>
              </w:rPr>
            </w:pPr>
            <w:r>
              <w:rPr>
                <w:rFonts w:ascii="宋体" w:hAnsi="宋体" w:cs="宋体" w:eastAsia="宋体" w:hint="default"/>
                <w:sz w:val="18"/>
                <w:szCs w:val="18"/>
              </w:rPr>
              <w:t>将</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拆分为应付账 款与应付票据列示</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日董事会会议批准</w:t>
            </w: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示金额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元，合并应付账款列示金额</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65,061,143.79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日母</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公司应付票据列示金额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元，应付账</w:t>
            </w:r>
          </w:p>
        </w:tc>
      </w:tr>
      <w:tr>
        <w:trPr>
          <w:trHeight w:val="350" w:hRule="exact"/>
        </w:trPr>
        <w:tc>
          <w:tcPr>
            <w:tcW w:w="3192"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c>
          <w:tcPr>
            <w:tcW w:w="31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款列示金额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61,344,506.41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63" w:hRule="exact"/>
        </w:trPr>
        <w:tc>
          <w:tcPr>
            <w:tcW w:w="3192"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c>
          <w:tcPr>
            <w:tcW w:w="31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年度合并报表资产减值损失列示</w:t>
            </w: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-6,782,594.45 </w:t>
            </w:r>
            <w:r>
              <w:rPr>
                <w:rFonts w:ascii="宋体" w:hAnsi="宋体" w:cs="宋体" w:eastAsia="宋体" w:hint="default"/>
                <w:sz w:val="18"/>
                <w:szCs w:val="18"/>
              </w:rPr>
              <w:t>元；</w:t>
            </w: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年度合并报</w:t>
            </w:r>
          </w:p>
        </w:tc>
      </w:tr>
      <w:tr>
        <w:trPr>
          <w:trHeight w:val="936"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300" w:lineRule="auto" w:before="161"/>
              <w:ind w:left="23" w:right="29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将利润表</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减：资产减值损失</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调整为</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日董事会会议批准</w:t>
            </w: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17"/>
              <w:jc w:val="both"/>
              <w:rPr>
                <w:rFonts w:ascii="宋体" w:hAnsi="宋体" w:cs="宋体" w:eastAsia="宋体" w:hint="default"/>
                <w:sz w:val="18"/>
                <w:szCs w:val="18"/>
              </w:rPr>
            </w:pPr>
            <w:r>
              <w:rPr>
                <w:rFonts w:ascii="宋体" w:hAnsi="宋体" w:cs="宋体" w:eastAsia="宋体" w:hint="default"/>
                <w:sz w:val="18"/>
                <w:szCs w:val="18"/>
              </w:rPr>
              <w:t>表资产减值损失列示金额</w:t>
            </w:r>
            <w:r>
              <w:rPr>
                <w:rFonts w:ascii="Times New Roman" w:hAnsi="Times New Roman" w:cs="Times New Roman" w:eastAsia="Times New Roman" w:hint="default"/>
                <w:sz w:val="18"/>
                <w:szCs w:val="18"/>
              </w:rPr>
              <w:t>-13,675,165.99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年度母公司报表资产减值损 失列示金额</w:t>
            </w:r>
            <w:r>
              <w:rPr>
                <w:rFonts w:ascii="Times New Roman" w:hAnsi="Times New Roman" w:cs="Times New Roman" w:eastAsia="Times New Roman" w:hint="default"/>
                <w:sz w:val="18"/>
                <w:szCs w:val="18"/>
              </w:rPr>
              <w:t>-6,710,976.82 </w:t>
            </w:r>
            <w:r>
              <w:rPr>
                <w:rFonts w:ascii="宋体" w:hAnsi="宋体" w:cs="宋体" w:eastAsia="宋体" w:hint="default"/>
                <w:sz w:val="18"/>
                <w:szCs w:val="18"/>
              </w:rPr>
              <w:t>元；</w:t>
            </w: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tc>
      </w:tr>
      <w:tr>
        <w:trPr>
          <w:trHeight w:val="307" w:hRule="exact"/>
        </w:trPr>
        <w:tc>
          <w:tcPr>
            <w:tcW w:w="3192"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母公司报表资产减值损失列示金额</w:t>
            </w:r>
          </w:p>
        </w:tc>
      </w:tr>
      <w:tr>
        <w:trPr>
          <w:trHeight w:val="357" w:hRule="exact"/>
        </w:trPr>
        <w:tc>
          <w:tcPr>
            <w:tcW w:w="3192"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c>
          <w:tcPr>
            <w:tcW w:w="31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-12,331,471.54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r>
        <w:trPr>
          <w:trHeight w:val="363" w:hRule="exact"/>
        </w:trPr>
        <w:tc>
          <w:tcPr>
            <w:tcW w:w="3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新增</w:t>
            </w:r>
            <w:r>
              <w:rPr>
                <w:rFonts w:ascii="Times New Roman" w:hAnsi="Times New Roman" w:cs="Times New Roman" w:eastAsia="Times New Roman" w:hint="default"/>
                <w:sz w:val="18"/>
                <w:szCs w:val="18"/>
              </w:rPr>
              <w:t>“</w:t>
            </w:r>
            <w:r>
              <w:rPr>
                <w:rFonts w:ascii="宋体" w:hAnsi="宋体" w:cs="宋体" w:eastAsia="宋体" w:hint="default"/>
                <w:sz w:val="18"/>
                <w:szCs w:val="18"/>
              </w:rPr>
              <w:t>信用减值损失</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按照新金融工</w:t>
            </w:r>
          </w:p>
        </w:tc>
        <w:tc>
          <w:tcPr>
            <w:tcW w:w="3190" w:type="dxa"/>
            <w:tcBorders>
              <w:top w:val="single" w:sz="4" w:space="0" w:color="000000"/>
              <w:left w:val="single" w:sz="4" w:space="0" w:color="000000"/>
              <w:bottom w:val="nil" w:sz="6" w:space="0" w:color="auto"/>
              <w:right w:val="single" w:sz="4" w:space="0" w:color="000000"/>
            </w:tcBorders>
          </w:tcPr>
          <w:p>
            <w:pPr/>
          </w:p>
        </w:tc>
        <w:tc>
          <w:tcPr>
            <w:tcW w:w="318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具准则的规定，对应收款项采用预期信</w:t>
            </w:r>
          </w:p>
        </w:tc>
        <w:tc>
          <w:tcPr>
            <w:tcW w:w="3190" w:type="dxa"/>
            <w:tcBorders>
              <w:top w:val="nil" w:sz="6" w:space="0" w:color="auto"/>
              <w:left w:val="single" w:sz="4" w:space="0" w:color="000000"/>
              <w:bottom w:val="nil" w:sz="6" w:space="0" w:color="auto"/>
              <w:right w:val="single" w:sz="4" w:space="0" w:color="000000"/>
            </w:tcBorders>
          </w:tcPr>
          <w:p>
            <w:pPr/>
          </w:p>
        </w:tc>
        <w:tc>
          <w:tcPr>
            <w:tcW w:w="318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用损失的简化模型，即始终按照整个存</w:t>
            </w:r>
          </w:p>
        </w:tc>
        <w:tc>
          <w:tcPr>
            <w:tcW w:w="3190" w:type="dxa"/>
            <w:tcBorders>
              <w:top w:val="nil" w:sz="6" w:space="0" w:color="auto"/>
              <w:left w:val="single" w:sz="4" w:space="0" w:color="000000"/>
              <w:bottom w:val="nil" w:sz="6" w:space="0" w:color="auto"/>
              <w:right w:val="single" w:sz="4" w:space="0" w:color="000000"/>
            </w:tcBorders>
          </w:tcPr>
          <w:p>
            <w:pP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年度合并报表增加信用减值损失</w:t>
            </w: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续期内预期信用损失的金额计量其损失</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日董事会会议批准</w:t>
            </w: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5,993,246.95 </w:t>
            </w:r>
            <w:r>
              <w:rPr>
                <w:rFonts w:ascii="宋体" w:hAnsi="宋体" w:cs="宋体" w:eastAsia="宋体" w:hint="default"/>
                <w:sz w:val="18"/>
                <w:szCs w:val="18"/>
              </w:rPr>
              <w:t>元；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年度母公司报表</w:t>
            </w: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准备，由此形成的损失准备的增加或转</w:t>
            </w:r>
          </w:p>
        </w:tc>
        <w:tc>
          <w:tcPr>
            <w:tcW w:w="3190" w:type="dxa"/>
            <w:tcBorders>
              <w:top w:val="nil" w:sz="6" w:space="0" w:color="auto"/>
              <w:left w:val="single" w:sz="4" w:space="0" w:color="000000"/>
              <w:bottom w:val="nil" w:sz="6" w:space="0" w:color="auto"/>
              <w:right w:val="single" w:sz="4" w:space="0" w:color="000000"/>
            </w:tcBorders>
          </w:tcPr>
          <w:p>
            <w:pP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增加信用减值损失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7,062,932.99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307"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回金额，作为减值损失或利得计入当期</w:t>
            </w:r>
          </w:p>
        </w:tc>
        <w:tc>
          <w:tcPr>
            <w:tcW w:w="3190" w:type="dxa"/>
            <w:tcBorders>
              <w:top w:val="nil" w:sz="6" w:space="0" w:color="auto"/>
              <w:left w:val="single" w:sz="4" w:space="0" w:color="000000"/>
              <w:bottom w:val="nil" w:sz="6" w:space="0" w:color="auto"/>
              <w:right w:val="single" w:sz="4" w:space="0" w:color="000000"/>
            </w:tcBorders>
          </w:tcPr>
          <w:p>
            <w:pPr/>
          </w:p>
        </w:tc>
        <w:tc>
          <w:tcPr>
            <w:tcW w:w="3187"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31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3190" w:type="dxa"/>
            <w:tcBorders>
              <w:top w:val="nil" w:sz="6" w:space="0" w:color="auto"/>
              <w:left w:val="single" w:sz="4" w:space="0" w:color="000000"/>
              <w:bottom w:val="single" w:sz="4" w:space="0" w:color="000000"/>
              <w:right w:val="single" w:sz="4" w:space="0" w:color="000000"/>
            </w:tcBorders>
          </w:tcPr>
          <w:p>
            <w:pPr/>
          </w:p>
        </w:tc>
        <w:tc>
          <w:tcPr>
            <w:tcW w:w="3187" w:type="dxa"/>
            <w:tcBorders>
              <w:top w:val="nil" w:sz="6" w:space="0" w:color="auto"/>
              <w:left w:val="single" w:sz="4" w:space="0" w:color="000000"/>
              <w:bottom w:val="single" w:sz="4" w:space="0" w:color="000000"/>
              <w:right w:val="single" w:sz="4" w:space="0" w:color="000000"/>
            </w:tcBorders>
          </w:tcPr>
          <w:p>
            <w:pPr/>
          </w:p>
        </w:tc>
      </w:tr>
      <w:tr>
        <w:trPr>
          <w:trHeight w:val="348" w:hRule="exact"/>
        </w:trPr>
        <w:tc>
          <w:tcPr>
            <w:tcW w:w="3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按照新金融工具准则的规定，以企业管</w:t>
            </w:r>
          </w:p>
        </w:tc>
        <w:tc>
          <w:tcPr>
            <w:tcW w:w="3190" w:type="dxa"/>
            <w:tcBorders>
              <w:top w:val="single" w:sz="4" w:space="0" w:color="000000"/>
              <w:left w:val="single" w:sz="4" w:space="0" w:color="000000"/>
              <w:bottom w:val="nil" w:sz="6" w:space="0" w:color="auto"/>
              <w:right w:val="single" w:sz="4" w:space="0" w:color="000000"/>
            </w:tcBorders>
          </w:tcPr>
          <w:p>
            <w:pPr/>
          </w:p>
        </w:tc>
        <w:tc>
          <w:tcPr>
            <w:tcW w:w="318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理金融资产的业务模式和合同现金流量</w:t>
            </w:r>
          </w:p>
        </w:tc>
        <w:tc>
          <w:tcPr>
            <w:tcW w:w="3190" w:type="dxa"/>
            <w:tcBorders>
              <w:top w:val="nil" w:sz="6" w:space="0" w:color="auto"/>
              <w:left w:val="single" w:sz="4" w:space="0" w:color="000000"/>
              <w:bottom w:val="nil" w:sz="6" w:space="0" w:color="auto"/>
              <w:right w:val="single" w:sz="4" w:space="0" w:color="000000"/>
            </w:tcBorders>
          </w:tcPr>
          <w:p>
            <w:pP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其他权益工具投资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日列示</w:t>
            </w:r>
          </w:p>
        </w:tc>
      </w:tr>
      <w:tr>
        <w:trPr>
          <w:trHeight w:val="648"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96"/>
              <w:jc w:val="left"/>
              <w:rPr>
                <w:rFonts w:ascii="宋体" w:hAnsi="宋体" w:cs="宋体" w:eastAsia="宋体" w:hint="default"/>
                <w:sz w:val="18"/>
                <w:szCs w:val="18"/>
              </w:rPr>
            </w:pPr>
            <w:r>
              <w:rPr>
                <w:rFonts w:ascii="宋体" w:hAnsi="宋体" w:cs="宋体" w:eastAsia="宋体" w:hint="default"/>
                <w:sz w:val="18"/>
                <w:szCs w:val="18"/>
              </w:rPr>
              <w:t>特征作为分类的判断依据，对公司持有 的贵州六合烟草自动化工程有限公司的</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日董事会会议批准</w:t>
            </w: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日列示金额</w:t>
            </w: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金融资产分类为以公允价值计量且其变</w:t>
            </w:r>
          </w:p>
        </w:tc>
        <w:tc>
          <w:tcPr>
            <w:tcW w:w="3190" w:type="dxa"/>
            <w:tcBorders>
              <w:top w:val="nil" w:sz="6" w:space="0" w:color="auto"/>
              <w:left w:val="single" w:sz="4" w:space="0" w:color="000000"/>
              <w:bottom w:val="nil" w:sz="6" w:space="0" w:color="auto"/>
              <w:right w:val="single" w:sz="4" w:space="0" w:color="000000"/>
            </w:tcBorders>
          </w:tcPr>
          <w:p>
            <w:pP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为</w:t>
            </w:r>
            <w:r>
              <w:rPr>
                <w:rFonts w:ascii="Times New Roman" w:hAnsi="Times New Roman" w:cs="Times New Roman" w:eastAsia="Times New Roman" w:hint="default"/>
                <w:sz w:val="18"/>
                <w:szCs w:val="18"/>
              </w:rPr>
              <w:t>-85,000.00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43" w:hRule="exact"/>
        </w:trPr>
        <w:tc>
          <w:tcPr>
            <w:tcW w:w="3192"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动计入其他综合收益的金融资产。</w:t>
            </w:r>
          </w:p>
        </w:tc>
        <w:tc>
          <w:tcPr>
            <w:tcW w:w="3190" w:type="dxa"/>
            <w:tcBorders>
              <w:top w:val="nil" w:sz="6" w:space="0" w:color="auto"/>
              <w:left w:val="single" w:sz="4" w:space="0" w:color="000000"/>
              <w:bottom w:val="single" w:sz="4" w:space="0" w:color="000000"/>
              <w:right w:val="single" w:sz="4" w:space="0" w:color="000000"/>
            </w:tcBorders>
          </w:tcPr>
          <w:p>
            <w:pPr/>
          </w:p>
        </w:tc>
        <w:tc>
          <w:tcPr>
            <w:tcW w:w="3187"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重要会计估计变更" w:id="211"/>
      <w:bookmarkEnd w:id="21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95"/>
        <w:gridCol w:w="2388"/>
        <w:gridCol w:w="2393"/>
        <w:gridCol w:w="2393"/>
      </w:tblGrid>
      <w:tr>
        <w:trPr>
          <w:trHeight w:val="403" w:hRule="exact"/>
        </w:trPr>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开始适用的时点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8" w:hRule="exact"/>
        </w:trPr>
        <w:tc>
          <w:tcPr>
            <w:tcW w:w="23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本着谨慎经营、进一步完善公</w:t>
            </w:r>
          </w:p>
        </w:tc>
        <w:tc>
          <w:tcPr>
            <w:tcW w:w="2388"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
        </w:tc>
        <w:tc>
          <w:tcPr>
            <w:tcW w:w="2393" w:type="dxa"/>
            <w:vMerge w:val="restart"/>
            <w:tcBorders>
              <w:top w:val="single" w:sz="4" w:space="0" w:color="000000"/>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司应收账款的风险管控措施，</w:t>
            </w:r>
          </w:p>
        </w:tc>
        <w:tc>
          <w:tcPr>
            <w:tcW w:w="2388"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vMerge/>
            <w:tcBorders>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有效防范化解资产损失风险，</w:t>
            </w:r>
          </w:p>
        </w:tc>
        <w:tc>
          <w:tcPr>
            <w:tcW w:w="2388"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vMerge/>
            <w:tcBorders>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综合评估了公司及各子公司的</w:t>
            </w:r>
          </w:p>
        </w:tc>
        <w:tc>
          <w:tcPr>
            <w:tcW w:w="2388"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vMerge/>
            <w:tcBorders>
              <w:left w:val="single" w:sz="4" w:space="0" w:color="000000"/>
              <w:right w:val="single" w:sz="4" w:space="0" w:color="000000"/>
            </w:tcBorders>
          </w:tcPr>
          <w:p>
            <w:pPr/>
          </w:p>
        </w:tc>
      </w:tr>
      <w:tr>
        <w:trPr>
          <w:trHeight w:val="934"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
              <w:jc w:val="both"/>
              <w:rPr>
                <w:rFonts w:ascii="宋体" w:hAnsi="宋体" w:cs="宋体" w:eastAsia="宋体" w:hint="default"/>
                <w:sz w:val="18"/>
                <w:szCs w:val="18"/>
              </w:rPr>
            </w:pPr>
            <w:r>
              <w:rPr>
                <w:rFonts w:ascii="宋体" w:hAnsi="宋体" w:cs="宋体" w:eastAsia="宋体" w:hint="default"/>
                <w:sz w:val="18"/>
                <w:szCs w:val="18"/>
              </w:rPr>
              <w:t>应收账款回款周期、结构以及 历史坏账核销情况，根据《企 业会计准则》等相关规定，为</w:t>
            </w:r>
          </w:p>
        </w:tc>
        <w:tc>
          <w:tcPr>
            <w:tcW w:w="238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4" w:lineRule="auto"/>
              <w:ind w:left="23" w:right="191"/>
              <w:jc w:val="left"/>
              <w:rPr>
                <w:rFonts w:ascii="宋体" w:hAnsi="宋体" w:cs="宋体" w:eastAsia="宋体" w:hint="default"/>
                <w:sz w:val="18"/>
                <w:szCs w:val="18"/>
              </w:rPr>
            </w:pPr>
            <w:r>
              <w:rPr>
                <w:rFonts w:ascii="宋体" w:hAnsi="宋体" w:cs="宋体" w:eastAsia="宋体" w:hint="default"/>
                <w:sz w:val="18"/>
                <w:szCs w:val="18"/>
              </w:rPr>
              <w:t>本次变更经公司</w:t>
            </w:r>
            <w:r>
              <w:rPr>
                <w:rFonts w:ascii="宋体" w:hAnsi="宋体" w:cs="宋体" w:eastAsia="宋体" w:hint="default"/>
                <w:spacing w:val="2"/>
                <w:sz w:val="18"/>
                <w:szCs w:val="18"/>
              </w:rPr>
              <w:t> </w:t>
            </w:r>
            <w:r>
              <w:rPr>
                <w:rFonts w:ascii="宋体" w:hAnsi="宋体" w:cs="宋体" w:eastAsia="宋体" w:hint="default"/>
                <w:sz w:val="18"/>
                <w:szCs w:val="18"/>
              </w:rPr>
              <w:t>第三届董</w:t>
            </w:r>
            <w:r>
              <w:rPr>
                <w:rFonts w:ascii="宋体" w:hAnsi="宋体" w:cs="宋体" w:eastAsia="宋体" w:hint="default"/>
                <w:sz w:val="18"/>
                <w:szCs w:val="18"/>
              </w:rPr>
              <w:t> 事会第五次会议审议通过。</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393" w:type="dxa"/>
            <w:vMerge/>
            <w:tcBorders>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更加客观、公允地反映公司的</w:t>
            </w:r>
          </w:p>
        </w:tc>
        <w:tc>
          <w:tcPr>
            <w:tcW w:w="2388"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vMerge/>
            <w:tcBorders>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财务状况和经营成果，拟根据</w:t>
            </w:r>
          </w:p>
        </w:tc>
        <w:tc>
          <w:tcPr>
            <w:tcW w:w="2388"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vMerge/>
            <w:tcBorders>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公司的实际情况，调整预期信</w:t>
            </w:r>
          </w:p>
        </w:tc>
        <w:tc>
          <w:tcPr>
            <w:tcW w:w="2388"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vMerge/>
            <w:tcBorders>
              <w:left w:val="single" w:sz="4" w:space="0" w:color="000000"/>
              <w:right w:val="single" w:sz="4" w:space="0" w:color="000000"/>
            </w:tcBorders>
          </w:tcPr>
          <w:p>
            <w:pPr/>
          </w:p>
        </w:tc>
      </w:tr>
      <w:tr>
        <w:trPr>
          <w:trHeight w:val="357" w:hRule="exact"/>
        </w:trPr>
        <w:tc>
          <w:tcPr>
            <w:tcW w:w="23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用损失率会计估计。</w:t>
            </w:r>
          </w:p>
        </w:tc>
        <w:tc>
          <w:tcPr>
            <w:tcW w:w="2388"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r>
    </w:tbl>
    <w:p>
      <w:pPr>
        <w:spacing w:after="0"/>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left="572" w:right="0"/>
        <w:jc w:val="left"/>
      </w:pPr>
      <w:r>
        <w:rPr/>
        <w:t>信用风险特征组合的账龄与整个存续期预期信用损失率：</w:t>
      </w:r>
    </w:p>
    <w:p>
      <w:pPr>
        <w:spacing w:line="240" w:lineRule="auto" w:before="3"/>
        <w:rPr>
          <w:rFonts w:ascii="宋体" w:hAnsi="宋体" w:cs="宋体" w:eastAsia="宋体" w:hint="default"/>
          <w:sz w:val="18"/>
          <w:szCs w:val="18"/>
        </w:rPr>
      </w:pPr>
    </w:p>
    <w:p>
      <w:pPr>
        <w:spacing w:before="44"/>
        <w:ind w:left="150" w:right="3096" w:firstLine="0"/>
        <w:jc w:val="center"/>
        <w:rPr>
          <w:rFonts w:ascii="宋体" w:hAnsi="宋体" w:cs="宋体" w:eastAsia="宋体" w:hint="default"/>
          <w:sz w:val="18"/>
          <w:szCs w:val="18"/>
        </w:rPr>
      </w:pPr>
      <w:r>
        <w:rPr/>
        <w:pict>
          <v:shape style="position:absolute;margin-left:56.639999pt;margin-top:.471748pt;width:436.1pt;height:118.2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39"/>
                    <w:gridCol w:w="3230"/>
                    <w:gridCol w:w="1652"/>
                  </w:tblGrid>
                  <w:tr>
                    <w:trPr>
                      <w:trHeight w:val="348" w:hRule="exact"/>
                    </w:trPr>
                    <w:tc>
                      <w:tcPr>
                        <w:tcW w:w="3839" w:type="dxa"/>
                        <w:tcBorders>
                          <w:top w:val="single" w:sz="6" w:space="0" w:color="000000"/>
                          <w:left w:val="nil" w:sz="6" w:space="0" w:color="auto"/>
                          <w:bottom w:val="single" w:sz="6" w:space="0" w:color="000000"/>
                          <w:right w:val="nil" w:sz="6" w:space="0" w:color="auto"/>
                        </w:tcBorders>
                      </w:tcPr>
                      <w:p>
                        <w:pPr>
                          <w:pStyle w:val="TableParagraph"/>
                          <w:tabs>
                            <w:tab w:pos="3383" w:val="left" w:leader="none"/>
                          </w:tabs>
                          <w:spacing w:line="240" w:lineRule="auto" w:before="20"/>
                          <w:ind w:left="1519" w:right="0"/>
                          <w:jc w:val="left"/>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63"/>
                            <w:sz w:val="18"/>
                            <w:szCs w:val="18"/>
                          </w:rPr>
                          <w:t> </w:t>
                        </w:r>
                        <w:r>
                          <w:rPr>
                            <w:rFonts w:ascii="宋体" w:hAnsi="宋体" w:cs="宋体" w:eastAsia="宋体" w:hint="default"/>
                            <w:b/>
                            <w:bCs/>
                            <w:sz w:val="18"/>
                            <w:szCs w:val="18"/>
                          </w:rPr>
                          <w:t>龄</w:t>
                          <w:tab/>
                          <w:t>变更</w:t>
                        </w:r>
                        <w:r>
                          <w:rPr>
                            <w:rFonts w:ascii="宋体" w:hAnsi="宋体" w:cs="宋体" w:eastAsia="宋体" w:hint="default"/>
                            <w:sz w:val="18"/>
                            <w:szCs w:val="18"/>
                          </w:rPr>
                        </w:r>
                      </w:p>
                    </w:tc>
                    <w:tc>
                      <w:tcPr>
                        <w:tcW w:w="4883"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87" w:right="0"/>
                          <w:jc w:val="left"/>
                          <w:rPr>
                            <w:rFonts w:ascii="宋体" w:hAnsi="宋体" w:cs="宋体" w:eastAsia="宋体" w:hint="default"/>
                            <w:sz w:val="18"/>
                            <w:szCs w:val="18"/>
                          </w:rPr>
                        </w:pPr>
                        <w:r>
                          <w:rPr>
                            <w:rFonts w:ascii="宋体" w:hAnsi="宋体" w:cs="宋体" w:eastAsia="宋体" w:hint="default"/>
                            <w:b/>
                            <w:bCs/>
                            <w:spacing w:val="-3"/>
                            <w:w w:val="95"/>
                            <w:sz w:val="18"/>
                            <w:szCs w:val="18"/>
                          </w:rPr>
                          <w:t>预期信用损失准备率（</w:t>
                        </w:r>
                        <w:r>
                          <w:rPr>
                            <w:rFonts w:ascii="Times New Roman" w:hAnsi="Times New Roman" w:cs="Times New Roman" w:eastAsia="Times New Roman" w:hint="default"/>
                            <w:b/>
                            <w:bCs/>
                            <w:spacing w:val="-3"/>
                            <w:w w:val="95"/>
                            <w:sz w:val="18"/>
                            <w:szCs w:val="18"/>
                          </w:rPr>
                          <w:t>%</w:t>
                        </w:r>
                        <w:r>
                          <w:rPr>
                            <w:rFonts w:ascii="宋体" w:hAnsi="宋体" w:cs="宋体" w:eastAsia="宋体" w:hint="default"/>
                            <w:b/>
                            <w:bCs/>
                            <w:spacing w:val="-3"/>
                            <w:w w:val="95"/>
                            <w:sz w:val="18"/>
                            <w:szCs w:val="18"/>
                          </w:rPr>
                          <w:t>）变更后预期信用损失准备率（</w:t>
                        </w:r>
                        <w:r>
                          <w:rPr>
                            <w:rFonts w:ascii="Times New Roman" w:hAnsi="Times New Roman" w:cs="Times New Roman" w:eastAsia="Times New Roman" w:hint="default"/>
                            <w:b/>
                            <w:bCs/>
                            <w:spacing w:val="-3"/>
                            <w:w w:val="95"/>
                            <w:sz w:val="18"/>
                            <w:szCs w:val="18"/>
                          </w:rPr>
                          <w:t>%</w:t>
                        </w:r>
                        <w:r>
                          <w:rPr>
                            <w:rFonts w:ascii="宋体" w:hAnsi="宋体" w:cs="宋体" w:eastAsia="宋体" w:hint="default"/>
                            <w:b/>
                            <w:bCs/>
                            <w:spacing w:val="-3"/>
                            <w:w w:val="95"/>
                            <w:sz w:val="18"/>
                            <w:szCs w:val="18"/>
                          </w:rPr>
                          <w:t>）</w:t>
                        </w:r>
                        <w:r>
                          <w:rPr>
                            <w:rFonts w:ascii="宋体" w:hAnsi="宋体" w:cs="宋体" w:eastAsia="宋体" w:hint="default"/>
                            <w:spacing w:val="-3"/>
                            <w:sz w:val="18"/>
                            <w:szCs w:val="18"/>
                          </w:rPr>
                        </w:r>
                      </w:p>
                    </w:tc>
                  </w:tr>
                  <w:tr>
                    <w:trPr>
                      <w:trHeight w:val="346" w:hRule="exact"/>
                    </w:trPr>
                    <w:tc>
                      <w:tcPr>
                        <w:tcW w:w="383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年，以下同）</w:t>
                        </w:r>
                      </w:p>
                    </w:tc>
                    <w:tc>
                      <w:tcPr>
                        <w:tcW w:w="3230"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1069"/>
                          <w:jc w:val="right"/>
                          <w:rPr>
                            <w:rFonts w:ascii="Times New Roman" w:hAnsi="Times New Roman" w:cs="Times New Roman" w:eastAsia="Times New Roman" w:hint="default"/>
                            <w:sz w:val="18"/>
                            <w:szCs w:val="18"/>
                          </w:rPr>
                        </w:pPr>
                        <w:r>
                          <w:rPr>
                            <w:rFonts w:ascii="Times New Roman"/>
                            <w:spacing w:val="-1"/>
                            <w:sz w:val="18"/>
                          </w:rPr>
                          <w:t>5.00</w:t>
                        </w:r>
                        <w:r>
                          <w:rPr>
                            <w:rFonts w:ascii="Times New Roman"/>
                            <w:sz w:val="18"/>
                          </w:rPr>
                        </w:r>
                      </w:p>
                    </w:tc>
                    <w:tc>
                      <w:tcPr>
                        <w:tcW w:w="1652"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86"/>
                          <w:jc w:val="right"/>
                          <w:rPr>
                            <w:rFonts w:ascii="Times New Roman" w:hAnsi="Times New Roman" w:cs="Times New Roman" w:eastAsia="Times New Roman" w:hint="default"/>
                            <w:sz w:val="18"/>
                            <w:szCs w:val="18"/>
                          </w:rPr>
                        </w:pPr>
                        <w:r>
                          <w:rPr>
                            <w:rFonts w:ascii="Times New Roman"/>
                            <w:spacing w:val="-1"/>
                            <w:sz w:val="18"/>
                          </w:rPr>
                          <w:t>5.00</w:t>
                        </w:r>
                        <w:r>
                          <w:rPr>
                            <w:rFonts w:ascii="Times New Roman"/>
                            <w:sz w:val="18"/>
                          </w:rPr>
                        </w:r>
                      </w:p>
                    </w:tc>
                  </w:tr>
                  <w:tr>
                    <w:trPr>
                      <w:trHeight w:val="348" w:hRule="exact"/>
                    </w:trPr>
                    <w:tc>
                      <w:tcPr>
                        <w:tcW w:w="3839"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3230"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1067"/>
                          <w:jc w:val="right"/>
                          <w:rPr>
                            <w:rFonts w:ascii="Times New Roman" w:hAnsi="Times New Roman" w:cs="Times New Roman" w:eastAsia="Times New Roman" w:hint="default"/>
                            <w:sz w:val="18"/>
                            <w:szCs w:val="18"/>
                          </w:rPr>
                        </w:pPr>
                        <w:r>
                          <w:rPr>
                            <w:rFonts w:ascii="Times New Roman"/>
                            <w:sz w:val="18"/>
                          </w:rPr>
                          <w:t>20.00</w:t>
                        </w:r>
                      </w:p>
                    </w:tc>
                    <w:tc>
                      <w:tcPr>
                        <w:tcW w:w="1652"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84"/>
                          <w:jc w:val="right"/>
                          <w:rPr>
                            <w:rFonts w:ascii="Times New Roman" w:hAnsi="Times New Roman" w:cs="Times New Roman" w:eastAsia="Times New Roman" w:hint="default"/>
                            <w:sz w:val="18"/>
                            <w:szCs w:val="18"/>
                          </w:rPr>
                        </w:pPr>
                        <w:r>
                          <w:rPr>
                            <w:rFonts w:ascii="Times New Roman"/>
                            <w:sz w:val="18"/>
                          </w:rPr>
                          <w:t>10.00</w:t>
                        </w:r>
                      </w:p>
                    </w:tc>
                  </w:tr>
                  <w:tr>
                    <w:trPr>
                      <w:trHeight w:val="346" w:hRule="exact"/>
                    </w:trPr>
                    <w:tc>
                      <w:tcPr>
                        <w:tcW w:w="383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3230"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1067"/>
                          <w:jc w:val="right"/>
                          <w:rPr>
                            <w:rFonts w:ascii="Times New Roman" w:hAnsi="Times New Roman" w:cs="Times New Roman" w:eastAsia="Times New Roman" w:hint="default"/>
                            <w:sz w:val="18"/>
                            <w:szCs w:val="18"/>
                          </w:rPr>
                        </w:pPr>
                        <w:r>
                          <w:rPr>
                            <w:rFonts w:ascii="Times New Roman"/>
                            <w:sz w:val="18"/>
                          </w:rPr>
                          <w:t>50.00</w:t>
                        </w:r>
                      </w:p>
                    </w:tc>
                    <w:tc>
                      <w:tcPr>
                        <w:tcW w:w="1652"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84"/>
                          <w:jc w:val="right"/>
                          <w:rPr>
                            <w:rFonts w:ascii="Times New Roman" w:hAnsi="Times New Roman" w:cs="Times New Roman" w:eastAsia="Times New Roman" w:hint="default"/>
                            <w:sz w:val="18"/>
                            <w:szCs w:val="18"/>
                          </w:rPr>
                        </w:pPr>
                        <w:r>
                          <w:rPr>
                            <w:rFonts w:ascii="Times New Roman"/>
                            <w:sz w:val="18"/>
                          </w:rPr>
                          <w:t>30.00</w:t>
                        </w:r>
                      </w:p>
                    </w:tc>
                  </w:tr>
                  <w:tr>
                    <w:trPr>
                      <w:trHeight w:val="348" w:hRule="exact"/>
                    </w:trPr>
                    <w:tc>
                      <w:tcPr>
                        <w:tcW w:w="3839"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3230"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1069"/>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652"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84"/>
                          <w:jc w:val="right"/>
                          <w:rPr>
                            <w:rFonts w:ascii="Times New Roman" w:hAnsi="Times New Roman" w:cs="Times New Roman" w:eastAsia="Times New Roman" w:hint="default"/>
                            <w:sz w:val="18"/>
                            <w:szCs w:val="18"/>
                          </w:rPr>
                        </w:pPr>
                        <w:r>
                          <w:rPr>
                            <w:rFonts w:ascii="Times New Roman"/>
                            <w:sz w:val="18"/>
                          </w:rPr>
                          <w:t>50.00</w:t>
                        </w:r>
                      </w:p>
                    </w:tc>
                  </w:tr>
                  <w:tr>
                    <w:trPr>
                      <w:trHeight w:val="346" w:hRule="exact"/>
                    </w:trPr>
                    <w:tc>
                      <w:tcPr>
                        <w:tcW w:w="383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3230"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1069"/>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652"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84"/>
                          <w:jc w:val="right"/>
                          <w:rPr>
                            <w:rFonts w:ascii="Times New Roman" w:hAnsi="Times New Roman" w:cs="Times New Roman" w:eastAsia="Times New Roman" w:hint="default"/>
                            <w:sz w:val="18"/>
                            <w:szCs w:val="18"/>
                          </w:rPr>
                        </w:pPr>
                        <w:r>
                          <w:rPr>
                            <w:rFonts w:ascii="Times New Roman"/>
                            <w:sz w:val="18"/>
                          </w:rPr>
                          <w:t>70.00</w:t>
                        </w:r>
                      </w:p>
                    </w:tc>
                  </w:tr>
                  <w:tr>
                    <w:trPr>
                      <w:trHeight w:val="275" w:hRule="exact"/>
                    </w:trPr>
                    <w:tc>
                      <w:tcPr>
                        <w:tcW w:w="3839" w:type="dxa"/>
                        <w:tcBorders>
                          <w:top w:val="single" w:sz="6" w:space="0" w:color="000000"/>
                          <w:left w:val="nil" w:sz="6" w:space="0" w:color="auto"/>
                          <w:bottom w:val="nil" w:sz="6" w:space="0" w:color="auto"/>
                          <w:right w:val="nil" w:sz="6" w:space="0" w:color="auto"/>
                        </w:tcBorders>
                      </w:tcPr>
                      <w:p>
                        <w:pPr>
                          <w:pStyle w:val="TableParagraph"/>
                          <w:spacing w:line="240" w:lineRule="auto" w:before="2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3230" w:type="dxa"/>
                        <w:tcBorders>
                          <w:top w:val="single" w:sz="6" w:space="0" w:color="000000"/>
                          <w:left w:val="nil" w:sz="6" w:space="0" w:color="auto"/>
                          <w:bottom w:val="nil" w:sz="6" w:space="0" w:color="auto"/>
                          <w:right w:val="nil" w:sz="6" w:space="0" w:color="auto"/>
                        </w:tcBorders>
                      </w:tcPr>
                      <w:p>
                        <w:pPr>
                          <w:pStyle w:val="TableParagraph"/>
                          <w:spacing w:line="240" w:lineRule="auto" w:before="64"/>
                          <w:ind w:right="1069"/>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652" w:type="dxa"/>
                        <w:tcBorders>
                          <w:top w:val="single" w:sz="6" w:space="0" w:color="000000"/>
                          <w:left w:val="nil" w:sz="6" w:space="0" w:color="auto"/>
                          <w:bottom w:val="nil" w:sz="6" w:space="0" w:color="auto"/>
                          <w:right w:val="nil" w:sz="6" w:space="0" w:color="auto"/>
                        </w:tcBorders>
                      </w:tcPr>
                      <w:p>
                        <w:pPr>
                          <w:pStyle w:val="TableParagraph"/>
                          <w:spacing w:line="240" w:lineRule="auto" w:before="64"/>
                          <w:ind w:right="88"/>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r>
                </w:tbl>
                <w:p>
                  <w:pPr/>
                </w:p>
              </w:txbxContent>
            </v:textbox>
            <w10:wrap type="none"/>
          </v:shape>
        </w:pict>
      </w:r>
      <w:r>
        <w:rPr>
          <w:rFonts w:ascii="宋体" w:hAnsi="宋体" w:cs="宋体" w:eastAsia="宋体" w:hint="default"/>
          <w:b/>
          <w:bCs/>
          <w:w w:val="99"/>
          <w:sz w:val="18"/>
          <w:szCs w:val="18"/>
        </w:rPr>
        <w:t>前</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8"/>
          <w:szCs w:val="28"/>
        </w:rPr>
      </w:pPr>
    </w:p>
    <w:p>
      <w:pPr>
        <w:pStyle w:val="BodyText"/>
        <w:spacing w:line="240" w:lineRule="auto" w:before="36"/>
        <w:ind w:left="572" w:right="0"/>
        <w:jc w:val="left"/>
      </w:pPr>
      <w:r>
        <w:rPr>
          <w:spacing w:val="-2"/>
        </w:rPr>
        <w:t>此次会计估计变更对公司日后财务状况有一定影响，如以公司经审计后的</w:t>
      </w:r>
      <w:r>
        <w:rPr/>
        <w:t> </w:t>
      </w:r>
      <w:r>
        <w:rPr>
          <w:rFonts w:ascii="宋体" w:hAnsi="宋体" w:cs="宋体" w:eastAsia="宋体" w:hint="default"/>
          <w:spacing w:val="-2"/>
        </w:rPr>
        <w:t>2019</w:t>
      </w:r>
      <w:r>
        <w:rPr>
          <w:rFonts w:ascii="宋体" w:hAnsi="宋体" w:cs="宋体" w:eastAsia="宋体" w:hint="default"/>
          <w:spacing w:val="-43"/>
        </w:rPr>
        <w:t> </w:t>
      </w:r>
      <w:r>
        <w:rPr>
          <w:spacing w:val="-2"/>
        </w:rPr>
        <w:t>年财务报表进行测算，</w:t>
      </w:r>
    </w:p>
    <w:p>
      <w:pPr>
        <w:pStyle w:val="BodyText"/>
        <w:spacing w:line="470" w:lineRule="auto" w:before="85"/>
        <w:ind w:left="572" w:right="1129" w:hanging="421"/>
        <w:jc w:val="left"/>
      </w:pPr>
      <w:r>
        <w:rPr/>
        <w:t>本次会计估计变更将增加</w:t>
      </w:r>
      <w:r>
        <w:rPr>
          <w:spacing w:val="-56"/>
        </w:rPr>
        <w:t> </w:t>
      </w:r>
      <w:r>
        <w:rPr>
          <w:rFonts w:ascii="宋体" w:hAnsi="宋体" w:cs="宋体" w:eastAsia="宋体" w:hint="default"/>
        </w:rPr>
        <w:t>2019</w:t>
      </w:r>
      <w:r>
        <w:rPr>
          <w:rFonts w:ascii="宋体" w:hAnsi="宋体" w:cs="宋体" w:eastAsia="宋体" w:hint="default"/>
          <w:spacing w:val="-56"/>
        </w:rPr>
        <w:t> </w:t>
      </w:r>
      <w:r>
        <w:rPr/>
        <w:t>年公司归属于上市公司股东净利润</w:t>
      </w:r>
      <w:r>
        <w:rPr>
          <w:spacing w:val="-54"/>
        </w:rPr>
        <w:t> </w:t>
      </w:r>
      <w:r>
        <w:rPr>
          <w:rFonts w:ascii="宋体" w:hAnsi="宋体" w:cs="宋体" w:eastAsia="宋体" w:hint="default"/>
        </w:rPr>
        <w:t>1,772.45</w:t>
      </w:r>
      <w:r>
        <w:rPr>
          <w:rFonts w:ascii="宋体" w:hAnsi="宋体" w:cs="宋体" w:eastAsia="宋体" w:hint="default"/>
          <w:spacing w:val="-56"/>
        </w:rPr>
        <w:t> </w:t>
      </w:r>
      <w:r>
        <w:rPr/>
        <w:t>万元。</w:t>
      </w:r>
      <w:r>
        <w:rPr>
          <w:rFonts w:ascii="宋体" w:hAnsi="宋体" w:cs="宋体" w:eastAsia="宋体" w:hint="default"/>
          <w:w w:val="100"/>
        </w:rPr>
        <w:t> </w:t>
      </w:r>
      <w:r>
        <w:rPr/>
        <w:t>受重要影响的报表项目和金额</w:t>
      </w:r>
      <w:r>
        <w:rPr>
          <w:spacing w:val="-20"/>
        </w:rPr>
        <w:t> </w:t>
      </w:r>
      <w:r>
        <w:rPr/>
        <w:t>：</w:t>
      </w:r>
    </w:p>
    <w:p>
      <w:pPr>
        <w:spacing w:line="240" w:lineRule="auto" w:before="8"/>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46"/>
        <w:gridCol w:w="2934"/>
        <w:gridCol w:w="2342"/>
      </w:tblGrid>
      <w:tr>
        <w:trPr>
          <w:trHeight w:val="346" w:hRule="exact"/>
        </w:trPr>
        <w:tc>
          <w:tcPr>
            <w:tcW w:w="324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65" w:right="0"/>
              <w:jc w:val="left"/>
              <w:rPr>
                <w:rFonts w:ascii="宋体" w:hAnsi="宋体" w:cs="宋体" w:eastAsia="宋体" w:hint="default"/>
                <w:sz w:val="18"/>
                <w:szCs w:val="18"/>
              </w:rPr>
            </w:pPr>
            <w:r>
              <w:rPr>
                <w:rFonts w:ascii="宋体" w:hAnsi="宋体" w:cs="宋体" w:eastAsia="宋体" w:hint="default"/>
                <w:b/>
                <w:bCs/>
                <w:sz w:val="18"/>
                <w:szCs w:val="18"/>
              </w:rPr>
              <w:t>受重要影响的报表项目</w:t>
            </w:r>
            <w:r>
              <w:rPr>
                <w:rFonts w:ascii="宋体" w:hAnsi="宋体" w:cs="宋体" w:eastAsia="宋体" w:hint="default"/>
                <w:sz w:val="18"/>
                <w:szCs w:val="18"/>
              </w:rPr>
            </w:r>
          </w:p>
        </w:tc>
        <w:tc>
          <w:tcPr>
            <w:tcW w:w="293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273" w:right="0"/>
              <w:jc w:val="left"/>
              <w:rPr>
                <w:rFonts w:ascii="宋体" w:hAnsi="宋体" w:cs="宋体" w:eastAsia="宋体" w:hint="default"/>
                <w:sz w:val="18"/>
                <w:szCs w:val="18"/>
              </w:rPr>
            </w:pPr>
            <w:r>
              <w:rPr>
                <w:rFonts w:ascii="宋体" w:hAnsi="宋体" w:cs="宋体" w:eastAsia="宋体" w:hint="default"/>
                <w:b/>
                <w:bCs/>
                <w:sz w:val="18"/>
                <w:szCs w:val="18"/>
              </w:rPr>
              <w:t>影响金额</w:t>
            </w:r>
            <w:r>
              <w:rPr>
                <w:rFonts w:ascii="宋体" w:hAnsi="宋体" w:cs="宋体" w:eastAsia="宋体" w:hint="default"/>
                <w:sz w:val="18"/>
                <w:szCs w:val="18"/>
              </w:rPr>
            </w:r>
          </w:p>
        </w:tc>
        <w:tc>
          <w:tcPr>
            <w:tcW w:w="234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50" w:right="0"/>
              <w:jc w:val="center"/>
              <w:rPr>
                <w:rFonts w:ascii="宋体" w:hAnsi="宋体" w:cs="宋体" w:eastAsia="宋体" w:hint="default"/>
                <w:sz w:val="18"/>
                <w:szCs w:val="18"/>
              </w:rPr>
            </w:pPr>
            <w:r>
              <w:rPr>
                <w:rFonts w:ascii="宋体" w:hAnsi="宋体" w:cs="宋体" w:eastAsia="宋体" w:hint="default"/>
                <w:b/>
                <w:bCs/>
                <w:sz w:val="18"/>
                <w:szCs w:val="18"/>
              </w:rPr>
              <w:t>备</w:t>
            </w:r>
            <w:r>
              <w:rPr>
                <w:rFonts w:ascii="宋体" w:hAnsi="宋体" w:cs="宋体" w:eastAsia="宋体" w:hint="default"/>
                <w:b/>
                <w:bCs/>
                <w:spacing w:val="63"/>
                <w:sz w:val="18"/>
                <w:szCs w:val="18"/>
              </w:rPr>
              <w:t> </w:t>
            </w:r>
            <w:r>
              <w:rPr>
                <w:rFonts w:ascii="宋体" w:hAnsi="宋体" w:cs="宋体" w:eastAsia="宋体" w:hint="default"/>
                <w:b/>
                <w:bCs/>
                <w:sz w:val="18"/>
                <w:szCs w:val="18"/>
              </w:rPr>
              <w:t>注</w:t>
            </w:r>
            <w:r>
              <w:rPr>
                <w:rFonts w:ascii="宋体" w:hAnsi="宋体" w:cs="宋体" w:eastAsia="宋体" w:hint="default"/>
                <w:sz w:val="18"/>
                <w:szCs w:val="18"/>
              </w:rPr>
            </w:r>
          </w:p>
        </w:tc>
      </w:tr>
      <w:tr>
        <w:trPr>
          <w:trHeight w:val="348" w:hRule="exact"/>
        </w:trPr>
        <w:tc>
          <w:tcPr>
            <w:tcW w:w="3246"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日资产负债表项目</w:t>
            </w:r>
          </w:p>
        </w:tc>
        <w:tc>
          <w:tcPr>
            <w:tcW w:w="2934" w:type="dxa"/>
            <w:tcBorders>
              <w:top w:val="single" w:sz="6" w:space="0" w:color="000000"/>
              <w:left w:val="nil" w:sz="6" w:space="0" w:color="auto"/>
              <w:bottom w:val="single" w:sz="6" w:space="0" w:color="000000"/>
              <w:right w:val="nil" w:sz="6" w:space="0" w:color="auto"/>
            </w:tcBorders>
          </w:tcPr>
          <w:p>
            <w:pPr/>
          </w:p>
        </w:tc>
        <w:tc>
          <w:tcPr>
            <w:tcW w:w="2342" w:type="dxa"/>
            <w:tcBorders>
              <w:top w:val="single" w:sz="6" w:space="0" w:color="000000"/>
              <w:left w:val="nil" w:sz="6" w:space="0" w:color="auto"/>
              <w:bottom w:val="single" w:sz="6" w:space="0" w:color="000000"/>
              <w:right w:val="nil" w:sz="6" w:space="0" w:color="auto"/>
            </w:tcBorders>
          </w:tcPr>
          <w:p>
            <w:pPr/>
          </w:p>
        </w:tc>
      </w:tr>
      <w:tr>
        <w:trPr>
          <w:trHeight w:val="346" w:hRule="exact"/>
        </w:trPr>
        <w:tc>
          <w:tcPr>
            <w:tcW w:w="324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34"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43"/>
              <w:jc w:val="right"/>
              <w:rPr>
                <w:rFonts w:ascii="Times New Roman" w:hAnsi="Times New Roman" w:cs="Times New Roman" w:eastAsia="Times New Roman" w:hint="default"/>
                <w:sz w:val="18"/>
                <w:szCs w:val="18"/>
              </w:rPr>
            </w:pPr>
            <w:r>
              <w:rPr>
                <w:rFonts w:ascii="Times New Roman"/>
                <w:spacing w:val="-1"/>
                <w:sz w:val="18"/>
              </w:rPr>
              <w:t>-17,484,366.94</w:t>
            </w:r>
          </w:p>
        </w:tc>
        <w:tc>
          <w:tcPr>
            <w:tcW w:w="2342" w:type="dxa"/>
            <w:tcBorders>
              <w:top w:val="single" w:sz="6" w:space="0" w:color="000000"/>
              <w:left w:val="nil" w:sz="6" w:space="0" w:color="auto"/>
              <w:bottom w:val="single" w:sz="6" w:space="0" w:color="000000"/>
              <w:right w:val="nil" w:sz="6" w:space="0" w:color="auto"/>
            </w:tcBorders>
          </w:tcPr>
          <w:p>
            <w:pPr/>
          </w:p>
        </w:tc>
      </w:tr>
      <w:tr>
        <w:trPr>
          <w:trHeight w:val="348" w:hRule="exact"/>
        </w:trPr>
        <w:tc>
          <w:tcPr>
            <w:tcW w:w="3246"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34"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right="-43"/>
              <w:jc w:val="right"/>
              <w:rPr>
                <w:rFonts w:ascii="等线" w:hAnsi="等线" w:cs="等线" w:eastAsia="等线" w:hint="default"/>
                <w:sz w:val="18"/>
                <w:szCs w:val="18"/>
              </w:rPr>
            </w:pPr>
            <w:r>
              <w:rPr>
                <w:rFonts w:ascii="Times New Roman"/>
                <w:spacing w:val="-1"/>
                <w:sz w:val="18"/>
              </w:rPr>
              <w:t>-3,456,552.2</w:t>
            </w:r>
            <w:r>
              <w:rPr>
                <w:rFonts w:ascii="等线"/>
                <w:spacing w:val="-1"/>
                <w:sz w:val="18"/>
              </w:rPr>
              <w:t>6</w:t>
            </w:r>
          </w:p>
        </w:tc>
        <w:tc>
          <w:tcPr>
            <w:tcW w:w="2342" w:type="dxa"/>
            <w:tcBorders>
              <w:top w:val="single" w:sz="6" w:space="0" w:color="000000"/>
              <w:left w:val="nil" w:sz="6" w:space="0" w:color="auto"/>
              <w:bottom w:val="single" w:sz="6" w:space="0" w:color="000000"/>
              <w:right w:val="nil" w:sz="6" w:space="0" w:color="auto"/>
            </w:tcBorders>
          </w:tcPr>
          <w:p>
            <w:pPr/>
          </w:p>
        </w:tc>
      </w:tr>
      <w:tr>
        <w:trPr>
          <w:trHeight w:val="348" w:hRule="exact"/>
        </w:trPr>
        <w:tc>
          <w:tcPr>
            <w:tcW w:w="324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934" w:type="dxa"/>
            <w:tcBorders>
              <w:top w:val="single" w:sz="6" w:space="0" w:color="000000"/>
              <w:left w:val="nil" w:sz="6" w:space="0" w:color="auto"/>
              <w:bottom w:val="single" w:sz="6" w:space="0" w:color="000000"/>
              <w:right w:val="nil" w:sz="6" w:space="0" w:color="auto"/>
            </w:tcBorders>
          </w:tcPr>
          <w:p>
            <w:pPr>
              <w:pStyle w:val="TableParagraph"/>
              <w:spacing w:line="240" w:lineRule="auto" w:before="14"/>
              <w:ind w:right="-39"/>
              <w:jc w:val="right"/>
              <w:rPr>
                <w:rFonts w:ascii="等线" w:hAnsi="等线" w:cs="等线" w:eastAsia="等线" w:hint="default"/>
                <w:sz w:val="18"/>
                <w:szCs w:val="18"/>
              </w:rPr>
            </w:pPr>
            <w:r>
              <w:rPr>
                <w:rFonts w:ascii="等线"/>
                <w:sz w:val="18"/>
              </w:rPr>
              <w:t>-</w:t>
            </w:r>
            <w:r>
              <w:rPr>
                <w:rFonts w:ascii="Times New Roman"/>
                <w:sz w:val="18"/>
              </w:rPr>
              <w:t>3,158,296.</w:t>
            </w:r>
            <w:r>
              <w:rPr>
                <w:rFonts w:ascii="Times New Roman"/>
                <w:spacing w:val="-6"/>
                <w:sz w:val="18"/>
              </w:rPr>
              <w:t> </w:t>
            </w:r>
            <w:r>
              <w:rPr>
                <w:rFonts w:ascii="等线"/>
                <w:sz w:val="18"/>
              </w:rPr>
              <w:t>23</w:t>
            </w:r>
          </w:p>
        </w:tc>
        <w:tc>
          <w:tcPr>
            <w:tcW w:w="2342" w:type="dxa"/>
            <w:tcBorders>
              <w:top w:val="single" w:sz="6" w:space="0" w:color="000000"/>
              <w:left w:val="nil" w:sz="6" w:space="0" w:color="auto"/>
              <w:bottom w:val="single" w:sz="6" w:space="0" w:color="000000"/>
              <w:right w:val="nil" w:sz="6" w:space="0" w:color="auto"/>
            </w:tcBorders>
          </w:tcPr>
          <w:p>
            <w:pPr/>
          </w:p>
        </w:tc>
      </w:tr>
      <w:tr>
        <w:trPr>
          <w:trHeight w:val="346" w:hRule="exact"/>
        </w:trPr>
        <w:tc>
          <w:tcPr>
            <w:tcW w:w="324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年度利润表项目</w:t>
            </w:r>
          </w:p>
        </w:tc>
        <w:tc>
          <w:tcPr>
            <w:tcW w:w="2934" w:type="dxa"/>
            <w:tcBorders>
              <w:top w:val="single" w:sz="6" w:space="0" w:color="000000"/>
              <w:left w:val="nil" w:sz="6" w:space="0" w:color="auto"/>
              <w:bottom w:val="single" w:sz="6" w:space="0" w:color="000000"/>
              <w:right w:val="nil" w:sz="6" w:space="0" w:color="auto"/>
            </w:tcBorders>
          </w:tcPr>
          <w:p>
            <w:pPr/>
          </w:p>
        </w:tc>
        <w:tc>
          <w:tcPr>
            <w:tcW w:w="2342" w:type="dxa"/>
            <w:tcBorders>
              <w:top w:val="single" w:sz="6" w:space="0" w:color="000000"/>
              <w:left w:val="nil" w:sz="6" w:space="0" w:color="auto"/>
              <w:bottom w:val="single" w:sz="6" w:space="0" w:color="000000"/>
              <w:right w:val="nil" w:sz="6" w:space="0" w:color="auto"/>
            </w:tcBorders>
          </w:tcPr>
          <w:p>
            <w:pPr/>
          </w:p>
        </w:tc>
      </w:tr>
      <w:tr>
        <w:trPr>
          <w:trHeight w:val="348" w:hRule="exact"/>
        </w:trPr>
        <w:tc>
          <w:tcPr>
            <w:tcW w:w="3246"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2934"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right="-39"/>
              <w:jc w:val="right"/>
              <w:rPr>
                <w:rFonts w:ascii="等线" w:hAnsi="等线" w:cs="等线" w:eastAsia="等线" w:hint="default"/>
                <w:sz w:val="18"/>
                <w:szCs w:val="18"/>
              </w:rPr>
            </w:pPr>
            <w:r>
              <w:rPr>
                <w:rFonts w:ascii="Times New Roman"/>
                <w:spacing w:val="-1"/>
                <w:sz w:val="18"/>
              </w:rPr>
              <w:t>-20,940,919.</w:t>
            </w:r>
            <w:r>
              <w:rPr>
                <w:rFonts w:ascii="等线"/>
                <w:spacing w:val="-1"/>
                <w:sz w:val="18"/>
              </w:rPr>
              <w:t>20</w:t>
            </w:r>
            <w:r>
              <w:rPr>
                <w:rFonts w:ascii="等线"/>
                <w:sz w:val="18"/>
              </w:rPr>
            </w:r>
          </w:p>
        </w:tc>
        <w:tc>
          <w:tcPr>
            <w:tcW w:w="2342" w:type="dxa"/>
            <w:tcBorders>
              <w:top w:val="single" w:sz="6" w:space="0" w:color="000000"/>
              <w:left w:val="nil" w:sz="6" w:space="0" w:color="auto"/>
              <w:bottom w:val="single" w:sz="6" w:space="0" w:color="000000"/>
              <w:right w:val="nil" w:sz="6" w:space="0" w:color="auto"/>
            </w:tcBorders>
          </w:tcPr>
          <w:p>
            <w:pPr/>
          </w:p>
        </w:tc>
      </w:tr>
      <w:tr>
        <w:trPr>
          <w:trHeight w:val="346" w:hRule="exact"/>
        </w:trPr>
        <w:tc>
          <w:tcPr>
            <w:tcW w:w="324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934" w:type="dxa"/>
            <w:tcBorders>
              <w:top w:val="single" w:sz="6" w:space="0" w:color="000000"/>
              <w:left w:val="nil" w:sz="6" w:space="0" w:color="auto"/>
              <w:bottom w:val="single" w:sz="6" w:space="0" w:color="000000"/>
              <w:right w:val="nil" w:sz="6" w:space="0" w:color="auto"/>
            </w:tcBorders>
          </w:tcPr>
          <w:p>
            <w:pPr>
              <w:pStyle w:val="TableParagraph"/>
              <w:spacing w:line="240" w:lineRule="auto" w:before="14"/>
              <w:ind w:right="-43"/>
              <w:jc w:val="right"/>
              <w:rPr>
                <w:rFonts w:ascii="等线" w:hAnsi="等线" w:cs="等线" w:eastAsia="等线" w:hint="default"/>
                <w:sz w:val="18"/>
                <w:szCs w:val="18"/>
              </w:rPr>
            </w:pPr>
            <w:r>
              <w:rPr>
                <w:rFonts w:ascii="Times New Roman"/>
                <w:spacing w:val="-1"/>
                <w:sz w:val="18"/>
              </w:rPr>
              <w:t>3,1</w:t>
            </w:r>
            <w:r>
              <w:rPr>
                <w:rFonts w:ascii="等线"/>
                <w:spacing w:val="-1"/>
                <w:sz w:val="18"/>
              </w:rPr>
              <w:t>58</w:t>
            </w:r>
            <w:r>
              <w:rPr>
                <w:rFonts w:ascii="Times New Roman"/>
                <w:spacing w:val="-1"/>
                <w:sz w:val="18"/>
              </w:rPr>
              <w:t>,</w:t>
            </w:r>
            <w:r>
              <w:rPr>
                <w:rFonts w:ascii="等线"/>
                <w:spacing w:val="-1"/>
                <w:sz w:val="18"/>
              </w:rPr>
              <w:t>296</w:t>
            </w:r>
            <w:r>
              <w:rPr>
                <w:rFonts w:ascii="Times New Roman"/>
                <w:spacing w:val="-1"/>
                <w:sz w:val="18"/>
              </w:rPr>
              <w:t>.</w:t>
            </w:r>
            <w:r>
              <w:rPr>
                <w:rFonts w:ascii="等线"/>
                <w:spacing w:val="-1"/>
                <w:sz w:val="18"/>
              </w:rPr>
              <w:t>23</w:t>
            </w:r>
          </w:p>
        </w:tc>
        <w:tc>
          <w:tcPr>
            <w:tcW w:w="2342" w:type="dxa"/>
            <w:tcBorders>
              <w:top w:val="single" w:sz="6" w:space="0" w:color="000000"/>
              <w:left w:val="nil" w:sz="6" w:space="0" w:color="auto"/>
              <w:bottom w:val="single" w:sz="6" w:space="0" w:color="000000"/>
              <w:right w:val="nil" w:sz="6" w:space="0" w:color="auto"/>
            </w:tcBorders>
          </w:tcPr>
          <w:p>
            <w:pPr/>
          </w:p>
        </w:tc>
      </w:tr>
      <w:tr>
        <w:trPr>
          <w:trHeight w:val="268" w:hRule="exact"/>
        </w:trPr>
        <w:tc>
          <w:tcPr>
            <w:tcW w:w="3246" w:type="dxa"/>
            <w:tcBorders>
              <w:top w:val="single" w:sz="6" w:space="0" w:color="000000"/>
              <w:left w:val="nil" w:sz="6" w:space="0" w:color="auto"/>
              <w:bottom w:val="nil" w:sz="6" w:space="0" w:color="auto"/>
              <w:right w:val="nil" w:sz="6" w:space="0" w:color="auto"/>
            </w:tcBorders>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934" w:type="dxa"/>
            <w:tcBorders>
              <w:top w:val="single" w:sz="6" w:space="0" w:color="000000"/>
              <w:left w:val="nil" w:sz="6" w:space="0" w:color="auto"/>
              <w:bottom w:val="nil" w:sz="6" w:space="0" w:color="auto"/>
              <w:right w:val="nil" w:sz="6" w:space="0" w:color="auto"/>
            </w:tcBorders>
          </w:tcPr>
          <w:p>
            <w:pPr>
              <w:pStyle w:val="TableParagraph"/>
              <w:spacing w:line="240" w:lineRule="auto" w:before="17"/>
              <w:ind w:right="-41"/>
              <w:jc w:val="right"/>
              <w:rPr>
                <w:rFonts w:ascii="等线" w:hAnsi="等线" w:cs="等线" w:eastAsia="等线" w:hint="default"/>
                <w:sz w:val="18"/>
                <w:szCs w:val="18"/>
              </w:rPr>
            </w:pPr>
            <w:r>
              <w:rPr>
                <w:rFonts w:ascii="Times New Roman"/>
                <w:spacing w:val="-1"/>
                <w:sz w:val="18"/>
              </w:rPr>
              <w:t>-17,7</w:t>
            </w:r>
            <w:r>
              <w:rPr>
                <w:rFonts w:ascii="等线"/>
                <w:spacing w:val="-1"/>
                <w:sz w:val="18"/>
              </w:rPr>
              <w:t>82</w:t>
            </w:r>
            <w:r>
              <w:rPr>
                <w:rFonts w:ascii="Times New Roman"/>
                <w:spacing w:val="-1"/>
                <w:sz w:val="18"/>
              </w:rPr>
              <w:t>,</w:t>
            </w:r>
            <w:r>
              <w:rPr>
                <w:rFonts w:ascii="等线"/>
                <w:spacing w:val="-1"/>
                <w:sz w:val="18"/>
              </w:rPr>
              <w:t>622</w:t>
            </w:r>
            <w:r>
              <w:rPr>
                <w:rFonts w:ascii="Times New Roman"/>
                <w:spacing w:val="-1"/>
                <w:sz w:val="18"/>
              </w:rPr>
              <w:t>.</w:t>
            </w:r>
            <w:r>
              <w:rPr>
                <w:rFonts w:ascii="等线"/>
                <w:spacing w:val="-1"/>
                <w:sz w:val="18"/>
              </w:rPr>
              <w:t>97</w:t>
            </w:r>
            <w:r>
              <w:rPr>
                <w:rFonts w:ascii="等线"/>
                <w:sz w:val="18"/>
              </w:rPr>
            </w:r>
          </w:p>
        </w:tc>
        <w:tc>
          <w:tcPr>
            <w:tcW w:w="2342" w:type="dxa"/>
            <w:tcBorders>
              <w:top w:val="single" w:sz="6"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3"/>
        <w:spacing w:line="240" w:lineRule="auto" w:before="36"/>
        <w:ind w:right="0"/>
        <w:jc w:val="left"/>
        <w:rPr>
          <w:b w:val="0"/>
          <w:bCs w:val="0"/>
        </w:rPr>
      </w:pPr>
      <w:bookmarkStart w:name="（3）2019年起执行新金融工具准则、新收入准则或新租赁准则调整执行当年年初财务" w:id="212"/>
      <w:bookmarkEnd w:id="212"/>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0" w:footer="977" w:top="1100" w:bottom="1160" w:left="980" w:right="0"/>
        </w:sectPr>
      </w:pPr>
    </w:p>
    <w:p>
      <w:pPr>
        <w:spacing w:line="338" w:lineRule="auto" w:before="44"/>
        <w:ind w:left="152" w:right="0"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280" w:left="980" w:right="0"/>
          <w:cols w:num="2" w:equalWidth="0">
            <w:col w:w="1534" w:space="7385"/>
            <w:col w:w="201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5"/>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5" w:right="0"/>
              <w:jc w:val="left"/>
              <w:rPr>
                <w:rFonts w:ascii="Times New Roman" w:hAnsi="Times New Roman" w:cs="Times New Roman" w:eastAsia="Times New Roman" w:hint="default"/>
                <w:sz w:val="18"/>
                <w:szCs w:val="18"/>
              </w:rPr>
            </w:pPr>
            <w:r>
              <w:rPr>
                <w:rFonts w:ascii="Times New Roman"/>
                <w:sz w:val="18"/>
              </w:rPr>
              <w:t>229,472,552.41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6" w:right="0"/>
              <w:jc w:val="left"/>
              <w:rPr>
                <w:rFonts w:ascii="Times New Roman" w:hAnsi="Times New Roman" w:cs="Times New Roman" w:eastAsia="Times New Roman" w:hint="default"/>
                <w:sz w:val="18"/>
                <w:szCs w:val="18"/>
              </w:rPr>
            </w:pPr>
            <w:r>
              <w:rPr>
                <w:rFonts w:ascii="Times New Roman"/>
                <w:sz w:val="18"/>
              </w:rPr>
              <w:t>229,472,552.41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91"/>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5"/>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6,032,518.40</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5,782,518.40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-250,000.00</w:t>
            </w:r>
            <w:r>
              <w:rPr>
                <w:rFonts w:ascii="Times New Roman"/>
                <w:sz w:val="18"/>
              </w:rPr>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198,011,739.45</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198,011,739.45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250,000.00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12,448,423.28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12,448,423.28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34,283,665.59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34,283,665.59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939,791.67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939,791.67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72,177,940.37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72,177,940.37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40,112,536.84</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40,112,536.84</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592,539,376.34</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592,539,376.34</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100,606,192.81</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100,606,192.81</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20,418,580.19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20,418,580.19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5"/>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7,644,082.99</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7,644,082.99</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9,821,660.39</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9,821,660.39</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138,490,516.38</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138,490,516.38</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731,029,892.72</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731,029,892.72</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24" w:right="191"/>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65,061,143.79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65,061,143.79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29,615,949.11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29,615,949.11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7,922,844.87</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7,922,844.87</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28,245,468.50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28,245,468.50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25,373,622.87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25,373,622.87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378.83</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378.83</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1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5"/>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156,219,029.14</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156,219,029.14</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320,000.00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320,000.00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8,434,320.11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8,434,320.11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8,754,320.11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8,754,320.11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164,973,349.25</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164,973,349.25</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180,000,000.00</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180,000,000.00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178,367,745.82</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178,367,745.82</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-85,000.00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-85,000.00</w:t>
            </w:r>
            <w:r>
              <w:rPr>
                <w:rFonts w:ascii="Times New Roman"/>
                <w:sz w:val="18"/>
              </w:rPr>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31,629,106.37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31,629,106.37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176,649,316.20</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176,734,316.20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85,000.00</w:t>
            </w: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19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566,646,168.39</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566,646,168.39</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-589,624.92</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-589,624.92</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566,056,543.47</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566,056,543.47</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731,029,892.72</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731,029,892.72</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spacing w:after="0"/>
        <w:jc w:val="left"/>
        <w:rPr>
          <w:rFonts w:ascii="宋体" w:hAnsi="宋体" w:cs="宋体" w:eastAsia="宋体" w:hint="default"/>
          <w:sz w:val="18"/>
          <w:szCs w:val="18"/>
        </w:rPr>
        <w:sectPr>
          <w:footerReference w:type="default" r:id="rId33"/>
          <w:pgSz w:w="11910" w:h="16840"/>
          <w:pgMar w:footer="977" w:header="880" w:top="1100" w:bottom="1160" w:left="980" w:right="0"/>
          <w:pgNumType w:start="170"/>
        </w:sectPr>
      </w:pPr>
    </w:p>
    <w:p>
      <w:pPr>
        <w:spacing w:line="240" w:lineRule="auto" w:before="13"/>
        <w:rPr>
          <w:rFonts w:ascii="宋体" w:hAnsi="宋体" w:cs="宋体" w:eastAsia="宋体" w:hint="default"/>
          <w:sz w:val="21"/>
          <w:szCs w:val="21"/>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母公司资产负债表</w:t>
      </w:r>
    </w:p>
    <w:p>
      <w:pPr>
        <w:spacing w:before="117"/>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5"/>
        <w:gridCol w:w="2453"/>
      </w:tblGrid>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210,578,740.64</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210,578,740.64</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91"/>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3,817,518.40</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3,567,518.40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-250,000.00</w:t>
            </w:r>
            <w:r>
              <w:rPr>
                <w:rFonts w:ascii="Times New Roman"/>
                <w:sz w:val="18"/>
              </w:rPr>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176,004,344.56</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176,004,344.56</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250,000.00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23,991,041.38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23,991,041.38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39,710,428.17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39,710,428.17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939,791.67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939,791.67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60,281,697.48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60,281,697.48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554,383,770.63</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554,383,770.63</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112,314,192.81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112,314,192.81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18,273,969.05</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18,273,969.05</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5"/>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7,574,610.96</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7,574,610.96</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9,253,808.84</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9,253,808.84</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147,416,581.66</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147,416,581.66</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701,800,352.29</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701,800,352.29</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24" w:right="191"/>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61,344,506.41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61,344,506.41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28,263,841.97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28,263,841.97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5,020,436.24</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5,020,436.24</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22,174,776.88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22,174,776.88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24,942,610.94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24,942,610.94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378.83</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378.83</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4" w:right="1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141,746,172.44</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141,746,172.44</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5"/>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320,000.00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7,130,324.72</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7,130,324.72</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7,450,324.72</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7,450,324.72</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149,196,497.16</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149,196,497.16</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180,000,000.00</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180,000,000.00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178,845,571.61</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178,845,571.61</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-85,000.00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w w:val="95"/>
                <w:sz w:val="18"/>
              </w:rPr>
              <w:t>-85,000.00</w:t>
            </w:r>
            <w:r>
              <w:rPr>
                <w:rFonts w:ascii="Times New Roman"/>
                <w:sz w:val="18"/>
              </w:rPr>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31,629,106.37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31,629,106.37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162,129,177.15</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162,214,177.15</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85,000.00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552,603,855.13</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552,603,855.13</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701,800,352.29</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701,800,352.29</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2019年起执行新金融工具准则或新租赁准则追溯调整前期比较数据说明" w:id="213"/>
      <w:bookmarkEnd w:id="213"/>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六、税项" w:id="214"/>
      <w:bookmarkEnd w:id="214"/>
      <w:r>
        <w:rPr>
          <w:b w:val="0"/>
          <w:bCs w:val="0"/>
        </w:rPr>
      </w:r>
      <w:r>
        <w:rPr/>
        <w:t>六、税项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15"/>
      <w:bookmarkEnd w:id="21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bl>
    <w:p>
      <w:pPr>
        <w:spacing w:after="0" w:line="240" w:lineRule="auto"/>
        <w:jc w:val="center"/>
        <w:rPr>
          <w:rFonts w:ascii="宋体" w:hAnsi="宋体" w:cs="宋体" w:eastAsia="宋体" w:hint="default"/>
          <w:sz w:val="18"/>
          <w:szCs w:val="18"/>
        </w:rPr>
        <w:sectPr>
          <w:pgSz w:w="11910" w:h="16840"/>
          <w:pgMar w:header="880" w:footer="977"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16.00</w:t>
            </w:r>
            <w:r>
              <w:rPr>
                <w:rFonts w:ascii="宋体" w:hAnsi="宋体" w:cs="宋体" w:eastAsia="宋体" w:hint="default"/>
                <w:sz w:val="18"/>
                <w:szCs w:val="18"/>
              </w:rPr>
              <w:t>、</w:t>
            </w:r>
            <w:r>
              <w:rPr>
                <w:rFonts w:ascii="Times New Roman" w:hAnsi="Times New Roman" w:cs="Times New Roman" w:eastAsia="Times New Roman" w:hint="default"/>
                <w:sz w:val="18"/>
                <w:szCs w:val="18"/>
              </w:rPr>
              <w:t>13.00</w:t>
            </w:r>
            <w:r>
              <w:rPr>
                <w:rFonts w:ascii="宋体" w:hAnsi="宋体" w:cs="宋体" w:eastAsia="宋体" w:hint="default"/>
                <w:sz w:val="18"/>
                <w:szCs w:val="18"/>
              </w:rPr>
              <w:t>、</w:t>
            </w:r>
            <w:r>
              <w:rPr>
                <w:rFonts w:ascii="Times New Roman" w:hAnsi="Times New Roman" w:cs="Times New Roman" w:eastAsia="Times New Roman" w:hint="default"/>
                <w:sz w:val="18"/>
                <w:szCs w:val="18"/>
              </w:rPr>
              <w:t>10.00</w:t>
            </w:r>
            <w:r>
              <w:rPr>
                <w:rFonts w:ascii="宋体" w:hAnsi="宋体" w:cs="宋体" w:eastAsia="宋体" w:hint="default"/>
                <w:sz w:val="18"/>
                <w:szCs w:val="18"/>
              </w:rPr>
              <w:t>、</w:t>
            </w:r>
            <w:r>
              <w:rPr>
                <w:rFonts w:ascii="Times New Roman" w:hAnsi="Times New Roman" w:cs="Times New Roman" w:eastAsia="Times New Roman" w:hint="default"/>
                <w:sz w:val="18"/>
                <w:szCs w:val="18"/>
              </w:rPr>
              <w:t>9.00</w:t>
            </w:r>
            <w:r>
              <w:rPr>
                <w:rFonts w:ascii="宋体" w:hAnsi="宋体" w:cs="宋体" w:eastAsia="宋体" w:hint="default"/>
                <w:sz w:val="18"/>
                <w:szCs w:val="18"/>
              </w:rPr>
              <w:t>、</w:t>
            </w:r>
            <w:r>
              <w:rPr>
                <w:rFonts w:ascii="Times New Roman" w:hAnsi="Times New Roman" w:cs="Times New Roman" w:eastAsia="Times New Roman" w:hint="default"/>
                <w:sz w:val="18"/>
                <w:szCs w:val="18"/>
              </w:rPr>
              <w:t>6.00</w:t>
            </w:r>
            <w:r>
              <w:rPr>
                <w:rFonts w:ascii="宋体" w:hAnsi="宋体" w:cs="宋体" w:eastAsia="宋体" w:hint="default"/>
                <w:sz w:val="18"/>
                <w:szCs w:val="18"/>
              </w:rPr>
              <w:t>、</w:t>
            </w:r>
            <w:r>
              <w:rPr>
                <w:rFonts w:ascii="Times New Roman" w:hAnsi="Times New Roman" w:cs="Times New Roman" w:eastAsia="Times New Roman" w:hint="default"/>
                <w:sz w:val="18"/>
                <w:szCs w:val="18"/>
              </w:rPr>
              <w:t>5.00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25.00</w:t>
            </w:r>
            <w:r>
              <w:rPr>
                <w:rFonts w:ascii="宋体" w:hAnsi="宋体" w:cs="宋体" w:eastAsia="宋体" w:hint="default"/>
                <w:sz w:val="18"/>
                <w:szCs w:val="18"/>
              </w:rPr>
              <w:t>、</w:t>
            </w:r>
            <w:r>
              <w:rPr>
                <w:rFonts w:ascii="Times New Roman" w:hAnsi="Times New Roman" w:cs="Times New Roman" w:eastAsia="Times New Roman" w:hint="default"/>
                <w:sz w:val="18"/>
                <w:szCs w:val="18"/>
              </w:rPr>
              <w:t>15.00</w:t>
            </w:r>
          </w:p>
        </w:tc>
      </w:tr>
      <w:tr>
        <w:trPr>
          <w:trHeight w:val="1027"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35"/>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后余值的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1.20</w:t>
            </w:r>
            <w:r>
              <w:rPr>
                <w:rFonts w:ascii="宋体" w:hAnsi="宋体" w:cs="宋体" w:eastAsia="宋体" w:hint="default"/>
                <w:sz w:val="18"/>
                <w:szCs w:val="18"/>
              </w:rPr>
              <w:t>、</w:t>
            </w:r>
            <w:r>
              <w:rPr>
                <w:rFonts w:ascii="Times New Roman" w:hAnsi="Times New Roman" w:cs="Times New Roman" w:eastAsia="Times New Roman" w:hint="default"/>
                <w:sz w:val="18"/>
                <w:szCs w:val="18"/>
              </w:rPr>
              <w:t>12.00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2.00</w:t>
            </w:r>
          </w:p>
        </w:tc>
      </w:tr>
    </w:tbl>
    <w:p>
      <w:pPr>
        <w:spacing w:before="51"/>
        <w:ind w:left="152" w:right="0" w:firstLine="0"/>
        <w:jc w:val="left"/>
        <w:rPr>
          <w:rFonts w:ascii="宋体" w:hAnsi="宋体" w:cs="宋体" w:eastAsia="宋体" w:hint="default"/>
          <w:sz w:val="18"/>
          <w:szCs w:val="18"/>
        </w:rPr>
      </w:pPr>
      <w:r>
        <w:rPr/>
        <w:pict>
          <v:shape style="position:absolute;margin-left:289.920013pt;margin-top:60.341717pt;width:244.95pt;height:19.6pt;mso-position-horizontal-relative:page;mso-position-vertical-relative:paragraph;z-index:-98562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中科院成都信息技术股份有限公司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78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成都中科石油工程技术股份有限公司（以下简称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中科石油</w:t>
            </w:r>
            <w:r>
              <w:rPr>
                <w:rFonts w:ascii="Times New Roman" w:hAnsi="Times New Roman" w:cs="Times New Roman" w:eastAsia="Times New Roman" w:hint="default"/>
                <w:sz w:val="18"/>
                <w:szCs w:val="18"/>
              </w:rPr>
              <w:t>"</w:t>
            </w:r>
          </w:p>
        </w:tc>
        <w:tc>
          <w:tcPr>
            <w:tcW w:w="4786"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6"/>
              <w:ind w:left="12"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成都中科信息技术有限公司（以下简称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成都中科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中科院金华信息技术有限公司（以下简称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中科金华</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税收优惠" w:id="216"/>
      <w:bookmarkEnd w:id="216"/>
      <w:r>
        <w:rPr>
          <w:b w:val="0"/>
          <w:bCs w:val="0"/>
        </w:rPr>
      </w:r>
      <w:r>
        <w:rPr>
          <w:rFonts w:ascii="Times New Roman" w:hAnsi="Times New Roman" w:cs="Times New Roman" w:eastAsia="Times New Roman" w:hint="default"/>
        </w:rPr>
        <w:t>2</w:t>
      </w:r>
      <w:r>
        <w:rPr/>
        <w:t>、税收优惠</w:t>
      </w:r>
      <w:r>
        <w:rPr>
          <w:b w:val="0"/>
          <w:bCs w:val="0"/>
        </w:rPr>
      </w:r>
    </w:p>
    <w:p>
      <w:pPr>
        <w:pStyle w:val="BodyText"/>
        <w:spacing w:line="580" w:lineRule="atLeast" w:before="111"/>
        <w:ind w:left="572" w:right="0"/>
        <w:jc w:val="left"/>
      </w:pPr>
      <w:r>
        <w:rPr>
          <w:rFonts w:ascii="Times New Roman" w:hAnsi="Times New Roman" w:cs="Times New Roman" w:eastAsia="Times New Roman" w:hint="default"/>
        </w:rPr>
        <w:t>1.</w:t>
      </w:r>
      <w:r>
        <w:rPr/>
        <w:t>高新技术企业税收优惠</w:t>
      </w:r>
      <w:r>
        <w:rPr>
          <w:w w:val="100"/>
        </w:rPr>
        <w:t> </w:t>
      </w:r>
      <w:r>
        <w:rPr>
          <w:spacing w:val="-6"/>
        </w:rPr>
        <w:t>本公司于</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4</w:t>
      </w:r>
      <w:r>
        <w:rPr>
          <w:spacing w:val="-6"/>
        </w:rPr>
        <w:t>日取得高新技术企业认证，证书编号：</w:t>
      </w:r>
      <w:r>
        <w:rPr>
          <w:rFonts w:ascii="Times New Roman" w:hAnsi="Times New Roman" w:cs="Times New Roman" w:eastAsia="Times New Roman" w:hint="default"/>
          <w:spacing w:val="-6"/>
        </w:rPr>
        <w:t>GR201751001344</w:t>
      </w:r>
      <w:r>
        <w:rPr>
          <w:spacing w:val="-6"/>
        </w:rPr>
        <w:t>，有效期三年。根据《中</w:t>
      </w:r>
      <w:r>
        <w:rPr/>
      </w:r>
    </w:p>
    <w:p>
      <w:pPr>
        <w:pStyle w:val="BodyText"/>
        <w:spacing w:line="386" w:lineRule="auto" w:before="177"/>
        <w:ind w:right="1129"/>
        <w:jc w:val="left"/>
      </w:pPr>
      <w:r>
        <w:rPr>
          <w:spacing w:val="-2"/>
        </w:rPr>
        <w:t>华人民共和国企业所得税法》第二十八条规定，国家需要重点扶持的高新技术企业，减按</w:t>
      </w:r>
      <w:r>
        <w:rPr>
          <w:rFonts w:ascii="Times New Roman" w:hAnsi="Times New Roman" w:cs="Times New Roman" w:eastAsia="Times New Roman" w:hint="default"/>
          <w:spacing w:val="-2"/>
        </w:rPr>
        <w:t>15%</w:t>
      </w:r>
      <w:r>
        <w:rPr>
          <w:spacing w:val="-2"/>
        </w:rPr>
        <w:t>的税率征收</w:t>
      </w:r>
      <w:r>
        <w:rPr>
          <w:spacing w:val="-5"/>
        </w:rPr>
        <w:t> </w:t>
      </w:r>
      <w:r>
        <w:rPr>
          <w:spacing w:val="-5"/>
        </w:rPr>
      </w:r>
      <w:r>
        <w:rPr/>
        <w:t>企业所得税。</w:t>
      </w:r>
    </w:p>
    <w:p>
      <w:pPr>
        <w:spacing w:line="240" w:lineRule="auto" w:before="2"/>
        <w:rPr>
          <w:rFonts w:ascii="宋体" w:hAnsi="宋体" w:cs="宋体" w:eastAsia="宋体" w:hint="default"/>
          <w:sz w:val="14"/>
          <w:szCs w:val="14"/>
        </w:rPr>
      </w:pPr>
    </w:p>
    <w:p>
      <w:pPr>
        <w:pStyle w:val="BodyText"/>
        <w:spacing w:line="240" w:lineRule="auto"/>
        <w:ind w:left="573" w:right="0"/>
        <w:jc w:val="left"/>
      </w:pPr>
      <w:r>
        <w:rPr/>
        <w:t>成都中科于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日取得高新技术企业证书，证书编号：</w:t>
      </w:r>
      <w:r>
        <w:rPr>
          <w:rFonts w:ascii="Times New Roman" w:hAnsi="Times New Roman" w:cs="Times New Roman" w:eastAsia="Times New Roman" w:hint="default"/>
        </w:rPr>
        <w:t>GR201851000071</w:t>
      </w:r>
      <w:r>
        <w:rPr/>
        <w:t>，有效期三年。根据</w:t>
      </w:r>
    </w:p>
    <w:p>
      <w:pPr>
        <w:pStyle w:val="BodyText"/>
        <w:spacing w:line="386" w:lineRule="auto" w:before="177"/>
        <w:ind w:left="153" w:right="0"/>
        <w:jc w:val="left"/>
      </w:pPr>
      <w:r>
        <w:rPr>
          <w:spacing w:val="-2"/>
        </w:rPr>
        <w:t>《中华人民共和国企业所得税法》第二十八条规定，国家需要重点扶持的高新技术企业，减按</w:t>
      </w:r>
      <w:r>
        <w:rPr>
          <w:rFonts w:ascii="Times New Roman" w:hAnsi="Times New Roman" w:cs="Times New Roman" w:eastAsia="Times New Roman" w:hint="default"/>
          <w:spacing w:val="-2"/>
        </w:rPr>
        <w:t>15%</w:t>
      </w:r>
      <w:r>
        <w:rPr>
          <w:spacing w:val="-2"/>
        </w:rPr>
        <w:t>的税率</w:t>
      </w:r>
      <w:r>
        <w:rPr>
          <w:spacing w:val="-5"/>
        </w:rPr>
        <w:t> </w:t>
      </w:r>
      <w:r>
        <w:rPr>
          <w:spacing w:val="-5"/>
        </w:rPr>
      </w:r>
      <w:r>
        <w:rPr/>
        <w:t>缴纳企业所得税。</w:t>
      </w:r>
    </w:p>
    <w:p>
      <w:pPr>
        <w:spacing w:line="240" w:lineRule="auto" w:before="2"/>
        <w:rPr>
          <w:rFonts w:ascii="宋体" w:hAnsi="宋体" w:cs="宋体" w:eastAsia="宋体" w:hint="default"/>
          <w:sz w:val="14"/>
          <w:szCs w:val="14"/>
        </w:rPr>
      </w:pPr>
    </w:p>
    <w:p>
      <w:pPr>
        <w:pStyle w:val="BodyText"/>
        <w:spacing w:line="484" w:lineRule="auto"/>
        <w:ind w:left="573" w:right="0"/>
        <w:jc w:val="left"/>
      </w:pPr>
      <w:r>
        <w:rPr>
          <w:rFonts w:ascii="Times New Roman" w:hAnsi="Times New Roman" w:cs="Times New Roman" w:eastAsia="Times New Roman" w:hint="default"/>
        </w:rPr>
        <w:t>2.</w:t>
      </w:r>
      <w:r>
        <w:rPr/>
        <w:t>研究开发费用企业所得税优惠</w:t>
      </w:r>
      <w:r>
        <w:rPr>
          <w:w w:val="100"/>
        </w:rPr>
        <w:t> </w:t>
      </w:r>
      <w:r>
        <w:rPr>
          <w:spacing w:val="6"/>
        </w:rPr>
        <w:t>根据财政部和国家税务总局联合发布《关于提高研究开发费用税前加计扣除比例的通知》（财税</w:t>
      </w:r>
    </w:p>
    <w:p>
      <w:pPr>
        <w:pStyle w:val="BodyText"/>
        <w:spacing w:line="270" w:lineRule="exact"/>
        <w:ind w:left="153" w:right="0"/>
        <w:jc w:val="left"/>
      </w:pPr>
      <w:r>
        <w:rPr>
          <w:rFonts w:ascii="Times New Roman" w:hAnsi="Times New Roman" w:cs="Times New Roman" w:eastAsia="Times New Roman" w:hint="default"/>
          <w:spacing w:val="-3"/>
        </w:rPr>
        <w:t>[2018]99</w:t>
      </w:r>
      <w:r>
        <w:rPr>
          <w:spacing w:val="-3"/>
        </w:rPr>
        <w:t>号），本公司与成都中科开展研发活动中实际发生的研发费用，未形成无形资产计入当期损益的，</w:t>
      </w:r>
    </w:p>
    <w:p>
      <w:pPr>
        <w:pStyle w:val="BodyText"/>
        <w:spacing w:line="386" w:lineRule="auto" w:before="177"/>
        <w:ind w:left="153" w:right="0"/>
        <w:jc w:val="left"/>
      </w:pPr>
      <w:r>
        <w:rPr>
          <w:spacing w:val="-2"/>
        </w:rPr>
        <w:t>在按规定据实扣除的基础上，按照当年度实际发生额的</w:t>
      </w:r>
      <w:r>
        <w:rPr>
          <w:rFonts w:ascii="Times New Roman" w:hAnsi="Times New Roman" w:cs="Times New Roman" w:eastAsia="Times New Roman" w:hint="default"/>
          <w:spacing w:val="-2"/>
        </w:rPr>
        <w:t>75%</w:t>
      </w:r>
      <w:r>
        <w:rPr>
          <w:spacing w:val="-2"/>
        </w:rPr>
        <w:t>，从当年度应纳税所得额中扣除；形成无形资</w:t>
      </w:r>
      <w:r>
        <w:rPr>
          <w:spacing w:val="-5"/>
        </w:rPr>
        <w:t> </w:t>
      </w:r>
      <w:r>
        <w:rPr>
          <w:spacing w:val="-5"/>
        </w:rPr>
      </w:r>
      <w:r>
        <w:rPr/>
        <w:t>产的，按照无形资产成本的</w:t>
      </w:r>
      <w:r>
        <w:rPr>
          <w:rFonts w:ascii="Times New Roman" w:hAnsi="Times New Roman" w:cs="Times New Roman" w:eastAsia="Times New Roman" w:hint="default"/>
        </w:rPr>
        <w:t>175%</w:t>
      </w:r>
      <w:r>
        <w:rPr/>
        <w:t>在税前摊销。</w:t>
      </w:r>
    </w:p>
    <w:p>
      <w:pPr>
        <w:pStyle w:val="BodyText"/>
        <w:spacing w:line="484" w:lineRule="auto" w:before="155"/>
        <w:ind w:left="573" w:right="0"/>
        <w:jc w:val="left"/>
      </w:pPr>
      <w:r>
        <w:rPr>
          <w:rFonts w:ascii="Times New Roman" w:hAnsi="Times New Roman" w:cs="Times New Roman" w:eastAsia="Times New Roman" w:hint="default"/>
        </w:rPr>
        <w:t>3.</w:t>
      </w:r>
      <w:r>
        <w:rPr/>
        <w:t>安置残疾人员就业税务优惠</w:t>
      </w:r>
      <w:r>
        <w:rPr>
          <w:w w:val="100"/>
        </w:rPr>
        <w:t> </w:t>
      </w:r>
      <w:r>
        <w:rPr>
          <w:spacing w:val="6"/>
        </w:rPr>
        <w:t>根据财政部国家税务总局《关于安置残疾人员就业有关企业所得税优惠政策问题的通知》（财税</w:t>
      </w:r>
    </w:p>
    <w:p>
      <w:pPr>
        <w:spacing w:after="0" w:line="484" w:lineRule="auto"/>
        <w:jc w:val="left"/>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386" w:lineRule="auto" w:before="36"/>
        <w:ind w:right="0"/>
        <w:jc w:val="left"/>
      </w:pPr>
      <w:r>
        <w:rPr>
          <w:rFonts w:ascii="Times New Roman" w:hAnsi="Times New Roman" w:cs="Times New Roman" w:eastAsia="Times New Roman" w:hint="default"/>
        </w:rPr>
        <w:t>[2009]70</w:t>
      </w:r>
      <w:r>
        <w:rPr/>
        <w:t>号），本公司安置残疾人员就业支付给残疾职工工资，在据实扣除的基础上，可以在计算应纳税</w:t>
      </w:r>
      <w:r>
        <w:rPr>
          <w:spacing w:val="-56"/>
        </w:rPr>
        <w:t> </w:t>
      </w:r>
      <w:r>
        <w:rPr>
          <w:spacing w:val="-56"/>
        </w:rPr>
      </w:r>
      <w:r>
        <w:rPr/>
        <w:t>所得额时按照支付给残疾职工工资的</w:t>
      </w:r>
      <w:r>
        <w:rPr>
          <w:rFonts w:ascii="Times New Roman" w:hAnsi="Times New Roman" w:cs="Times New Roman" w:eastAsia="Times New Roman" w:hint="default"/>
        </w:rPr>
        <w:t>100%</w:t>
      </w:r>
      <w:r>
        <w:rPr/>
        <w:t>加计扣除。</w:t>
      </w:r>
    </w:p>
    <w:p>
      <w:pPr>
        <w:pStyle w:val="BodyText"/>
        <w:spacing w:line="240" w:lineRule="auto" w:before="155"/>
        <w:ind w:left="572" w:right="0"/>
        <w:jc w:val="left"/>
      </w:pPr>
      <w:r>
        <w:rPr>
          <w:rFonts w:ascii="Times New Roman" w:hAnsi="Times New Roman" w:cs="Times New Roman" w:eastAsia="Times New Roman" w:hint="default"/>
        </w:rPr>
        <w:t>4.</w:t>
      </w:r>
      <w:r>
        <w:rPr/>
        <w:t>技术开发、技术服务税收优惠</w:t>
      </w:r>
    </w:p>
    <w:p>
      <w:pPr>
        <w:spacing w:line="240" w:lineRule="auto" w:before="9"/>
        <w:rPr>
          <w:rFonts w:ascii="宋体" w:hAnsi="宋体" w:cs="宋体" w:eastAsia="宋体" w:hint="default"/>
          <w:sz w:val="22"/>
          <w:szCs w:val="22"/>
        </w:rPr>
      </w:pPr>
    </w:p>
    <w:p>
      <w:pPr>
        <w:pStyle w:val="BodyText"/>
        <w:spacing w:line="386" w:lineRule="auto"/>
        <w:ind w:right="0" w:firstLine="420"/>
        <w:jc w:val="left"/>
      </w:pPr>
      <w:r>
        <w:rPr>
          <w:spacing w:val="-3"/>
        </w:rPr>
        <w:t>根据《铁路运输和邮政业纳入营业税改征增值税试点过渡政策的规定》（财税</w:t>
      </w:r>
      <w:r>
        <w:rPr>
          <w:rFonts w:ascii="Times New Roman" w:hAnsi="Times New Roman" w:cs="Times New Roman" w:eastAsia="Times New Roman" w:hint="default"/>
          <w:spacing w:val="-3"/>
        </w:rPr>
        <w:t>[2013]106</w:t>
      </w:r>
      <w:r>
        <w:rPr>
          <w:spacing w:val="-3"/>
        </w:rPr>
        <w:t>号），从</w:t>
      </w:r>
      <w:r>
        <w:rPr>
          <w:rFonts w:ascii="Times New Roman" w:hAnsi="Times New Roman" w:cs="Times New Roman" w:eastAsia="Times New Roman" w:hint="default"/>
          <w:spacing w:val="-3"/>
        </w:rPr>
        <w:t>2014</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日起，本公司提供技术开发业务免征增值税。</w:t>
      </w:r>
    </w:p>
    <w:p>
      <w:pPr>
        <w:spacing w:before="101"/>
        <w:ind w:left="15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七、合并财务报表项目注释" w:id="217"/>
      <w:bookmarkEnd w:id="217"/>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18"/>
      <w:bookmarkEnd w:id="218"/>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spacing w:before="0"/>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275,232,550.79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218,362,835.44</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7,691,780.24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11,109,716.97</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282,924,331.03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229,472,552.41</w:t>
            </w:r>
            <w:r>
              <w:rPr>
                <w:rFonts w:ascii="Times New Roman"/>
                <w:sz w:val="18"/>
              </w:rPr>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484" w:lineRule="auto"/>
        <w:ind w:left="536" w:right="0" w:firstLine="35"/>
        <w:jc w:val="left"/>
      </w:pPr>
      <w:r>
        <w:rPr>
          <w:spacing w:val="-2"/>
        </w:rPr>
        <w:t>期末余额中其他货币资金履约保证金存款</w:t>
      </w:r>
      <w:r>
        <w:rPr>
          <w:rFonts w:ascii="Times New Roman" w:hAnsi="Times New Roman" w:cs="Times New Roman" w:eastAsia="Times New Roman" w:hint="default"/>
          <w:spacing w:val="-2"/>
        </w:rPr>
        <w:t>7,688,716.63</w:t>
      </w:r>
      <w:r>
        <w:rPr>
          <w:spacing w:val="-2"/>
        </w:rPr>
        <w:t>元，其使用受到限制。</w:t>
      </w:r>
      <w:r>
        <w:rPr>
          <w:spacing w:val="-65"/>
        </w:rPr>
        <w:t> </w:t>
      </w:r>
      <w:r>
        <w:rPr>
          <w:spacing w:val="-65"/>
        </w:rPr>
      </w:r>
      <w:r>
        <w:rPr/>
        <w:t>年末银行存款中包括农民工保证金</w:t>
      </w:r>
      <w:r>
        <w:rPr>
          <w:rFonts w:ascii="Times New Roman" w:hAnsi="Times New Roman" w:cs="Times New Roman" w:eastAsia="Times New Roman" w:hint="default"/>
        </w:rPr>
        <w:t>224,000.00</w:t>
      </w:r>
      <w:r>
        <w:rPr/>
        <w:t>元，其使用受到限制。</w:t>
      </w:r>
    </w:p>
    <w:p>
      <w:pPr>
        <w:pStyle w:val="Heading3"/>
        <w:spacing w:line="240" w:lineRule="auto" w:before="163"/>
        <w:ind w:right="0"/>
        <w:jc w:val="left"/>
        <w:rPr>
          <w:b w:val="0"/>
          <w:bCs w:val="0"/>
        </w:rPr>
      </w:pPr>
      <w:bookmarkStart w:name="2、应收票据" w:id="219"/>
      <w:bookmarkEnd w:id="219"/>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20"/>
      <w:bookmarkEnd w:id="220"/>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10,716,935.35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5,782,518.40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10,716,935.35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5,782,518.40</w:t>
            </w:r>
            <w:r>
              <w:rPr>
                <w:rFonts w:ascii="Times New Roman"/>
                <w:sz w:val="18"/>
              </w:rPr>
            </w:r>
          </w:p>
        </w:tc>
      </w:tr>
    </w:tbl>
    <w:p>
      <w:pPr>
        <w:spacing w:before="51"/>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3"/>
        <w:gridCol w:w="763"/>
        <w:gridCol w:w="763"/>
        <w:gridCol w:w="761"/>
        <w:gridCol w:w="763"/>
        <w:gridCol w:w="790"/>
        <w:gridCol w:w="775"/>
        <w:gridCol w:w="797"/>
        <w:gridCol w:w="931"/>
        <w:gridCol w:w="797"/>
        <w:gridCol w:w="792"/>
      </w:tblGrid>
      <w:tr>
        <w:trPr>
          <w:trHeight w:val="396" w:hRule="exact"/>
        </w:trPr>
        <w:tc>
          <w:tcPr>
            <w:tcW w:w="163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2"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3" w:type="dxa"/>
            <w:vMerge/>
            <w:tcBorders>
              <w:left w:val="single" w:sz="4" w:space="0" w:color="000000"/>
              <w:right w:val="single" w:sz="4" w:space="0" w:color="000000"/>
            </w:tcBorders>
            <w:shd w:val="clear" w:color="auto" w:fill="D4D4D4"/>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20" w:hRule="exact"/>
        </w:trPr>
        <w:tc>
          <w:tcPr>
            <w:tcW w:w="1633" w:type="dxa"/>
            <w:vMerge/>
            <w:tcBorders>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4D4D4"/>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4D4D4"/>
          </w:tcPr>
          <w:p>
            <w:pPr/>
          </w:p>
        </w:tc>
      </w:tr>
      <w:tr>
        <w:trPr>
          <w:trHeight w:val="396"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0" w:right="0"/>
              <w:jc w:val="center"/>
              <w:rPr>
                <w:rFonts w:ascii="Times New Roman" w:hAnsi="Times New Roman" w:cs="Times New Roman" w:eastAsia="Times New Roman" w:hint="default"/>
                <w:sz w:val="18"/>
                <w:szCs w:val="18"/>
              </w:rPr>
            </w:pPr>
            <w:r>
              <w:rPr>
                <w:rFonts w:ascii="Times New Roman"/>
                <w:sz w:val="18"/>
              </w:rPr>
              <w:t>10,766,9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8" w:right="0"/>
              <w:jc w:val="center"/>
              <w:rPr>
                <w:rFonts w:ascii="Times New Roman" w:hAnsi="Times New Roman" w:cs="Times New Roman" w:eastAsia="Times New Roman" w:hint="default"/>
                <w:sz w:val="18"/>
                <w:szCs w:val="18"/>
              </w:rPr>
            </w:pPr>
            <w:r>
              <w:rPr>
                <w:rFonts w:ascii="Times New Roman"/>
                <w:sz w:val="18"/>
              </w:rPr>
              <w:t>50,000.0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5" w:right="0"/>
              <w:jc w:val="left"/>
              <w:rPr>
                <w:rFonts w:ascii="Times New Roman" w:hAnsi="Times New Roman" w:cs="Times New Roman" w:eastAsia="Times New Roman" w:hint="default"/>
                <w:sz w:val="18"/>
                <w:szCs w:val="18"/>
              </w:rPr>
            </w:pPr>
            <w:r>
              <w:rPr>
                <w:rFonts w:ascii="Times New Roman"/>
                <w:sz w:val="18"/>
              </w:rPr>
              <w:t>10,716,93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 w:right="0"/>
              <w:jc w:val="center"/>
              <w:rPr>
                <w:rFonts w:ascii="Times New Roman" w:hAnsi="Times New Roman" w:cs="Times New Roman" w:eastAsia="Times New Roman" w:hint="default"/>
                <w:sz w:val="18"/>
                <w:szCs w:val="18"/>
              </w:rPr>
            </w:pPr>
            <w:r>
              <w:rPr>
                <w:rFonts w:ascii="Times New Roman"/>
                <w:sz w:val="18"/>
              </w:rPr>
              <w:t>5,857,518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center"/>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7" w:right="0"/>
              <w:jc w:val="left"/>
              <w:rPr>
                <w:rFonts w:ascii="Times New Roman" w:hAnsi="Times New Roman" w:cs="Times New Roman" w:eastAsia="Times New Roman" w:hint="default"/>
                <w:sz w:val="18"/>
                <w:szCs w:val="18"/>
              </w:rPr>
            </w:pPr>
            <w:r>
              <w:rPr>
                <w:rFonts w:ascii="Times New Roman"/>
                <w:sz w:val="18"/>
              </w:rPr>
              <w:t>75,000.00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0" w:right="0"/>
              <w:jc w:val="left"/>
              <w:rPr>
                <w:rFonts w:ascii="Times New Roman" w:hAnsi="Times New Roman" w:cs="Times New Roman" w:eastAsia="Times New Roman" w:hint="default"/>
                <w:sz w:val="18"/>
                <w:szCs w:val="18"/>
              </w:rPr>
            </w:pPr>
            <w:r>
              <w:rPr>
                <w:rFonts w:ascii="Times New Roman"/>
                <w:sz w:val="18"/>
              </w:rPr>
              <w:t>5,782,518</w:t>
            </w:r>
          </w:p>
        </w:tc>
      </w:tr>
    </w:tbl>
    <w:p>
      <w:pPr>
        <w:spacing w:after="0" w:line="240" w:lineRule="auto"/>
        <w:jc w:val="lef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634"/>
        <w:gridCol w:w="763"/>
        <w:gridCol w:w="763"/>
        <w:gridCol w:w="761"/>
        <w:gridCol w:w="763"/>
        <w:gridCol w:w="790"/>
        <w:gridCol w:w="775"/>
        <w:gridCol w:w="797"/>
        <w:gridCol w:w="931"/>
        <w:gridCol w:w="797"/>
        <w:gridCol w:w="79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备的应收票据</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6" w:right="0"/>
              <w:jc w:val="left"/>
              <w:rPr>
                <w:rFonts w:ascii="Times New Roman" w:hAnsi="Times New Roman" w:cs="Times New Roman" w:eastAsia="Times New Roman" w:hint="default"/>
                <w:sz w:val="18"/>
                <w:szCs w:val="18"/>
              </w:rPr>
            </w:pPr>
            <w:r>
              <w:rPr>
                <w:rFonts w:ascii="Times New Roman"/>
                <w:sz w:val="18"/>
              </w:rPr>
              <w:t>35.35</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1" w:right="0"/>
              <w:jc w:val="left"/>
              <w:rPr>
                <w:rFonts w:ascii="Times New Roman" w:hAnsi="Times New Roman" w:cs="Times New Roman" w:eastAsia="Times New Roman" w:hint="default"/>
                <w:sz w:val="18"/>
                <w:szCs w:val="18"/>
              </w:rPr>
            </w:pPr>
            <w:r>
              <w:rPr>
                <w:rFonts w:ascii="Times New Roman"/>
                <w:sz w:val="18"/>
              </w:rPr>
              <w:t>5.35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.40</w:t>
            </w:r>
          </w:p>
        </w:tc>
      </w:tr>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9,766,93</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5.35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90.71%</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9,766,935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4,357,518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74.39%</w:t>
            </w:r>
          </w:p>
        </w:tc>
        <w:tc>
          <w:tcPr>
            <w:tcW w:w="93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4,357,518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.40</w:t>
            </w: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25.61%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1,425,000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10,766,9</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35.35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10,716,93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5.35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5,857,518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5,782,518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.40</w:t>
            </w:r>
          </w:p>
        </w:tc>
      </w:tr>
    </w:tbl>
    <w:p>
      <w:pPr>
        <w:spacing w:line="240" w:lineRule="auto" w:before="4"/>
        <w:rPr>
          <w:rFonts w:ascii="宋体" w:hAnsi="宋体" w:cs="宋体" w:eastAsia="宋体" w:hint="default"/>
          <w:sz w:val="27"/>
          <w:szCs w:val="2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7"/>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4D4D4"/>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9,766,935.35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10,766,935.35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360" w:lineRule="auto" w:before="51"/>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确定该组合依据的说明：无 如是按照预期信用损失一般模型计提应收票据坏账准备，请参照其他应收款的披露方式披露坏账准备的相关信息：</w:t>
      </w:r>
    </w:p>
    <w:p>
      <w:pPr>
        <w:spacing w:before="2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21"/>
      <w:bookmarkEnd w:id="22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应收账款" w:id="222"/>
      <w:bookmarkEnd w:id="222"/>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23"/>
      <w:bookmarkEnd w:id="22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3840"/>
        <w:gridCol w:w="4092"/>
      </w:tblGrid>
      <w:tr>
        <w:trPr>
          <w:trHeight w:val="402"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80" w:footer="977"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634"/>
        <w:gridCol w:w="763"/>
        <w:gridCol w:w="763"/>
        <w:gridCol w:w="761"/>
        <w:gridCol w:w="763"/>
        <w:gridCol w:w="790"/>
        <w:gridCol w:w="775"/>
        <w:gridCol w:w="797"/>
        <w:gridCol w:w="799"/>
        <w:gridCol w:w="790"/>
        <w:gridCol w:w="931"/>
      </w:tblGrid>
      <w:tr>
        <w:trPr>
          <w:trHeight w:val="401" w:hRule="exact"/>
        </w:trPr>
        <w:tc>
          <w:tcPr>
            <w:tcW w:w="163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3"/>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4D4D4"/>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5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1,004,56</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504,560.0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1,004,560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0.41%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49.77%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504,560.00</w:t>
            </w: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5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2" w:right="0"/>
              <w:jc w:val="center"/>
              <w:rPr>
                <w:rFonts w:ascii="Times New Roman" w:hAnsi="Times New Roman" w:cs="Times New Roman" w:eastAsia="Times New Roman" w:hint="default"/>
                <w:sz w:val="18"/>
                <w:szCs w:val="18"/>
              </w:rPr>
            </w:pPr>
            <w:r>
              <w:rPr>
                <w:rFonts w:ascii="Times New Roman"/>
                <w:sz w:val="18"/>
              </w:rPr>
              <w:t>287,689,</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903.34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43,178,1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00.88</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244,511,8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02.46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245,246,2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41.66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99.59%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47,739,06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2.21</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197,507,17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9.45</w:t>
            </w: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信用风险特征组合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2" w:right="0"/>
              <w:jc w:val="center"/>
              <w:rPr>
                <w:rFonts w:ascii="Times New Roman" w:hAnsi="Times New Roman" w:cs="Times New Roman" w:eastAsia="Times New Roman" w:hint="default"/>
                <w:sz w:val="18"/>
                <w:szCs w:val="18"/>
              </w:rPr>
            </w:pPr>
            <w:r>
              <w:rPr>
                <w:rFonts w:ascii="Times New Roman"/>
                <w:sz w:val="18"/>
              </w:rPr>
              <w:t>287,689,</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903.34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43,178,1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00.88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244,511,8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02.46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245,246,2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41.66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99.59%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47,739,06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2.21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19.47%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197,507,17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9.45</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2" w:right="0"/>
              <w:jc w:val="center"/>
              <w:rPr>
                <w:rFonts w:ascii="Times New Roman" w:hAnsi="Times New Roman" w:cs="Times New Roman" w:eastAsia="Times New Roman" w:hint="default"/>
                <w:sz w:val="18"/>
                <w:szCs w:val="18"/>
              </w:rPr>
            </w:pPr>
            <w:r>
              <w:rPr>
                <w:rFonts w:ascii="Times New Roman"/>
                <w:sz w:val="18"/>
              </w:rPr>
              <w:t>288,694,</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463.34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43,678,1</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00.88</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245,016,3</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62.46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246,250,8</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01.66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48,239,06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2.21</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left"/>
              <w:rPr>
                <w:rFonts w:ascii="Times New Roman" w:hAnsi="Times New Roman" w:cs="Times New Roman" w:eastAsia="Times New Roman" w:hint="default"/>
                <w:sz w:val="18"/>
                <w:szCs w:val="18"/>
              </w:rPr>
            </w:pPr>
            <w:r>
              <w:rPr>
                <w:rFonts w:ascii="Times New Roman"/>
                <w:sz w:val="18"/>
              </w:rPr>
              <w:t>198,011,73</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9.45</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延长壳牌（四川）石油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1,004,560.00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工程项目纠纷</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1,004,560.00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500,000.00</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27"/>
          <w:szCs w:val="2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4D4D4"/>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信用风险特征组合</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287,689,903.34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43,178,100.88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287,689,903.34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43,178,100.88</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确定该组合依据的说明：无 如是按照预期信用损失一般模型计提应收账款坏账准备，请参照其他应收款的披露方式披露坏账准备的相关信息：</w:t>
      </w:r>
    </w:p>
    <w:p>
      <w:pPr>
        <w:spacing w:line="340" w:lineRule="auto" w:before="29"/>
        <w:ind w:left="152" w:right="913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39"/>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182,224,009.94</w:t>
            </w:r>
            <w:r>
              <w:rPr>
                <w:rFonts w:ascii="Times New Roman"/>
                <w:sz w:val="18"/>
              </w:rPr>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52,704,607.44</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24,506,440.26</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29,259,405.70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11,961,621.21</w:t>
            </w:r>
            <w:r>
              <w:rPr>
                <w:rFonts w:ascii="Times New Roman"/>
                <w:sz w:val="18"/>
              </w:rPr>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5,109,065.12</w:t>
            </w:r>
            <w:r>
              <w:rPr>
                <w:rFonts w:ascii="Times New Roman"/>
                <w:sz w:val="18"/>
              </w:rPr>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12,188,719.37</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288,694,463.34</w:t>
            </w:r>
            <w:r>
              <w:rPr>
                <w:rFonts w:ascii="Times New Roman"/>
                <w:sz w:val="18"/>
              </w:rPr>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公司需要遵守《深圳证券交易所行业信息披露指引第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24"/>
      <w:bookmarkEnd w:id="22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按单项计提坏账 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47,739,062.21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4,560,961.33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43,178,100.88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48,239,062.21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4,560,961.33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43,678,100.88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按欠款方归集的期末余额前五名的应收账款情况" w:id="225"/>
      <w:bookmarkEnd w:id="225"/>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7"/>
      </w:tblGrid>
      <w:tr>
        <w:trPr>
          <w:trHeight w:val="715" w:hRule="exact"/>
        </w:trPr>
        <w:tc>
          <w:tcPr>
            <w:tcW w:w="19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52,777,135.49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18.28%</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9,741,258.65</w:t>
            </w:r>
            <w:r>
              <w:rPr>
                <w:rFonts w:ascii="Times New Roman"/>
                <w:sz w:val="18"/>
              </w:rPr>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20,746,258.35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7.19%</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1,992,578.71</w:t>
            </w:r>
            <w:r>
              <w:rPr>
                <w:rFonts w:ascii="Times New Roman"/>
                <w:sz w:val="18"/>
              </w:rPr>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16,800,000.00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5.82%</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840,000.00</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11,121,578.85</w:t>
            </w:r>
            <w:r>
              <w:rPr>
                <w:rFonts w:ascii="Times New Roman"/>
                <w:sz w:val="18"/>
              </w:rPr>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3.85%</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556,078.94</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7,196,664.00</w:t>
            </w:r>
            <w:r>
              <w:rPr>
                <w:rFonts w:ascii="Times New Roman"/>
                <w:sz w:val="18"/>
              </w:rPr>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2.49%</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359,833.20</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108,641,636.69</w:t>
            </w:r>
            <w:r>
              <w:rPr>
                <w:rFonts w:ascii="Times New Roman"/>
                <w:sz w:val="18"/>
              </w:rPr>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37.63%</w:t>
            </w:r>
          </w:p>
        </w:tc>
        <w:tc>
          <w:tcPr>
            <w:tcW w:w="2527" w:type="dxa"/>
            <w:tcBorders>
              <w:top w:val="single" w:sz="4" w:space="0" w:color="000000"/>
              <w:left w:val="single" w:sz="4" w:space="0" w:color="000000"/>
              <w:bottom w:val="single" w:sz="4" w:space="0" w:color="000000"/>
              <w:right w:val="single" w:sz="4" w:space="0" w:color="000000"/>
            </w:tcBorders>
            <w:shd w:val="clear" w:color="auto" w:fill="D4D4D4"/>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应收款项融资" w:id="226"/>
      <w:bookmarkEnd w:id="226"/>
      <w:r>
        <w:rPr>
          <w:b w:val="0"/>
          <w:bCs w:val="0"/>
        </w:rPr>
      </w:r>
      <w:r>
        <w:rPr>
          <w:rFonts w:ascii="Times New Roman" w:hAnsi="Times New Roman" w:cs="Times New Roman" w:eastAsia="Times New Roman" w:hint="default"/>
        </w:rPr>
        <w:t>4</w:t>
      </w:r>
      <w:r>
        <w:rPr/>
        <w:t>、应收款项融资</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422,250.00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250,000.00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422,250.00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250,000.00</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应收款项融资本期增减变动及公允价值变动情况</w:t>
      </w:r>
    </w:p>
    <w:p>
      <w:pPr>
        <w:spacing w:after="0"/>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13"/>
        <w:rPr>
          <w:rFonts w:ascii="宋体" w:hAnsi="宋体" w:cs="宋体" w:eastAsia="宋体" w:hint="default"/>
          <w:sz w:val="21"/>
          <w:szCs w:val="21"/>
        </w:rPr>
      </w:pPr>
    </w:p>
    <w:p>
      <w:pPr>
        <w:spacing w:line="340" w:lineRule="auto" w:before="44"/>
        <w:ind w:left="152" w:right="139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如是按照预期信用损失一般模型计提应收款项融资减值准备，请参照其他应收款的披露方式披露减值准备的相关信息：</w:t>
      </w:r>
    </w:p>
    <w:p>
      <w:pPr>
        <w:spacing w:line="340" w:lineRule="auto" w:before="39"/>
        <w:ind w:left="153" w:right="913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pStyle w:val="BodyText"/>
        <w:spacing w:line="408" w:lineRule="auto" w:before="95"/>
        <w:ind w:right="0" w:firstLine="420"/>
        <w:jc w:val="left"/>
      </w:pPr>
      <w:r>
        <w:rPr>
          <w:spacing w:val="-2"/>
        </w:rPr>
        <w:t>应收款项融资本期增减变动及公允价值变动情况：系银行承兑汇票，其剩余期限较短，账面余额与公</w:t>
      </w:r>
      <w:r>
        <w:rPr>
          <w:w w:val="100"/>
        </w:rPr>
        <w:t> </w:t>
      </w:r>
      <w:r>
        <w:rPr/>
        <w:t>允价值相近。</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5、预付款项" w:id="227"/>
      <w:bookmarkEnd w:id="227"/>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28"/>
      <w:bookmarkEnd w:id="22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7"/>
        <w:rPr>
          <w:rFonts w:ascii="宋体" w:hAnsi="宋体" w:cs="宋体" w:eastAsia="宋体" w:hint="default"/>
          <w:b/>
          <w:bCs/>
          <w:sz w:val="26"/>
          <w:szCs w:val="26"/>
        </w:rPr>
      </w:pPr>
    </w:p>
    <w:p>
      <w:pPr>
        <w:spacing w:before="0"/>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23,044,965.00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9,620,779.80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77.29%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1,562,751.33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2,125,463.48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17.07%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974,139.94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73,020.00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0.59%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127,761.20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629,160.00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25,709,617.47</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12,448,423.28</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年且金额重要的预付款项未及时结算原因的说明：无</w:t>
      </w:r>
    </w:p>
    <w:p>
      <w:pPr>
        <w:spacing w:line="692" w:lineRule="exact" w:before="29"/>
        <w:ind w:left="572" w:right="0" w:hanging="420"/>
        <w:jc w:val="left"/>
        <w:rPr>
          <w:rFonts w:ascii="宋体" w:hAnsi="宋体" w:cs="宋体" w:eastAsia="宋体" w:hint="default"/>
          <w:sz w:val="21"/>
          <w:szCs w:val="21"/>
        </w:rPr>
      </w:pPr>
      <w:bookmarkStart w:name="（2）按预付对象归集的期末余额前五名的预付款情况" w:id="229"/>
      <w:bookmarkEnd w:id="2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本集团按预付对象归集的年末余额前五名预付款项汇总金额</w:t>
      </w:r>
      <w:r>
        <w:rPr>
          <w:rFonts w:ascii="Times New Roman" w:hAnsi="Times New Roman" w:cs="Times New Roman" w:eastAsia="Times New Roman" w:hint="default"/>
          <w:spacing w:val="-1"/>
          <w:sz w:val="21"/>
          <w:szCs w:val="21"/>
        </w:rPr>
        <w:t>10,598,604.82</w:t>
      </w:r>
      <w:r>
        <w:rPr>
          <w:rFonts w:ascii="宋体" w:hAnsi="宋体" w:cs="宋体" w:eastAsia="宋体" w:hint="default"/>
          <w:spacing w:val="-1"/>
          <w:sz w:val="21"/>
          <w:szCs w:val="21"/>
        </w:rPr>
        <w:t>元，占预付账款余额合计数</w:t>
      </w:r>
    </w:p>
    <w:p>
      <w:pPr>
        <w:pStyle w:val="BodyText"/>
        <w:spacing w:line="240" w:lineRule="auto" w:before="84"/>
        <w:ind w:right="0"/>
        <w:jc w:val="left"/>
      </w:pPr>
      <w:r>
        <w:rPr/>
        <w:t>的比例</w:t>
      </w:r>
      <w:r>
        <w:rPr>
          <w:rFonts w:ascii="Times New Roman" w:hAnsi="Times New Roman" w:cs="Times New Roman" w:eastAsia="Times New Roman" w:hint="default"/>
        </w:rPr>
        <w:t>41.22%</w:t>
      </w:r>
      <w:r>
        <w:rPr/>
        <w:t>。</w:t>
      </w:r>
    </w:p>
    <w:p>
      <w:pPr>
        <w:spacing w:line="240" w:lineRule="auto" w:before="8"/>
        <w:rPr>
          <w:rFonts w:ascii="宋体" w:hAnsi="宋体" w:cs="宋体" w:eastAsia="宋体" w:hint="default"/>
          <w:sz w:val="18"/>
          <w:szCs w:val="18"/>
        </w:rPr>
      </w:pPr>
    </w:p>
    <w:p>
      <w:pPr>
        <w:spacing w:line="360" w:lineRule="auto" w:before="0"/>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r>
        <w:rPr>
          <w:rFonts w:ascii="宋体" w:hAnsi="宋体" w:cs="宋体" w:eastAsia="宋体" w:hint="default"/>
          <w:sz w:val="18"/>
          <w:szCs w:val="18"/>
        </w:rPr>
        <w:t> </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其他应收款" w:id="230"/>
      <w:bookmarkEnd w:id="230"/>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4"/>
        <w:rPr>
          <w:rFonts w:ascii="宋体" w:hAnsi="宋体" w:cs="宋体" w:eastAsia="宋体" w:hint="default"/>
          <w:b/>
          <w:bCs/>
          <w:sz w:val="26"/>
          <w:szCs w:val="26"/>
        </w:rPr>
      </w:pPr>
    </w:p>
    <w:p>
      <w:pPr>
        <w:spacing w:before="0"/>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54,839.17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939,791.67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31,764,415.25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33,343,873.92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31,819,254.42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34,283,665.59</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1）应收利息" w:id="231"/>
      <w:bookmarkEnd w:id="231"/>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232"/>
      <w:bookmarkEnd w:id="232"/>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939,791.67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七天存款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54,839.17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54,839.17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939,791.67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坏账准备计提情况" w:id="233"/>
      <w:bookmarkEnd w:id="233"/>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其他应收款" w:id="234"/>
      <w:bookmarkEnd w:id="234"/>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按款项性质分类情况" w:id="235"/>
      <w:bookmarkEnd w:id="235"/>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24,451,405.68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30,180,867.58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备用金及项目周转金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12,174,104.73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10,026,333.51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应收关联方款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43,200.00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1,270,585.51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632,439.12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37,896,095.92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40,882,840.21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坏账准备计提情况" w:id="236"/>
      <w:bookmarkEnd w:id="236"/>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651"/>
        <w:gridCol w:w="2098"/>
        <w:gridCol w:w="2100"/>
        <w:gridCol w:w="1805"/>
      </w:tblGrid>
      <w:tr>
        <w:trPr>
          <w:trHeight w:val="401" w:hRule="exact"/>
        </w:trPr>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5" w:type="dxa"/>
            <w:vMerge/>
            <w:tcBorders>
              <w:left w:val="single" w:sz="4" w:space="0" w:color="000000"/>
              <w:bottom w:val="single" w:sz="4" w:space="0" w:color="000000"/>
              <w:right w:val="single" w:sz="4" w:space="0" w:color="000000"/>
            </w:tcBorders>
            <w:shd w:val="clear" w:color="auto" w:fill="D4D4D4"/>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972,811.32</w:t>
            </w:r>
            <w:r>
              <w:rPr>
                <w:rFonts w:ascii="Times New Roman"/>
                <w:sz w:val="18"/>
              </w:rPr>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5,851,957.97</w:t>
            </w:r>
            <w:r>
              <w:rPr>
                <w:rFonts w:ascii="Times New Roman"/>
                <w:sz w:val="18"/>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714,197.00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7,538,966.29</w:t>
            </w:r>
            <w:r>
              <w:rPr>
                <w:rFonts w:ascii="Times New Roman"/>
                <w:sz w:val="18"/>
              </w:rPr>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69,482.83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1,319,783.79</w:t>
            </w:r>
            <w:r>
              <w:rPr>
                <w:rFonts w:ascii="Times New Roman"/>
                <w:sz w:val="18"/>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18,019.00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1,407,285.62</w:t>
            </w:r>
            <w:r>
              <w:rPr>
                <w:rFonts w:ascii="Times New Roman"/>
                <w:sz w:val="18"/>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903,328.49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4,532,174.18</w:t>
            </w:r>
            <w:r>
              <w:rPr>
                <w:rFonts w:ascii="Times New Roman"/>
                <w:sz w:val="18"/>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696,178.00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6,131,680.67</w:t>
            </w:r>
            <w:r>
              <w:rPr>
                <w:rFonts w:ascii="Times New Roman"/>
                <w:sz w:val="18"/>
              </w:rPr>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13"/>
        <w:rPr>
          <w:rFonts w:ascii="宋体" w:hAnsi="宋体" w:cs="宋体" w:eastAsia="宋体" w:hint="default"/>
          <w:sz w:val="21"/>
          <w:szCs w:val="21"/>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按账龄披露</w:t>
      </w:r>
    </w:p>
    <w:p>
      <w:pPr>
        <w:spacing w:before="117"/>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21,660,409.31</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7,188,942.37</w:t>
            </w:r>
            <w:r>
              <w:rPr>
                <w:rFonts w:ascii="Times New Roman"/>
                <w:sz w:val="18"/>
              </w:rPr>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3,868,040.52</w:t>
            </w:r>
            <w:r>
              <w:rPr>
                <w:rFonts w:ascii="Times New Roman"/>
                <w:sz w:val="18"/>
              </w:rPr>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5,178,703.72</w:t>
            </w:r>
            <w:r>
              <w:rPr>
                <w:rFonts w:ascii="Times New Roman"/>
                <w:sz w:val="18"/>
              </w:rPr>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3,247,461.02</w:t>
            </w:r>
            <w:r>
              <w:rPr>
                <w:rFonts w:ascii="Times New Roman"/>
                <w:sz w:val="18"/>
              </w:rPr>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1,235,064.70</w:t>
            </w:r>
            <w:r>
              <w:rPr>
                <w:rFonts w:ascii="Times New Roman"/>
                <w:sz w:val="18"/>
              </w:rPr>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696,178.00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37,896,095.92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计提、收回或转回的坏账准备情况" w:id="237"/>
      <w:bookmarkEnd w:id="237"/>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39"/>
        <w:gridCol w:w="1332"/>
        <w:gridCol w:w="1332"/>
        <w:gridCol w:w="1325"/>
        <w:gridCol w:w="1726"/>
      </w:tblGrid>
      <w:tr>
        <w:trPr>
          <w:trHeight w:val="402" w:hRule="exact"/>
        </w:trPr>
        <w:tc>
          <w:tcPr>
            <w:tcW w:w="141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416" w:type="dxa"/>
            <w:vMerge/>
            <w:tcBorders>
              <w:left w:val="single" w:sz="4" w:space="0" w:color="000000"/>
              <w:bottom w:val="single" w:sz="4" w:space="0" w:color="000000"/>
              <w:right w:val="single" w:sz="4" w:space="0" w:color="000000"/>
            </w:tcBorders>
            <w:shd w:val="clear" w:color="auto" w:fill="D4D4D4"/>
          </w:tcPr>
          <w:p>
            <w:pPr/>
          </w:p>
        </w:tc>
        <w:tc>
          <w:tcPr>
            <w:tcW w:w="1097" w:type="dxa"/>
            <w:vMerge/>
            <w:tcBorders>
              <w:left w:val="single" w:sz="4" w:space="0" w:color="000000"/>
              <w:bottom w:val="single" w:sz="4" w:space="0" w:color="000000"/>
              <w:right w:val="single" w:sz="4" w:space="0" w:color="000000"/>
            </w:tcBorders>
            <w:shd w:val="clear" w:color="auto" w:fill="D4D4D4"/>
          </w:tcPr>
          <w:p>
            <w:pPr/>
          </w:p>
        </w:tc>
        <w:tc>
          <w:tcPr>
            <w:tcW w:w="13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账龄信用风险特 征组合</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7,124,449.81</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1,055,741.27</w:t>
            </w:r>
            <w:r>
              <w:rPr>
                <w:rFonts w:ascii="Times New Roman"/>
                <w:sz w:val="18"/>
              </w:rPr>
            </w: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6,068,708.54</w:t>
            </w:r>
            <w:r>
              <w:rPr>
                <w:rFonts w:ascii="Times New Roman"/>
                <w:sz w:val="18"/>
              </w:rPr>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性质组合</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414,516.48</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351,544.35</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62,972.13</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7,538,966.29</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1,407,285.62</w:t>
            </w:r>
            <w:r>
              <w:rPr>
                <w:rFonts w:ascii="Times New Roman"/>
                <w:sz w:val="18"/>
              </w:rPr>
            </w: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6,131,680.67</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按欠款方归集的期末余额前五名的其他应收款情况" w:id="238"/>
      <w:bookmarkEnd w:id="238"/>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1,259,442.50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62,972.13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994,000.00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49,700.00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889,910.90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88,991.09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4,843,353.40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331,663.22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存货" w:id="239"/>
      <w:bookmarkEnd w:id="239"/>
      <w:r>
        <w:rPr>
          <w:b w:val="0"/>
          <w:bCs w:val="0"/>
        </w:rPr>
      </w:r>
      <w:r>
        <w:rPr>
          <w:rFonts w:ascii="Times New Roman" w:hAnsi="Times New Roman" w:cs="Times New Roman" w:eastAsia="Times New Roman" w:hint="default"/>
        </w:rPr>
        <w:t>7</w:t>
      </w:r>
      <w:r>
        <w:rPr/>
        <w:t>、存货</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after="0"/>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13"/>
        <w:rPr>
          <w:rFonts w:ascii="宋体" w:hAnsi="宋体" w:cs="宋体" w:eastAsia="宋体" w:hint="default"/>
          <w:sz w:val="21"/>
          <w:szCs w:val="21"/>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1）存货分类" w:id="240"/>
      <w:bookmarkEnd w:id="24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未完工合同成本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121,892,836.12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6,184,912.11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115,707,924.01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72,423,810.12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245,869.75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72,177,940.37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121,892,836.12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6,184,912.11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115,707,924.01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72,423,810.12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245,869.75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72,177,940.37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存货跌价准备" w:id="241"/>
      <w:bookmarkEnd w:id="24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未完工合同成本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245,869.75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6,782,594.45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843,552.09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6,184,912.11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245,869.75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6,782,594.45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843,552.09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6,184,912.11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8、其他流动资产" w:id="242"/>
      <w:bookmarkEnd w:id="242"/>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80" w:footer="977" w:top="110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280" w:left="980" w:right="0"/>
          <w:cols w:num="2" w:equalWidth="0">
            <w:col w:w="1953" w:space="6874"/>
            <w:col w:w="2103"/>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待抵扣及待认证增值税进项税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867,442.97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107,511.98</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9,264.02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5,024.86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876,706.99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40,112,536.84</w:t>
            </w:r>
            <w:r>
              <w:rPr>
                <w:rFonts w:ascii="Times New Roman"/>
                <w:sz w:val="18"/>
              </w:rPr>
            </w:r>
          </w:p>
        </w:tc>
      </w:tr>
    </w:tbl>
    <w:p>
      <w:pPr>
        <w:spacing w:line="436"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9、长期股权投资" w:id="243"/>
      <w:bookmarkEnd w:id="243"/>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01"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bl>
    <w:p>
      <w:pPr>
        <w:spacing w:after="0"/>
        <w:sectPr>
          <w:type w:val="continuous"/>
          <w:pgSz w:w="11910" w:h="16840"/>
          <w:pgMar w:top="1580" w:bottom="2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深圳市中 钞科信金 融科技有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100,606,1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92.81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8,519,447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107,125,6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40.14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100,606,1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92.81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8,519,447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107,125,6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40.14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100,606,1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92.81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8,519,447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107,125,6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40.14</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436" w:lineRule="auto" w:before="51"/>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10、其他权益工具投资" w:id="244"/>
      <w:bookmarkEnd w:id="244"/>
      <w:r>
        <w:rPr>
          <w:b w:val="0"/>
          <w:bCs w:val="0"/>
        </w:rPr>
      </w:r>
      <w:r>
        <w:rPr>
          <w:rFonts w:ascii="Times New Roman" w:hAnsi="Times New Roman" w:cs="Times New Roman" w:eastAsia="Times New Roman" w:hint="default"/>
        </w:rPr>
        <w:t>10</w:t>
      </w:r>
      <w:r>
        <w:rPr/>
        <w:t>、其他权益工具投资</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贵州六合烟草自动化工程有限公司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分项披露本期非交易性权益工具投资</w:t>
      </w:r>
    </w:p>
    <w:p>
      <w:pPr>
        <w:spacing w:before="115"/>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1337"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8"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2"/>
              <w:jc w:val="both"/>
              <w:rPr>
                <w:rFonts w:ascii="宋体" w:hAnsi="宋体" w:cs="宋体" w:eastAsia="宋体" w:hint="default"/>
                <w:sz w:val="18"/>
                <w:szCs w:val="18"/>
              </w:rPr>
            </w:pPr>
            <w:r>
              <w:rPr>
                <w:rFonts w:ascii="宋体" w:hAnsi="宋体" w:cs="宋体" w:eastAsia="宋体" w:hint="default"/>
                <w:sz w:val="18"/>
                <w:szCs w:val="18"/>
              </w:rPr>
              <w:t>贵州六合烟草自 动化工程有限公 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非交易性投资</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11、固定资产" w:id="245"/>
      <w:bookmarkEnd w:id="245"/>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19,897,186.21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20,418,580.19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19,897,186.21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20,418,580.19</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1）固定资产情况" w:id="246"/>
      <w:bookmarkEnd w:id="24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25,516,725.90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7,070,841.80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3,283,178.55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287,725.80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36,158,472.05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930,395.27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278,495.57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51,285.31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1,260,176.15</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930,395.27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278,495.57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51,285.31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1,260,176.15</w:t>
            </w:r>
            <w:r>
              <w:rPr>
                <w:rFonts w:ascii="Times New Roman"/>
                <w:sz w:val="18"/>
              </w:rPr>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25,516,725.90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8,001,237.07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3,561,674.12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339,011.11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37,418,648.20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9,071,860.98</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4,299,057.49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2,151,836.97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217,136.42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15,739,891.86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612,401.40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865,533.47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293,405.36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10,229.90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1,781,570.13</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612,401.40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865,533.47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293,405.36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10,229.90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1,781,570.13</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9,684,262.38</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5,164,590.96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2,445,242.33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227,366.32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17,521,461.99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7"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15,832,463.52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2,836,646.11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1,116,431.79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2"/>
                <w:sz w:val="18"/>
              </w:rPr>
              <w:t>111,644.79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19,897,186.21</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16,444,864.92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2,771,784.31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1,131,341.58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70,589.38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20,418,580.19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通过经营租赁租出的固定资产" w:id="247"/>
      <w:bookmarkEnd w:id="247"/>
      <w:r>
        <w:rPr>
          <w:b w:val="0"/>
          <w:bCs w:val="0"/>
        </w:rPr>
      </w:r>
      <w:r>
        <w:rPr/>
        <w:t>（</w:t>
      </w:r>
      <w:r>
        <w:rPr>
          <w:rFonts w:ascii="Times New Roman" w:hAnsi="Times New Roman" w:cs="Times New Roman" w:eastAsia="Times New Roman" w:hint="default"/>
        </w:rPr>
        <w:t>2</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1"/>
        <w:gridCol w:w="4788"/>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4,997,268.24</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2、无形资产" w:id="248"/>
      <w:bookmarkEnd w:id="248"/>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49"/>
      <w:bookmarkEnd w:id="24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9,506,369.00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6" w:right="0"/>
              <w:jc w:val="left"/>
              <w:rPr>
                <w:rFonts w:ascii="Times New Roman" w:hAnsi="Times New Roman" w:cs="Times New Roman" w:eastAsia="Times New Roman" w:hint="default"/>
                <w:sz w:val="18"/>
                <w:szCs w:val="18"/>
              </w:rPr>
            </w:pPr>
            <w:r>
              <w:rPr>
                <w:rFonts w:ascii="Times New Roman"/>
                <w:sz w:val="18"/>
              </w:rPr>
              <w:t>2,760,363.78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12,266,732.78</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3,692,704.53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3,692,704.53</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6" w:right="0"/>
              <w:jc w:val="left"/>
              <w:rPr>
                <w:rFonts w:ascii="Times New Roman" w:hAnsi="Times New Roman" w:cs="Times New Roman" w:eastAsia="Times New Roman" w:hint="default"/>
                <w:sz w:val="18"/>
                <w:szCs w:val="18"/>
              </w:rPr>
            </w:pPr>
            <w:r>
              <w:rPr>
                <w:rFonts w:ascii="Times New Roman"/>
                <w:sz w:val="18"/>
              </w:rPr>
              <w:t>3,692,704.53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3,692,704.53</w:t>
            </w:r>
            <w:r>
              <w:rPr>
                <w:rFonts w:ascii="Times New Roman"/>
                <w:sz w:val="18"/>
              </w:rPr>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 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9,506,369.00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6" w:right="0"/>
              <w:jc w:val="left"/>
              <w:rPr>
                <w:rFonts w:ascii="Times New Roman" w:hAnsi="Times New Roman" w:cs="Times New Roman" w:eastAsia="Times New Roman" w:hint="default"/>
                <w:sz w:val="18"/>
                <w:szCs w:val="18"/>
              </w:rPr>
            </w:pPr>
            <w:r>
              <w:rPr>
                <w:rFonts w:ascii="Times New Roman"/>
                <w:sz w:val="18"/>
              </w:rPr>
              <w:t>6,453,068.31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15,959,437.31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3,358,917.02</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6" w:right="0"/>
              <w:jc w:val="left"/>
              <w:rPr>
                <w:rFonts w:ascii="Times New Roman" w:hAnsi="Times New Roman" w:cs="Times New Roman" w:eastAsia="Times New Roman" w:hint="default"/>
                <w:sz w:val="18"/>
                <w:szCs w:val="18"/>
              </w:rPr>
            </w:pPr>
            <w:r>
              <w:rPr>
                <w:rFonts w:ascii="Times New Roman"/>
                <w:sz w:val="18"/>
              </w:rPr>
              <w:t>1,263,732.77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4,622,649.79</w:t>
            </w:r>
            <w:r>
              <w:rPr>
                <w:rFonts w:ascii="Times New Roman"/>
                <w:sz w:val="18"/>
              </w:rPr>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190,127.38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1,024,130.37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1,214,257.75</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190,127.38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6" w:right="0"/>
              <w:jc w:val="left"/>
              <w:rPr>
                <w:rFonts w:ascii="Times New Roman" w:hAnsi="Times New Roman" w:cs="Times New Roman" w:eastAsia="Times New Roman" w:hint="default"/>
                <w:sz w:val="18"/>
                <w:szCs w:val="18"/>
              </w:rPr>
            </w:pPr>
            <w:r>
              <w:rPr>
                <w:rFonts w:ascii="Times New Roman"/>
                <w:sz w:val="18"/>
              </w:rPr>
              <w:t>1,024,130.37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1,214,257.75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3"/>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3,549,044.40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2,287,863.14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5,836,907.54</w:t>
            </w:r>
            <w:r>
              <w:rPr>
                <w:rFonts w:ascii="Times New Roman"/>
                <w:sz w:val="18"/>
              </w:rPr>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3"/>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3"/>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5,957,324.60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4,165,205.17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10,122,529.77</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6,147,451.98</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1,496,631.01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7,644,082.99</w:t>
            </w:r>
            <w:r>
              <w:rPr>
                <w:rFonts w:ascii="Times New Roman"/>
                <w:sz w:val="18"/>
              </w:rPr>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3、递延所得税资产/递延所得税负债" w:id="250"/>
      <w:bookmarkEnd w:id="250"/>
      <w:r>
        <w:rPr>
          <w:b w:val="0"/>
          <w:bCs w:val="0"/>
        </w:rPr>
      </w:r>
      <w:r>
        <w:rPr>
          <w:rFonts w:ascii="Times New Roman" w:hAnsi="Times New Roman" w:cs="Times New Roman" w:eastAsia="Times New Roman" w:hint="default"/>
        </w:rPr>
        <w:t>13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51"/>
      <w:bookmarkEnd w:id="25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56,044,693.66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8,432,765.51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55,859,254.46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8,379,067.67</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1,494,786.72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373,696.68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248,180.68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62,045.17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1,633,787.30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318,465.87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8,434,320.11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1,365,547.55</w:t>
            </w:r>
            <w:r>
              <w:rPr>
                <w:rFonts w:ascii="Times New Roman"/>
                <w:sz w:val="18"/>
              </w:rPr>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59,273,267.68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9,139,928.06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64,641,755.25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9,821,660.39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2）未确认递延所得税资产明细" w:id="252"/>
      <w:bookmarkEnd w:id="252"/>
      <w:r>
        <w:rPr>
          <w:b w:val="0"/>
          <w:bCs w:val="0"/>
        </w:rPr>
      </w:r>
      <w:r>
        <w:rPr/>
        <w:t>（</w:t>
      </w:r>
      <w:r>
        <w:rPr>
          <w:rFonts w:ascii="Times New Roman" w:hAnsi="Times New Roman" w:cs="Times New Roman" w:eastAsia="Times New Roman" w:hint="default"/>
        </w:rPr>
        <w:t>2</w:t>
      </w:r>
      <w:r>
        <w:rPr/>
        <w:t>）未确认递延所得税资产明细</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1,317,904.73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703,429.26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1,905,167.43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3,038,899.40</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3,223,072.16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3,742,328.66</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未确认递延所得税资产的可抵扣亏损将于以下年度到期" w:id="253"/>
      <w:bookmarkEnd w:id="253"/>
      <w:r>
        <w:rPr>
          <w:b w:val="0"/>
          <w:bCs w:val="0"/>
        </w:rPr>
      </w:r>
      <w:r>
        <w:rPr/>
        <w:t>（</w:t>
      </w:r>
      <w:r>
        <w:rPr>
          <w:rFonts w:ascii="Times New Roman" w:hAnsi="Times New Roman" w:cs="Times New Roman" w:eastAsia="Times New Roman" w:hint="default"/>
        </w:rPr>
        <w:t>3</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248,180.68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1,656,986.75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1,905,167.43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436"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14、短期借款" w:id="254"/>
      <w:bookmarkEnd w:id="254"/>
      <w:r>
        <w:rPr>
          <w:b w:val="0"/>
          <w:bCs w:val="0"/>
        </w:rPr>
      </w:r>
      <w:r>
        <w:rPr>
          <w:rFonts w:ascii="Times New Roman" w:hAnsi="Times New Roman" w:cs="Times New Roman" w:eastAsia="Times New Roman" w:hint="default"/>
        </w:rPr>
        <w:t>14</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55"/>
      <w:bookmarkEnd w:id="255"/>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439" w:lineRule="auto" w:before="51"/>
        <w:ind w:left="152" w:right="8954" w:firstLine="0"/>
        <w:jc w:val="left"/>
        <w:rPr>
          <w:rFonts w:ascii="宋体" w:hAnsi="宋体" w:cs="宋体" w:eastAsia="宋体" w:hint="default"/>
          <w:sz w:val="18"/>
          <w:szCs w:val="18"/>
        </w:rPr>
      </w:pPr>
      <w:r>
        <w:rPr>
          <w:rFonts w:ascii="宋体" w:hAnsi="宋体" w:cs="宋体" w:eastAsia="宋体" w:hint="default"/>
          <w:sz w:val="18"/>
          <w:szCs w:val="18"/>
        </w:rPr>
        <w:t>短期借款分类的说明： 无</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15、应付账款" w:id="256"/>
      <w:bookmarkEnd w:id="256"/>
      <w:r>
        <w:rPr>
          <w:b w:val="0"/>
          <w:bCs w:val="0"/>
        </w:rPr>
      </w:r>
      <w:r>
        <w:rPr>
          <w:rFonts w:ascii="Times New Roman" w:hAnsi="Times New Roman" w:cs="Times New Roman" w:eastAsia="Times New Roman" w:hint="default"/>
        </w:rPr>
        <w:t>15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57"/>
      <w:bookmarkEnd w:id="257"/>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99,989,277.10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65,061,143.79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99,989,277.10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65,061,143.79</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16、预收款项" w:id="258"/>
      <w:bookmarkEnd w:id="258"/>
      <w:r>
        <w:rPr>
          <w:b w:val="0"/>
          <w:bCs w:val="0"/>
        </w:rPr>
      </w:r>
      <w:r>
        <w:rPr>
          <w:rFonts w:ascii="Times New Roman" w:hAnsi="Times New Roman" w:cs="Times New Roman" w:eastAsia="Times New Roman" w:hint="default"/>
        </w:rPr>
        <w:t>16</w:t>
      </w:r>
      <w:r>
        <w:rPr/>
        <w:t>、预收款项</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1）预收款项列示" w:id="259"/>
      <w:bookmarkEnd w:id="25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未完工项目预收款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77,930,141.86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29,615,949.11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77,930,141.86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29,615,949.11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7、应付职工薪酬" w:id="260"/>
      <w:bookmarkEnd w:id="260"/>
      <w:r>
        <w:rPr>
          <w:b w:val="0"/>
          <w:bCs w:val="0"/>
        </w:rPr>
      </w:r>
      <w:r>
        <w:rPr>
          <w:rFonts w:ascii="Times New Roman" w:hAnsi="Times New Roman" w:cs="Times New Roman" w:eastAsia="Times New Roman" w:hint="default"/>
        </w:rPr>
        <w:t>17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61"/>
      <w:bookmarkEnd w:id="26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7,922,844.87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60,212,491.53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60,821,891.04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7,313,445.36</w:t>
            </w:r>
            <w:r>
              <w:rPr>
                <w:rFonts w:ascii="Times New Roman"/>
                <w:sz w:val="18"/>
              </w:rPr>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2,893,199.90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2,893,199.90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142,316.00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142,316.00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7,922,844.87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63,248,007.43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63,857,406.94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7,313,445.36</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短期薪酬列示" w:id="262"/>
      <w:bookmarkEnd w:id="26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2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7,804,902.18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47,891,457.69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48,405,710.57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7,290,649.30</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209,992.31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209,992.31</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1,464,631.39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1,464,631.39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1,179,443.86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1,179,443.86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18,700.62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18,700.62</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132,997.77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132,997.77</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133,489.14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133,489.14</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2,739,690.00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2,739,690.00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117,942.69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1,498,412.97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1,593,559.60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22,796.06</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、其他短期薪酬</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6,408,307.17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6,408,307.17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8" w:right="0"/>
              <w:jc w:val="left"/>
              <w:rPr>
                <w:rFonts w:ascii="Times New Roman" w:hAnsi="Times New Roman" w:cs="Times New Roman" w:eastAsia="Times New Roman" w:hint="default"/>
                <w:sz w:val="18"/>
                <w:szCs w:val="18"/>
              </w:rPr>
            </w:pPr>
            <w:r>
              <w:rPr>
                <w:rFonts w:ascii="Times New Roman"/>
                <w:sz w:val="18"/>
              </w:rPr>
              <w:t>7,922,844.87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60,212,491.53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60,821,891.04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7,313,445.36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设定提存计划列示" w:id="263"/>
      <w:bookmarkEnd w:id="26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2,793,630.82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2,793,630.82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99,569.08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99,569.08</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2,893,199.90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2,893,199.90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436"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18、应交税费" w:id="264"/>
      <w:bookmarkEnd w:id="264"/>
      <w:r>
        <w:rPr>
          <w:b w:val="0"/>
          <w:bCs w:val="0"/>
        </w:rPr>
      </w:r>
      <w:r>
        <w:rPr>
          <w:rFonts w:ascii="Times New Roman" w:hAnsi="Times New Roman" w:cs="Times New Roman" w:eastAsia="Times New Roman" w:hint="default"/>
        </w:rPr>
        <w:t>18</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21,668,400.38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19,193,947.91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1,553,944.07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6,878,377.04</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390,976.55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369,118.29</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342,623.10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321,876.10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1,282,363.63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1,279,818.42</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215,441.23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202,330.74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25,453,748.96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28,245,468.50</w:t>
            </w:r>
          </w:p>
        </w:tc>
      </w:tr>
    </w:tbl>
    <w:p>
      <w:pPr>
        <w:spacing w:line="439"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19、其他应付款" w:id="265"/>
      <w:bookmarkEnd w:id="265"/>
      <w:r>
        <w:rPr>
          <w:b w:val="0"/>
          <w:bCs w:val="0"/>
        </w:rPr>
      </w:r>
      <w:r>
        <w:rPr>
          <w:rFonts w:ascii="Times New Roman" w:hAnsi="Times New Roman" w:cs="Times New Roman" w:eastAsia="Times New Roman" w:hint="default"/>
        </w:rPr>
        <w:t>19</w:t>
      </w:r>
      <w:r>
        <w:rPr/>
        <w:t>、其他应付款</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36,262.41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197,611.67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378.83</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23,659,548.34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25,373,244.04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23,893,422.42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25,373,622.87</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1）应付利息" w:id="266"/>
      <w:bookmarkEnd w:id="266"/>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36,262.41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36,262.41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436" w:lineRule="auto" w:before="51"/>
        <w:ind w:left="152" w:right="8054"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 无</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2）应付股利" w:id="267"/>
      <w:bookmarkEnd w:id="267"/>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197,611.67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378.83</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197,611.67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378.83</w:t>
            </w:r>
            <w:r>
              <w:rPr>
                <w:rFonts w:ascii="Times New Roman"/>
                <w:sz w:val="18"/>
              </w:rPr>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年未支付的应付股利，应披露未支付原因：无</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其他应付款" w:id="268"/>
      <w:bookmarkEnd w:id="268"/>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69"/>
      <w:bookmarkEnd w:id="269"/>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13,429,950.22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13,137,858.45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应付专项款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5,796,508.33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6,694,631.88</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1,897,818.60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2,554,374.73</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预计费用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1,321,783.17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1,665,989.32</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1,213,488.02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1,320,389.66</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23,659,548.34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25,373,244.04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其他应付款" w:id="270"/>
      <w:bookmarkEnd w:id="270"/>
      <w:r>
        <w:rPr>
          <w:b w:val="0"/>
          <w:bCs w:val="0"/>
        </w:rPr>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留存国有股红利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4,933,635.32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养老金及补贴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1,821,200.00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6,754,835.32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386" w:lineRule="auto" w:before="36"/>
        <w:ind w:right="0" w:firstLine="419"/>
        <w:jc w:val="left"/>
      </w:pPr>
      <w:r>
        <w:rPr>
          <w:spacing w:val="-2"/>
        </w:rPr>
        <w:t>注</w:t>
      </w:r>
      <w:r>
        <w:rPr>
          <w:rFonts w:ascii="Times New Roman" w:hAnsi="Times New Roman" w:cs="Times New Roman" w:eastAsia="Times New Roman" w:hint="default"/>
          <w:spacing w:val="-2"/>
        </w:rPr>
        <w:t>1</w:t>
      </w:r>
      <w:r>
        <w:rPr>
          <w:spacing w:val="-2"/>
        </w:rPr>
        <w:t>：留存国有股红利</w:t>
      </w:r>
      <w:r>
        <w:rPr>
          <w:rFonts w:ascii="Times New Roman" w:hAnsi="Times New Roman" w:cs="Times New Roman" w:eastAsia="Times New Roman" w:hint="default"/>
          <w:spacing w:val="-2"/>
        </w:rPr>
        <w:t>4,933,635.32</w:t>
      </w:r>
      <w:r>
        <w:rPr>
          <w:spacing w:val="-2"/>
        </w:rPr>
        <w:t>元。留存国有股红利系</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-2006</w:t>
      </w:r>
      <w:r>
        <w:rPr>
          <w:spacing w:val="-2"/>
        </w:rPr>
        <w:t>年期间，本公司扣除现金分红外</w:t>
      </w:r>
      <w:r>
        <w:rPr>
          <w:spacing w:val="-3"/>
          <w:w w:val="100"/>
        </w:rPr>
        <w:t> </w:t>
      </w:r>
      <w:r>
        <w:rPr/>
        <w:t>的可供分配利润的</w:t>
      </w:r>
      <w:r>
        <w:rPr>
          <w:rFonts w:ascii="Times New Roman" w:hAnsi="Times New Roman" w:cs="Times New Roman" w:eastAsia="Times New Roman" w:hint="default"/>
        </w:rPr>
        <w:t>35%</w:t>
      </w:r>
      <w:r>
        <w:rPr/>
        <w:t>转入。</w:t>
      </w:r>
    </w:p>
    <w:p>
      <w:pPr>
        <w:pStyle w:val="BodyText"/>
        <w:spacing w:line="240" w:lineRule="auto" w:before="155"/>
        <w:ind w:left="573" w:right="0"/>
        <w:jc w:val="left"/>
      </w:pPr>
      <w:r>
        <w:rPr/>
        <w:t>注</w:t>
      </w:r>
      <w:r>
        <w:rPr>
          <w:rFonts w:ascii="Times New Roman" w:hAnsi="Times New Roman" w:cs="Times New Roman" w:eastAsia="Times New Roman" w:hint="default"/>
        </w:rPr>
        <w:t>2</w:t>
      </w:r>
      <w:r>
        <w:rPr/>
        <w:t>：养老金及补贴系中国科学院拨付的国有留利转入的养老金及补贴款。</w:t>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bookmarkStart w:name="20、长期应付款" w:id="271"/>
      <w:bookmarkEnd w:id="271"/>
      <w:r>
        <w:rPr>
          <w:b w:val="0"/>
          <w:bCs w:val="0"/>
        </w:rPr>
      </w:r>
      <w:r>
        <w:rPr>
          <w:rFonts w:ascii="Times New Roman" w:hAnsi="Times New Roman" w:cs="Times New Roman" w:eastAsia="Times New Roman" w:hint="default"/>
        </w:rPr>
        <w:t>20</w:t>
      </w:r>
      <w:r>
        <w:rPr/>
        <w:t>、长期应付款</w:t>
      </w:r>
      <w:r>
        <w:rPr>
          <w:b w:val="0"/>
          <w:bCs w:val="0"/>
        </w:rPr>
      </w:r>
    </w:p>
    <w:p>
      <w:pPr>
        <w:spacing w:line="240" w:lineRule="auto" w:before="6"/>
        <w:rPr>
          <w:rFonts w:ascii="宋体" w:hAnsi="宋体" w:cs="宋体" w:eastAsia="宋体" w:hint="default"/>
          <w:b/>
          <w:bCs/>
          <w:sz w:val="26"/>
          <w:szCs w:val="26"/>
        </w:rPr>
      </w:pPr>
    </w:p>
    <w:p>
      <w:pPr>
        <w:spacing w:before="0"/>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按款项性质列示长期应付款" w:id="272"/>
      <w:bookmarkEnd w:id="272"/>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财政厅专项借款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320,000.00</w:t>
            </w:r>
          </w:p>
        </w:tc>
      </w:tr>
    </w:tbl>
    <w:p>
      <w:pPr>
        <w:spacing w:line="439"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1、递延收益" w:id="273"/>
      <w:bookmarkEnd w:id="273"/>
      <w:r>
        <w:rPr>
          <w:b w:val="0"/>
          <w:bCs w:val="0"/>
        </w:rPr>
      </w:r>
      <w:r>
        <w:rPr>
          <w:rFonts w:ascii="Times New Roman" w:hAnsi="Times New Roman" w:cs="Times New Roman" w:eastAsia="Times New Roman" w:hint="default"/>
        </w:rPr>
        <w:t>21</w:t>
      </w:r>
      <w:r>
        <w:rPr/>
        <w:t>、递延收益</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8,434,320.11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1,206,000.00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8,006,532.81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1,633,787.30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已收到尚未到达确 认条件的政府补助</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8,434,320.11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1,206,000.00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8,006,532.81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1,633,787.30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0"/>
        <w:gridCol w:w="1010"/>
        <w:gridCol w:w="1010"/>
        <w:gridCol w:w="1008"/>
        <w:gridCol w:w="1010"/>
        <w:gridCol w:w="1248"/>
        <w:gridCol w:w="1010"/>
      </w:tblGrid>
      <w:tr>
        <w:trPr>
          <w:trHeight w:val="1026" w:hRule="exact"/>
        </w:trPr>
        <w:tc>
          <w:tcPr>
            <w:tcW w:w="10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41"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30" w:right="48"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97"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多模态小型 化超声监测 设备研发与 产业化推广</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425,174.25</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425,174.25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7"/>
              <w:jc w:val="both"/>
              <w:rPr>
                <w:rFonts w:ascii="宋体" w:hAnsi="宋体" w:cs="宋体" w:eastAsia="宋体" w:hint="default"/>
                <w:sz w:val="18"/>
                <w:szCs w:val="18"/>
              </w:rPr>
            </w:pPr>
            <w:r>
              <w:rPr>
                <w:rFonts w:ascii="宋体" w:hAnsi="宋体" w:cs="宋体" w:eastAsia="宋体" w:hint="default"/>
                <w:sz w:val="18"/>
                <w:szCs w:val="18"/>
              </w:rPr>
              <w:t>医学可视化 辅助诊疗决 策关键技术</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6"/>
              <w:jc w:val="right"/>
              <w:rPr>
                <w:rFonts w:ascii="Times New Roman" w:hAnsi="Times New Roman" w:cs="Times New Roman" w:eastAsia="Times New Roman" w:hint="default"/>
                <w:sz w:val="18"/>
                <w:szCs w:val="18"/>
              </w:rPr>
            </w:pPr>
            <w:r>
              <w:rPr>
                <w:rFonts w:ascii="Times New Roman"/>
                <w:sz w:val="18"/>
              </w:rPr>
              <w:t>658,441.01</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603,134.10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496" w:right="0"/>
              <w:jc w:val="left"/>
              <w:rPr>
                <w:rFonts w:ascii="Times New Roman" w:hAnsi="Times New Roman" w:cs="Times New Roman" w:eastAsia="Times New Roman" w:hint="default"/>
                <w:sz w:val="18"/>
                <w:szCs w:val="18"/>
              </w:rPr>
            </w:pPr>
            <w:r>
              <w:rPr>
                <w:rFonts w:ascii="Times New Roman"/>
                <w:sz w:val="18"/>
              </w:rPr>
              <w:t>55,306.91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0"/>
        <w:gridCol w:w="1010"/>
        <w:gridCol w:w="1010"/>
        <w:gridCol w:w="1008"/>
        <w:gridCol w:w="1010"/>
        <w:gridCol w:w="1248"/>
        <w:gridCol w:w="1010"/>
      </w:tblGrid>
      <w:tr>
        <w:trPr>
          <w:trHeight w:val="36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3"/>
              <w:jc w:val="center"/>
              <w:rPr>
                <w:rFonts w:ascii="宋体" w:hAnsi="宋体" w:cs="宋体" w:eastAsia="宋体" w:hint="default"/>
                <w:sz w:val="18"/>
                <w:szCs w:val="18"/>
              </w:rPr>
            </w:pPr>
            <w:r>
              <w:rPr>
                <w:rFonts w:ascii="宋体" w:hAnsi="宋体" w:cs="宋体" w:eastAsia="宋体" w:hint="default"/>
                <w:sz w:val="18"/>
                <w:szCs w:val="18"/>
              </w:rPr>
              <w:t>研发与推广</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四川生态多 样性实践活 动</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围术期智能 辅助诊疗产 品及云平台 研发与应用 示范</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2,116,037.74</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2,116,037.74</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新一代超声 影像智能比 例库关键技 术研发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6"/>
              <w:jc w:val="right"/>
              <w:rPr>
                <w:rFonts w:ascii="Times New Roman" w:hAnsi="Times New Roman" w:cs="Times New Roman" w:eastAsia="Times New Roman" w:hint="default"/>
                <w:sz w:val="18"/>
                <w:szCs w:val="18"/>
              </w:rPr>
            </w:pPr>
            <w:r>
              <w:rPr>
                <w:rFonts w:ascii="Times New Roman"/>
                <w:sz w:val="18"/>
              </w:rPr>
              <w:t>100,000.00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100,000.00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省科技厅普 及型经食管 超声心动监 护仪研发与 推广</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1,462,395.37</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1,415,277.92</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47,117.45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面向移动互 联网应用的 智能软件云 端开发平台 示范应用</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55,716.01</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55,716.01</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四川省科技 厅自主可控 安全技术研 发及应用示 范</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532,800.00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532,800.00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面向党和国 家重大战略 需求的会议 电子表决关 键技术研究</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四川省基层 </w:t>
            </w:r>
            <w:r>
              <w:rPr>
                <w:rFonts w:ascii="Times New Roman" w:hAnsi="Times New Roman" w:cs="Times New Roman" w:eastAsia="Times New Roman" w:hint="default"/>
                <w:sz w:val="18"/>
                <w:szCs w:val="18"/>
              </w:rPr>
              <w:t>"</w:t>
            </w:r>
            <w:r>
              <w:rPr>
                <w:rFonts w:ascii="宋体" w:hAnsi="宋体" w:cs="宋体" w:eastAsia="宋体" w:hint="default"/>
                <w:sz w:val="18"/>
                <w:szCs w:val="18"/>
              </w:rPr>
              <w:t>两委</w:t>
            </w:r>
            <w:r>
              <w:rPr>
                <w:rFonts w:ascii="Times New Roman" w:hAnsi="Times New Roman" w:cs="Times New Roman" w:eastAsia="Times New Roman" w:hint="default"/>
                <w:sz w:val="18"/>
                <w:szCs w:val="18"/>
              </w:rPr>
              <w:t>"</w:t>
            </w:r>
            <w:r>
              <w:rPr>
                <w:rFonts w:ascii="宋体" w:hAnsi="宋体" w:cs="宋体" w:eastAsia="宋体" w:hint="default"/>
                <w:sz w:val="18"/>
                <w:szCs w:val="18"/>
              </w:rPr>
              <w:t>换届 选举智能服 务管理平台 关键技术研 究与产业化 示范</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301,000.01</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301,000.01</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3"/>
              <w:jc w:val="center"/>
              <w:rPr>
                <w:rFonts w:ascii="宋体" w:hAnsi="宋体" w:cs="宋体" w:eastAsia="宋体" w:hint="default"/>
                <w:sz w:val="18"/>
                <w:szCs w:val="18"/>
              </w:rPr>
            </w:pPr>
            <w:r>
              <w:rPr>
                <w:rFonts w:ascii="宋体" w:hAnsi="宋体" w:cs="宋体" w:eastAsia="宋体" w:hint="default"/>
                <w:sz w:val="18"/>
                <w:szCs w:val="18"/>
              </w:rPr>
              <w:t>大数据可视</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5" w:right="0"/>
              <w:jc w:val="left"/>
              <w:rPr>
                <w:rFonts w:ascii="Times New Roman" w:hAnsi="Times New Roman" w:cs="Times New Roman" w:eastAsia="Times New Roman" w:hint="default"/>
                <w:sz w:val="18"/>
                <w:szCs w:val="18"/>
              </w:rPr>
            </w:pPr>
            <w:r>
              <w:rPr>
                <w:rFonts w:ascii="Times New Roman"/>
                <w:sz w:val="18"/>
              </w:rPr>
              <w:t>100,000.00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0"/>
        <w:gridCol w:w="1010"/>
        <w:gridCol w:w="1010"/>
        <w:gridCol w:w="1008"/>
        <w:gridCol w:w="1010"/>
        <w:gridCol w:w="1248"/>
        <w:gridCol w:w="1010"/>
      </w:tblGrid>
      <w:tr>
        <w:trPr>
          <w:trHeight w:val="36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化平台</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新一代互联 网智能教育 平台研发与 示范应用</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6"/>
              <w:jc w:val="right"/>
              <w:rPr>
                <w:rFonts w:ascii="Times New Roman" w:hAnsi="Times New Roman" w:cs="Times New Roman" w:eastAsia="Times New Roman" w:hint="default"/>
                <w:sz w:val="18"/>
                <w:szCs w:val="18"/>
              </w:rPr>
            </w:pPr>
            <w:r>
              <w:rPr>
                <w:rFonts w:ascii="Times New Roman"/>
                <w:sz w:val="18"/>
              </w:rPr>
              <w:t>674,234.70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674,234.70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无人机集群 代数优化协 同控制及应 用</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200,000.00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200,000.00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智能安全路 径规划与控 制算法研究</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126,000.00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基于遥感大 数据的地质 灾害监测预 警和分析关 键技术研究</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中国科学院 西部之光残 损人民币复 点与销毁的 自动化、智 能化管控</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经济型电子 计票系统产 业化推广</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1,563.87</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1,563.87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基于病例大 数据的智能 诊疗决策关 键技术研究 与应用</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6,961.76</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6,961.76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高寒高海拔 地区太阳能 代供暖系统 监控</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456,000.00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455,576.63</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423.37</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大数据智能 处理关键技 术研究</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临床云超声 数字诊疗关 键技术研发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0"/>
        <w:gridCol w:w="1010"/>
        <w:gridCol w:w="1010"/>
        <w:gridCol w:w="1008"/>
        <w:gridCol w:w="1010"/>
        <w:gridCol w:w="1248"/>
        <w:gridCol w:w="1010"/>
      </w:tblGrid>
      <w:tr>
        <w:trPr>
          <w:trHeight w:val="36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与应用</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面向开放共 享的云深度 学习专用平 台</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65" w:right="0"/>
              <w:jc w:val="left"/>
              <w:rPr>
                <w:rFonts w:ascii="Times New Roman" w:hAnsi="Times New Roman" w:cs="Times New Roman" w:eastAsia="Times New Roman" w:hint="default"/>
                <w:sz w:val="18"/>
                <w:szCs w:val="18"/>
              </w:rPr>
            </w:pPr>
            <w:r>
              <w:rPr>
                <w:rFonts w:ascii="Times New Roman"/>
                <w:sz w:val="18"/>
              </w:rPr>
              <w:t>450,000.00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6"/>
              <w:jc w:val="right"/>
              <w:rPr>
                <w:rFonts w:ascii="Times New Roman" w:hAnsi="Times New Roman" w:cs="Times New Roman" w:eastAsia="Times New Roman" w:hint="default"/>
                <w:sz w:val="18"/>
                <w:szCs w:val="18"/>
              </w:rPr>
            </w:pPr>
            <w:r>
              <w:rPr>
                <w:rFonts w:ascii="Times New Roman"/>
                <w:sz w:val="18"/>
              </w:rPr>
              <w:t>450,000.00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金义都市新 区中科院成 都信息技术 股份有限公 司金义联合 研究中心项 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1,003,995.39</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270,017.58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733,977.81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line="436"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22、股本" w:id="274"/>
      <w:bookmarkEnd w:id="274"/>
      <w:r>
        <w:rPr>
          <w:b w:val="0"/>
          <w:bCs w:val="0"/>
        </w:rPr>
      </w:r>
      <w:r>
        <w:rPr>
          <w:rFonts w:ascii="Times New Roman" w:hAnsi="Times New Roman" w:cs="Times New Roman" w:eastAsia="Times New Roman" w:hint="default"/>
        </w:rPr>
        <w:t>22</w:t>
      </w:r>
      <w:r>
        <w:rPr/>
        <w:t>、股本</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5"/>
        <w:gridCol w:w="1195"/>
        <w:gridCol w:w="1198"/>
        <w:gridCol w:w="1195"/>
        <w:gridCol w:w="1196"/>
        <w:gridCol w:w="1196"/>
      </w:tblGrid>
      <w:tr>
        <w:trPr>
          <w:trHeight w:val="401" w:hRule="exact"/>
        </w:trPr>
        <w:tc>
          <w:tcPr>
            <w:tcW w:w="1194" w:type="dxa"/>
            <w:vMerge w:val="restart"/>
            <w:tcBorders>
              <w:top w:val="single" w:sz="4" w:space="0" w:color="000000"/>
              <w:left w:val="single" w:sz="4" w:space="0" w:color="000000"/>
              <w:right w:val="single" w:sz="4" w:space="0" w:color="000000"/>
            </w:tcBorders>
            <w:shd w:val="clear" w:color="auto" w:fill="D4D4D4"/>
          </w:tcPr>
          <w:p>
            <w:pP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194"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180,000,000.00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180,000,000.00</w:t>
            </w:r>
          </w:p>
        </w:tc>
      </w:tr>
    </w:tbl>
    <w:p>
      <w:pPr>
        <w:spacing w:line="439"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3、资本公积" w:id="275"/>
      <w:bookmarkEnd w:id="275"/>
      <w:r>
        <w:rPr>
          <w:b w:val="0"/>
          <w:bCs w:val="0"/>
        </w:rPr>
      </w:r>
      <w:r>
        <w:rPr>
          <w:rFonts w:ascii="Times New Roman" w:hAnsi="Times New Roman" w:cs="Times New Roman" w:eastAsia="Times New Roman" w:hint="default"/>
        </w:rPr>
        <w:t>23</w:t>
      </w:r>
      <w:r>
        <w:rPr/>
        <w:t>、资本公积</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174,365,544.44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174,365,544.44</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4,002,201.38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4,002,201.38</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178,367,745.82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178,367,745.82</w:t>
            </w:r>
            <w:r>
              <w:rPr>
                <w:rFonts w:ascii="Times New Roman"/>
                <w:sz w:val="18"/>
              </w:rPr>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4、其他综合收益" w:id="276"/>
      <w:bookmarkEnd w:id="276"/>
      <w:r>
        <w:rPr>
          <w:b w:val="0"/>
          <w:bCs w:val="0"/>
        </w:rPr>
      </w:r>
      <w:r>
        <w:rPr>
          <w:rFonts w:ascii="Times New Roman" w:hAnsi="Times New Roman" w:cs="Times New Roman" w:eastAsia="Times New Roman" w:hint="default"/>
        </w:rPr>
        <w:t>24</w:t>
      </w:r>
      <w:r>
        <w:rPr/>
        <w:t>、其他综合收益</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5"/>
        <w:gridCol w:w="974"/>
        <w:gridCol w:w="852"/>
        <w:gridCol w:w="1051"/>
        <w:gridCol w:w="852"/>
        <w:gridCol w:w="852"/>
        <w:gridCol w:w="852"/>
        <w:gridCol w:w="852"/>
        <w:gridCol w:w="727"/>
      </w:tblGrid>
      <w:tr>
        <w:trPr>
          <w:trHeight w:val="401" w:hRule="exact"/>
        </w:trPr>
        <w:tc>
          <w:tcPr>
            <w:tcW w:w="255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1"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715" w:hRule="exact"/>
        </w:trPr>
        <w:tc>
          <w:tcPr>
            <w:tcW w:w="2555" w:type="dxa"/>
            <w:vMerge/>
            <w:tcBorders>
              <w:left w:val="single" w:sz="4" w:space="0" w:color="000000"/>
              <w:bottom w:val="single" w:sz="4" w:space="0" w:color="000000"/>
              <w:right w:val="single" w:sz="4" w:space="0" w:color="000000"/>
            </w:tcBorders>
            <w:shd w:val="clear" w:color="auto" w:fill="D4D4D4"/>
          </w:tcPr>
          <w:p>
            <w:pPr/>
          </w:p>
        </w:tc>
        <w:tc>
          <w:tcPr>
            <w:tcW w:w="974" w:type="dxa"/>
            <w:vMerge/>
            <w:tcBorders>
              <w:left w:val="single" w:sz="4" w:space="0" w:color="000000"/>
              <w:bottom w:val="single" w:sz="4" w:space="0" w:color="000000"/>
              <w:right w:val="single" w:sz="4" w:space="0" w:color="000000"/>
            </w:tcBorders>
            <w:shd w:val="clear" w:color="auto" w:fill="D4D4D4"/>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3"/>
              <w:ind w:left="62" w:right="59"/>
              <w:jc w:val="left"/>
              <w:rPr>
                <w:rFonts w:ascii="宋体" w:hAnsi="宋体" w:cs="宋体" w:eastAsia="宋体" w:hint="default"/>
                <w:sz w:val="18"/>
                <w:szCs w:val="18"/>
              </w:rPr>
            </w:pPr>
            <w:r>
              <w:rPr>
                <w:rFonts w:ascii="宋体" w:hAnsi="宋体" w:cs="宋体" w:eastAsia="宋体" w:hint="default"/>
                <w:sz w:val="18"/>
                <w:szCs w:val="18"/>
              </w:rPr>
              <w:t>本期所得 税前发生</w:t>
            </w:r>
          </w:p>
        </w:tc>
        <w:tc>
          <w:tcPr>
            <w:tcW w:w="10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3"/>
              <w:ind w:left="69" w:right="23" w:hanging="46"/>
              <w:jc w:val="left"/>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其他综合收</w:t>
            </w: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3"/>
              <w:ind w:left="62" w:right="59"/>
              <w:jc w:val="left"/>
              <w:rPr>
                <w:rFonts w:ascii="宋体" w:hAnsi="宋体" w:cs="宋体" w:eastAsia="宋体" w:hint="default"/>
                <w:sz w:val="18"/>
                <w:szCs w:val="18"/>
              </w:rPr>
            </w:pPr>
            <w:r>
              <w:rPr>
                <w:rFonts w:ascii="宋体" w:hAnsi="宋体" w:cs="宋体" w:eastAsia="宋体" w:hint="default"/>
                <w:sz w:val="18"/>
                <w:szCs w:val="18"/>
              </w:rPr>
              <w:t>减：前期 计入其他</w:t>
            </w: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62" w:right="5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3"/>
              <w:ind w:left="62" w:right="59"/>
              <w:jc w:val="left"/>
              <w:rPr>
                <w:rFonts w:ascii="宋体" w:hAnsi="宋体" w:cs="宋体" w:eastAsia="宋体" w:hint="default"/>
                <w:sz w:val="18"/>
                <w:szCs w:val="18"/>
              </w:rPr>
            </w:pPr>
            <w:r>
              <w:rPr>
                <w:rFonts w:ascii="宋体" w:hAnsi="宋体" w:cs="宋体" w:eastAsia="宋体" w:hint="default"/>
                <w:sz w:val="18"/>
                <w:szCs w:val="18"/>
              </w:rPr>
              <w:t>税后归属 于少数股</w:t>
            </w:r>
          </w:p>
        </w:tc>
        <w:tc>
          <w:tcPr>
            <w:tcW w:w="727" w:type="dxa"/>
            <w:vMerge/>
            <w:tcBorders>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880" w:footer="977"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556"/>
        <w:gridCol w:w="974"/>
        <w:gridCol w:w="852"/>
        <w:gridCol w:w="1051"/>
        <w:gridCol w:w="852"/>
        <w:gridCol w:w="852"/>
        <w:gridCol w:w="852"/>
        <w:gridCol w:w="852"/>
        <w:gridCol w:w="727"/>
      </w:tblGrid>
      <w:tr>
        <w:trPr>
          <w:trHeight w:val="986" w:hRule="exact"/>
        </w:trPr>
        <w:tc>
          <w:tcPr>
            <w:tcW w:w="255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97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
              <w:ind w:left="340" w:right="71" w:hanging="272"/>
              <w:jc w:val="left"/>
              <w:rPr>
                <w:rFonts w:ascii="宋体" w:hAnsi="宋体" w:cs="宋体" w:eastAsia="宋体" w:hint="default"/>
                <w:sz w:val="18"/>
                <w:szCs w:val="18"/>
              </w:rPr>
            </w:pPr>
            <w:r>
              <w:rPr>
                <w:rFonts w:ascii="宋体" w:hAnsi="宋体" w:cs="宋体" w:eastAsia="宋体" w:hint="default"/>
                <w:sz w:val="18"/>
                <w:szCs w:val="18"/>
              </w:rPr>
              <w:t>益当期转入 损益</w:t>
            </w: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
              <w:ind w:left="62" w:right="59"/>
              <w:jc w:val="both"/>
              <w:rPr>
                <w:rFonts w:ascii="宋体" w:hAnsi="宋体" w:cs="宋体" w:eastAsia="宋体" w:hint="default"/>
                <w:sz w:val="18"/>
                <w:szCs w:val="18"/>
              </w:rPr>
            </w:pPr>
            <w:r>
              <w:rPr>
                <w:rFonts w:ascii="宋体" w:hAnsi="宋体" w:cs="宋体" w:eastAsia="宋体" w:hint="default"/>
                <w:sz w:val="18"/>
                <w:szCs w:val="18"/>
              </w:rPr>
              <w:t>综合收益 当期转入 留存收益</w:t>
            </w: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东</w:t>
            </w:r>
          </w:p>
        </w:tc>
        <w:tc>
          <w:tcPr>
            <w:tcW w:w="727"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合收益</w:t>
            </w:r>
          </w:p>
        </w:tc>
        <w:tc>
          <w:tcPr>
            <w:tcW w:w="97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-85,000.00</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-85,000.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25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其他权益工具投资公允 价值变动</w:t>
            </w:r>
          </w:p>
        </w:tc>
        <w:tc>
          <w:tcPr>
            <w:tcW w:w="97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-85,000.00</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-85,000.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161" w:hRule="exact"/>
        </w:trPr>
        <w:tc>
          <w:tcPr>
            <w:tcW w:w="2556" w:type="dxa"/>
            <w:tcBorders>
              <w:top w:val="single" w:sz="4" w:space="0" w:color="000000"/>
              <w:left w:val="single" w:sz="4" w:space="0" w:color="000000"/>
              <w:bottom w:val="nil" w:sz="6" w:space="0" w:color="auto"/>
              <w:right w:val="single" w:sz="4" w:space="0" w:color="000000"/>
            </w:tcBorders>
            <w:shd w:val="clear" w:color="auto" w:fill="D4D4D4"/>
          </w:tcPr>
          <w:p>
            <w:pPr/>
          </w:p>
        </w:tc>
        <w:tc>
          <w:tcPr>
            <w:tcW w:w="97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-85,000.00</w:t>
            </w:r>
          </w:p>
        </w:tc>
        <w:tc>
          <w:tcPr>
            <w:tcW w:w="852" w:type="dxa"/>
            <w:vMerge w:val="restart"/>
            <w:tcBorders>
              <w:top w:val="single" w:sz="4" w:space="0" w:color="000000"/>
              <w:left w:val="single" w:sz="4" w:space="0" w:color="000000"/>
              <w:right w:val="single" w:sz="4" w:space="0" w:color="000000"/>
            </w:tcBorders>
          </w:tcPr>
          <w:p>
            <w:pPr/>
          </w:p>
        </w:tc>
        <w:tc>
          <w:tcPr>
            <w:tcW w:w="1051"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-85,000.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5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4"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05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56" w:type="dxa"/>
            <w:tcBorders>
              <w:top w:val="nil" w:sz="6" w:space="0" w:color="auto"/>
              <w:left w:val="single" w:sz="4" w:space="0" w:color="000000"/>
              <w:bottom w:val="single" w:sz="4" w:space="0" w:color="000000"/>
              <w:right w:val="single" w:sz="4" w:space="0" w:color="000000"/>
            </w:tcBorders>
            <w:shd w:val="clear" w:color="auto" w:fill="D4D4D4"/>
          </w:tcPr>
          <w:p>
            <w:pPr/>
          </w:p>
        </w:tc>
        <w:tc>
          <w:tcPr>
            <w:tcW w:w="97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5、盈余公积" w:id="277"/>
      <w:bookmarkEnd w:id="277"/>
      <w:r>
        <w:rPr>
          <w:b w:val="0"/>
          <w:bCs w:val="0"/>
        </w:rPr>
      </w:r>
      <w:r>
        <w:rPr>
          <w:rFonts w:ascii="Times New Roman" w:hAnsi="Times New Roman" w:cs="Times New Roman" w:eastAsia="Times New Roman" w:hint="default"/>
        </w:rPr>
        <w:t>25</w:t>
      </w:r>
      <w:r>
        <w:rPr/>
        <w:t>、盈余公积</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24,106,520.44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2,542,534.62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26,649,055.06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7,522,585.93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7,522,585.93</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31,629,106.37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2,542,534.62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34,171,640.99</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6、未分配利润" w:id="278"/>
      <w:bookmarkEnd w:id="278"/>
      <w:r>
        <w:rPr>
          <w:b w:val="0"/>
          <w:bCs w:val="0"/>
        </w:rPr>
      </w:r>
      <w:r>
        <w:rPr>
          <w:rFonts w:ascii="Times New Roman" w:hAnsi="Times New Roman" w:cs="Times New Roman" w:eastAsia="Times New Roman" w:hint="default"/>
        </w:rPr>
        <w:t>26</w:t>
      </w:r>
      <w:r>
        <w:rPr/>
        <w:t>、未分配利润</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5"/>
        <w:gridCol w:w="2923"/>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176,649,316.20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138,737,496.62</w:t>
            </w:r>
            <w:r>
              <w:rPr>
                <w:rFonts w:ascii="Times New Roman"/>
                <w:sz w:val="18"/>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85,000.00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176,734,316.20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138,737,496.62</w:t>
            </w:r>
            <w:r>
              <w:rPr>
                <w:rFonts w:ascii="Times New Roman"/>
                <w:sz w:val="18"/>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35,288,967.18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5"/>
              <w:jc w:val="right"/>
              <w:rPr>
                <w:rFonts w:ascii="Times New Roman" w:hAnsi="Times New Roman" w:cs="Times New Roman" w:eastAsia="Times New Roman" w:hint="default"/>
                <w:sz w:val="18"/>
                <w:szCs w:val="18"/>
              </w:rPr>
            </w:pPr>
            <w:r>
              <w:rPr>
                <w:rFonts w:ascii="Times New Roman"/>
                <w:spacing w:val="-1"/>
                <w:sz w:val="18"/>
              </w:rPr>
              <w:t>46,807,199.75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2,542,534.62</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3,895,380.17</w:t>
            </w:r>
            <w:r>
              <w:rPr>
                <w:rFonts w:ascii="Times New Roman"/>
                <w:sz w:val="18"/>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9,000,000.00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200,480,748.76</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176,649,316.20</w:t>
            </w:r>
            <w:r>
              <w:rPr>
                <w:rFonts w:ascii="Times New Roman"/>
                <w:sz w:val="18"/>
              </w:rPr>
            </w: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line="240" w:lineRule="auto" w:before="12"/>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line="240" w:lineRule="auto" w:before="11"/>
        <w:rPr>
          <w:rFonts w:ascii="宋体" w:hAnsi="宋体" w:cs="宋体" w:eastAsia="宋体" w:hint="default"/>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85,000.00 </w:t>
      </w:r>
      <w:r>
        <w:rPr>
          <w:rFonts w:ascii="宋体" w:hAnsi="宋体" w:cs="宋体" w:eastAsia="宋体" w:hint="default"/>
          <w:sz w:val="18"/>
          <w:szCs w:val="18"/>
        </w:rPr>
        <w:t>元。</w:t>
      </w:r>
    </w:p>
    <w:p>
      <w:pPr>
        <w:spacing w:line="240" w:lineRule="auto" w:before="9"/>
        <w:rPr>
          <w:rFonts w:ascii="宋体" w:hAnsi="宋体" w:cs="宋体" w:eastAsia="宋体" w:hint="default"/>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11"/>
        <w:rPr>
          <w:rFonts w:ascii="宋体" w:hAnsi="宋体" w:cs="宋体" w:eastAsia="宋体" w:hint="default"/>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0"/>
        <w:rPr>
          <w:rFonts w:ascii="宋体" w:hAnsi="宋体" w:cs="宋体" w:eastAsia="宋体" w:hint="default"/>
          <w:sz w:val="28"/>
          <w:szCs w:val="28"/>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0"/>
        <w:jc w:val="left"/>
        <w:rPr>
          <w:b w:val="0"/>
          <w:bCs w:val="0"/>
        </w:rPr>
      </w:pPr>
      <w:bookmarkStart w:name="27、营业收入和营业成本" w:id="279"/>
      <w:bookmarkEnd w:id="279"/>
      <w:r>
        <w:rPr>
          <w:b w:val="0"/>
          <w:bCs w:val="0"/>
        </w:rPr>
      </w:r>
      <w:r>
        <w:rPr>
          <w:rFonts w:ascii="Times New Roman" w:hAnsi="Times New Roman" w:cs="Times New Roman" w:eastAsia="Times New Roman" w:hint="default"/>
        </w:rPr>
        <w:t>27</w:t>
      </w:r>
      <w:r>
        <w:rPr/>
        <w:t>、营业收入和营业成本</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360,589,964.66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282,084,423.31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340,462,645.37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240,034,060.18</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3,032,099.16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202,003.08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4,004,806.00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251,578.18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363,622,063.82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282,286,426.39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344,467,451.37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240,285,638.36</w:t>
            </w:r>
            <w:r>
              <w:rPr>
                <w:rFonts w:ascii="Times New Roman"/>
                <w:sz w:val="18"/>
              </w:rPr>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50" w:lineRule="auto" w:before="115"/>
        <w:ind w:left="152" w:right="989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28、税金及附加" w:id="280"/>
      <w:bookmarkEnd w:id="280"/>
      <w:r>
        <w:rPr>
          <w:b w:val="0"/>
          <w:bCs w:val="0"/>
        </w:rPr>
      </w:r>
      <w:r>
        <w:rPr>
          <w:rFonts w:ascii="Times New Roman" w:hAnsi="Times New Roman" w:cs="Times New Roman" w:eastAsia="Times New Roman" w:hint="default"/>
        </w:rPr>
        <w:t>28</w:t>
      </w:r>
      <w:r>
        <w:rPr/>
        <w:t>、税金及附加</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598,324.02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557,354.66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434,259.44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408,539.77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688,208.41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744,759.46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149,196.20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148,593.80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79,290.40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13,463.58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1,949,278.47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1,872,711.27</w:t>
            </w:r>
            <w:r>
              <w:rPr>
                <w:rFonts w:ascii="Times New Roman"/>
                <w:sz w:val="18"/>
              </w:rPr>
            </w:r>
          </w:p>
        </w:tc>
      </w:tr>
    </w:tbl>
    <w:p>
      <w:pPr>
        <w:spacing w:line="360"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9、销售费用" w:id="281"/>
      <w:bookmarkEnd w:id="281"/>
      <w:r>
        <w:rPr>
          <w:b w:val="0"/>
          <w:bCs w:val="0"/>
        </w:rPr>
      </w:r>
      <w:r>
        <w:rPr>
          <w:rFonts w:ascii="Times New Roman" w:hAnsi="Times New Roman" w:cs="Times New Roman" w:eastAsia="Times New Roman" w:hint="default"/>
        </w:rPr>
        <w:t>29</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14,507,965.05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13,821,113.89</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项目间接费用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5,008,034.21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5,829,188.57</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运输及车辆费用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2,313,139.56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3,582,925.49</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2,283,479.73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2,198,039.91</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1,411,655.98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1,045,128.24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363,105.80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435,066.90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24,531.06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23,956.00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2"/>
                <w:sz w:val="18"/>
              </w:rPr>
              <w:t>25,911,911.39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26,935,419.00</w:t>
            </w:r>
          </w:p>
        </w:tc>
      </w:tr>
    </w:tbl>
    <w:p>
      <w:pPr>
        <w:spacing w:line="357"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0、管理费用" w:id="282"/>
      <w:bookmarkEnd w:id="282"/>
      <w:r>
        <w:rPr>
          <w:b w:val="0"/>
          <w:bCs w:val="0"/>
        </w:rPr>
      </w:r>
      <w:r>
        <w:rPr>
          <w:rFonts w:ascii="Times New Roman" w:hAnsi="Times New Roman" w:cs="Times New Roman" w:eastAsia="Times New Roman" w:hint="default"/>
        </w:rPr>
        <w:t>30</w:t>
      </w:r>
      <w:r>
        <w:rPr/>
        <w:t>、管理费用</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13,931,420.59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13,146,871.41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2,540,266.35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1,728,670.49</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中介及顾问咨询费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1,661,543.43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2,814,189.14</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1,377,201.20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1,108,336.45</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1,001,578.59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1,215,184.37</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1,349,948.22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1,404,304.79</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21,861,958.38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21,417,556.65</w:t>
            </w:r>
          </w:p>
        </w:tc>
      </w:tr>
    </w:tbl>
    <w:p>
      <w:pPr>
        <w:spacing w:line="360"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1、研发费用" w:id="283"/>
      <w:bookmarkEnd w:id="283"/>
      <w:r>
        <w:rPr>
          <w:b w:val="0"/>
          <w:bCs w:val="0"/>
        </w:rPr>
      </w:r>
      <w:r>
        <w:rPr>
          <w:rFonts w:ascii="Times New Roman" w:hAnsi="Times New Roman" w:cs="Times New Roman" w:eastAsia="Times New Roman" w:hint="default"/>
        </w:rPr>
        <w:t>31</w:t>
      </w:r>
      <w:r>
        <w:rPr/>
        <w:t>、研发费用</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材料及设备费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6,180,641.35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9,244,588.02</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3,676,576.16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3,743,092.72</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设计及评审费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1,846,973.77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3,218,509.37</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329,717.03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385,533.50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2,529,124.47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924,108.06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14,563,032.78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17,515,831.67</w:t>
            </w:r>
          </w:p>
        </w:tc>
      </w:tr>
    </w:tbl>
    <w:p>
      <w:pPr>
        <w:spacing w:line="357"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2、财务费用" w:id="284"/>
      <w:bookmarkEnd w:id="284"/>
      <w:r>
        <w:rPr>
          <w:b w:val="0"/>
          <w:bCs w:val="0"/>
        </w:rPr>
      </w:r>
      <w:r>
        <w:rPr>
          <w:rFonts w:ascii="Times New Roman" w:hAnsi="Times New Roman" w:cs="Times New Roman" w:eastAsia="Times New Roman" w:hint="default"/>
        </w:rPr>
        <w:t>32</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80" w:footer="977"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390,606.16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3,077,249.08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4,590,841.70</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78.03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60,891.55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48,784.83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-2,625,829.40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-4,542,056.87</w:t>
            </w:r>
            <w:r>
              <w:rPr>
                <w:rFonts w:ascii="Times New Roman"/>
                <w:sz w:val="18"/>
              </w:rPr>
            </w:r>
          </w:p>
        </w:tc>
      </w:tr>
    </w:tbl>
    <w:p>
      <w:pPr>
        <w:spacing w:line="357"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3、其他收益" w:id="285"/>
      <w:bookmarkEnd w:id="285"/>
      <w:r>
        <w:rPr>
          <w:b w:val="0"/>
          <w:bCs w:val="0"/>
        </w:rPr>
      </w:r>
      <w:r>
        <w:rPr>
          <w:rFonts w:ascii="Times New Roman" w:hAnsi="Times New Roman" w:cs="Times New Roman" w:eastAsia="Times New Roman" w:hint="default"/>
        </w:rPr>
        <w:t>33</w:t>
      </w:r>
      <w:r>
        <w:rPr/>
        <w:t>、其他收益</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5"/>
              <w:jc w:val="left"/>
              <w:rPr>
                <w:rFonts w:ascii="宋体" w:hAnsi="宋体" w:cs="宋体" w:eastAsia="宋体" w:hint="default"/>
                <w:sz w:val="18"/>
                <w:szCs w:val="18"/>
              </w:rPr>
            </w:pPr>
            <w:r>
              <w:rPr>
                <w:rFonts w:ascii="宋体" w:hAnsi="宋体" w:cs="宋体" w:eastAsia="宋体" w:hint="default"/>
                <w:sz w:val="18"/>
                <w:szCs w:val="18"/>
              </w:rPr>
              <w:t>围术期智能辅助诊疗产品及云平台研发 与应用示范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2,116,037.74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383,962.26</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5"/>
              <w:jc w:val="left"/>
              <w:rPr>
                <w:rFonts w:ascii="宋体" w:hAnsi="宋体" w:cs="宋体" w:eastAsia="宋体" w:hint="default"/>
                <w:sz w:val="18"/>
                <w:szCs w:val="18"/>
              </w:rPr>
            </w:pPr>
            <w:r>
              <w:rPr>
                <w:rFonts w:ascii="宋体" w:hAnsi="宋体" w:cs="宋体" w:eastAsia="宋体" w:hint="default"/>
                <w:sz w:val="18"/>
                <w:szCs w:val="18"/>
              </w:rPr>
              <w:t>省科技厅普及型经食管超声心动监护仪 研发与推广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1,415,277.92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537,604.63</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5"/>
              <w:jc w:val="left"/>
              <w:rPr>
                <w:rFonts w:ascii="宋体" w:hAnsi="宋体" w:cs="宋体" w:eastAsia="宋体" w:hint="default"/>
                <w:sz w:val="18"/>
                <w:szCs w:val="18"/>
              </w:rPr>
            </w:pPr>
            <w:r>
              <w:rPr>
                <w:rFonts w:ascii="宋体" w:hAnsi="宋体" w:cs="宋体" w:eastAsia="宋体" w:hint="default"/>
                <w:sz w:val="18"/>
                <w:szCs w:val="18"/>
              </w:rPr>
              <w:t>成都高新技术产业开发区经济运行局专 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766,500.00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中国科学院拨入专款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758,000.00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958,000.00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新一代互联网智能教育平台与示范应用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674,234.70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2,325,765.30</w:t>
            </w:r>
            <w:r>
              <w:rPr>
                <w:rFonts w:ascii="Times New Roman"/>
                <w:sz w:val="18"/>
              </w:rPr>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5"/>
              <w:jc w:val="left"/>
              <w:rPr>
                <w:rFonts w:ascii="宋体" w:hAnsi="宋体" w:cs="宋体" w:eastAsia="宋体" w:hint="default"/>
                <w:sz w:val="18"/>
                <w:szCs w:val="18"/>
              </w:rPr>
            </w:pPr>
            <w:r>
              <w:rPr>
                <w:rFonts w:ascii="宋体" w:hAnsi="宋体" w:cs="宋体" w:eastAsia="宋体" w:hint="default"/>
                <w:sz w:val="18"/>
                <w:szCs w:val="18"/>
              </w:rPr>
              <w:t>医学可视化辅助诊疗决策关键技术研发 与推广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603,134.10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341,558.99</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5"/>
              <w:jc w:val="left"/>
              <w:rPr>
                <w:rFonts w:ascii="宋体" w:hAnsi="宋体" w:cs="宋体" w:eastAsia="宋体" w:hint="default"/>
                <w:sz w:val="18"/>
                <w:szCs w:val="18"/>
              </w:rPr>
            </w:pPr>
            <w:r>
              <w:rPr>
                <w:rFonts w:ascii="宋体" w:hAnsi="宋体" w:cs="宋体" w:eastAsia="宋体" w:hint="default"/>
                <w:sz w:val="18"/>
                <w:szCs w:val="18"/>
              </w:rPr>
              <w:t>成都高新技术产业开发区经济运行与安 全生产监管局专项资金补助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5"/>
              <w:jc w:val="left"/>
              <w:rPr>
                <w:rFonts w:ascii="宋体" w:hAnsi="宋体" w:cs="宋体" w:eastAsia="宋体" w:hint="default"/>
                <w:sz w:val="18"/>
                <w:szCs w:val="18"/>
              </w:rPr>
            </w:pPr>
            <w:r>
              <w:rPr>
                <w:rFonts w:ascii="宋体" w:hAnsi="宋体" w:cs="宋体" w:eastAsia="宋体" w:hint="default"/>
                <w:sz w:val="18"/>
                <w:szCs w:val="18"/>
              </w:rPr>
              <w:t>四川省科技厅自主可控安全技术研发及 应用示范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532,800.00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高寒高海拔地区太阳能代供暖系统监控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455,576.63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1,064,000.00</w:t>
            </w:r>
            <w:r>
              <w:rPr>
                <w:rFonts w:ascii="Times New Roman"/>
                <w:sz w:val="18"/>
              </w:rPr>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5"/>
              <w:jc w:val="left"/>
              <w:rPr>
                <w:rFonts w:ascii="宋体" w:hAnsi="宋体" w:cs="宋体" w:eastAsia="宋体" w:hint="default"/>
                <w:sz w:val="18"/>
                <w:szCs w:val="18"/>
              </w:rPr>
            </w:pPr>
            <w:r>
              <w:rPr>
                <w:rFonts w:ascii="宋体" w:hAnsi="宋体" w:cs="宋体" w:eastAsia="宋体" w:hint="default"/>
                <w:sz w:val="18"/>
                <w:szCs w:val="18"/>
              </w:rPr>
              <w:t>多模态小型化超声监测设备研发与产业 化推广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425,174.25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659,215.24</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四川省基层</w:t>
            </w:r>
            <w:r>
              <w:rPr>
                <w:rFonts w:ascii="Times New Roman" w:hAnsi="Times New Roman" w:cs="Times New Roman" w:eastAsia="Times New Roman" w:hint="default"/>
                <w:sz w:val="18"/>
                <w:szCs w:val="18"/>
              </w:rPr>
              <w:t>"</w:t>
            </w:r>
            <w:r>
              <w:rPr>
                <w:rFonts w:ascii="宋体" w:hAnsi="宋体" w:cs="宋体" w:eastAsia="宋体" w:hint="default"/>
                <w:sz w:val="18"/>
                <w:szCs w:val="18"/>
              </w:rPr>
              <w:t>两委</w:t>
            </w:r>
            <w:r>
              <w:rPr>
                <w:rFonts w:ascii="Times New Roman" w:hAnsi="Times New Roman" w:cs="Times New Roman" w:eastAsia="Times New Roman" w:hint="default"/>
                <w:sz w:val="18"/>
                <w:szCs w:val="18"/>
              </w:rPr>
              <w:t>"</w:t>
            </w:r>
            <w:r>
              <w:rPr>
                <w:rFonts w:ascii="宋体" w:hAnsi="宋体" w:cs="宋体" w:eastAsia="宋体" w:hint="default"/>
                <w:sz w:val="18"/>
                <w:szCs w:val="18"/>
              </w:rPr>
              <w:t>换届选举智能服务管 理平台关键技术研究与产业化示范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301,000.01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1,698,999.99</w:t>
            </w:r>
            <w:r>
              <w:rPr>
                <w:rFonts w:ascii="Times New Roman"/>
                <w:sz w:val="18"/>
              </w:rPr>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5"/>
              <w:jc w:val="left"/>
              <w:rPr>
                <w:rFonts w:ascii="宋体" w:hAnsi="宋体" w:cs="宋体" w:eastAsia="宋体" w:hint="default"/>
                <w:sz w:val="18"/>
                <w:szCs w:val="18"/>
              </w:rPr>
            </w:pPr>
            <w:r>
              <w:rPr>
                <w:rFonts w:ascii="宋体" w:hAnsi="宋体" w:cs="宋体" w:eastAsia="宋体" w:hint="default"/>
                <w:sz w:val="18"/>
                <w:szCs w:val="18"/>
              </w:rPr>
              <w:t>金义都市新区中科院成都信息技术股份 有限公司金义联合研究中心项目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270,017.58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3,252,444.94</w:t>
            </w:r>
            <w:r>
              <w:rPr>
                <w:rFonts w:ascii="Times New Roman"/>
                <w:sz w:val="18"/>
              </w:rPr>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5"/>
              <w:jc w:val="left"/>
              <w:rPr>
                <w:rFonts w:ascii="宋体" w:hAnsi="宋体" w:cs="宋体" w:eastAsia="宋体" w:hint="default"/>
                <w:sz w:val="18"/>
                <w:szCs w:val="18"/>
              </w:rPr>
            </w:pPr>
            <w:r>
              <w:rPr>
                <w:rFonts w:ascii="宋体" w:hAnsi="宋体" w:cs="宋体" w:eastAsia="宋体" w:hint="default"/>
                <w:sz w:val="18"/>
                <w:szCs w:val="18"/>
              </w:rPr>
              <w:t>成都高新技术产业开发区新经济发展局 优化产业服务补助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中共四川省委员会组织部</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省万自助 和激励资金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四川生态多样性实践活动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5"/>
              <w:jc w:val="left"/>
              <w:rPr>
                <w:rFonts w:ascii="宋体" w:hAnsi="宋体" w:cs="宋体" w:eastAsia="宋体" w:hint="default"/>
                <w:sz w:val="18"/>
                <w:szCs w:val="18"/>
              </w:rPr>
            </w:pPr>
            <w:r>
              <w:rPr>
                <w:rFonts w:ascii="宋体" w:hAnsi="宋体" w:cs="宋体" w:eastAsia="宋体" w:hint="default"/>
                <w:sz w:val="18"/>
                <w:szCs w:val="18"/>
              </w:rPr>
              <w:t>面向党和国家重大战略需求的会议电子 表决关键技术研究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无人机集群代数优化协同控制及应用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5"/>
              <w:jc w:val="left"/>
              <w:rPr>
                <w:rFonts w:ascii="宋体" w:hAnsi="宋体" w:cs="宋体" w:eastAsia="宋体" w:hint="default"/>
                <w:sz w:val="18"/>
                <w:szCs w:val="18"/>
              </w:rPr>
            </w:pPr>
            <w:r>
              <w:rPr>
                <w:rFonts w:ascii="宋体" w:hAnsi="宋体" w:cs="宋体" w:eastAsia="宋体" w:hint="default"/>
                <w:sz w:val="18"/>
                <w:szCs w:val="18"/>
              </w:rPr>
              <w:t>中国科学院西部之光残损人民币复点与 销毁的自动化、智能化管控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95"/>
              <w:jc w:val="left"/>
              <w:rPr>
                <w:rFonts w:ascii="宋体" w:hAnsi="宋体" w:cs="宋体" w:eastAsia="宋体" w:hint="default"/>
                <w:sz w:val="18"/>
                <w:szCs w:val="18"/>
              </w:rPr>
            </w:pPr>
            <w:r>
              <w:rPr>
                <w:rFonts w:ascii="宋体" w:hAnsi="宋体" w:cs="宋体" w:eastAsia="宋体" w:hint="default"/>
                <w:sz w:val="18"/>
                <w:szCs w:val="18"/>
              </w:rPr>
              <w:t>成都高新技术产业开发区新经济发展局 奖励款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5"/>
              <w:jc w:val="left"/>
              <w:rPr>
                <w:rFonts w:ascii="宋体" w:hAnsi="宋体" w:cs="宋体" w:eastAsia="宋体" w:hint="default"/>
                <w:sz w:val="18"/>
                <w:szCs w:val="18"/>
              </w:rPr>
            </w:pPr>
            <w:r>
              <w:rPr>
                <w:rFonts w:ascii="宋体" w:hAnsi="宋体" w:cs="宋体" w:eastAsia="宋体" w:hint="default"/>
                <w:sz w:val="18"/>
                <w:szCs w:val="18"/>
              </w:rPr>
              <w:t>成都高新区技术产业开发区科技和人才 工作局补贴款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179,800.00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智能安全路径规划与控制算法研究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126,000.00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5"/>
              <w:jc w:val="left"/>
              <w:rPr>
                <w:rFonts w:ascii="宋体" w:hAnsi="宋体" w:cs="宋体" w:eastAsia="宋体" w:hint="default"/>
                <w:sz w:val="18"/>
                <w:szCs w:val="18"/>
              </w:rPr>
            </w:pPr>
            <w:r>
              <w:rPr>
                <w:rFonts w:ascii="宋体" w:hAnsi="宋体" w:cs="宋体" w:eastAsia="宋体" w:hint="default"/>
                <w:sz w:val="18"/>
                <w:szCs w:val="18"/>
              </w:rPr>
              <w:t>新一代超声影像智能比例库关键技术研 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大数据可视化平台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年体检专项资金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95"/>
              <w:jc w:val="left"/>
              <w:rPr>
                <w:rFonts w:ascii="宋体" w:hAnsi="宋体" w:cs="宋体" w:eastAsia="宋体" w:hint="default"/>
                <w:sz w:val="18"/>
                <w:szCs w:val="18"/>
              </w:rPr>
            </w:pPr>
            <w:r>
              <w:rPr>
                <w:rFonts w:ascii="宋体" w:hAnsi="宋体" w:cs="宋体" w:eastAsia="宋体" w:hint="default"/>
                <w:sz w:val="18"/>
                <w:szCs w:val="18"/>
              </w:rPr>
              <w:t>面向移动互联网应用的智能软件云端开 发平台示范应用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55,716.01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大数据智能处理关键技术研究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95"/>
              <w:jc w:val="left"/>
              <w:rPr>
                <w:rFonts w:ascii="宋体" w:hAnsi="宋体" w:cs="宋体" w:eastAsia="宋体" w:hint="default"/>
                <w:sz w:val="18"/>
                <w:szCs w:val="18"/>
              </w:rPr>
            </w:pPr>
            <w:r>
              <w:rPr>
                <w:rFonts w:ascii="宋体" w:hAnsi="宋体" w:cs="宋体" w:eastAsia="宋体" w:hint="default"/>
                <w:sz w:val="18"/>
                <w:szCs w:val="18"/>
              </w:rPr>
              <w:t>成都高新技术产业开发区电子信息产业 发展局专项补贴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5"/>
              <w:jc w:val="left"/>
              <w:rPr>
                <w:rFonts w:ascii="宋体" w:hAnsi="宋体" w:cs="宋体" w:eastAsia="宋体" w:hint="default"/>
                <w:sz w:val="18"/>
                <w:szCs w:val="18"/>
              </w:rPr>
            </w:pPr>
            <w:r>
              <w:rPr>
                <w:rFonts w:ascii="宋体" w:hAnsi="宋体" w:cs="宋体" w:eastAsia="宋体" w:hint="default"/>
                <w:sz w:val="18"/>
                <w:szCs w:val="18"/>
              </w:rPr>
              <w:t>成都高新技术产业开发区经济运行与安 全生产监管局高质量发展专项奖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经济型电子计票系统产业化推广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1,563.87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成都市金融工作局专项资金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1,960,000.00</w:t>
            </w:r>
            <w:r>
              <w:rPr>
                <w:rFonts w:ascii="Times New Roman"/>
                <w:sz w:val="18"/>
              </w:rPr>
            </w:r>
          </w:p>
        </w:tc>
      </w:tr>
      <w:tr>
        <w:trPr>
          <w:trHeight w:val="1027"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65"/>
              <w:jc w:val="both"/>
              <w:rPr>
                <w:rFonts w:ascii="宋体" w:hAnsi="宋体" w:cs="宋体" w:eastAsia="宋体" w:hint="default"/>
                <w:sz w:val="18"/>
                <w:szCs w:val="18"/>
              </w:rPr>
            </w:pPr>
            <w:r>
              <w:rPr>
                <w:rFonts w:ascii="宋体" w:hAnsi="宋体" w:cs="宋体" w:eastAsia="宋体" w:hint="default"/>
                <w:sz w:val="18"/>
                <w:szCs w:val="18"/>
              </w:rPr>
              <w:t>成都高新技术产业开发区电子信息产业 发展局</w:t>
            </w:r>
            <w:r>
              <w:rPr>
                <w:rFonts w:ascii="Times New Roman" w:hAnsi="Times New Roman" w:cs="Times New Roman" w:eastAsia="Times New Roman" w:hint="default"/>
                <w:sz w:val="18"/>
                <w:szCs w:val="18"/>
              </w:rPr>
              <w:t>"</w:t>
            </w:r>
            <w:r>
              <w:rPr>
                <w:rFonts w:ascii="宋体" w:hAnsi="宋体" w:cs="宋体" w:eastAsia="宋体" w:hint="default"/>
                <w:sz w:val="18"/>
                <w:szCs w:val="18"/>
              </w:rPr>
              <w:t>支持中小企业加快发展</w:t>
            </w:r>
            <w:r>
              <w:rPr>
                <w:rFonts w:ascii="Times New Roman" w:hAnsi="Times New Roman" w:cs="Times New Roman" w:eastAsia="Times New Roman" w:hint="default"/>
                <w:sz w:val="18"/>
                <w:szCs w:val="18"/>
              </w:rPr>
              <w:t>-</w:t>
            </w:r>
            <w:r>
              <w:rPr>
                <w:rFonts w:ascii="宋体" w:hAnsi="宋体" w:cs="宋体" w:eastAsia="宋体" w:hint="default"/>
                <w:sz w:val="18"/>
                <w:szCs w:val="18"/>
              </w:rPr>
              <w:t>新</w:t>
            </w:r>
            <w:r>
              <w:rPr>
                <w:rFonts w:ascii="Times New Roman" w:hAnsi="Times New Roman" w:cs="Times New Roman" w:eastAsia="Times New Roman" w:hint="default"/>
                <w:sz w:val="18"/>
                <w:szCs w:val="18"/>
              </w:rPr>
              <w:t>"</w:t>
            </w:r>
            <w:r>
              <w:rPr>
                <w:rFonts w:ascii="宋体" w:hAnsi="宋体" w:cs="宋体" w:eastAsia="宋体" w:hint="default"/>
                <w:sz w:val="18"/>
                <w:szCs w:val="18"/>
              </w:rPr>
              <w:t>补助 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1,140,000.00</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新型电子选举系统和电子表决系统</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95"/>
              <w:jc w:val="left"/>
              <w:rPr>
                <w:rFonts w:ascii="宋体" w:hAnsi="宋体" w:cs="宋体" w:eastAsia="宋体" w:hint="default"/>
                <w:sz w:val="18"/>
                <w:szCs w:val="18"/>
              </w:rPr>
            </w:pPr>
            <w:r>
              <w:rPr>
                <w:rFonts w:ascii="宋体" w:hAnsi="宋体" w:cs="宋体" w:eastAsia="宋体" w:hint="default"/>
                <w:sz w:val="18"/>
                <w:szCs w:val="18"/>
              </w:rPr>
              <w:t>成都高新技术产业开发区财政金融局直 接融资财政奖补资金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800,000.00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成都高新科技局电子选举计票机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601,340.18</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95"/>
              <w:jc w:val="left"/>
              <w:rPr>
                <w:rFonts w:ascii="宋体" w:hAnsi="宋体" w:cs="宋体" w:eastAsia="宋体" w:hint="default"/>
                <w:sz w:val="18"/>
                <w:szCs w:val="18"/>
              </w:rPr>
            </w:pPr>
            <w:r>
              <w:rPr>
                <w:rFonts w:ascii="宋体" w:hAnsi="宋体" w:cs="宋体" w:eastAsia="宋体" w:hint="default"/>
                <w:sz w:val="18"/>
                <w:szCs w:val="18"/>
              </w:rPr>
              <w:t>成都高新技术产业开发区经济运行与安 全生产监管局项目补贴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470,200.00</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数据存储信息安全关键技术及新型</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RAID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系统研发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421,994.45</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95"/>
              <w:jc w:val="left"/>
              <w:rPr>
                <w:rFonts w:ascii="宋体" w:hAnsi="宋体" w:cs="宋体" w:eastAsia="宋体" w:hint="default"/>
                <w:sz w:val="18"/>
                <w:szCs w:val="18"/>
              </w:rPr>
            </w:pPr>
            <w:r>
              <w:rPr>
                <w:rFonts w:ascii="宋体" w:hAnsi="宋体" w:cs="宋体" w:eastAsia="宋体" w:hint="default"/>
                <w:sz w:val="18"/>
                <w:szCs w:val="18"/>
              </w:rPr>
              <w:t>成都理工大高分辨率航空伽马能谱测量 系统研制</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5"/>
              <w:jc w:val="left"/>
              <w:rPr>
                <w:rFonts w:ascii="宋体" w:hAnsi="宋体" w:cs="宋体" w:eastAsia="宋体" w:hint="default"/>
                <w:sz w:val="18"/>
                <w:szCs w:val="18"/>
              </w:rPr>
            </w:pPr>
            <w:r>
              <w:rPr>
                <w:rFonts w:ascii="宋体" w:hAnsi="宋体" w:cs="宋体" w:eastAsia="宋体" w:hint="default"/>
                <w:sz w:val="18"/>
                <w:szCs w:val="18"/>
              </w:rPr>
              <w:t>基于深度学习的复杂环境动态人脸识别 关键技术与应用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300,000.00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5"/>
              <w:jc w:val="left"/>
              <w:rPr>
                <w:rFonts w:ascii="宋体" w:hAnsi="宋体" w:cs="宋体" w:eastAsia="宋体" w:hint="default"/>
                <w:sz w:val="18"/>
                <w:szCs w:val="18"/>
              </w:rPr>
            </w:pPr>
            <w:r>
              <w:rPr>
                <w:rFonts w:ascii="宋体" w:hAnsi="宋体" w:cs="宋体" w:eastAsia="宋体" w:hint="default"/>
                <w:sz w:val="18"/>
                <w:szCs w:val="18"/>
              </w:rPr>
              <w:t>成都高新技术产业开发区电子信息产业 发展局专项补贴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252,000.00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财政部拨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月体检经费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60,800.00</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5"/>
              <w:jc w:val="left"/>
              <w:rPr>
                <w:rFonts w:ascii="宋体" w:hAnsi="宋体" w:cs="宋体" w:eastAsia="宋体" w:hint="default"/>
                <w:sz w:val="18"/>
                <w:szCs w:val="18"/>
              </w:rPr>
            </w:pPr>
            <w:r>
              <w:rPr>
                <w:rFonts w:ascii="宋体" w:hAnsi="宋体" w:cs="宋体" w:eastAsia="宋体" w:hint="default"/>
                <w:sz w:val="18"/>
                <w:szCs w:val="18"/>
              </w:rPr>
              <w:t>四川省专家服务中心中科院博士后日常 经费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95"/>
              <w:jc w:val="left"/>
              <w:rPr>
                <w:rFonts w:ascii="宋体" w:hAnsi="宋体" w:cs="宋体" w:eastAsia="宋体" w:hint="default"/>
                <w:sz w:val="18"/>
                <w:szCs w:val="18"/>
              </w:rPr>
            </w:pPr>
            <w:r>
              <w:rPr>
                <w:rFonts w:ascii="宋体" w:hAnsi="宋体" w:cs="宋体" w:eastAsia="宋体" w:hint="default"/>
                <w:sz w:val="18"/>
                <w:szCs w:val="18"/>
              </w:rPr>
              <w:t>成都高新技术产业开发区科技与新经济 发展局高新企业补助款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5"/>
              <w:jc w:val="left"/>
              <w:rPr>
                <w:rFonts w:ascii="宋体" w:hAnsi="宋体" w:cs="宋体" w:eastAsia="宋体" w:hint="default"/>
                <w:sz w:val="18"/>
                <w:szCs w:val="18"/>
              </w:rPr>
            </w:pPr>
            <w:r>
              <w:rPr>
                <w:rFonts w:ascii="宋体" w:hAnsi="宋体" w:cs="宋体" w:eastAsia="宋体" w:hint="default"/>
                <w:sz w:val="18"/>
                <w:szCs w:val="18"/>
              </w:rPr>
              <w:t>成都高新技术产业开发区创新创业服务 中心扶持资金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1,600.00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34、投资收益" w:id="286"/>
      <w:bookmarkEnd w:id="286"/>
      <w:r>
        <w:rPr>
          <w:b w:val="0"/>
          <w:bCs w:val="0"/>
        </w:rPr>
      </w:r>
      <w:r>
        <w:rPr>
          <w:rFonts w:ascii="Times New Roman" w:hAnsi="Times New Roman" w:cs="Times New Roman" w:eastAsia="Times New Roman" w:hint="default"/>
        </w:rPr>
        <w:t>34</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1"/>
        <w:gridCol w:w="3190"/>
        <w:gridCol w:w="2918"/>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8,519,447.33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5,572,359.00</w:t>
            </w:r>
            <w:r>
              <w:rPr>
                <w:rFonts w:ascii="Times New Roman"/>
                <w:sz w:val="18"/>
              </w:rPr>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购买银行保本理财产品收益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398,904.11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738,308.22</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8,918,351.44</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6,310,667.22</w:t>
            </w:r>
            <w:r>
              <w:rPr>
                <w:rFonts w:ascii="Times New Roman"/>
                <w:sz w:val="18"/>
              </w:rPr>
            </w:r>
          </w:p>
        </w:tc>
      </w:tr>
    </w:tbl>
    <w:p>
      <w:pPr>
        <w:spacing w:line="357"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5、信用减值损失" w:id="287"/>
      <w:bookmarkEnd w:id="287"/>
      <w:r>
        <w:rPr>
          <w:b w:val="0"/>
          <w:bCs w:val="0"/>
        </w:rPr>
      </w:r>
      <w:r>
        <w:rPr>
          <w:rFonts w:ascii="Times New Roman" w:hAnsi="Times New Roman" w:cs="Times New Roman" w:eastAsia="Times New Roman" w:hint="default"/>
        </w:rPr>
        <w:t>35</w:t>
      </w:r>
      <w:r>
        <w:rPr/>
        <w:t>、信用减值损失</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1,407,285.62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4,560,961.33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5,993,246.95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36、资产减值损失" w:id="288"/>
      <w:bookmarkEnd w:id="288"/>
      <w:r>
        <w:rPr>
          <w:b w:val="0"/>
          <w:bCs w:val="0"/>
        </w:rPr>
      </w:r>
      <w:r>
        <w:rPr>
          <w:rFonts w:ascii="Times New Roman" w:hAnsi="Times New Roman" w:cs="Times New Roman" w:eastAsia="Times New Roman" w:hint="default"/>
        </w:rPr>
        <w:t>36</w:t>
      </w:r>
      <w:r>
        <w:rPr/>
        <w:t>、资产减值损失</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34"/>
          <w:pgSz w:w="11910" w:h="16840"/>
          <w:pgMar w:footer="977" w:header="880" w:top="110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280" w:left="980" w:right="0"/>
          <w:cols w:num="2" w:equalWidth="0">
            <w:col w:w="1953" w:space="6874"/>
            <w:col w:w="2103"/>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61" w:right="0"/>
              <w:jc w:val="left"/>
              <w:rPr>
                <w:rFonts w:ascii="Times New Roman" w:hAnsi="Times New Roman" w:cs="Times New Roman" w:eastAsia="Times New Roman" w:hint="default"/>
                <w:sz w:val="18"/>
                <w:szCs w:val="18"/>
              </w:rPr>
            </w:pPr>
            <w:r>
              <w:rPr>
                <w:rFonts w:ascii="Times New Roman"/>
                <w:sz w:val="18"/>
              </w:rPr>
              <w:t>-13,467,675.87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580" w:bottom="28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-6,782,594.45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-207,490.12</w:t>
            </w:r>
            <w:r>
              <w:rPr>
                <w:rFonts w:ascii="Times New Roman"/>
                <w:sz w:val="18"/>
              </w:rPr>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-6,782,594.45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-13,675,165.99</w:t>
            </w:r>
          </w:p>
        </w:tc>
      </w:tr>
    </w:tbl>
    <w:p>
      <w:pPr>
        <w:spacing w:line="357"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7、营业外收入" w:id="289"/>
      <w:bookmarkEnd w:id="289"/>
      <w:r>
        <w:rPr>
          <w:b w:val="0"/>
          <w:bCs w:val="0"/>
        </w:rPr>
      </w:r>
      <w:r>
        <w:rPr>
          <w:rFonts w:ascii="Times New Roman" w:hAnsi="Times New Roman" w:cs="Times New Roman" w:eastAsia="Times New Roman" w:hint="default"/>
        </w:rPr>
        <w:t>37</w:t>
      </w:r>
      <w:r>
        <w:rPr/>
        <w:t>、营业外收入</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58,675.00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58,675.00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8、营业外支出" w:id="290"/>
      <w:bookmarkEnd w:id="290"/>
      <w:r>
        <w:rPr>
          <w:b w:val="0"/>
          <w:bCs w:val="0"/>
        </w:rPr>
      </w:r>
      <w:r>
        <w:rPr>
          <w:rFonts w:ascii="Times New Roman" w:hAnsi="Times New Roman" w:cs="Times New Roman" w:eastAsia="Times New Roman" w:hint="default"/>
        </w:rPr>
        <w:t>38</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6,041.03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978.00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510,000.00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7,019.03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510,000.00</w:t>
            </w:r>
          </w:p>
        </w:tc>
      </w:tr>
    </w:tbl>
    <w:p>
      <w:pPr>
        <w:spacing w:line="357"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9、所得税费用" w:id="291"/>
      <w:bookmarkEnd w:id="291"/>
      <w:r>
        <w:rPr>
          <w:b w:val="0"/>
          <w:bCs w:val="0"/>
        </w:rPr>
      </w:r>
      <w:r>
        <w:rPr>
          <w:rFonts w:ascii="Times New Roman" w:hAnsi="Times New Roman" w:cs="Times New Roman" w:eastAsia="Times New Roman" w:hint="default"/>
        </w:rPr>
        <w:t>39</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292"/>
      <w:bookmarkEnd w:id="292"/>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2,547,098.79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8,518,397.16</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681,732.33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-2,558,148.65</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3,228,831.12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5,960,248.51</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会计利润与所得税费用调整过程" w:id="293"/>
      <w:bookmarkEnd w:id="29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footerReference w:type="default" r:id="rId35"/>
          <w:pgSz w:w="11910" w:h="16840"/>
          <w:pgMar w:footer="977" w:header="880" w:top="1100" w:bottom="1160" w:left="980" w:right="0"/>
          <w:pgNumType w:start="201"/>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778"/>
        <w:gridCol w:w="4790"/>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39,117,130.56</w:t>
            </w:r>
            <w:r>
              <w:rPr>
                <w:rFonts w:ascii="Times New Roman"/>
                <w:sz w:val="18"/>
              </w:rPr>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5,867,569.58</w:t>
            </w:r>
            <w:r>
              <w:rPr>
                <w:rFonts w:ascii="Times New Roman"/>
                <w:sz w:val="18"/>
              </w:rPr>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-50,523.96</w:t>
            </w:r>
            <w:r>
              <w:rPr>
                <w:rFonts w:ascii="Times New Roman"/>
                <w:sz w:val="18"/>
              </w:rPr>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182,779.21</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-680,201.45</w:t>
            </w:r>
            <w:r>
              <w:rPr>
                <w:rFonts w:ascii="Times New Roman"/>
                <w:sz w:val="18"/>
              </w:rPr>
            </w:r>
          </w:p>
        </w:tc>
      </w:tr>
      <w:tr>
        <w:trPr>
          <w:trHeight w:val="713"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62"/>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476,291.86</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归属于合营企业和联营企业损益的影响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-1,277,917.10</w:t>
            </w:r>
            <w:r>
              <w:rPr>
                <w:rFonts w:ascii="Times New Roman"/>
                <w:sz w:val="18"/>
              </w:rPr>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-1,534,167.69</w:t>
            </w:r>
            <w:r>
              <w:rPr>
                <w:rFonts w:ascii="Times New Roman"/>
                <w:sz w:val="18"/>
              </w:rPr>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合并未实现利润的影响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197,685.71</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47,314.96</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3,228,831.12</w:t>
            </w:r>
            <w:r>
              <w:rPr>
                <w:rFonts w:ascii="Times New Roman"/>
                <w:sz w:val="18"/>
              </w:rPr>
            </w:r>
          </w:p>
        </w:tc>
      </w:tr>
    </w:tbl>
    <w:p>
      <w:pPr>
        <w:spacing w:line="357" w:lineRule="auto" w:before="51"/>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spacing w:line="547" w:lineRule="auto" w:before="0"/>
        <w:ind w:left="152" w:right="8857" w:firstLine="0"/>
        <w:jc w:val="left"/>
        <w:rPr>
          <w:rFonts w:ascii="宋体" w:hAnsi="宋体" w:cs="宋体" w:eastAsia="宋体" w:hint="default"/>
          <w:sz w:val="21"/>
          <w:szCs w:val="21"/>
        </w:rPr>
      </w:pPr>
      <w:bookmarkStart w:name="40、其他综合收益" w:id="294"/>
      <w:bookmarkEnd w:id="294"/>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宋体" w:hAnsi="宋体" w:cs="宋体" w:eastAsia="宋体" w:hint="default"/>
          <w:sz w:val="18"/>
          <w:szCs w:val="18"/>
        </w:rPr>
        <w:t>。 </w:t>
      </w:r>
      <w:bookmarkStart w:name="41、现金流量表项目" w:id="295"/>
      <w:bookmarkEnd w:id="295"/>
      <w:r>
        <w:rPr>
          <w:rFonts w:ascii="宋体" w:hAnsi="宋体" w:cs="宋体" w:eastAsia="宋体" w:hint="default"/>
          <w:sz w:val="18"/>
          <w:szCs w:val="18"/>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0"/>
        <w:jc w:val="left"/>
        <w:rPr>
          <w:b w:val="0"/>
          <w:bCs w:val="0"/>
        </w:rPr>
      </w:pPr>
      <w:bookmarkStart w:name="（1）收到的其他与经营活动有关的现金" w:id="296"/>
      <w:bookmarkEnd w:id="29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4,231,100.00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22,147,400.00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8,832,756.40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1,842,338.68</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3,266,241.04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956,503.45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474,789.71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524,091.70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16,804,887.15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25,470,333.83</w:t>
            </w:r>
          </w:p>
        </w:tc>
      </w:tr>
    </w:tbl>
    <w:p>
      <w:pPr>
        <w:spacing w:line="357" w:lineRule="auto" w:before="51"/>
        <w:ind w:left="152" w:right="7514"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2）支付的其他与经营活动有关的现金" w:id="297"/>
      <w:bookmarkEnd w:id="29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80" w:footer="977" w:top="1100" w:bottom="1160" w:left="980" w:right="0"/>
        </w:sectPr>
      </w:pPr>
    </w:p>
    <w:p>
      <w:pPr>
        <w:spacing w:line="240" w:lineRule="auto" w:before="8"/>
        <w:rPr>
          <w:rFonts w:ascii="宋体" w:hAnsi="宋体" w:cs="宋体" w:eastAsia="宋体" w:hint="default"/>
          <w:sz w:val="24"/>
          <w:szCs w:val="24"/>
        </w:rPr>
      </w:pPr>
      <w:r>
        <w:rPr/>
        <w:pict>
          <v:shape style="position:absolute;margin-left:190.080002pt;margin-top:530.279968pt;width:185.55pt;height:19.7pt;mso-position-horizontal-relative:page;mso-position-vertical-relative:page;z-index:-98560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41,855,861.72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43,082,658.65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5,626,346.21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8,742,369.58</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4,121,445.13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7,523,279.67</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51,603,653.06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59,348,307.90</w:t>
            </w:r>
          </w:p>
        </w:tc>
      </w:tr>
    </w:tbl>
    <w:p>
      <w:pPr>
        <w:spacing w:line="357" w:lineRule="auto" w:before="51"/>
        <w:ind w:left="152" w:right="7514"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42、现金流量表补充资料" w:id="298"/>
      <w:bookmarkEnd w:id="298"/>
      <w:r>
        <w:rPr>
          <w:b w:val="0"/>
          <w:bCs w:val="0"/>
        </w:rPr>
      </w:r>
      <w:r>
        <w:rPr>
          <w:rFonts w:ascii="Times New Roman" w:hAnsi="Times New Roman" w:cs="Times New Roman" w:eastAsia="Times New Roman" w:hint="default"/>
        </w:rPr>
        <w:t>42</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299"/>
      <w:bookmarkEnd w:id="29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6"/>
        <w:gridCol w:w="998"/>
        <w:gridCol w:w="2059"/>
        <w:gridCol w:w="3185"/>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净利润</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89" w:right="0"/>
              <w:jc w:val="left"/>
              <w:rPr>
                <w:rFonts w:ascii="Times New Roman" w:hAnsi="Times New Roman" w:cs="Times New Roman" w:eastAsia="Times New Roman" w:hint="default"/>
                <w:sz w:val="18"/>
                <w:szCs w:val="18"/>
              </w:rPr>
            </w:pPr>
            <w:r>
              <w:rPr>
                <w:rFonts w:ascii="Times New Roman"/>
                <w:sz w:val="18"/>
              </w:rPr>
              <w:t>35,888,299.44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46,288,745.96</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加：资产减值准备</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789,347.50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13,675,165.99</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固定资产折旧、油气资产折耗、 生产性生物资产折旧</w:t>
            </w:r>
          </w:p>
        </w:tc>
        <w:tc>
          <w:tcPr>
            <w:tcW w:w="305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1,781,570.13</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1,689,070.25</w:t>
            </w:r>
            <w:r>
              <w:rPr>
                <w:rFonts w:ascii="Times New Roman"/>
                <w:sz w:val="18"/>
              </w:rPr>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1,214,257.75</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640,093.87</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4D4D4"/>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6,041.03</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25" w:right="0"/>
              <w:jc w:val="left"/>
              <w:rPr>
                <w:rFonts w:ascii="Times New Roman" w:hAnsi="Times New Roman" w:cs="Times New Roman" w:eastAsia="Times New Roman" w:hint="default"/>
                <w:sz w:val="18"/>
                <w:szCs w:val="18"/>
              </w:rPr>
            </w:pPr>
            <w:r>
              <w:rPr>
                <w:rFonts w:ascii="Times New Roman"/>
                <w:sz w:val="18"/>
              </w:rPr>
              <w:t>-2,155,674.11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-4,066,750.00</w:t>
            </w:r>
            <w:r>
              <w:rPr>
                <w:rFonts w:ascii="Times New Roman"/>
                <w:sz w:val="18"/>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18" w:right="0"/>
              <w:jc w:val="left"/>
              <w:rPr>
                <w:rFonts w:ascii="Times New Roman" w:hAnsi="Times New Roman" w:cs="Times New Roman" w:eastAsia="Times New Roman" w:hint="default"/>
                <w:sz w:val="18"/>
                <w:szCs w:val="18"/>
              </w:rPr>
            </w:pPr>
            <w:r>
              <w:rPr>
                <w:rFonts w:ascii="Times New Roman"/>
                <w:sz w:val="18"/>
              </w:rPr>
              <w:t>-8,918,351.44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-6,310,667.22</w:t>
            </w:r>
            <w:r>
              <w:rPr>
                <w:rFonts w:ascii="Times New Roman"/>
                <w:sz w:val="18"/>
              </w:rPr>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递延所得税资产减少（增加以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681,732.33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-2,558,148.65</w:t>
            </w:r>
            <w:r>
              <w:rPr>
                <w:rFonts w:ascii="Times New Roman"/>
                <w:sz w:val="18"/>
              </w:rPr>
            </w:r>
          </w:p>
        </w:tc>
      </w:tr>
      <w:tr>
        <w:trPr>
          <w:trHeight w:val="403" w:hRule="exact"/>
        </w:trPr>
        <w:tc>
          <w:tcPr>
            <w:tcW w:w="3326" w:type="dxa"/>
            <w:tcBorders>
              <w:top w:val="single" w:sz="4" w:space="0" w:color="000000"/>
              <w:left w:val="single" w:sz="4" w:space="0" w:color="000000"/>
              <w:bottom w:val="single" w:sz="4" w:space="0" w:color="000000"/>
              <w:right w:val="single" w:sz="13" w:space="0" w:color="FFFFFF"/>
            </w:tcBorders>
            <w:shd w:val="clear" w:color="auto" w:fill="D4D4D4"/>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4"/>
                <w:sz w:val="18"/>
                <w:szCs w:val="18"/>
              </w:rPr>
              <w:t>存货的减少（增加以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p>
        </w:tc>
        <w:tc>
          <w:tcPr>
            <w:tcW w:w="998" w:type="dxa"/>
            <w:tcBorders>
              <w:top w:val="single" w:sz="4" w:space="0" w:color="000000"/>
              <w:left w:val="single" w:sz="13" w:space="0" w:color="FFFFFF"/>
              <w:bottom w:val="single" w:sz="4" w:space="0" w:color="000000"/>
              <w:right w:val="nil" w:sz="6" w:space="0" w:color="auto"/>
            </w:tcBorders>
          </w:tcPr>
          <w:p>
            <w:pPr/>
          </w:p>
        </w:tc>
        <w:tc>
          <w:tcPr>
            <w:tcW w:w="2059"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left="935" w:right="0"/>
              <w:jc w:val="left"/>
              <w:rPr>
                <w:rFonts w:ascii="Times New Roman" w:hAnsi="Times New Roman" w:cs="Times New Roman" w:eastAsia="Times New Roman" w:hint="default"/>
                <w:sz w:val="18"/>
                <w:szCs w:val="18"/>
              </w:rPr>
            </w:pPr>
            <w:r>
              <w:rPr>
                <w:rFonts w:ascii="Times New Roman"/>
                <w:sz w:val="18"/>
              </w:rPr>
              <w:t>-50,312,578.09</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-8,162,609.94</w:t>
            </w:r>
            <w:r>
              <w:rPr>
                <w:rFonts w:ascii="Times New Roman"/>
                <w:sz w:val="18"/>
              </w:rPr>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经营性应收项目的减少（增加以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22" w:right="0"/>
              <w:jc w:val="left"/>
              <w:rPr>
                <w:rFonts w:ascii="Times New Roman" w:hAnsi="Times New Roman" w:cs="Times New Roman" w:eastAsia="Times New Roman" w:hint="default"/>
                <w:sz w:val="18"/>
                <w:szCs w:val="18"/>
              </w:rPr>
            </w:pPr>
            <w:r>
              <w:rPr>
                <w:rFonts w:ascii="Times New Roman"/>
                <w:sz w:val="18"/>
              </w:rPr>
              <w:t>-58,618,787.85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-50,149,365.36</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经营性应付项目的增加（减少以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74,678,582.15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-3,784,501.32</w:t>
            </w:r>
            <w:r>
              <w:rPr>
                <w:rFonts w:ascii="Times New Roman"/>
                <w:sz w:val="18"/>
              </w:rPr>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18" w:right="0"/>
              <w:jc w:val="left"/>
              <w:rPr>
                <w:rFonts w:ascii="Times New Roman" w:hAnsi="Times New Roman" w:cs="Times New Roman" w:eastAsia="Times New Roman" w:hint="default"/>
                <w:sz w:val="18"/>
                <w:szCs w:val="18"/>
              </w:rPr>
            </w:pPr>
            <w:r>
              <w:rPr>
                <w:rFonts w:ascii="Times New Roman"/>
                <w:sz w:val="18"/>
              </w:rPr>
              <w:t>-4,971,602.19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-12,732,925.39</w:t>
            </w:r>
          </w:p>
        </w:tc>
      </w:tr>
      <w:tr>
        <w:trPr>
          <w:trHeight w:val="161" w:hRule="exact"/>
        </w:trPr>
        <w:tc>
          <w:tcPr>
            <w:tcW w:w="3326" w:type="dxa"/>
            <w:vMerge w:val="restart"/>
            <w:tcBorders>
              <w:top w:val="single" w:sz="4" w:space="0" w:color="000000"/>
              <w:left w:val="single" w:sz="4" w:space="0" w:color="000000"/>
              <w:right w:val="single" w:sz="4" w:space="0" w:color="000000"/>
            </w:tcBorders>
            <w:shd w:val="clear" w:color="auto" w:fill="D4D4D4"/>
          </w:tcPr>
          <w:p>
            <w:pPr>
              <w:pStyle w:val="TableParagraph"/>
              <w:spacing w:line="300" w:lineRule="auto" w:before="51"/>
              <w:ind w:left="24"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318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4" w:hRule="exact"/>
        </w:trPr>
        <w:tc>
          <w:tcPr>
            <w:tcW w:w="3326" w:type="dxa"/>
            <w:vMerge/>
            <w:tcBorders>
              <w:left w:val="single" w:sz="4" w:space="0" w:color="000000"/>
              <w:right w:val="single" w:sz="4" w:space="0" w:color="000000"/>
            </w:tcBorders>
            <w:shd w:val="clear" w:color="auto" w:fill="D4D4D4"/>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6" w:type="dxa"/>
            <w:vMerge/>
            <w:tcBorders>
              <w:left w:val="single" w:sz="4" w:space="0" w:color="000000"/>
              <w:bottom w:val="single" w:sz="4" w:space="0" w:color="000000"/>
              <w:right w:val="single" w:sz="4" w:space="0" w:color="000000"/>
            </w:tcBorders>
            <w:shd w:val="clear" w:color="auto" w:fill="D4D4D4"/>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318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5" w:right="0"/>
              <w:jc w:val="left"/>
              <w:rPr>
                <w:rFonts w:ascii="Times New Roman" w:hAnsi="Times New Roman" w:cs="Times New Roman" w:eastAsia="Times New Roman" w:hint="default"/>
                <w:sz w:val="18"/>
                <w:szCs w:val="18"/>
              </w:rPr>
            </w:pPr>
            <w:r>
              <w:rPr>
                <w:rFonts w:ascii="Times New Roman"/>
                <w:sz w:val="18"/>
              </w:rPr>
              <w:t>275,011,614.40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108,365,888.35</w:t>
            </w:r>
            <w:r>
              <w:rPr>
                <w:rFonts w:ascii="Times New Roman"/>
                <w:sz w:val="18"/>
              </w:rPr>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108,365,888.35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123,862,450.27</w:t>
            </w:r>
            <w:r>
              <w:rPr>
                <w:rFonts w:ascii="Times New Roman"/>
                <w:sz w:val="18"/>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166,645,726.05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-15,496,561.92</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2）现金和现金等价物的构成" w:id="300"/>
      <w:bookmarkEnd w:id="300"/>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275,011,614.40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108,365,888.35</w:t>
            </w:r>
            <w:r>
              <w:rPr>
                <w:rFonts w:ascii="Times New Roman"/>
                <w:sz w:val="18"/>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275,008,550.79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108,362,835.44</w:t>
            </w:r>
            <w:r>
              <w:rPr>
                <w:rFonts w:ascii="Times New Roman"/>
                <w:sz w:val="18"/>
              </w:rPr>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3,063.61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3,052.91</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275,011,614.40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108,365,888.35</w:t>
            </w:r>
            <w:r>
              <w:rPr>
                <w:rFonts w:ascii="Times New Roman"/>
                <w:sz w:val="18"/>
              </w:rPr>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3、所有权或使用权受到限制的资产" w:id="301"/>
      <w:bookmarkEnd w:id="301"/>
      <w:r>
        <w:rPr>
          <w:b w:val="0"/>
          <w:bCs w:val="0"/>
        </w:rPr>
      </w:r>
      <w:r>
        <w:rPr>
          <w:rFonts w:ascii="Times New Roman" w:hAnsi="Times New Roman" w:cs="Times New Roman" w:eastAsia="Times New Roman" w:hint="default"/>
        </w:rPr>
        <w:t>43</w:t>
      </w:r>
      <w:r>
        <w:rPr/>
        <w:t>、所有权或使用权受到限制的资产</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7,688,716.63</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224,000.00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农民工保证金</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7,912,716.63</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44、政府补助" w:id="302"/>
      <w:bookmarkEnd w:id="302"/>
      <w:r>
        <w:rPr>
          <w:b w:val="0"/>
          <w:bCs w:val="0"/>
        </w:rPr>
      </w:r>
      <w:r>
        <w:rPr>
          <w:rFonts w:ascii="Times New Roman" w:hAnsi="Times New Roman" w:cs="Times New Roman" w:eastAsia="Times New Roman" w:hint="default"/>
        </w:rPr>
        <w:t>44</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03"/>
      <w:bookmarkEnd w:id="303"/>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其他各项政府补助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21,498,800.00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8,006,532.81</w:t>
            </w:r>
            <w:r>
              <w:rPr>
                <w:rFonts w:ascii="Times New Roman"/>
                <w:sz w:val="18"/>
              </w:rPr>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成都高新技术产业开发区经 济运行局专项资金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766,500.00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766,500.00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中国科学院拨入专款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758,000.00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758,000.00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both"/>
              <w:rPr>
                <w:rFonts w:ascii="宋体" w:hAnsi="宋体" w:cs="宋体" w:eastAsia="宋体" w:hint="default"/>
                <w:sz w:val="18"/>
                <w:szCs w:val="18"/>
              </w:rPr>
            </w:pPr>
            <w:r>
              <w:rPr>
                <w:rFonts w:ascii="宋体" w:hAnsi="宋体" w:cs="宋体" w:eastAsia="宋体" w:hint="default"/>
                <w:sz w:val="18"/>
                <w:szCs w:val="18"/>
              </w:rPr>
              <w:t>成都高新技术产业开发区经 济运行与安全生产监管局专 项资金补助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7"/>
              <w:jc w:val="both"/>
              <w:rPr>
                <w:rFonts w:ascii="宋体" w:hAnsi="宋体" w:cs="宋体" w:eastAsia="宋体" w:hint="default"/>
                <w:sz w:val="18"/>
                <w:szCs w:val="18"/>
              </w:rPr>
            </w:pPr>
            <w:r>
              <w:rPr>
                <w:rFonts w:ascii="宋体" w:hAnsi="宋体" w:cs="宋体" w:eastAsia="宋体" w:hint="default"/>
                <w:sz w:val="18"/>
                <w:szCs w:val="18"/>
              </w:rPr>
              <w:t>成都高新技术产业开发区新 经济发展局优化产业服务补 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中共四川省委员会组织部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省万自助和激励资金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成都高新技术产业开发区新</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200,000.00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36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经济发展局奖励款</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成都高新区技术产业开发区 科技和人才工作局补贴款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179,800.00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179,800.00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年体检专项资金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60,800.00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成都高新技术产业开发区电 子信息产业发展局专项补贴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both"/>
              <w:rPr>
                <w:rFonts w:ascii="宋体" w:hAnsi="宋体" w:cs="宋体" w:eastAsia="宋体" w:hint="default"/>
                <w:sz w:val="18"/>
                <w:szCs w:val="18"/>
              </w:rPr>
            </w:pPr>
            <w:r>
              <w:rPr>
                <w:rFonts w:ascii="宋体" w:hAnsi="宋体" w:cs="宋体" w:eastAsia="宋体" w:hint="default"/>
                <w:sz w:val="18"/>
                <w:szCs w:val="18"/>
              </w:rPr>
              <w:t>成都高新技术产业开发区经 济运行与安全生产监管局高 质量发展专项奖</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政府补助退回情况" w:id="304"/>
      <w:bookmarkEnd w:id="304"/>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成都市地方金融监督管理局多发放的</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年专项资金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申报金额调整</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金华高新技术产业园区财政局拨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专 项资金预拨款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财政审计调整</w:t>
            </w:r>
          </w:p>
        </w:tc>
      </w:tr>
    </w:tbl>
    <w:p>
      <w:pPr>
        <w:spacing w:line="357"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bookmarkStart w:name="八、在其他主体中的权益" w:id="305"/>
      <w:bookmarkEnd w:id="305"/>
      <w:r>
        <w:rPr>
          <w:b w:val="0"/>
          <w:bCs w:val="0"/>
        </w:rPr>
      </w:r>
      <w:r>
        <w:rPr/>
        <w:t>八、在其他主体中的权益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306"/>
      <w:bookmarkEnd w:id="306"/>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07"/>
      <w:bookmarkEnd w:id="30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both"/>
              <w:rPr>
                <w:rFonts w:ascii="宋体" w:hAnsi="宋体" w:cs="宋体" w:eastAsia="宋体" w:hint="default"/>
                <w:sz w:val="18"/>
                <w:szCs w:val="18"/>
              </w:rPr>
            </w:pPr>
            <w:r>
              <w:rPr>
                <w:rFonts w:ascii="宋体" w:hAnsi="宋体" w:cs="宋体" w:eastAsia="宋体" w:hint="default"/>
                <w:sz w:val="18"/>
                <w:szCs w:val="18"/>
              </w:rPr>
              <w:t>成都中科石油工 程技术股份有限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26" w:right="71"/>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55.00</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成都中科信息技 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1"/>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4"/>
              <w:jc w:val="left"/>
              <w:rPr>
                <w:rFonts w:ascii="宋体" w:hAnsi="宋体" w:cs="宋体" w:eastAsia="宋体" w:hint="default"/>
                <w:sz w:val="18"/>
                <w:szCs w:val="18"/>
              </w:rPr>
            </w:pPr>
            <w:r>
              <w:rPr>
                <w:rFonts w:ascii="宋体" w:hAnsi="宋体" w:cs="宋体" w:eastAsia="宋体" w:hint="default"/>
                <w:sz w:val="18"/>
                <w:szCs w:val="18"/>
              </w:rPr>
              <w:t>中科院金华信息 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浙江省金华市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金华市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6" w:right="71"/>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r>
    </w:tbl>
    <w:p>
      <w:pPr>
        <w:spacing w:line="357" w:lineRule="auto" w:before="51"/>
        <w:ind w:left="152" w:right="697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无</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w:t>
      </w:r>
    </w:p>
    <w:p>
      <w:pPr>
        <w:spacing w:after="0"/>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13"/>
        <w:rPr>
          <w:rFonts w:ascii="宋体" w:hAnsi="宋体" w:cs="宋体" w:eastAsia="宋体" w:hint="default"/>
          <w:sz w:val="21"/>
          <w:szCs w:val="21"/>
        </w:rPr>
      </w:pPr>
    </w:p>
    <w:p>
      <w:pPr>
        <w:spacing w:line="357" w:lineRule="auto" w:before="44"/>
        <w:ind w:left="152" w:right="6434" w:firstLine="0"/>
        <w:jc w:val="left"/>
        <w:rPr>
          <w:rFonts w:ascii="宋体" w:hAnsi="宋体" w:cs="宋体" w:eastAsia="宋体" w:hint="default"/>
          <w:sz w:val="18"/>
          <w:szCs w:val="18"/>
        </w:rPr>
      </w:pPr>
      <w:r>
        <w:rPr>
          <w:rFonts w:ascii="宋体" w:hAnsi="宋体" w:cs="宋体" w:eastAsia="宋体" w:hint="default"/>
          <w:sz w:val="18"/>
          <w:szCs w:val="18"/>
        </w:rPr>
        <w:t>无 对于纳入合并范围的重要的结构化主体，控制的依据： 无</w:t>
      </w:r>
    </w:p>
    <w:p>
      <w:pPr>
        <w:spacing w:line="360" w:lineRule="auto" w:before="29"/>
        <w:ind w:left="152" w:right="769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无</w:t>
      </w:r>
    </w:p>
    <w:p>
      <w:pPr>
        <w:spacing w:line="357" w:lineRule="auto" w:before="27"/>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2）重要的非全资子公司" w:id="308"/>
      <w:bookmarkEnd w:id="308"/>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3"/>
        <w:gridCol w:w="1913"/>
        <w:gridCol w:w="1915"/>
      </w:tblGrid>
      <w:tr>
        <w:trPr>
          <w:trHeight w:val="766"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7"/>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7"/>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成都中科石油工程技术 股份有限公司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599,332.26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9,707.34</w:t>
            </w:r>
          </w:p>
        </w:tc>
      </w:tr>
    </w:tbl>
    <w:p>
      <w:pPr>
        <w:spacing w:line="360" w:lineRule="auto" w:before="51"/>
        <w:ind w:left="152" w:right="643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无</w:t>
      </w:r>
    </w:p>
    <w:p>
      <w:pPr>
        <w:spacing w:line="357" w:lineRule="auto" w:before="27"/>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重要非全资子公司的主要财务信息" w:id="309"/>
      <w:bookmarkEnd w:id="309"/>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4"/>
        <w:gridCol w:w="734"/>
        <w:gridCol w:w="737"/>
        <w:gridCol w:w="737"/>
        <w:gridCol w:w="734"/>
        <w:gridCol w:w="737"/>
      </w:tblGrid>
      <w:tr>
        <w:trPr>
          <w:trHeight w:val="403" w:hRule="exact"/>
        </w:trPr>
        <w:tc>
          <w:tcPr>
            <w:tcW w:w="73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4D4D4"/>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中科石 油</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20,261,0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67.73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1,070,56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21,331,6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21,310,0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60.83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21,310,0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16,334,7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66.05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488,720.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16,823,4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86.90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18,133,7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64.50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18,133,7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64.50</w:t>
            </w:r>
          </w:p>
        </w:tc>
      </w:tr>
    </w:tbl>
    <w:p>
      <w:pPr>
        <w:spacing w:before="51"/>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3"/>
        <w:gridCol w:w="1063"/>
        <w:gridCol w:w="1066"/>
        <w:gridCol w:w="1063"/>
        <w:gridCol w:w="1063"/>
        <w:gridCol w:w="1063"/>
        <w:gridCol w:w="1066"/>
      </w:tblGrid>
      <w:tr>
        <w:trPr>
          <w:trHeight w:val="403" w:hRule="exact"/>
        </w:trPr>
        <w:tc>
          <w:tcPr>
            <w:tcW w:w="10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0" w:type="dxa"/>
            <w:vMerge/>
            <w:tcBorders>
              <w:left w:val="single" w:sz="4" w:space="0" w:color="000000"/>
              <w:bottom w:val="single" w:sz="4" w:space="0" w:color="000000"/>
              <w:right w:val="single" w:sz="4" w:space="0" w:color="000000"/>
            </w:tcBorders>
            <w:shd w:val="clear" w:color="auto" w:fill="D4D4D4"/>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5"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中科石油</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15,605,571.1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1,331,849.47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1,331,849.47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-959,140.97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9,158,798.00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-1,152,119.53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-1,152,119.53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777,433.69</w:t>
            </w:r>
          </w:p>
        </w:tc>
      </w:tr>
    </w:tbl>
    <w:p>
      <w:pPr>
        <w:spacing w:line="357"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880" w:footer="977"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2、在合营安排或联营企业中的权益" w:id="310"/>
      <w:bookmarkEnd w:id="310"/>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11"/>
      <w:bookmarkEnd w:id="31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both"/>
              <w:rPr>
                <w:rFonts w:ascii="宋体" w:hAnsi="宋体" w:cs="宋体" w:eastAsia="宋体" w:hint="default"/>
                <w:sz w:val="18"/>
                <w:szCs w:val="18"/>
              </w:rPr>
            </w:pPr>
            <w:r>
              <w:rPr>
                <w:rFonts w:ascii="宋体" w:hAnsi="宋体" w:cs="宋体" w:eastAsia="宋体" w:hint="default"/>
                <w:sz w:val="18"/>
                <w:szCs w:val="18"/>
              </w:rPr>
              <w:t>深圳市中钞科信 金融科技有限公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6" w:right="71"/>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重要合营企业的主要财务信息" w:id="312"/>
      <w:bookmarkEnd w:id="312"/>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2"/>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383,229,518.77</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320,388,416.97</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1,301,972.84</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1,365,816.03</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384,531,491.61</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321,754,233.00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116,717,391.23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70,238,750.95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116,717,391.23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70,238,750.95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267,814,100.38</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251,515,482.05</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107,125,640.15</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100,606,192.81</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107,125,640.15</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100,606,192.81</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113,105,065.82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116,034,342.74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21,298,618.33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13,930,897.50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21,298,618.33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13,930,897.50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本年度收到的来自合营企业的股利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w:t>
            </w:r>
            <w:r>
              <w:rPr>
                <w:rFonts w:ascii="Times New Roman"/>
                <w:sz w:val="18"/>
              </w:rPr>
            </w:r>
          </w:p>
        </w:tc>
      </w:tr>
    </w:tbl>
    <w:p>
      <w:pPr>
        <w:spacing w:line="357" w:lineRule="auto" w:before="51"/>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bookmarkStart w:name="九、与金融工具相关的风险" w:id="313"/>
      <w:bookmarkEnd w:id="313"/>
      <w:r>
        <w:rPr>
          <w:b w:val="0"/>
          <w:bCs w:val="0"/>
        </w:rPr>
      </w:r>
      <w:r>
        <w:rPr/>
        <w:t>九、与金融工具相关的风险</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28" w:firstLine="420"/>
        <w:jc w:val="both"/>
        <w:rPr>
          <w:rFonts w:ascii="宋体" w:hAnsi="宋体" w:cs="宋体" w:eastAsia="宋体" w:hint="default"/>
        </w:rPr>
      </w:pPr>
      <w:r>
        <w:rPr>
          <w:spacing w:val="-2"/>
        </w:rPr>
        <w:t>本集团的主要金融工具，除衍生工具外，包括银行借款、其他计息借款、货币资金等。这些金融工具</w:t>
      </w:r>
      <w:r>
        <w:rPr>
          <w:w w:val="100"/>
        </w:rPr>
        <w:t> </w:t>
      </w:r>
      <w:r>
        <w:rPr>
          <w:spacing w:val="-2"/>
        </w:rPr>
        <w:t>的主要目的在于为本集团的运营融资。本集团具有多种因经营而直接产生的其他金融资产和负债，如应收</w:t>
      </w:r>
      <w:r>
        <w:rPr>
          <w:spacing w:val="-42"/>
        </w:rPr>
        <w:t> </w:t>
      </w:r>
      <w:r>
        <w:rPr>
          <w:spacing w:val="-42"/>
        </w:rPr>
      </w:r>
      <w:r>
        <w:rPr/>
        <w:t>账款和应付账款等。</w:t>
      </w:r>
      <w:r>
        <w:rPr>
          <w:rFonts w:ascii="宋体" w:hAnsi="宋体" w:cs="宋体" w:eastAsia="宋体" w:hint="default"/>
        </w:rPr>
        <w:t> </w:t>
      </w:r>
    </w:p>
    <w:p>
      <w:pPr>
        <w:spacing w:after="0" w:line="408" w:lineRule="auto"/>
        <w:jc w:val="both"/>
        <w:rPr>
          <w:rFonts w:ascii="宋体" w:hAnsi="宋体" w:cs="宋体" w:eastAsia="宋体" w:hint="default"/>
        </w:rPr>
        <w:sectPr>
          <w:pgSz w:w="11910" w:h="16840"/>
          <w:pgMar w:header="880" w:footer="977"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left="572" w:right="0"/>
        <w:jc w:val="left"/>
        <w:rPr>
          <w:rFonts w:ascii="宋体" w:hAnsi="宋体" w:cs="宋体" w:eastAsia="宋体" w:hint="default"/>
        </w:rPr>
      </w:pPr>
      <w:r>
        <w:rPr/>
        <w:t>本集团的金融工具导致的主要风险是信用风险、流动性风险。</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BodyText"/>
        <w:spacing w:line="513" w:lineRule="auto"/>
        <w:ind w:left="572" w:right="5725"/>
        <w:jc w:val="left"/>
        <w:rPr>
          <w:rFonts w:ascii="宋体" w:hAnsi="宋体" w:cs="宋体" w:eastAsia="宋体" w:hint="default"/>
        </w:rPr>
      </w:pPr>
      <w:r>
        <w:rPr/>
        <w:t>（一）金融工具分类</w:t>
      </w:r>
      <w:r>
        <w:rPr>
          <w:rFonts w:ascii="宋体" w:hAnsi="宋体" w:cs="宋体" w:eastAsia="宋体" w:hint="default"/>
          <w:w w:val="100"/>
        </w:rPr>
        <w:t> </w:t>
      </w:r>
      <w:r>
        <w:rPr>
          <w:rFonts w:ascii="宋体" w:hAnsi="宋体" w:cs="宋体" w:eastAsia="宋体" w:hint="default"/>
        </w:rPr>
        <w:t>1.</w:t>
      </w:r>
      <w:r>
        <w:rPr/>
        <w:t>资产负债表日的各类金融资产的账面价值</w:t>
      </w:r>
      <w:r>
        <w:rPr>
          <w:rFonts w:ascii="宋体" w:hAnsi="宋体" w:cs="宋体" w:eastAsia="宋体" w:hint="default"/>
        </w:rPr>
        <w:t> </w:t>
      </w:r>
    </w:p>
    <w:p>
      <w:pPr>
        <w:pStyle w:val="BodyText"/>
        <w:spacing w:line="240" w:lineRule="auto" w:before="73"/>
        <w:ind w:left="572" w:right="0"/>
        <w:jc w:val="left"/>
        <w:rPr>
          <w:rFonts w:ascii="宋体" w:hAnsi="宋体" w:cs="宋体" w:eastAsia="宋体" w:hint="default"/>
        </w:rPr>
      </w:pPr>
      <w:r>
        <w:rPr/>
        <w:t>（</w:t>
      </w:r>
      <w:r>
        <w:rPr>
          <w:rFonts w:ascii="宋体" w:hAnsi="宋体" w:cs="宋体" w:eastAsia="宋体" w:hint="default"/>
        </w:rPr>
        <w:t>1</w:t>
      </w:r>
      <w:r>
        <w:rPr/>
        <w:t>）</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 </w:t>
      </w:r>
    </w:p>
    <w:p>
      <w:pPr>
        <w:spacing w:line="240" w:lineRule="auto" w:before="0"/>
        <w:rPr>
          <w:rFonts w:ascii="宋体" w:hAnsi="宋体" w:cs="宋体" w:eastAsia="宋体" w:hint="default"/>
          <w:sz w:val="19"/>
          <w:szCs w:val="19"/>
        </w:rPr>
      </w:pPr>
    </w:p>
    <w:tbl>
      <w:tblPr>
        <w:tblW w:w="0" w:type="auto"/>
        <w:jc w:val="left"/>
        <w:tblInd w:w="152" w:type="dxa"/>
        <w:tblLayout w:type="fixed"/>
        <w:tblCellMar>
          <w:top w:w="0" w:type="dxa"/>
          <w:left w:w="0" w:type="dxa"/>
          <w:bottom w:w="0" w:type="dxa"/>
          <w:right w:w="0" w:type="dxa"/>
        </w:tblCellMar>
        <w:tblLook w:val="01E0"/>
      </w:tblPr>
      <w:tblGrid>
        <w:gridCol w:w="1268"/>
        <w:gridCol w:w="1457"/>
        <w:gridCol w:w="2083"/>
        <w:gridCol w:w="2559"/>
        <w:gridCol w:w="1213"/>
      </w:tblGrid>
      <w:tr>
        <w:trPr>
          <w:trHeight w:val="660" w:hRule="exact"/>
        </w:trPr>
        <w:tc>
          <w:tcPr>
            <w:tcW w:w="126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b/>
                <w:bCs/>
                <w:sz w:val="18"/>
                <w:szCs w:val="18"/>
              </w:rPr>
              <w:t>金融资产项目</w:t>
            </w:r>
            <w:r>
              <w:rPr>
                <w:rFonts w:ascii="宋体" w:hAnsi="宋体" w:cs="宋体" w:eastAsia="宋体" w:hint="default"/>
                <w:sz w:val="18"/>
                <w:szCs w:val="18"/>
              </w:rPr>
            </w:r>
          </w:p>
        </w:tc>
        <w:tc>
          <w:tcPr>
            <w:tcW w:w="1457"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267" w:right="105" w:hanging="183"/>
              <w:jc w:val="left"/>
              <w:rPr>
                <w:rFonts w:ascii="宋体" w:hAnsi="宋体" w:cs="宋体" w:eastAsia="宋体" w:hint="default"/>
                <w:sz w:val="18"/>
                <w:szCs w:val="18"/>
              </w:rPr>
            </w:pPr>
            <w:r>
              <w:rPr>
                <w:rFonts w:ascii="宋体" w:hAnsi="宋体" w:cs="宋体" w:eastAsia="宋体" w:hint="default"/>
                <w:b/>
                <w:bCs/>
                <w:sz w:val="18"/>
                <w:szCs w:val="18"/>
              </w:rPr>
              <w:t>以摊余成本计量</w:t>
            </w:r>
            <w:r>
              <w:rPr>
                <w:rFonts w:ascii="宋体" w:hAnsi="宋体" w:cs="宋体" w:eastAsia="宋体" w:hint="default"/>
                <w:b/>
                <w:bCs/>
                <w:w w:val="99"/>
                <w:sz w:val="18"/>
                <w:szCs w:val="18"/>
              </w:rPr>
              <w:t> </w:t>
            </w:r>
            <w:r>
              <w:rPr>
                <w:rFonts w:ascii="宋体" w:hAnsi="宋体" w:cs="宋体" w:eastAsia="宋体" w:hint="default"/>
                <w:b/>
                <w:bCs/>
                <w:sz w:val="18"/>
                <w:szCs w:val="18"/>
              </w:rPr>
              <w:t>的金融资产</w:t>
            </w:r>
            <w:r>
              <w:rPr>
                <w:rFonts w:ascii="宋体" w:hAnsi="宋体" w:cs="宋体" w:eastAsia="宋体" w:hint="default"/>
                <w:sz w:val="18"/>
                <w:szCs w:val="18"/>
              </w:rPr>
            </w:r>
          </w:p>
        </w:tc>
        <w:tc>
          <w:tcPr>
            <w:tcW w:w="2083"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36" w:right="56"/>
              <w:jc w:val="left"/>
              <w:rPr>
                <w:rFonts w:ascii="宋体" w:hAnsi="宋体" w:cs="宋体" w:eastAsia="宋体" w:hint="default"/>
                <w:sz w:val="18"/>
                <w:szCs w:val="18"/>
              </w:rPr>
            </w:pPr>
            <w:r>
              <w:rPr>
                <w:rFonts w:ascii="宋体" w:hAnsi="宋体" w:cs="宋体" w:eastAsia="宋体" w:hint="default"/>
                <w:b/>
                <w:bCs/>
                <w:sz w:val="18"/>
                <w:szCs w:val="18"/>
              </w:rPr>
              <w:t>以公允价值计量且其变动</w:t>
            </w:r>
            <w:r>
              <w:rPr>
                <w:rFonts w:ascii="宋体" w:hAnsi="宋体" w:cs="宋体" w:eastAsia="宋体" w:hint="default"/>
                <w:b/>
                <w:bCs/>
                <w:w w:val="99"/>
                <w:sz w:val="18"/>
                <w:szCs w:val="18"/>
              </w:rPr>
              <w:t> </w:t>
            </w:r>
            <w:r>
              <w:rPr>
                <w:rFonts w:ascii="宋体" w:hAnsi="宋体" w:cs="宋体" w:eastAsia="宋体" w:hint="default"/>
                <w:b/>
                <w:bCs/>
                <w:sz w:val="18"/>
                <w:szCs w:val="18"/>
              </w:rPr>
              <w:t>计入当期损益的金融资产</w:t>
            </w:r>
            <w:r>
              <w:rPr>
                <w:rFonts w:ascii="宋体" w:hAnsi="宋体" w:cs="宋体" w:eastAsia="宋体" w:hint="default"/>
                <w:sz w:val="18"/>
                <w:szCs w:val="18"/>
              </w:rPr>
            </w:r>
          </w:p>
        </w:tc>
        <w:tc>
          <w:tcPr>
            <w:tcW w:w="2559"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58" w:right="328"/>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w:t>
            </w:r>
            <w:r>
              <w:rPr>
                <w:rFonts w:ascii="宋体" w:hAnsi="宋体" w:cs="宋体" w:eastAsia="宋体" w:hint="default"/>
                <w:b/>
                <w:bCs/>
                <w:w w:val="99"/>
                <w:sz w:val="18"/>
                <w:szCs w:val="18"/>
              </w:rPr>
              <w:t> </w:t>
            </w:r>
            <w:r>
              <w:rPr>
                <w:rFonts w:ascii="宋体" w:hAnsi="宋体" w:cs="宋体" w:eastAsia="宋体" w:hint="default"/>
                <w:b/>
                <w:bCs/>
                <w:sz w:val="18"/>
                <w:szCs w:val="18"/>
              </w:rPr>
              <w:t>入其他综合收益的金融资产</w:t>
            </w:r>
            <w:r>
              <w:rPr>
                <w:rFonts w:ascii="宋体" w:hAnsi="宋体" w:cs="宋体" w:eastAsia="宋体" w:hint="default"/>
                <w:sz w:val="18"/>
                <w:szCs w:val="18"/>
              </w:rPr>
            </w:r>
          </w:p>
        </w:tc>
        <w:tc>
          <w:tcPr>
            <w:tcW w:w="1213"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28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6" w:hRule="exact"/>
        </w:trPr>
        <w:tc>
          <w:tcPr>
            <w:tcW w:w="126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57"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34"/>
              <w:jc w:val="right"/>
              <w:rPr>
                <w:rFonts w:ascii="Times New Roman" w:hAnsi="Times New Roman" w:cs="Times New Roman" w:eastAsia="Times New Roman" w:hint="default"/>
                <w:sz w:val="18"/>
                <w:szCs w:val="18"/>
              </w:rPr>
            </w:pPr>
            <w:r>
              <w:rPr>
                <w:rFonts w:ascii="Times New Roman"/>
                <w:spacing w:val="-1"/>
                <w:sz w:val="18"/>
              </w:rPr>
              <w:t>282,924,331.03</w:t>
            </w:r>
            <w:r>
              <w:rPr>
                <w:rFonts w:ascii="Times New Roman"/>
                <w:sz w:val="18"/>
              </w:rPr>
            </w:r>
          </w:p>
        </w:tc>
        <w:tc>
          <w:tcPr>
            <w:tcW w:w="2083" w:type="dxa"/>
            <w:tcBorders>
              <w:top w:val="single" w:sz="6" w:space="0" w:color="000000"/>
              <w:left w:val="nil" w:sz="6" w:space="0" w:color="auto"/>
              <w:bottom w:val="single" w:sz="6" w:space="0" w:color="000000"/>
              <w:right w:val="nil" w:sz="6" w:space="0" w:color="auto"/>
            </w:tcBorders>
          </w:tcPr>
          <w:p>
            <w:pPr/>
          </w:p>
        </w:tc>
        <w:tc>
          <w:tcPr>
            <w:tcW w:w="2559" w:type="dxa"/>
            <w:tcBorders>
              <w:top w:val="single" w:sz="6" w:space="0" w:color="000000"/>
              <w:left w:val="nil" w:sz="6" w:space="0" w:color="auto"/>
              <w:bottom w:val="single" w:sz="6" w:space="0" w:color="000000"/>
              <w:right w:val="nil" w:sz="6" w:space="0" w:color="auto"/>
            </w:tcBorders>
          </w:tcPr>
          <w:p>
            <w:pPr/>
          </w:p>
        </w:tc>
        <w:tc>
          <w:tcPr>
            <w:tcW w:w="1213"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282,924,331.03</w:t>
            </w:r>
            <w:r>
              <w:rPr>
                <w:rFonts w:ascii="Times New Roman"/>
                <w:spacing w:val="-1"/>
                <w:sz w:val="18"/>
              </w:rPr>
            </w:r>
            <w:r>
              <w:rPr>
                <w:rFonts w:ascii="Times New Roman"/>
                <w:sz w:val="18"/>
              </w:rPr>
            </w:r>
          </w:p>
        </w:tc>
      </w:tr>
      <w:tr>
        <w:trPr>
          <w:trHeight w:val="348" w:hRule="exact"/>
        </w:trPr>
        <w:tc>
          <w:tcPr>
            <w:tcW w:w="1268"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57"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36"/>
              <w:jc w:val="right"/>
              <w:rPr>
                <w:rFonts w:ascii="Times New Roman" w:hAnsi="Times New Roman" w:cs="Times New Roman" w:eastAsia="Times New Roman" w:hint="default"/>
                <w:sz w:val="18"/>
                <w:szCs w:val="18"/>
              </w:rPr>
            </w:pPr>
            <w:r>
              <w:rPr>
                <w:rFonts w:ascii="Times New Roman"/>
                <w:spacing w:val="-1"/>
                <w:sz w:val="18"/>
              </w:rPr>
              <w:t>10,716,935.35</w:t>
            </w:r>
          </w:p>
        </w:tc>
        <w:tc>
          <w:tcPr>
            <w:tcW w:w="2083" w:type="dxa"/>
            <w:tcBorders>
              <w:top w:val="single" w:sz="6" w:space="0" w:color="000000"/>
              <w:left w:val="nil" w:sz="6" w:space="0" w:color="auto"/>
              <w:bottom w:val="single" w:sz="6" w:space="0" w:color="000000"/>
              <w:right w:val="nil" w:sz="6" w:space="0" w:color="auto"/>
            </w:tcBorders>
          </w:tcPr>
          <w:p>
            <w:pPr/>
          </w:p>
        </w:tc>
        <w:tc>
          <w:tcPr>
            <w:tcW w:w="2559" w:type="dxa"/>
            <w:tcBorders>
              <w:top w:val="single" w:sz="6" w:space="0" w:color="000000"/>
              <w:left w:val="nil" w:sz="6" w:space="0" w:color="auto"/>
              <w:bottom w:val="single" w:sz="6" w:space="0" w:color="000000"/>
              <w:right w:val="nil" w:sz="6" w:space="0" w:color="auto"/>
            </w:tcBorders>
          </w:tcPr>
          <w:p>
            <w:pPr/>
          </w:p>
        </w:tc>
        <w:tc>
          <w:tcPr>
            <w:tcW w:w="1213"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10,716,935.35</w:t>
            </w:r>
            <w:r>
              <w:rPr>
                <w:rFonts w:ascii="Times New Roman"/>
                <w:spacing w:val="-1"/>
                <w:sz w:val="18"/>
              </w:rPr>
            </w:r>
          </w:p>
        </w:tc>
      </w:tr>
      <w:tr>
        <w:trPr>
          <w:trHeight w:val="346" w:hRule="exact"/>
        </w:trPr>
        <w:tc>
          <w:tcPr>
            <w:tcW w:w="126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57"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34"/>
              <w:jc w:val="right"/>
              <w:rPr>
                <w:rFonts w:ascii="Times New Roman" w:hAnsi="Times New Roman" w:cs="Times New Roman" w:eastAsia="Times New Roman" w:hint="default"/>
                <w:sz w:val="18"/>
                <w:szCs w:val="18"/>
              </w:rPr>
            </w:pPr>
            <w:r>
              <w:rPr>
                <w:rFonts w:ascii="Times New Roman"/>
                <w:spacing w:val="-1"/>
                <w:sz w:val="18"/>
              </w:rPr>
              <w:t>245,016,362.46</w:t>
            </w:r>
            <w:r>
              <w:rPr>
                <w:rFonts w:ascii="Times New Roman"/>
                <w:sz w:val="18"/>
              </w:rPr>
            </w:r>
          </w:p>
        </w:tc>
        <w:tc>
          <w:tcPr>
            <w:tcW w:w="2083" w:type="dxa"/>
            <w:tcBorders>
              <w:top w:val="single" w:sz="6" w:space="0" w:color="000000"/>
              <w:left w:val="nil" w:sz="6" w:space="0" w:color="auto"/>
              <w:bottom w:val="single" w:sz="6" w:space="0" w:color="000000"/>
              <w:right w:val="nil" w:sz="6" w:space="0" w:color="auto"/>
            </w:tcBorders>
          </w:tcPr>
          <w:p>
            <w:pPr/>
          </w:p>
        </w:tc>
        <w:tc>
          <w:tcPr>
            <w:tcW w:w="2559" w:type="dxa"/>
            <w:tcBorders>
              <w:top w:val="single" w:sz="6" w:space="0" w:color="000000"/>
              <w:left w:val="nil" w:sz="6" w:space="0" w:color="auto"/>
              <w:bottom w:val="single" w:sz="6" w:space="0" w:color="000000"/>
              <w:right w:val="nil" w:sz="6" w:space="0" w:color="auto"/>
            </w:tcBorders>
          </w:tcPr>
          <w:p>
            <w:pPr/>
          </w:p>
        </w:tc>
        <w:tc>
          <w:tcPr>
            <w:tcW w:w="1213"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245,016,362.46</w:t>
            </w:r>
            <w:r>
              <w:rPr>
                <w:rFonts w:ascii="Times New Roman"/>
                <w:spacing w:val="-1"/>
                <w:sz w:val="18"/>
              </w:rPr>
            </w:r>
            <w:r>
              <w:rPr>
                <w:rFonts w:ascii="Times New Roman"/>
                <w:sz w:val="18"/>
              </w:rPr>
            </w:r>
          </w:p>
        </w:tc>
      </w:tr>
      <w:tr>
        <w:trPr>
          <w:trHeight w:val="348" w:hRule="exact"/>
        </w:trPr>
        <w:tc>
          <w:tcPr>
            <w:tcW w:w="1268"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457" w:type="dxa"/>
            <w:tcBorders>
              <w:top w:val="single" w:sz="6" w:space="0" w:color="000000"/>
              <w:left w:val="nil" w:sz="6" w:space="0" w:color="auto"/>
              <w:bottom w:val="single" w:sz="6" w:space="0" w:color="000000"/>
              <w:right w:val="nil" w:sz="6" w:space="0" w:color="auto"/>
            </w:tcBorders>
          </w:tcPr>
          <w:p>
            <w:pPr/>
          </w:p>
        </w:tc>
        <w:tc>
          <w:tcPr>
            <w:tcW w:w="2083" w:type="dxa"/>
            <w:tcBorders>
              <w:top w:val="single" w:sz="6" w:space="0" w:color="000000"/>
              <w:left w:val="nil" w:sz="6" w:space="0" w:color="auto"/>
              <w:bottom w:val="single" w:sz="6" w:space="0" w:color="000000"/>
              <w:right w:val="nil" w:sz="6" w:space="0" w:color="auto"/>
            </w:tcBorders>
          </w:tcPr>
          <w:p>
            <w:pPr/>
          </w:p>
        </w:tc>
        <w:tc>
          <w:tcPr>
            <w:tcW w:w="2559"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left="1457" w:right="0"/>
              <w:jc w:val="left"/>
              <w:rPr>
                <w:rFonts w:ascii="Times New Roman" w:hAnsi="Times New Roman" w:cs="Times New Roman" w:eastAsia="Times New Roman" w:hint="default"/>
                <w:sz w:val="18"/>
                <w:szCs w:val="18"/>
              </w:rPr>
            </w:pPr>
            <w:r>
              <w:rPr>
                <w:rFonts w:ascii="Times New Roman"/>
                <w:sz w:val="18"/>
              </w:rPr>
              <w:t>422,250.00</w:t>
            </w:r>
          </w:p>
        </w:tc>
        <w:tc>
          <w:tcPr>
            <w:tcW w:w="1213"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422,250.00</w:t>
            </w:r>
            <w:r>
              <w:rPr>
                <w:rFonts w:ascii="Times New Roman"/>
                <w:sz w:val="18"/>
              </w:rPr>
            </w:r>
          </w:p>
        </w:tc>
      </w:tr>
      <w:tr>
        <w:trPr>
          <w:trHeight w:val="273" w:hRule="exact"/>
        </w:trPr>
        <w:tc>
          <w:tcPr>
            <w:tcW w:w="1268"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57"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right="36"/>
              <w:jc w:val="right"/>
              <w:rPr>
                <w:rFonts w:ascii="Times New Roman" w:hAnsi="Times New Roman" w:cs="Times New Roman" w:eastAsia="Times New Roman" w:hint="default"/>
                <w:sz w:val="18"/>
                <w:szCs w:val="18"/>
              </w:rPr>
            </w:pPr>
            <w:r>
              <w:rPr>
                <w:rFonts w:ascii="Times New Roman"/>
                <w:spacing w:val="-1"/>
                <w:sz w:val="18"/>
              </w:rPr>
              <w:t>31,819,254.42</w:t>
            </w:r>
          </w:p>
        </w:tc>
        <w:tc>
          <w:tcPr>
            <w:tcW w:w="2083" w:type="dxa"/>
            <w:tcBorders>
              <w:top w:val="single" w:sz="6" w:space="0" w:color="000000"/>
              <w:left w:val="nil" w:sz="6" w:space="0" w:color="auto"/>
              <w:bottom w:val="nil" w:sz="6" w:space="0" w:color="auto"/>
              <w:right w:val="nil" w:sz="6" w:space="0" w:color="auto"/>
            </w:tcBorders>
          </w:tcPr>
          <w:p>
            <w:pPr/>
          </w:p>
        </w:tc>
        <w:tc>
          <w:tcPr>
            <w:tcW w:w="2559" w:type="dxa"/>
            <w:tcBorders>
              <w:top w:val="single" w:sz="6" w:space="0" w:color="000000"/>
              <w:left w:val="nil" w:sz="6" w:space="0" w:color="auto"/>
              <w:bottom w:val="nil" w:sz="6" w:space="0" w:color="auto"/>
              <w:right w:val="nil" w:sz="6" w:space="0" w:color="auto"/>
            </w:tcBorders>
          </w:tcPr>
          <w:p>
            <w:pPr/>
          </w:p>
        </w:tc>
        <w:tc>
          <w:tcPr>
            <w:tcW w:w="1213"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31,819,254.42</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before="36"/>
        <w:ind w:left="572" w:right="0"/>
        <w:jc w:val="left"/>
      </w:pPr>
      <w:r>
        <w:rPr/>
        <w:pict>
          <v:group style="position:absolute;margin-left:56.279999pt;margin-top:75.864624pt;width:432.75pt;height:.75pt;mso-position-horizontal-relative:page;mso-position-vertical-relative:paragraph;z-index:-985576" coordorigin="1126,1517" coordsize="8655,15">
            <v:group style="position:absolute;left:1133;top:1524;width:1563;height:2" coordorigin="1133,1524" coordsize="1563,2">
              <v:shape style="position:absolute;left:1133;top:1524;width:1563;height:2" coordorigin="1133,1524" coordsize="1563,0" path="m1133,1524l2695,1524e" filled="false" stroked="true" strokeweight=".72pt" strokecolor="#000000">
                <v:path arrowok="t"/>
              </v:shape>
            </v:group>
            <v:group style="position:absolute;left:2695;top:1524;width:15;height:2" coordorigin="2695,1524" coordsize="15,2">
              <v:shape style="position:absolute;left:2695;top:1524;width:15;height:2" coordorigin="2695,1524" coordsize="15,0" path="m2695,1524l2710,1524e" filled="false" stroked="true" strokeweight=".72pt" strokecolor="#000000">
                <v:path arrowok="t"/>
              </v:shape>
            </v:group>
            <v:group style="position:absolute;left:2710;top:1524;width:1462;height:2" coordorigin="2710,1524" coordsize="1462,2">
              <v:shape style="position:absolute;left:2710;top:1524;width:1462;height:2" coordorigin="2710,1524" coordsize="1462,0" path="m2710,1524l4171,1524e" filled="false" stroked="true" strokeweight=".72pt" strokecolor="#000000">
                <v:path arrowok="t"/>
              </v:shape>
            </v:group>
            <v:group style="position:absolute;left:4171;top:1524;width:15;height:2" coordorigin="4171,1524" coordsize="15,2">
              <v:shape style="position:absolute;left:4171;top:1524;width:15;height:2" coordorigin="4171,1524" coordsize="15,0" path="m4171,1524l4186,1524e" filled="false" stroked="true" strokeweight=".72pt" strokecolor="#000000">
                <v:path arrowok="t"/>
              </v:shape>
            </v:group>
            <v:group style="position:absolute;left:4186;top:1524;width:1340;height:2" coordorigin="4186,1524" coordsize="1340,2">
              <v:shape style="position:absolute;left:4186;top:1524;width:1340;height:2" coordorigin="4186,1524" coordsize="1340,0" path="m4186,1524l5525,1524e" filled="false" stroked="true" strokeweight=".72pt" strokecolor="#000000">
                <v:path arrowok="t"/>
              </v:shape>
            </v:group>
            <v:group style="position:absolute;left:5525;top:1524;width:15;height:2" coordorigin="5525,1524" coordsize="15,2">
              <v:shape style="position:absolute;left:5525;top:1524;width:15;height:2" coordorigin="5525,1524" coordsize="15,0" path="m5525,1524l5539,1524e" filled="false" stroked="true" strokeweight=".72pt" strokecolor="#000000">
                <v:path arrowok="t"/>
              </v:shape>
            </v:group>
            <v:group style="position:absolute;left:5539;top:1524;width:1246;height:2" coordorigin="5539,1524" coordsize="1246,2">
              <v:shape style="position:absolute;left:5539;top:1524;width:1246;height:2" coordorigin="5539,1524" coordsize="1246,0" path="m5539,1524l6785,1524e" filled="false" stroked="true" strokeweight=".72pt" strokecolor="#000000">
                <v:path arrowok="t"/>
              </v:shape>
            </v:group>
            <v:group style="position:absolute;left:6785;top:1524;width:15;height:2" coordorigin="6785,1524" coordsize="15,2">
              <v:shape style="position:absolute;left:6785;top:1524;width:15;height:2" coordorigin="6785,1524" coordsize="15,0" path="m6785,1524l6799,1524e" filled="false" stroked="true" strokeweight=".72pt" strokecolor="#000000">
                <v:path arrowok="t"/>
              </v:shape>
            </v:group>
            <v:group style="position:absolute;left:6799;top:1524;width:1714;height:2" coordorigin="6799,1524" coordsize="1714,2">
              <v:shape style="position:absolute;left:6799;top:1524;width:1714;height:2" coordorigin="6799,1524" coordsize="1714,0" path="m6799,1524l8513,1524e" filled="false" stroked="true" strokeweight=".72pt" strokecolor="#000000">
                <v:path arrowok="t"/>
              </v:shape>
            </v:group>
            <v:group style="position:absolute;left:8513;top:1524;width:15;height:2" coordorigin="8513,1524" coordsize="15,2">
              <v:shape style="position:absolute;left:8513;top:1524;width:15;height:2" coordorigin="8513,1524" coordsize="15,0" path="m8513,1524l8527,1524e" filled="false" stroked="true" strokeweight=".72pt" strokecolor="#000000">
                <v:path arrowok="t"/>
              </v:shape>
            </v:group>
            <v:group style="position:absolute;left:8527;top:1524;width:1246;height:2" coordorigin="8527,1524" coordsize="1246,2">
              <v:shape style="position:absolute;left:8527;top:1524;width:1246;height:2" coordorigin="8527,1524" coordsize="1246,0" path="m8527,1524l9773,1524e" filled="false" stroked="true" strokeweight=".72pt" strokecolor="#000000">
                <v:path arrowok="t"/>
              </v:shape>
            </v:group>
            <w10:wrap type="none"/>
          </v:group>
        </w:pict>
      </w:r>
      <w:r>
        <w:rPr/>
        <w:pict>
          <v:shape style="position:absolute;margin-left:56.639999pt;margin-top:31.890249pt;width:429.8pt;height:44.35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52"/>
                    <w:gridCol w:w="1602"/>
                    <w:gridCol w:w="1406"/>
                    <w:gridCol w:w="1175"/>
                    <w:gridCol w:w="1901"/>
                    <w:gridCol w:w="1060"/>
                  </w:tblGrid>
                  <w:tr>
                    <w:trPr>
                      <w:trHeight w:val="887"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8"/>
                            <w:szCs w:val="18"/>
                          </w:rPr>
                        </w:pPr>
                        <w:r>
                          <w:rPr>
                            <w:rFonts w:ascii="宋体" w:hAnsi="宋体" w:cs="宋体" w:eastAsia="宋体" w:hint="default"/>
                            <w:b/>
                            <w:bCs/>
                            <w:sz w:val="18"/>
                            <w:szCs w:val="18"/>
                          </w:rPr>
                          <w:t>金融资产项目</w:t>
                        </w:r>
                        <w:r>
                          <w:rPr>
                            <w:rFonts w:ascii="宋体" w:hAnsi="宋体" w:cs="宋体" w:eastAsia="宋体" w:hint="default"/>
                            <w:sz w:val="18"/>
                            <w:szCs w:val="18"/>
                          </w:rPr>
                        </w:r>
                      </w:p>
                    </w:tc>
                    <w:tc>
                      <w:tcPr>
                        <w:tcW w:w="1602" w:type="dxa"/>
                        <w:tcBorders>
                          <w:top w:val="nil" w:sz="6" w:space="0" w:color="auto"/>
                          <w:left w:val="nil" w:sz="6" w:space="0" w:color="auto"/>
                          <w:bottom w:val="nil" w:sz="6" w:space="0" w:color="auto"/>
                          <w:right w:val="nil" w:sz="6" w:space="0" w:color="auto"/>
                        </w:tcBorders>
                      </w:tcPr>
                      <w:p>
                        <w:pPr>
                          <w:pStyle w:val="TableParagraph"/>
                          <w:spacing w:line="180" w:lineRule="exact"/>
                          <w:ind w:left="127" w:right="0"/>
                          <w:jc w:val="left"/>
                          <w:rPr>
                            <w:rFonts w:ascii="宋体" w:hAnsi="宋体" w:cs="宋体" w:eastAsia="宋体" w:hint="default"/>
                            <w:sz w:val="18"/>
                            <w:szCs w:val="18"/>
                          </w:rPr>
                        </w:pPr>
                        <w:r>
                          <w:rPr>
                            <w:rFonts w:ascii="宋体" w:hAnsi="宋体" w:cs="宋体" w:eastAsia="宋体" w:hint="default"/>
                            <w:b/>
                            <w:bCs/>
                            <w:sz w:val="18"/>
                            <w:szCs w:val="18"/>
                          </w:rPr>
                          <w:t>以公允价值计量且</w:t>
                        </w:r>
                        <w:r>
                          <w:rPr>
                            <w:rFonts w:ascii="宋体" w:hAnsi="宋体" w:cs="宋体" w:eastAsia="宋体" w:hint="default"/>
                            <w:sz w:val="18"/>
                            <w:szCs w:val="18"/>
                          </w:rPr>
                        </w:r>
                      </w:p>
                      <w:p>
                        <w:pPr>
                          <w:pStyle w:val="TableParagraph"/>
                          <w:spacing w:line="316" w:lineRule="auto" w:before="76"/>
                          <w:ind w:left="307" w:right="29" w:hanging="180"/>
                          <w:jc w:val="left"/>
                          <w:rPr>
                            <w:rFonts w:ascii="宋体" w:hAnsi="宋体" w:cs="宋体" w:eastAsia="宋体" w:hint="default"/>
                            <w:sz w:val="18"/>
                            <w:szCs w:val="18"/>
                          </w:rPr>
                        </w:pPr>
                        <w:r>
                          <w:rPr>
                            <w:rFonts w:ascii="宋体" w:hAnsi="宋体" w:cs="宋体" w:eastAsia="宋体" w:hint="default"/>
                            <w:b/>
                            <w:bCs/>
                            <w:w w:val="95"/>
                            <w:sz w:val="18"/>
                            <w:szCs w:val="18"/>
                          </w:rPr>
                          <w:t>其变动计入当期损</w:t>
                        </w:r>
                        <w:r>
                          <w:rPr>
                            <w:rFonts w:ascii="宋体" w:hAnsi="宋体" w:cs="宋体" w:eastAsia="宋体" w:hint="default"/>
                            <w:b/>
                            <w:bCs/>
                            <w:spacing w:val="-16"/>
                            <w:w w:val="95"/>
                            <w:sz w:val="18"/>
                            <w:szCs w:val="18"/>
                          </w:rPr>
                          <w:t> </w:t>
                        </w:r>
                        <w:r>
                          <w:rPr>
                            <w:rFonts w:ascii="宋体" w:hAnsi="宋体" w:cs="宋体" w:eastAsia="宋体" w:hint="default"/>
                            <w:b/>
                            <w:bCs/>
                            <w:spacing w:val="-16"/>
                            <w:w w:val="95"/>
                            <w:sz w:val="18"/>
                            <w:szCs w:val="18"/>
                          </w:rPr>
                        </w:r>
                        <w:r>
                          <w:rPr>
                            <w:rFonts w:ascii="宋体" w:hAnsi="宋体" w:cs="宋体" w:eastAsia="宋体" w:hint="default"/>
                            <w:b/>
                            <w:bCs/>
                            <w:sz w:val="18"/>
                            <w:szCs w:val="18"/>
                          </w:rPr>
                          <w:t>益的金融资产</w:t>
                        </w:r>
                        <w:r>
                          <w:rPr>
                            <w:rFonts w:ascii="宋体" w:hAnsi="宋体" w:cs="宋体" w:eastAsia="宋体" w:hint="default"/>
                            <w:sz w:val="18"/>
                            <w:szCs w:val="18"/>
                          </w:rPr>
                        </w:r>
                      </w:p>
                    </w:tc>
                    <w:tc>
                      <w:tcPr>
                        <w:tcW w:w="1406" w:type="dxa"/>
                        <w:tcBorders>
                          <w:top w:val="nil" w:sz="6" w:space="0" w:color="auto"/>
                          <w:left w:val="nil" w:sz="6" w:space="0" w:color="auto"/>
                          <w:bottom w:val="nil" w:sz="6" w:space="0" w:color="auto"/>
                          <w:right w:val="nil" w:sz="6" w:space="0" w:color="auto"/>
                        </w:tcBorders>
                      </w:tcPr>
                      <w:p>
                        <w:pPr>
                          <w:pStyle w:val="TableParagraph"/>
                          <w:spacing w:line="180" w:lineRule="exact"/>
                          <w:ind w:left="29" w:right="0"/>
                          <w:jc w:val="left"/>
                          <w:rPr>
                            <w:rFonts w:ascii="宋体" w:hAnsi="宋体" w:cs="宋体" w:eastAsia="宋体" w:hint="default"/>
                            <w:sz w:val="18"/>
                            <w:szCs w:val="18"/>
                          </w:rPr>
                        </w:pPr>
                        <w:r>
                          <w:rPr>
                            <w:rFonts w:ascii="宋体" w:hAnsi="宋体" w:cs="宋体" w:eastAsia="宋体" w:hint="default"/>
                            <w:b/>
                            <w:bCs/>
                            <w:sz w:val="18"/>
                            <w:szCs w:val="18"/>
                          </w:rPr>
                          <w:t>持有至到期投资</w:t>
                        </w:r>
                        <w:r>
                          <w:rPr>
                            <w:rFonts w:ascii="宋体" w:hAnsi="宋体" w:cs="宋体" w:eastAsia="宋体" w:hint="default"/>
                            <w:sz w:val="18"/>
                            <w:szCs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180" w:lineRule="exact"/>
                          <w:ind w:right="47"/>
                          <w:jc w:val="center"/>
                          <w:rPr>
                            <w:rFonts w:ascii="宋体" w:hAnsi="宋体" w:cs="宋体" w:eastAsia="宋体" w:hint="default"/>
                            <w:sz w:val="18"/>
                            <w:szCs w:val="18"/>
                          </w:rPr>
                        </w:pPr>
                        <w:r>
                          <w:rPr>
                            <w:rFonts w:ascii="宋体" w:hAnsi="宋体" w:cs="宋体" w:eastAsia="宋体" w:hint="default"/>
                            <w:b/>
                            <w:bCs/>
                            <w:sz w:val="18"/>
                            <w:szCs w:val="18"/>
                          </w:rPr>
                          <w:t>贷款和应收</w:t>
                        </w:r>
                        <w:r>
                          <w:rPr>
                            <w:rFonts w:ascii="宋体" w:hAnsi="宋体" w:cs="宋体" w:eastAsia="宋体" w:hint="default"/>
                            <w:sz w:val="18"/>
                            <w:szCs w:val="18"/>
                          </w:rPr>
                        </w:r>
                      </w:p>
                      <w:p>
                        <w:pPr>
                          <w:pStyle w:val="TableParagraph"/>
                          <w:spacing w:line="240" w:lineRule="auto" w:before="76"/>
                          <w:ind w:right="42"/>
                          <w:jc w:val="center"/>
                          <w:rPr>
                            <w:rFonts w:ascii="宋体" w:hAnsi="宋体" w:cs="宋体" w:eastAsia="宋体" w:hint="default"/>
                            <w:sz w:val="18"/>
                            <w:szCs w:val="18"/>
                          </w:rPr>
                        </w:pPr>
                        <w:r>
                          <w:rPr>
                            <w:rFonts w:ascii="宋体" w:hAnsi="宋体" w:cs="宋体" w:eastAsia="宋体" w:hint="default"/>
                            <w:b/>
                            <w:bCs/>
                            <w:sz w:val="18"/>
                            <w:szCs w:val="18"/>
                          </w:rPr>
                          <w:t>款项</w:t>
                        </w:r>
                        <w:r>
                          <w:rPr>
                            <w:rFonts w:ascii="宋体" w:hAnsi="宋体" w:cs="宋体" w:eastAsia="宋体" w:hint="default"/>
                            <w:sz w:val="18"/>
                            <w:szCs w:val="18"/>
                          </w:rPr>
                        </w:r>
                      </w:p>
                    </w:tc>
                    <w:tc>
                      <w:tcPr>
                        <w:tcW w:w="1901" w:type="dxa"/>
                        <w:tcBorders>
                          <w:top w:val="nil" w:sz="6" w:space="0" w:color="auto"/>
                          <w:left w:val="nil" w:sz="6" w:space="0" w:color="auto"/>
                          <w:bottom w:val="nil" w:sz="6" w:space="0" w:color="auto"/>
                          <w:right w:val="nil" w:sz="6" w:space="0" w:color="auto"/>
                        </w:tcBorders>
                      </w:tcPr>
                      <w:p>
                        <w:pPr>
                          <w:pStyle w:val="TableParagraph"/>
                          <w:spacing w:line="180" w:lineRule="exact"/>
                          <w:ind w:left="160" w:right="0"/>
                          <w:jc w:val="left"/>
                          <w:rPr>
                            <w:rFonts w:ascii="宋体" w:hAnsi="宋体" w:cs="宋体" w:eastAsia="宋体" w:hint="default"/>
                            <w:sz w:val="18"/>
                            <w:szCs w:val="18"/>
                          </w:rPr>
                        </w:pPr>
                        <w:r>
                          <w:rPr>
                            <w:rFonts w:ascii="宋体" w:hAnsi="宋体" w:cs="宋体" w:eastAsia="宋体" w:hint="default"/>
                            <w:b/>
                            <w:bCs/>
                            <w:sz w:val="18"/>
                            <w:szCs w:val="18"/>
                          </w:rPr>
                          <w:t>可供出售金融资产</w:t>
                        </w:r>
                        <w:r>
                          <w:rPr>
                            <w:rFonts w:ascii="宋体" w:hAnsi="宋体" w:cs="宋体" w:eastAsia="宋体" w:hint="default"/>
                            <w:sz w:val="18"/>
                            <w:szCs w:val="18"/>
                          </w:rPr>
                        </w:r>
                      </w:p>
                    </w:tc>
                    <w:tc>
                      <w:tcPr>
                        <w:tcW w:w="1060" w:type="dxa"/>
                        <w:tcBorders>
                          <w:top w:val="nil" w:sz="6" w:space="0" w:color="auto"/>
                          <w:left w:val="nil" w:sz="6" w:space="0" w:color="auto"/>
                          <w:bottom w:val="nil" w:sz="6" w:space="0" w:color="auto"/>
                          <w:right w:val="nil" w:sz="6" w:space="0" w:color="auto"/>
                        </w:tcBorders>
                      </w:tcPr>
                      <w:p>
                        <w:pPr>
                          <w:pStyle w:val="TableParagraph"/>
                          <w:spacing w:line="180" w:lineRule="exact"/>
                          <w:ind w:left="29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bl>
                <w:p>
                  <w:pPr/>
                </w:p>
              </w:txbxContent>
            </v:textbox>
            <w10:wrap type="none"/>
          </v:shape>
        </w:pic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tbl>
      <w:tblPr>
        <w:tblW w:w="0" w:type="auto"/>
        <w:jc w:val="left"/>
        <w:tblInd w:w="152" w:type="dxa"/>
        <w:tblLayout w:type="fixed"/>
        <w:tblCellMar>
          <w:top w:w="0" w:type="dxa"/>
          <w:left w:w="0" w:type="dxa"/>
          <w:bottom w:w="0" w:type="dxa"/>
          <w:right w:w="0" w:type="dxa"/>
        </w:tblCellMar>
        <w:tblLook w:val="01E0"/>
      </w:tblPr>
      <w:tblGrid>
        <w:gridCol w:w="2716"/>
        <w:gridCol w:w="3862"/>
        <w:gridCol w:w="2063"/>
      </w:tblGrid>
      <w:tr>
        <w:trPr>
          <w:trHeight w:val="363" w:hRule="exact"/>
        </w:trPr>
        <w:tc>
          <w:tcPr>
            <w:tcW w:w="2716"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862" w:type="dxa"/>
            <w:tcBorders>
              <w:top w:val="nil" w:sz="6" w:space="0" w:color="auto"/>
              <w:left w:val="nil" w:sz="6" w:space="0" w:color="auto"/>
              <w:bottom w:val="single" w:sz="6" w:space="0" w:color="000000"/>
              <w:right w:val="nil" w:sz="6" w:space="0" w:color="auto"/>
            </w:tcBorders>
          </w:tcPr>
          <w:p>
            <w:pPr>
              <w:pStyle w:val="TableParagraph"/>
              <w:spacing w:line="240" w:lineRule="auto" w:before="86"/>
              <w:ind w:right="927"/>
              <w:jc w:val="right"/>
              <w:rPr>
                <w:rFonts w:ascii="Times New Roman" w:hAnsi="Times New Roman" w:cs="Times New Roman" w:eastAsia="Times New Roman" w:hint="default"/>
                <w:sz w:val="18"/>
                <w:szCs w:val="18"/>
              </w:rPr>
            </w:pPr>
            <w:r>
              <w:rPr>
                <w:rFonts w:ascii="Times New Roman"/>
                <w:spacing w:val="-1"/>
                <w:sz w:val="18"/>
              </w:rPr>
              <w:t>229,472,552.41</w:t>
            </w:r>
            <w:r>
              <w:rPr>
                <w:rFonts w:ascii="Times New Roman"/>
                <w:sz w:val="18"/>
              </w:rPr>
            </w:r>
          </w:p>
        </w:tc>
        <w:tc>
          <w:tcPr>
            <w:tcW w:w="2063" w:type="dxa"/>
            <w:tcBorders>
              <w:top w:val="nil" w:sz="6" w:space="0" w:color="auto"/>
              <w:left w:val="nil" w:sz="6" w:space="0" w:color="auto"/>
              <w:bottom w:val="single" w:sz="6" w:space="0" w:color="000000"/>
              <w:right w:val="nil" w:sz="6" w:space="0" w:color="auto"/>
            </w:tcBorders>
          </w:tcPr>
          <w:p>
            <w:pPr>
              <w:pStyle w:val="TableParagraph"/>
              <w:spacing w:line="240" w:lineRule="auto" w:before="86"/>
              <w:ind w:right="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229,472,552.41</w:t>
            </w:r>
            <w:r>
              <w:rPr>
                <w:rFonts w:ascii="Times New Roman"/>
                <w:spacing w:val="-1"/>
                <w:sz w:val="18"/>
              </w:rPr>
            </w:r>
            <w:r>
              <w:rPr>
                <w:rFonts w:ascii="Times New Roman"/>
                <w:sz w:val="18"/>
              </w:rPr>
            </w:r>
          </w:p>
        </w:tc>
      </w:tr>
      <w:tr>
        <w:trPr>
          <w:trHeight w:val="338" w:hRule="exact"/>
        </w:trPr>
        <w:tc>
          <w:tcPr>
            <w:tcW w:w="271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862"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927"/>
              <w:jc w:val="right"/>
              <w:rPr>
                <w:rFonts w:ascii="Times New Roman" w:hAnsi="Times New Roman" w:cs="Times New Roman" w:eastAsia="Times New Roman" w:hint="default"/>
                <w:sz w:val="18"/>
                <w:szCs w:val="18"/>
              </w:rPr>
            </w:pPr>
            <w:r>
              <w:rPr>
                <w:rFonts w:ascii="Times New Roman"/>
                <w:spacing w:val="-1"/>
                <w:sz w:val="18"/>
              </w:rPr>
              <w:t>6,032,518.40</w:t>
            </w:r>
            <w:r>
              <w:rPr>
                <w:rFonts w:ascii="Times New Roman"/>
                <w:sz w:val="18"/>
              </w:rPr>
            </w:r>
          </w:p>
        </w:tc>
        <w:tc>
          <w:tcPr>
            <w:tcW w:w="2063"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6,032,518.40</w:t>
            </w:r>
            <w:r>
              <w:rPr>
                <w:rFonts w:ascii="Times New Roman"/>
                <w:spacing w:val="-1"/>
                <w:sz w:val="18"/>
              </w:rPr>
            </w:r>
            <w:r>
              <w:rPr>
                <w:rFonts w:ascii="Times New Roman"/>
                <w:sz w:val="18"/>
              </w:rPr>
            </w:r>
          </w:p>
        </w:tc>
      </w:tr>
      <w:tr>
        <w:trPr>
          <w:trHeight w:val="336" w:hRule="exact"/>
        </w:trPr>
        <w:tc>
          <w:tcPr>
            <w:tcW w:w="271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862"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927"/>
              <w:jc w:val="right"/>
              <w:rPr>
                <w:rFonts w:ascii="Times New Roman" w:hAnsi="Times New Roman" w:cs="Times New Roman" w:eastAsia="Times New Roman" w:hint="default"/>
                <w:sz w:val="18"/>
                <w:szCs w:val="18"/>
              </w:rPr>
            </w:pPr>
            <w:r>
              <w:rPr>
                <w:rFonts w:ascii="Times New Roman"/>
                <w:spacing w:val="-1"/>
                <w:sz w:val="18"/>
              </w:rPr>
              <w:t>198,011,739.45</w:t>
            </w:r>
            <w:r>
              <w:rPr>
                <w:rFonts w:ascii="Times New Roman"/>
                <w:sz w:val="18"/>
              </w:rPr>
            </w:r>
          </w:p>
        </w:tc>
        <w:tc>
          <w:tcPr>
            <w:tcW w:w="2063"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198,011,739.45</w:t>
            </w:r>
            <w:r>
              <w:rPr>
                <w:rFonts w:ascii="Times New Roman"/>
                <w:spacing w:val="-1"/>
                <w:sz w:val="18"/>
              </w:rPr>
            </w:r>
            <w:r>
              <w:rPr>
                <w:rFonts w:ascii="Times New Roman"/>
                <w:sz w:val="18"/>
              </w:rPr>
            </w:r>
          </w:p>
        </w:tc>
      </w:tr>
      <w:tr>
        <w:trPr>
          <w:trHeight w:val="338" w:hRule="exact"/>
        </w:trPr>
        <w:tc>
          <w:tcPr>
            <w:tcW w:w="271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862"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929"/>
              <w:jc w:val="right"/>
              <w:rPr>
                <w:rFonts w:ascii="Times New Roman" w:hAnsi="Times New Roman" w:cs="Times New Roman" w:eastAsia="Times New Roman" w:hint="default"/>
                <w:sz w:val="18"/>
                <w:szCs w:val="18"/>
              </w:rPr>
            </w:pPr>
            <w:r>
              <w:rPr>
                <w:rFonts w:ascii="Times New Roman"/>
                <w:spacing w:val="-1"/>
                <w:sz w:val="18"/>
              </w:rPr>
              <w:t>34,283,665.59</w:t>
            </w:r>
          </w:p>
        </w:tc>
        <w:tc>
          <w:tcPr>
            <w:tcW w:w="2063"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34,283,665.59</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36"/>
        <w:ind w:left="572" w:right="0"/>
        <w:jc w:val="left"/>
      </w:pPr>
      <w:r>
        <w:rPr>
          <w:rFonts w:ascii="Times New Roman" w:hAnsi="Times New Roman" w:cs="Times New Roman" w:eastAsia="Times New Roman" w:hint="default"/>
        </w:rPr>
        <w:t>2.</w:t>
      </w:r>
      <w:r>
        <w:rPr/>
        <w:t>资产负债表日的各类金融负债的账面价值</w:t>
      </w:r>
    </w:p>
    <w:p>
      <w:pPr>
        <w:spacing w:line="240" w:lineRule="auto" w:before="12"/>
        <w:rPr>
          <w:rFonts w:ascii="宋体" w:hAnsi="宋体" w:cs="宋体" w:eastAsia="宋体" w:hint="default"/>
          <w:sz w:val="19"/>
          <w:szCs w:val="19"/>
        </w:rPr>
      </w:pPr>
    </w:p>
    <w:tbl>
      <w:tblPr>
        <w:tblW w:w="0" w:type="auto"/>
        <w:jc w:val="left"/>
        <w:tblInd w:w="152" w:type="dxa"/>
        <w:tblLayout w:type="fixed"/>
        <w:tblCellMar>
          <w:top w:w="0" w:type="dxa"/>
          <w:left w:w="0" w:type="dxa"/>
          <w:bottom w:w="0" w:type="dxa"/>
          <w:right w:w="0" w:type="dxa"/>
        </w:tblCellMar>
        <w:tblLook w:val="01E0"/>
      </w:tblPr>
      <w:tblGrid>
        <w:gridCol w:w="2584"/>
        <w:gridCol w:w="2546"/>
        <w:gridCol w:w="2023"/>
        <w:gridCol w:w="1427"/>
      </w:tblGrid>
      <w:tr>
        <w:trPr>
          <w:trHeight w:val="882" w:hRule="exact"/>
        </w:trPr>
        <w:tc>
          <w:tcPr>
            <w:tcW w:w="258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2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813" w:right="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sz w:val="18"/>
                <w:szCs w:val="18"/>
              </w:rPr>
            </w:r>
          </w:p>
        </w:tc>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b/>
                <w:bCs/>
                <w:sz w:val="18"/>
                <w:szCs w:val="18"/>
              </w:rPr>
              <w:t>以公允价值计量且其变动计</w:t>
            </w:r>
            <w:r>
              <w:rPr>
                <w:rFonts w:ascii="宋体" w:hAnsi="宋体" w:cs="宋体" w:eastAsia="宋体" w:hint="default"/>
                <w:sz w:val="18"/>
                <w:szCs w:val="18"/>
              </w:rPr>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b/>
                <w:bCs/>
                <w:sz w:val="18"/>
                <w:szCs w:val="18"/>
              </w:rPr>
              <w:t>其他金融负债</w:t>
            </w:r>
            <w:r>
              <w:rPr>
                <w:rFonts w:ascii="宋体" w:hAnsi="宋体" w:cs="宋体" w:eastAsia="宋体" w:hint="default"/>
                <w:sz w:val="18"/>
                <w:szCs w:val="18"/>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29" w:hRule="exact"/>
        </w:trPr>
        <w:tc>
          <w:tcPr>
            <w:tcW w:w="2584" w:type="dxa"/>
            <w:tcBorders>
              <w:top w:val="nil" w:sz="6" w:space="0" w:color="auto"/>
              <w:left w:val="nil" w:sz="6" w:space="0" w:color="auto"/>
              <w:bottom w:val="single" w:sz="6" w:space="0" w:color="000000"/>
              <w:right w:val="nil" w:sz="6" w:space="0" w:color="auto"/>
            </w:tcBorders>
          </w:tcPr>
          <w:p>
            <w:pPr/>
          </w:p>
        </w:tc>
        <w:tc>
          <w:tcPr>
            <w:tcW w:w="2546"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43"/>
              <w:jc w:val="center"/>
              <w:rPr>
                <w:rFonts w:ascii="宋体" w:hAnsi="宋体" w:cs="宋体" w:eastAsia="宋体" w:hint="default"/>
                <w:sz w:val="18"/>
                <w:szCs w:val="18"/>
              </w:rPr>
            </w:pPr>
            <w:r>
              <w:rPr>
                <w:rFonts w:ascii="宋体" w:hAnsi="宋体" w:cs="宋体" w:eastAsia="宋体" w:hint="default"/>
                <w:b/>
                <w:bCs/>
                <w:sz w:val="18"/>
                <w:szCs w:val="18"/>
              </w:rPr>
              <w:t>入当期损益的金融负债</w:t>
            </w:r>
            <w:r>
              <w:rPr>
                <w:rFonts w:ascii="宋体" w:hAnsi="宋体" w:cs="宋体" w:eastAsia="宋体" w:hint="default"/>
                <w:sz w:val="18"/>
                <w:szCs w:val="18"/>
              </w:rPr>
            </w:r>
          </w:p>
        </w:tc>
        <w:tc>
          <w:tcPr>
            <w:tcW w:w="2023" w:type="dxa"/>
            <w:tcBorders>
              <w:top w:val="nil" w:sz="6" w:space="0" w:color="auto"/>
              <w:left w:val="nil" w:sz="6" w:space="0" w:color="auto"/>
              <w:bottom w:val="single" w:sz="6" w:space="0" w:color="000000"/>
              <w:right w:val="nil" w:sz="6" w:space="0" w:color="auto"/>
            </w:tcBorders>
          </w:tcPr>
          <w:p>
            <w:pPr/>
          </w:p>
        </w:tc>
        <w:tc>
          <w:tcPr>
            <w:tcW w:w="1427" w:type="dxa"/>
            <w:tcBorders>
              <w:top w:val="nil" w:sz="6" w:space="0" w:color="auto"/>
              <w:left w:val="nil" w:sz="6" w:space="0" w:color="auto"/>
              <w:bottom w:val="single" w:sz="6" w:space="0" w:color="000000"/>
              <w:right w:val="nil" w:sz="6" w:space="0" w:color="auto"/>
            </w:tcBorders>
          </w:tcPr>
          <w:p>
            <w:pPr/>
          </w:p>
        </w:tc>
      </w:tr>
      <w:tr>
        <w:trPr>
          <w:trHeight w:val="336" w:hRule="exact"/>
        </w:trPr>
        <w:tc>
          <w:tcPr>
            <w:tcW w:w="2584"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46" w:type="dxa"/>
            <w:tcBorders>
              <w:top w:val="single" w:sz="6" w:space="0" w:color="000000"/>
              <w:left w:val="nil" w:sz="6" w:space="0" w:color="auto"/>
              <w:bottom w:val="single" w:sz="6" w:space="0" w:color="000000"/>
              <w:right w:val="nil" w:sz="6" w:space="0" w:color="auto"/>
            </w:tcBorders>
          </w:tcPr>
          <w:p>
            <w:pPr/>
          </w:p>
        </w:tc>
        <w:tc>
          <w:tcPr>
            <w:tcW w:w="2023"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354"/>
              <w:jc w:val="right"/>
              <w:rPr>
                <w:rFonts w:ascii="Times New Roman" w:hAnsi="Times New Roman" w:cs="Times New Roman" w:eastAsia="Times New Roman" w:hint="default"/>
                <w:sz w:val="18"/>
                <w:szCs w:val="18"/>
              </w:rPr>
            </w:pPr>
            <w:r>
              <w:rPr>
                <w:rFonts w:ascii="Times New Roman"/>
                <w:spacing w:val="-1"/>
                <w:sz w:val="18"/>
              </w:rPr>
              <w:t>30,000,000.00</w:t>
            </w:r>
          </w:p>
        </w:tc>
        <w:tc>
          <w:tcPr>
            <w:tcW w:w="1427"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left="38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30,000,000.00</w:t>
            </w:r>
            <w:r>
              <w:rPr>
                <w:rFonts w:ascii="Times New Roman"/>
                <w:sz w:val="18"/>
              </w:rPr>
            </w:r>
          </w:p>
        </w:tc>
      </w:tr>
      <w:tr>
        <w:trPr>
          <w:trHeight w:val="338" w:hRule="exact"/>
        </w:trPr>
        <w:tc>
          <w:tcPr>
            <w:tcW w:w="2584" w:type="dxa"/>
            <w:tcBorders>
              <w:top w:val="single" w:sz="6" w:space="0" w:color="000000"/>
              <w:left w:val="nil" w:sz="6" w:space="0" w:color="auto"/>
              <w:bottom w:val="single" w:sz="6" w:space="0" w:color="000000"/>
              <w:right w:val="nil" w:sz="6" w:space="0" w:color="auto"/>
            </w:tcBorders>
          </w:tcPr>
          <w:p>
            <w:pPr>
              <w:pStyle w:val="TableParagraph"/>
              <w:spacing w:line="240" w:lineRule="auto" w:before="13"/>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46" w:type="dxa"/>
            <w:tcBorders>
              <w:top w:val="single" w:sz="6" w:space="0" w:color="000000"/>
              <w:left w:val="nil" w:sz="6" w:space="0" w:color="auto"/>
              <w:bottom w:val="single" w:sz="6" w:space="0" w:color="000000"/>
              <w:right w:val="nil" w:sz="6" w:space="0" w:color="auto"/>
            </w:tcBorders>
          </w:tcPr>
          <w:p>
            <w:pPr/>
          </w:p>
        </w:tc>
        <w:tc>
          <w:tcPr>
            <w:tcW w:w="2023" w:type="dxa"/>
            <w:tcBorders>
              <w:top w:val="single" w:sz="6" w:space="0" w:color="000000"/>
              <w:left w:val="nil" w:sz="6" w:space="0" w:color="auto"/>
              <w:bottom w:val="single" w:sz="6" w:space="0" w:color="000000"/>
              <w:right w:val="nil" w:sz="6" w:space="0" w:color="auto"/>
            </w:tcBorders>
          </w:tcPr>
          <w:p>
            <w:pPr>
              <w:pStyle w:val="TableParagraph"/>
              <w:spacing w:line="240" w:lineRule="auto" w:before="55"/>
              <w:ind w:right="354"/>
              <w:jc w:val="right"/>
              <w:rPr>
                <w:rFonts w:ascii="Times New Roman" w:hAnsi="Times New Roman" w:cs="Times New Roman" w:eastAsia="Times New Roman" w:hint="default"/>
                <w:sz w:val="18"/>
                <w:szCs w:val="18"/>
              </w:rPr>
            </w:pPr>
            <w:r>
              <w:rPr>
                <w:rFonts w:ascii="Times New Roman"/>
                <w:spacing w:val="-1"/>
                <w:sz w:val="18"/>
              </w:rPr>
              <w:t>99,989,277.10</w:t>
            </w:r>
          </w:p>
        </w:tc>
        <w:tc>
          <w:tcPr>
            <w:tcW w:w="1427" w:type="dxa"/>
            <w:tcBorders>
              <w:top w:val="single" w:sz="6" w:space="0" w:color="000000"/>
              <w:left w:val="nil" w:sz="6" w:space="0" w:color="auto"/>
              <w:bottom w:val="single" w:sz="6" w:space="0" w:color="000000"/>
              <w:right w:val="nil" w:sz="6" w:space="0" w:color="auto"/>
            </w:tcBorders>
          </w:tcPr>
          <w:p>
            <w:pPr>
              <w:pStyle w:val="TableParagraph"/>
              <w:spacing w:line="240" w:lineRule="auto" w:before="55"/>
              <w:ind w:left="38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99,989,277.10</w:t>
            </w:r>
            <w:r>
              <w:rPr>
                <w:rFonts w:ascii="Times New Roman"/>
                <w:sz w:val="18"/>
              </w:rPr>
            </w:r>
          </w:p>
        </w:tc>
      </w:tr>
      <w:tr>
        <w:trPr>
          <w:trHeight w:val="338" w:hRule="exact"/>
        </w:trPr>
        <w:tc>
          <w:tcPr>
            <w:tcW w:w="2584"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46" w:type="dxa"/>
            <w:tcBorders>
              <w:top w:val="single" w:sz="6" w:space="0" w:color="000000"/>
              <w:left w:val="nil" w:sz="6" w:space="0" w:color="auto"/>
              <w:bottom w:val="single" w:sz="6" w:space="0" w:color="000000"/>
              <w:right w:val="nil" w:sz="6" w:space="0" w:color="auto"/>
            </w:tcBorders>
          </w:tcPr>
          <w:p>
            <w:pPr/>
          </w:p>
        </w:tc>
        <w:tc>
          <w:tcPr>
            <w:tcW w:w="2023"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354"/>
              <w:jc w:val="right"/>
              <w:rPr>
                <w:rFonts w:ascii="Times New Roman" w:hAnsi="Times New Roman" w:cs="Times New Roman" w:eastAsia="Times New Roman" w:hint="default"/>
                <w:sz w:val="18"/>
                <w:szCs w:val="18"/>
              </w:rPr>
            </w:pPr>
            <w:r>
              <w:rPr>
                <w:rFonts w:ascii="Times New Roman"/>
                <w:spacing w:val="-1"/>
                <w:sz w:val="18"/>
              </w:rPr>
              <w:t>23,893,422.42</w:t>
            </w:r>
          </w:p>
        </w:tc>
        <w:tc>
          <w:tcPr>
            <w:tcW w:w="1427"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left="38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23,893,422.42</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36"/>
        <w:ind w:left="572"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8"/>
        <w:rPr>
          <w:rFonts w:ascii="宋体" w:hAnsi="宋体" w:cs="宋体" w:eastAsia="宋体" w:hint="default"/>
          <w:sz w:val="23"/>
          <w:szCs w:val="23"/>
        </w:rPr>
      </w:pPr>
    </w:p>
    <w:tbl>
      <w:tblPr>
        <w:tblW w:w="0" w:type="auto"/>
        <w:jc w:val="left"/>
        <w:tblInd w:w="138" w:type="dxa"/>
        <w:tblLayout w:type="fixed"/>
        <w:tblCellMar>
          <w:top w:w="0" w:type="dxa"/>
          <w:left w:w="0" w:type="dxa"/>
          <w:bottom w:w="0" w:type="dxa"/>
          <w:right w:w="0" w:type="dxa"/>
        </w:tblCellMar>
        <w:tblLook w:val="01E0"/>
      </w:tblPr>
      <w:tblGrid>
        <w:gridCol w:w="2988"/>
        <w:gridCol w:w="2623"/>
        <w:gridCol w:w="1720"/>
        <w:gridCol w:w="1323"/>
      </w:tblGrid>
      <w:tr>
        <w:trPr>
          <w:trHeight w:val="887" w:hRule="exact"/>
        </w:trPr>
        <w:tc>
          <w:tcPr>
            <w:tcW w:w="2988" w:type="dxa"/>
            <w:tcBorders>
              <w:top w:val="nil" w:sz="6" w:space="0" w:color="auto"/>
              <w:left w:val="nil" w:sz="6" w:space="0" w:color="auto"/>
              <w:bottom w:val="single" w:sz="6" w:space="0" w:color="000000"/>
              <w:right w:val="nil" w:sz="6" w:space="0" w:color="auto"/>
            </w:tcBorders>
          </w:tcPr>
          <w:p>
            <w:pPr>
              <w:pStyle w:val="TableParagraph"/>
              <w:spacing w:line="180" w:lineRule="exact"/>
              <w:ind w:left="1240" w:right="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sz w:val="18"/>
                <w:szCs w:val="18"/>
              </w:rPr>
            </w:r>
          </w:p>
        </w:tc>
        <w:tc>
          <w:tcPr>
            <w:tcW w:w="2623" w:type="dxa"/>
            <w:tcBorders>
              <w:top w:val="nil" w:sz="6" w:space="0" w:color="auto"/>
              <w:left w:val="nil" w:sz="6" w:space="0" w:color="auto"/>
              <w:bottom w:val="single" w:sz="6" w:space="0" w:color="000000"/>
              <w:right w:val="nil" w:sz="6" w:space="0" w:color="auto"/>
            </w:tcBorders>
          </w:tcPr>
          <w:p>
            <w:pPr>
              <w:pStyle w:val="TableParagraph"/>
              <w:spacing w:line="180" w:lineRule="exact"/>
              <w:ind w:left="662" w:right="0"/>
              <w:jc w:val="left"/>
              <w:rPr>
                <w:rFonts w:ascii="宋体" w:hAnsi="宋体" w:cs="宋体" w:eastAsia="宋体" w:hint="default"/>
                <w:sz w:val="18"/>
                <w:szCs w:val="18"/>
              </w:rPr>
            </w:pPr>
            <w:r>
              <w:rPr>
                <w:rFonts w:ascii="宋体" w:hAnsi="宋体" w:cs="宋体" w:eastAsia="宋体" w:hint="default"/>
                <w:b/>
                <w:bCs/>
                <w:sz w:val="18"/>
                <w:szCs w:val="18"/>
              </w:rPr>
              <w:t>以公允价值计量且其变</w:t>
            </w:r>
            <w:r>
              <w:rPr>
                <w:rFonts w:ascii="宋体" w:hAnsi="宋体" w:cs="宋体" w:eastAsia="宋体" w:hint="default"/>
                <w:sz w:val="18"/>
                <w:szCs w:val="18"/>
              </w:rPr>
            </w:r>
          </w:p>
          <w:p>
            <w:pPr>
              <w:pStyle w:val="TableParagraph"/>
              <w:spacing w:line="316" w:lineRule="auto" w:before="76"/>
              <w:ind w:left="1384" w:right="151" w:hanging="723"/>
              <w:jc w:val="left"/>
              <w:rPr>
                <w:rFonts w:ascii="宋体" w:hAnsi="宋体" w:cs="宋体" w:eastAsia="宋体" w:hint="default"/>
                <w:sz w:val="18"/>
                <w:szCs w:val="18"/>
              </w:rPr>
            </w:pPr>
            <w:r>
              <w:rPr>
                <w:rFonts w:ascii="宋体" w:hAnsi="宋体" w:cs="宋体" w:eastAsia="宋体" w:hint="default"/>
                <w:b/>
                <w:bCs/>
                <w:sz w:val="18"/>
                <w:szCs w:val="18"/>
              </w:rPr>
              <w:t>动计入当期损益的金融</w:t>
            </w:r>
            <w:r>
              <w:rPr>
                <w:rFonts w:ascii="宋体" w:hAnsi="宋体" w:cs="宋体" w:eastAsia="宋体" w:hint="default"/>
                <w:b/>
                <w:bCs/>
                <w:w w:val="99"/>
                <w:sz w:val="18"/>
                <w:szCs w:val="18"/>
              </w:rPr>
              <w:t> </w:t>
            </w:r>
            <w:r>
              <w:rPr>
                <w:rFonts w:ascii="宋体" w:hAnsi="宋体" w:cs="宋体" w:eastAsia="宋体" w:hint="default"/>
                <w:b/>
                <w:bCs/>
                <w:sz w:val="18"/>
                <w:szCs w:val="18"/>
              </w:rPr>
              <w:t>负债</w:t>
            </w:r>
            <w:r>
              <w:rPr>
                <w:rFonts w:ascii="宋体" w:hAnsi="宋体" w:cs="宋体" w:eastAsia="宋体" w:hint="default"/>
                <w:sz w:val="18"/>
                <w:szCs w:val="18"/>
              </w:rPr>
            </w:r>
          </w:p>
        </w:tc>
        <w:tc>
          <w:tcPr>
            <w:tcW w:w="1720" w:type="dxa"/>
            <w:tcBorders>
              <w:top w:val="nil" w:sz="6" w:space="0" w:color="auto"/>
              <w:left w:val="nil" w:sz="6" w:space="0" w:color="auto"/>
              <w:bottom w:val="single" w:sz="6" w:space="0" w:color="000000"/>
              <w:right w:val="nil" w:sz="6" w:space="0" w:color="auto"/>
            </w:tcBorders>
          </w:tcPr>
          <w:p>
            <w:pPr>
              <w:pStyle w:val="TableParagraph"/>
              <w:spacing w:line="180" w:lineRule="exact"/>
              <w:ind w:left="153" w:right="0"/>
              <w:jc w:val="left"/>
              <w:rPr>
                <w:rFonts w:ascii="宋体" w:hAnsi="宋体" w:cs="宋体" w:eastAsia="宋体" w:hint="default"/>
                <w:sz w:val="18"/>
                <w:szCs w:val="18"/>
              </w:rPr>
            </w:pPr>
            <w:r>
              <w:rPr>
                <w:rFonts w:ascii="宋体" w:hAnsi="宋体" w:cs="宋体" w:eastAsia="宋体" w:hint="default"/>
                <w:b/>
                <w:bCs/>
                <w:sz w:val="18"/>
                <w:szCs w:val="18"/>
              </w:rPr>
              <w:t>其他金融负债</w:t>
            </w:r>
            <w:r>
              <w:rPr>
                <w:rFonts w:ascii="宋体" w:hAnsi="宋体" w:cs="宋体" w:eastAsia="宋体" w:hint="default"/>
                <w:sz w:val="18"/>
                <w:szCs w:val="18"/>
              </w:rPr>
            </w:r>
          </w:p>
        </w:tc>
        <w:tc>
          <w:tcPr>
            <w:tcW w:w="1323" w:type="dxa"/>
            <w:tcBorders>
              <w:top w:val="nil" w:sz="6" w:space="0" w:color="auto"/>
              <w:left w:val="nil" w:sz="6" w:space="0" w:color="auto"/>
              <w:bottom w:val="single" w:sz="6" w:space="0" w:color="000000"/>
              <w:right w:val="nil" w:sz="6" w:space="0" w:color="auto"/>
            </w:tcBorders>
          </w:tcPr>
          <w:p>
            <w:pPr>
              <w:pStyle w:val="TableParagraph"/>
              <w:spacing w:line="180" w:lineRule="exact"/>
              <w:ind w:left="34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38" w:hRule="exact"/>
        </w:trPr>
        <w:tc>
          <w:tcPr>
            <w:tcW w:w="2988"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623" w:type="dxa"/>
            <w:tcBorders>
              <w:top w:val="single" w:sz="6" w:space="0" w:color="000000"/>
              <w:left w:val="nil" w:sz="6" w:space="0" w:color="auto"/>
              <w:bottom w:val="single" w:sz="6" w:space="0" w:color="000000"/>
              <w:right w:val="nil" w:sz="6" w:space="0" w:color="auto"/>
            </w:tcBorders>
          </w:tcPr>
          <w:p>
            <w:pPr/>
          </w:p>
        </w:tc>
        <w:tc>
          <w:tcPr>
            <w:tcW w:w="1720"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left="405" w:right="0"/>
              <w:jc w:val="left"/>
              <w:rPr>
                <w:rFonts w:ascii="Times New Roman" w:hAnsi="Times New Roman" w:cs="Times New Roman" w:eastAsia="Times New Roman" w:hint="default"/>
                <w:sz w:val="18"/>
                <w:szCs w:val="18"/>
              </w:rPr>
            </w:pPr>
            <w:r>
              <w:rPr>
                <w:rFonts w:ascii="Times New Roman"/>
                <w:sz w:val="18"/>
              </w:rPr>
              <w:t>65,061,143.79</w:t>
            </w:r>
          </w:p>
        </w:tc>
        <w:tc>
          <w:tcPr>
            <w:tcW w:w="1323"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left="27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65,061,143.79</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880" w:footer="977" w:top="1100" w:bottom="1160" w:left="980" w:right="0"/>
        </w:sectPr>
      </w:pPr>
    </w:p>
    <w:p>
      <w:pPr>
        <w:spacing w:line="240" w:lineRule="auto" w:before="2"/>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486"/>
        <w:gridCol w:w="3860"/>
        <w:gridCol w:w="1323"/>
      </w:tblGrid>
      <w:tr>
        <w:trPr>
          <w:trHeight w:val="670" w:hRule="exact"/>
        </w:trPr>
        <w:tc>
          <w:tcPr>
            <w:tcW w:w="3486" w:type="dxa"/>
            <w:tcBorders>
              <w:top w:val="nil" w:sz="6" w:space="0" w:color="auto"/>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860"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545" w:right="0"/>
              <w:jc w:val="left"/>
              <w:rPr>
                <w:rFonts w:ascii="Times New Roman" w:hAnsi="Times New Roman" w:cs="Times New Roman" w:eastAsia="Times New Roman" w:hint="default"/>
                <w:sz w:val="18"/>
                <w:szCs w:val="18"/>
              </w:rPr>
            </w:pPr>
            <w:r>
              <w:rPr>
                <w:rFonts w:ascii="Times New Roman"/>
                <w:sz w:val="18"/>
              </w:rPr>
              <w:t>25,373,622.87</w:t>
            </w:r>
          </w:p>
        </w:tc>
        <w:tc>
          <w:tcPr>
            <w:tcW w:w="1323"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7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25,373,622.87</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36"/>
        <w:ind w:left="572" w:right="0"/>
        <w:jc w:val="left"/>
      </w:pPr>
      <w:r>
        <w:rPr/>
        <w:pict>
          <v:group style="position:absolute;margin-left:55.200001pt;margin-top:-56.85535pt;width:484.8pt;height:.1pt;mso-position-horizontal-relative:page;mso-position-vertical-relative:paragraph;z-index:-985528" coordorigin="1104,-1137" coordsize="9696,2">
            <v:shape style="position:absolute;left:1104;top:-1137;width:9696;height:2" coordorigin="1104,-1137" coordsize="9696,0" path="m1104,-1137l10800,-1137e" filled="false" stroked="true" strokeweight=".72pt" strokecolor="#000000">
              <v:path arrowok="t"/>
            </v:shape>
            <w10:wrap type="none"/>
          </v:group>
        </w:pict>
      </w:r>
      <w:r>
        <w:rPr/>
        <w:t>（二）信用风险</w:t>
      </w:r>
    </w:p>
    <w:p>
      <w:pPr>
        <w:spacing w:line="240" w:lineRule="auto" w:before="12"/>
        <w:rPr>
          <w:rFonts w:ascii="宋体" w:hAnsi="宋体" w:cs="宋体" w:eastAsia="宋体" w:hint="default"/>
          <w:sz w:val="23"/>
          <w:szCs w:val="23"/>
        </w:rPr>
      </w:pPr>
    </w:p>
    <w:p>
      <w:pPr>
        <w:pStyle w:val="BodyText"/>
        <w:spacing w:line="386" w:lineRule="auto"/>
        <w:ind w:right="1128" w:firstLine="419"/>
        <w:jc w:val="both"/>
      </w:pP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日，可能引起本集团财务损失的最大信用风险敞口主要来自于合同另一方未能履行义</w:t>
      </w:r>
      <w:r>
        <w:rPr>
          <w:w w:val="100"/>
        </w:rPr>
        <w:t> </w:t>
      </w:r>
      <w:r>
        <w:rPr/>
        <w:t>务而导致本集团金融资产产生的损失。</w:t>
      </w:r>
    </w:p>
    <w:p>
      <w:pPr>
        <w:spacing w:line="240" w:lineRule="auto" w:before="2"/>
        <w:rPr>
          <w:rFonts w:ascii="宋体" w:hAnsi="宋体" w:cs="宋体" w:eastAsia="宋体" w:hint="default"/>
          <w:sz w:val="14"/>
          <w:szCs w:val="14"/>
        </w:rPr>
      </w:pPr>
    </w:p>
    <w:p>
      <w:pPr>
        <w:pStyle w:val="BodyText"/>
        <w:spacing w:line="408" w:lineRule="auto"/>
        <w:ind w:right="1128" w:firstLine="420"/>
        <w:jc w:val="both"/>
      </w:pPr>
      <w:r>
        <w:rPr>
          <w:spacing w:val="-2"/>
        </w:rPr>
        <w:t>为降低信用风险，本集团成立专门部门，对客户的选择、项目承接、不同客户项目款支付进度进行评</w:t>
      </w:r>
      <w:r>
        <w:rPr>
          <w:w w:val="100"/>
        </w:rPr>
        <w:t> </w:t>
      </w:r>
      <w:r>
        <w:rPr>
          <w:spacing w:val="-2"/>
        </w:rPr>
        <w:t>审，已保证项目款的收回，并执行其它监控程序以确保采取必要的措施回收过期债权。此外，本集团于每</w:t>
      </w:r>
      <w:r>
        <w:rPr>
          <w:spacing w:val="-49"/>
        </w:rPr>
        <w:t> </w:t>
      </w:r>
      <w:r>
        <w:rPr>
          <w:spacing w:val="-49"/>
        </w:rPr>
      </w:r>
      <w:r>
        <w:rPr>
          <w:spacing w:val="-2"/>
        </w:rPr>
        <w:t>个资产负债表日审核应收款的回收情况，以确保就无法回收的款项计提充分的坏账准备。因此，本集团管</w:t>
      </w:r>
      <w:r>
        <w:rPr>
          <w:spacing w:val="-44"/>
        </w:rPr>
        <w:t> </w:t>
      </w:r>
      <w:r>
        <w:rPr>
          <w:spacing w:val="-44"/>
        </w:rPr>
      </w:r>
      <w:r>
        <w:rPr/>
        <w:t>理层认为本集团所承担的信用风险已经大为降低。</w:t>
      </w:r>
    </w:p>
    <w:p>
      <w:pPr>
        <w:pStyle w:val="BodyText"/>
        <w:spacing w:line="240" w:lineRule="auto" w:before="166"/>
        <w:ind w:left="572" w:right="0"/>
        <w:jc w:val="left"/>
      </w:pPr>
      <w:r>
        <w:rPr/>
        <w:t>本集团的流动资金存放在信用评级较高的银行，故流动资金的信用风险较低。</w:t>
      </w:r>
    </w:p>
    <w:p>
      <w:pPr>
        <w:spacing w:line="240" w:lineRule="auto" w:before="12"/>
        <w:rPr>
          <w:rFonts w:ascii="宋体" w:hAnsi="宋体" w:cs="宋体" w:eastAsia="宋体" w:hint="default"/>
          <w:sz w:val="23"/>
          <w:szCs w:val="23"/>
        </w:rPr>
      </w:pPr>
    </w:p>
    <w:p>
      <w:pPr>
        <w:pStyle w:val="BodyText"/>
        <w:spacing w:line="386" w:lineRule="auto"/>
        <w:ind w:right="1128" w:firstLine="420"/>
        <w:jc w:val="both"/>
      </w:pPr>
      <w:r>
        <w:rPr>
          <w:spacing w:val="-7"/>
          <w:w w:val="100"/>
        </w:rPr>
        <w:t>除应收账款金额前五名外，本集团无其他重大信用集中风险。应收账款前五名金额合计：</w:t>
      </w:r>
      <w:r>
        <w:rPr>
          <w:rFonts w:ascii="Times New Roman" w:hAnsi="Times New Roman" w:cs="Times New Roman" w:eastAsia="Times New Roman" w:hint="default"/>
          <w:spacing w:val="-7"/>
          <w:w w:val="100"/>
        </w:rPr>
        <w:t>108,641,636.69</w:t>
      </w:r>
      <w:r>
        <w:rPr>
          <w:rFonts w:ascii="Times New Roman" w:hAnsi="Times New Roman" w:cs="Times New Roman" w:eastAsia="Times New Roman" w:hint="default"/>
          <w:w w:val="100"/>
        </w:rPr>
        <w:t> </w:t>
      </w:r>
      <w:r>
        <w:rPr/>
        <w:t>元。</w:t>
      </w:r>
    </w:p>
    <w:p>
      <w:pPr>
        <w:spacing w:line="240" w:lineRule="auto" w:before="2"/>
        <w:rPr>
          <w:rFonts w:ascii="宋体" w:hAnsi="宋体" w:cs="宋体" w:eastAsia="宋体" w:hint="default"/>
          <w:sz w:val="14"/>
          <w:szCs w:val="14"/>
        </w:rPr>
      </w:pPr>
    </w:p>
    <w:p>
      <w:pPr>
        <w:pStyle w:val="BodyText"/>
        <w:spacing w:line="240" w:lineRule="auto"/>
        <w:ind w:left="572" w:right="0"/>
        <w:jc w:val="left"/>
      </w:pPr>
      <w:r>
        <w:rPr/>
        <w:t>（三）流动性风险</w:t>
      </w:r>
    </w:p>
    <w:p>
      <w:pPr>
        <w:spacing w:line="240" w:lineRule="auto" w:before="12"/>
        <w:rPr>
          <w:rFonts w:ascii="宋体" w:hAnsi="宋体" w:cs="宋体" w:eastAsia="宋体" w:hint="default"/>
          <w:sz w:val="23"/>
          <w:szCs w:val="23"/>
        </w:rPr>
      </w:pPr>
    </w:p>
    <w:p>
      <w:pPr>
        <w:pStyle w:val="BodyText"/>
        <w:spacing w:line="408" w:lineRule="auto"/>
        <w:ind w:right="1106" w:firstLine="420"/>
        <w:jc w:val="both"/>
      </w:pPr>
      <w:r>
        <w:rPr>
          <w:spacing w:val="-2"/>
        </w:rPr>
        <w:t>流动风险为本集团在到期日无法履行其财务义务的风险。本集团管理流动性风险的方法是确保有足够</w:t>
      </w:r>
      <w:r>
        <w:rPr>
          <w:w w:val="100"/>
        </w:rPr>
        <w:t> </w:t>
      </w:r>
      <w:r>
        <w:rPr>
          <w:spacing w:val="-2"/>
        </w:rPr>
        <w:t>的资金流动性来履行到期债务，而不至于造成不可接受的损失或对企业信誉造成损害。本集团定期分析负</w:t>
      </w:r>
      <w:r>
        <w:rPr>
          <w:spacing w:val="-42"/>
        </w:rPr>
        <w:t> </w:t>
      </w:r>
      <w:r>
        <w:rPr>
          <w:spacing w:val="-42"/>
        </w:rPr>
      </w:r>
      <w:r>
        <w:rPr>
          <w:spacing w:val="-2"/>
        </w:rPr>
        <w:t>债结构和期限，以确保有充裕的资金。本集团管理层与金融机构进行融资磋商，以保持一定的授信额度，</w:t>
      </w:r>
      <w:r>
        <w:rPr>
          <w:spacing w:val="-21"/>
        </w:rPr>
        <w:t> </w:t>
      </w:r>
      <w:r>
        <w:rPr>
          <w:spacing w:val="-21"/>
        </w:rPr>
      </w:r>
      <w:r>
        <w:rPr/>
        <w:t>减低流动性风险。</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十、关联方及关联交易" w:id="314"/>
      <w:bookmarkEnd w:id="314"/>
      <w:r>
        <w:rPr>
          <w:b w:val="0"/>
          <w:bCs w:val="0"/>
        </w:rPr>
      </w:r>
      <w:r>
        <w:rPr/>
        <w:t>十、关联方及关联交易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315"/>
      <w:bookmarkEnd w:id="315"/>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431"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中国科学院控股有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资产管理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506,703.00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33.51%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33.51%</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12"/>
        <w:rPr>
          <w:rFonts w:ascii="宋体" w:hAnsi="宋体" w:cs="宋体" w:eastAsia="宋体" w:hint="default"/>
          <w:sz w:val="12"/>
          <w:szCs w:val="12"/>
        </w:rPr>
      </w:pPr>
    </w:p>
    <w:p>
      <w:pPr>
        <w:pStyle w:val="BodyText"/>
        <w:spacing w:line="393" w:lineRule="auto"/>
        <w:ind w:right="0" w:firstLine="419"/>
        <w:jc w:val="left"/>
      </w:pPr>
      <w:r>
        <w:rPr/>
        <w:t>中国科学院控股有限公司简称国科控股是经国务院批准，由中科院于</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日设立的国有独资</w:t>
      </w:r>
      <w:r>
        <w:rPr>
          <w:spacing w:val="-3"/>
          <w:w w:val="100"/>
        </w:rPr>
        <w:t> </w:t>
      </w:r>
      <w:r>
        <w:rPr>
          <w:spacing w:val="-3"/>
        </w:rPr>
        <w:t>公司，注册资本</w:t>
      </w:r>
      <w:r>
        <w:rPr>
          <w:rFonts w:ascii="Times New Roman" w:hAnsi="Times New Roman" w:cs="Times New Roman" w:eastAsia="Times New Roman" w:hint="default"/>
          <w:spacing w:val="-3"/>
        </w:rPr>
        <w:t>50.67</w:t>
      </w:r>
      <w:r>
        <w:rPr>
          <w:spacing w:val="-3"/>
        </w:rPr>
        <w:t>亿元。根据《中国科学院章程》，中国科学院设立国有资产经营有限责任公司，授权</w:t>
      </w:r>
      <w:r>
        <w:rPr>
          <w:spacing w:val="-48"/>
        </w:rPr>
        <w:t> </w:t>
      </w:r>
      <w:r>
        <w:rPr>
          <w:spacing w:val="-48"/>
        </w:rPr>
      </w:r>
      <w:r>
        <w:rPr>
          <w:spacing w:val="-2"/>
        </w:rPr>
        <w:t>其管理院经营性国有资产，对院属单位经营性国有资产管理进行监督和指导；对院直接投资的企业中有关</w:t>
      </w:r>
      <w:r>
        <w:rPr>
          <w:spacing w:val="-42"/>
        </w:rPr>
        <w:t> </w:t>
      </w:r>
      <w:r>
        <w:rPr>
          <w:spacing w:val="-42"/>
        </w:rPr>
      </w:r>
      <w:r>
        <w:rPr>
          <w:spacing w:val="-2"/>
        </w:rPr>
        <w:t>国有资产依法行使出资人权利，并承担相应的保值增值责任。作为中科院设立的国有独资公司，国科控股</w:t>
      </w:r>
    </w:p>
    <w:p>
      <w:pPr>
        <w:spacing w:after="0" w:line="393" w:lineRule="auto"/>
        <w:jc w:val="left"/>
        <w:sectPr>
          <w:pgSz w:w="11910" w:h="16840"/>
          <w:pgMar w:header="880" w:footer="977" w:top="1060" w:bottom="1160" w:left="980" w:right="0"/>
        </w:sectPr>
      </w:pP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6"/>
          <w:szCs w:val="26"/>
        </w:rPr>
      </w:pPr>
    </w:p>
    <w:p>
      <w:pPr>
        <w:pStyle w:val="BodyText"/>
        <w:spacing w:line="240" w:lineRule="auto" w:before="36"/>
        <w:ind w:right="0"/>
        <w:jc w:val="left"/>
      </w:pPr>
      <w:r>
        <w:rPr/>
        <w:t>主要按照上述章程的规定行使相关权利和义务。</w:t>
      </w:r>
    </w:p>
    <w:p>
      <w:pPr>
        <w:spacing w:line="240" w:lineRule="auto" w:before="8"/>
        <w:rPr>
          <w:rFonts w:ascii="宋体" w:hAnsi="宋体" w:cs="宋体" w:eastAsia="宋体" w:hint="default"/>
          <w:sz w:val="19"/>
          <w:szCs w:val="19"/>
        </w:rPr>
      </w:pPr>
    </w:p>
    <w:p>
      <w:pPr>
        <w:spacing w:before="0"/>
        <w:ind w:left="512" w:right="0" w:firstLine="0"/>
        <w:jc w:val="left"/>
        <w:rPr>
          <w:rFonts w:ascii="宋体" w:hAnsi="宋体" w:cs="宋体" w:eastAsia="宋体" w:hint="default"/>
          <w:sz w:val="18"/>
          <w:szCs w:val="18"/>
        </w:rPr>
      </w:pPr>
      <w:r>
        <w:rPr>
          <w:rFonts w:ascii="宋体" w:hAnsi="宋体" w:cs="宋体" w:eastAsia="宋体" w:hint="default"/>
          <w:sz w:val="18"/>
          <w:szCs w:val="18"/>
        </w:rPr>
        <w:t>本企业最终控制方是中国科学院控股有限公司。</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spacing w:line="547" w:lineRule="auto" w:before="0"/>
        <w:ind w:left="152" w:right="5725" w:firstLine="0"/>
        <w:jc w:val="left"/>
        <w:rPr>
          <w:rFonts w:ascii="宋体" w:hAnsi="宋体" w:cs="宋体" w:eastAsia="宋体" w:hint="default"/>
          <w:sz w:val="21"/>
          <w:szCs w:val="21"/>
        </w:rPr>
      </w:pPr>
      <w:bookmarkStart w:name="2、本企业的子公司情况" w:id="316"/>
      <w:bookmarkEnd w:id="31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本企业子公司的情况详见附注八、</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317"/>
      <w:bookmarkEnd w:id="317"/>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38" w:lineRule="auto" w:before="49"/>
        <w:ind w:left="152" w:right="229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本企业重要的合营或联营企业详见附注八、</w:t>
      </w:r>
      <w:r>
        <w:rPr>
          <w:rFonts w:ascii="Times New Roman" w:hAnsi="Times New Roman" w:cs="Times New Roman" w:eastAsia="Times New Roman" w:hint="default"/>
          <w:sz w:val="18"/>
          <w:szCs w:val="18"/>
        </w:rPr>
        <w:t>2</w:t>
      </w:r>
      <w:r>
        <w:rPr>
          <w:rFonts w:ascii="宋体" w:hAnsi="宋体" w:cs="宋体" w:eastAsia="宋体" w:hint="default"/>
          <w:sz w:val="18"/>
          <w:szCs w:val="18"/>
        </w:rPr>
        <w:t>。 本期与本公司发生关联方交易，或前期与本公司发生关联方交易形成余额的其他合营或联营企业情况如下：</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深圳市中钞科信金融科技有限公司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360" w:lineRule="auto" w:before="51"/>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其他关联方情况" w:id="318"/>
      <w:bookmarkEnd w:id="318"/>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中科院广州电子技术有限公司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成都瑞拓科技股份有限公司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控股股东控制的企业</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北京中科科仪股份有限公司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控股股东控制的企业</w:t>
            </w:r>
          </w:p>
        </w:tc>
      </w:tr>
    </w:tbl>
    <w:p>
      <w:pPr>
        <w:spacing w:line="360" w:lineRule="auto" w:before="51"/>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关联交易情况" w:id="319"/>
      <w:bookmarkEnd w:id="319"/>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20"/>
      <w:bookmarkEnd w:id="320"/>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1"/>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4"/>
        <w:gridCol w:w="1452"/>
        <w:gridCol w:w="1709"/>
        <w:gridCol w:w="1706"/>
        <w:gridCol w:w="1706"/>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中科院广州电子技 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1,320,754.71</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3" w:right="0"/>
              <w:jc w:val="left"/>
              <w:rPr>
                <w:rFonts w:ascii="Times New Roman" w:hAnsi="Times New Roman" w:cs="Times New Roman" w:eastAsia="Times New Roman" w:hint="default"/>
                <w:sz w:val="18"/>
                <w:szCs w:val="18"/>
              </w:rPr>
            </w:pPr>
            <w:r>
              <w:rPr>
                <w:rFonts w:ascii="Times New Roman"/>
                <w:sz w:val="18"/>
              </w:rPr>
              <w:t>349,056.60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北京中科科仪股份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4,950.00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6"/>
        <w:gridCol w:w="2258"/>
        <w:gridCol w:w="2258"/>
        <w:gridCol w:w="2654"/>
      </w:tblGrid>
      <w:tr>
        <w:trPr>
          <w:trHeight w:val="401" w:hRule="exact"/>
        </w:trPr>
        <w:tc>
          <w:tcPr>
            <w:tcW w:w="23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880"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8"/>
        <w:gridCol w:w="2258"/>
        <w:gridCol w:w="2258"/>
        <w:gridCol w:w="2654"/>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成都瑞拓科技股份有限公司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5" w:right="0"/>
              <w:jc w:val="left"/>
              <w:rPr>
                <w:rFonts w:ascii="Times New Roman" w:hAnsi="Times New Roman" w:cs="Times New Roman" w:eastAsia="Times New Roman" w:hint="default"/>
                <w:sz w:val="18"/>
                <w:szCs w:val="18"/>
              </w:rPr>
            </w:pPr>
            <w:r>
              <w:rPr>
                <w:rFonts w:ascii="Times New Roman"/>
                <w:sz w:val="18"/>
              </w:rPr>
              <w:t>103,773.58</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113,207.55</w:t>
            </w:r>
            <w:r>
              <w:rPr>
                <w:rFonts w:ascii="Times New Roman"/>
                <w:sz w:val="18"/>
              </w:rPr>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3"/>
              <w:jc w:val="left"/>
              <w:rPr>
                <w:rFonts w:ascii="宋体" w:hAnsi="宋体" w:cs="宋体" w:eastAsia="宋体" w:hint="default"/>
                <w:sz w:val="18"/>
                <w:szCs w:val="18"/>
              </w:rPr>
            </w:pPr>
            <w:r>
              <w:rPr>
                <w:rFonts w:ascii="宋体" w:hAnsi="宋体" w:cs="宋体" w:eastAsia="宋体" w:hint="default"/>
                <w:sz w:val="18"/>
                <w:szCs w:val="18"/>
              </w:rPr>
              <w:t>深圳市中钞科信金融科技有限 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159,433.96</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关联租赁情况" w:id="321"/>
      <w:bookmarkEnd w:id="321"/>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深圳市中钞科信金融科技有 限公司</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15" w:right="0"/>
              <w:jc w:val="left"/>
              <w:rPr>
                <w:rFonts w:ascii="Times New Roman" w:hAnsi="Times New Roman" w:cs="Times New Roman" w:eastAsia="Times New Roman" w:hint="default"/>
                <w:sz w:val="18"/>
                <w:szCs w:val="18"/>
              </w:rPr>
            </w:pPr>
            <w:r>
              <w:rPr>
                <w:rFonts w:ascii="Times New Roman"/>
                <w:sz w:val="18"/>
              </w:rPr>
              <w:t>1,758,240.00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15" w:right="0"/>
              <w:jc w:val="left"/>
              <w:rPr>
                <w:rFonts w:ascii="Times New Roman" w:hAnsi="Times New Roman" w:cs="Times New Roman" w:eastAsia="Times New Roman" w:hint="default"/>
                <w:sz w:val="18"/>
                <w:szCs w:val="18"/>
              </w:rPr>
            </w:pPr>
            <w:r>
              <w:rPr>
                <w:rFonts w:ascii="Times New Roman"/>
                <w:sz w:val="18"/>
              </w:rPr>
              <w:t>1,725,942.85</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5"/>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北京中科科仪股份有限公司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135,506.25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北京中科科仪股份有限公司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w w:val="95"/>
                <w:sz w:val="18"/>
              </w:rPr>
              <w:t>11,000.00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关键管理人员报酬" w:id="322"/>
      <w:bookmarkEnd w:id="322"/>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6,209,900.00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5,045,108.80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关联方应收应付款项" w:id="323"/>
      <w:bookmarkEnd w:id="323"/>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324"/>
      <w:bookmarkEnd w:id="324"/>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深圳市中钞科信金 融科技有限公司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169,375.00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61,137.50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589,375.00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129,675.00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成都瑞拓科技股份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4,200.00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深圳市中钞科信金 融科技有限公司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873.76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43.69</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7"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bookmarkStart w:name="（2）应付项目" w:id="325"/>
      <w:bookmarkEnd w:id="325"/>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中科院广州电子技术有限公 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370,000.00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成都瑞拓科技股份有限公司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47" w:right="0"/>
              <w:jc w:val="left"/>
              <w:rPr>
                <w:rFonts w:ascii="Times New Roman" w:hAnsi="Times New Roman" w:cs="Times New Roman" w:eastAsia="Times New Roman" w:hint="default"/>
                <w:sz w:val="18"/>
                <w:szCs w:val="18"/>
              </w:rPr>
            </w:pPr>
            <w:r>
              <w:rPr>
                <w:rFonts w:ascii="Times New Roman"/>
                <w:sz w:val="18"/>
              </w:rPr>
              <w:t>138,000.00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33,000.00</w:t>
            </w:r>
          </w:p>
        </w:tc>
      </w:tr>
      <w:tr>
        <w:trPr>
          <w:trHeight w:val="71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深圳市中钞科信金融科技有 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16,450.22</w:t>
            </w:r>
          </w:p>
        </w:tc>
      </w:tr>
    </w:tbl>
    <w:p>
      <w:pPr>
        <w:spacing w:line="240" w:lineRule="auto" w:before="3"/>
        <w:rPr>
          <w:rFonts w:ascii="宋体" w:hAnsi="宋体" w:cs="宋体" w:eastAsia="宋体" w:hint="default"/>
          <w:sz w:val="18"/>
          <w:szCs w:val="18"/>
        </w:rPr>
      </w:pPr>
    </w:p>
    <w:p>
      <w:pPr>
        <w:spacing w:line="506" w:lineRule="auto" w:before="26"/>
        <w:ind w:left="152" w:right="8345" w:firstLine="0"/>
        <w:jc w:val="left"/>
        <w:rPr>
          <w:rFonts w:ascii="宋体" w:hAnsi="宋体" w:cs="宋体" w:eastAsia="宋体" w:hint="default"/>
          <w:sz w:val="18"/>
          <w:szCs w:val="18"/>
        </w:rPr>
      </w:pPr>
      <w:bookmarkStart w:name="十一、承诺及或有事项" w:id="326"/>
      <w:bookmarkEnd w:id="326"/>
      <w:r>
        <w:rPr/>
      </w:r>
      <w:r>
        <w:rPr>
          <w:rFonts w:ascii="宋体" w:hAnsi="宋体" w:cs="宋体" w:eastAsia="宋体" w:hint="default"/>
          <w:b/>
          <w:bCs/>
          <w:sz w:val="24"/>
          <w:szCs w:val="24"/>
        </w:rPr>
        <w:t>十一、承诺及或有事项</w:t>
      </w:r>
      <w:r>
        <w:rPr>
          <w:rFonts w:ascii="宋体" w:hAnsi="宋体" w:cs="宋体" w:eastAsia="宋体" w:hint="default"/>
          <w:b/>
          <w:bCs/>
          <w:w w:val="99"/>
          <w:sz w:val="24"/>
          <w:szCs w:val="24"/>
        </w:rPr>
        <w:t> </w:t>
      </w:r>
      <w:bookmarkStart w:name="1、重要承诺事项" w:id="327"/>
      <w:bookmarkEnd w:id="32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pStyle w:val="BodyText"/>
        <w:spacing w:line="262" w:lineRule="exact"/>
        <w:ind w:left="572"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日，本集团无需要披露的重要承诺事项。</w:t>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bookmarkStart w:name="2、或有事项" w:id="328"/>
      <w:bookmarkEnd w:id="32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spacing w:line="568" w:lineRule="auto" w:before="0"/>
        <w:ind w:left="572" w:right="2501" w:hanging="421"/>
        <w:jc w:val="left"/>
        <w:rPr>
          <w:rFonts w:ascii="宋体" w:hAnsi="宋体" w:cs="宋体" w:eastAsia="宋体" w:hint="default"/>
          <w:sz w:val="21"/>
          <w:szCs w:val="21"/>
        </w:rPr>
      </w:pPr>
      <w:bookmarkStart w:name="（1）资产负债表日存在的重要或有事项" w:id="329"/>
      <w:bookmarkEnd w:id="3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100"/>
          <w:sz w:val="21"/>
          <w:szCs w:val="21"/>
        </w:rPr>
        <w:t> </w:t>
      </w:r>
      <w:r>
        <w:rPr>
          <w:rFonts w:ascii="宋体" w:hAnsi="宋体" w:cs="宋体" w:eastAsia="宋体" w:hint="default"/>
          <w:spacing w:val="-2"/>
          <w:sz w:val="21"/>
          <w:szCs w:val="21"/>
        </w:rPr>
        <w:t>截至</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日，本集团无需要披露的或有事项。</w:t>
      </w:r>
    </w:p>
    <w:p>
      <w:pPr>
        <w:pStyle w:val="Heading3"/>
        <w:spacing w:line="240" w:lineRule="auto" w:before="82"/>
        <w:ind w:right="0"/>
        <w:jc w:val="left"/>
        <w:rPr>
          <w:b w:val="0"/>
          <w:bCs w:val="0"/>
        </w:rPr>
      </w:pPr>
      <w:bookmarkStart w:name="（2）公司没有需要披露的重要或有事项，也应予以说明" w:id="330"/>
      <w:bookmarkEnd w:id="330"/>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二、资产负债表日后事项" w:id="331"/>
      <w:bookmarkEnd w:id="331"/>
      <w:r>
        <w:rPr>
          <w:b w:val="0"/>
          <w:bCs w:val="0"/>
        </w:rPr>
      </w:r>
      <w:r>
        <w:rPr/>
        <w:t>十二、资产负债表日后事项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的非调整事项" w:id="332"/>
      <w:bookmarkEnd w:id="332"/>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pict>
          <v:shape style="position:absolute;margin-left:245.159698pt;margin-top:55.431717pt;width:170.2pt;height:126.85pt;mso-position-horizontal-relative:page;mso-position-vertical-relative:paragraph;z-index:-9854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从供应保障、</w:t>
                  </w:r>
                </w:p>
              </w:txbxContent>
            </v:textbox>
            <w10:wrap type="none"/>
          </v:shape>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4"/>
        <w:gridCol w:w="2390"/>
        <w:gridCol w:w="2390"/>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2"/>
              <w:ind w:left="1010"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348" w:hRule="exact"/>
        </w:trPr>
        <w:tc>
          <w:tcPr>
            <w:tcW w:w="2494" w:type="dxa"/>
            <w:tcBorders>
              <w:top w:val="single" w:sz="4" w:space="0" w:color="000000"/>
              <w:left w:val="single" w:sz="4" w:space="0" w:color="000000"/>
              <w:bottom w:val="nil" w:sz="6" w:space="0" w:color="auto"/>
              <w:right w:val="single" w:sz="4" w:space="0" w:color="000000"/>
            </w:tcBorders>
          </w:tcPr>
          <w:p>
            <w:pPr/>
          </w:p>
        </w:tc>
        <w:tc>
          <w:tcPr>
            <w:tcW w:w="22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对新型冠状病毒肺炎疫情的</w:t>
            </w:r>
          </w:p>
        </w:tc>
        <w:tc>
          <w:tcPr>
            <w:tcW w:w="2390" w:type="dxa"/>
            <w:vMerge w:val="restart"/>
            <w:tcBorders>
              <w:top w:val="single" w:sz="4" w:space="0" w:color="000000"/>
              <w:left w:val="single" w:sz="4" w:space="0" w:color="000000"/>
              <w:right w:val="single" w:sz="4" w:space="0" w:color="000000"/>
            </w:tcBorders>
          </w:tcPr>
          <w:p>
            <w:pPr>
              <w:pStyle w:val="TableParagraph"/>
              <w:spacing w:line="1072" w:lineRule="exact"/>
              <w:ind w:left="2" w:right="-51"/>
              <w:jc w:val="left"/>
              <w:rPr>
                <w:rFonts w:ascii="宋体" w:hAnsi="宋体" w:cs="宋体" w:eastAsia="宋体" w:hint="default"/>
                <w:sz w:val="20"/>
                <w:szCs w:val="20"/>
              </w:rPr>
            </w:pPr>
            <w:r>
              <w:rPr>
                <w:rFonts w:ascii="宋体" w:hAnsi="宋体" w:cs="宋体" w:eastAsia="宋体" w:hint="default"/>
                <w:position w:val="-20"/>
                <w:sz w:val="20"/>
                <w:szCs w:val="20"/>
              </w:rPr>
              <w:pict>
                <v:group style="width:118.95pt;height:53.65pt;mso-position-horizontal-relative:char;mso-position-vertical-relative:line" coordorigin="0,0" coordsize="2379,1073">
                  <v:group style="position:absolute;left:0;top:0;width:2379;height:1073" coordorigin="0,0" coordsize="2379,1073">
                    <v:shape style="position:absolute;left:0;top:0;width:2379;height:1073" coordorigin="0,0" coordsize="2379,1073" path="m0,1073l2378,1073,2378,0,0,0,0,1073xe" filled="true" fillcolor="#ffffff" stroked="false">
                      <v:path arrowok="t"/>
                      <v:fill type="solid"/>
                    </v:shape>
                  </v:group>
                </v:group>
              </w:pict>
            </w:r>
            <w:r>
              <w:rPr>
                <w:rFonts w:ascii="宋体" w:hAnsi="宋体" w:cs="宋体" w:eastAsia="宋体" w:hint="default"/>
                <w:position w:val="-20"/>
                <w:sz w:val="20"/>
                <w:szCs w:val="20"/>
              </w:rPr>
            </w:r>
          </w:p>
          <w:p>
            <w:pPr>
              <w:pStyle w:val="TableParagraph"/>
              <w:spacing w:line="240" w:lineRule="auto" w:before="13"/>
              <w:ind w:right="0"/>
              <w:jc w:val="left"/>
              <w:rPr>
                <w:rFonts w:ascii="宋体" w:hAnsi="宋体" w:cs="宋体" w:eastAsia="宋体" w:hint="default"/>
                <w:sz w:val="29"/>
                <w:szCs w:val="29"/>
              </w:rPr>
            </w:pPr>
          </w:p>
          <w:p>
            <w:pPr>
              <w:pStyle w:val="TableParagraph"/>
              <w:spacing w:line="1072" w:lineRule="exact"/>
              <w:ind w:left="2" w:right="-51"/>
              <w:jc w:val="left"/>
              <w:rPr>
                <w:rFonts w:ascii="宋体" w:hAnsi="宋体" w:cs="宋体" w:eastAsia="宋体" w:hint="default"/>
                <w:sz w:val="20"/>
                <w:szCs w:val="20"/>
              </w:rPr>
            </w:pPr>
            <w:r>
              <w:rPr>
                <w:rFonts w:ascii="宋体" w:hAnsi="宋体" w:cs="宋体" w:eastAsia="宋体" w:hint="default"/>
                <w:position w:val="-20"/>
                <w:sz w:val="20"/>
                <w:szCs w:val="20"/>
              </w:rPr>
              <w:pict>
                <v:group style="width:118.95pt;height:53.65pt;mso-position-horizontal-relative:char;mso-position-vertical-relative:line" coordorigin="0,0" coordsize="2379,1073">
                  <v:group style="position:absolute;left:0;top:0;width:2379;height:1073" coordorigin="0,0" coordsize="2379,1073">
                    <v:shape style="position:absolute;left:0;top:0;width:2379;height:1073" coordorigin="0,0" coordsize="2379,1073" path="m0,1073l2378,1073,2378,0,0,0,0,1073xe" filled="true" fillcolor="#ffffff" stroked="false">
                      <v:path arrowok="t"/>
                      <v:fill type="solid"/>
                    </v:shape>
                  </v:group>
                </v:group>
              </w:pict>
            </w:r>
            <w:r>
              <w:rPr>
                <w:rFonts w:ascii="宋体" w:hAnsi="宋体" w:cs="宋体" w:eastAsia="宋体" w:hint="default"/>
                <w:position w:val="-20"/>
                <w:sz w:val="20"/>
                <w:szCs w:val="20"/>
              </w:rPr>
            </w:r>
          </w:p>
        </w:tc>
        <w:tc>
          <w:tcPr>
            <w:tcW w:w="239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影响评估自新型冠状病毒的</w:t>
            </w:r>
          </w:p>
        </w:tc>
        <w:tc>
          <w:tcPr>
            <w:tcW w:w="2390" w:type="dxa"/>
            <w:vMerge/>
            <w:tcBorders>
              <w:left w:val="single" w:sz="4" w:space="0" w:color="000000"/>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本公司预计此次新冠疫情及</w:t>
            </w:r>
          </w:p>
        </w:tc>
      </w:tr>
      <w:tr>
        <w:trPr>
          <w:trHeight w:val="317"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传染疫情（</w:t>
            </w:r>
            <w:r>
              <w:rPr>
                <w:rFonts w:ascii="Times New Roman" w:hAnsi="Times New Roman" w:cs="Times New Roman" w:eastAsia="Times New Roman" w:hint="default"/>
                <w:sz w:val="18"/>
                <w:szCs w:val="18"/>
              </w:rPr>
              <w:t>“</w:t>
            </w:r>
            <w:r>
              <w:rPr>
                <w:rFonts w:ascii="宋体" w:hAnsi="宋体" w:cs="宋体" w:eastAsia="宋体" w:hint="default"/>
                <w:sz w:val="18"/>
                <w:szCs w:val="18"/>
              </w:rPr>
              <w:t>新冠疫情</w:t>
            </w:r>
            <w:r>
              <w:rPr>
                <w:rFonts w:ascii="Times New Roman" w:hAnsi="Times New Roman" w:cs="Times New Roman" w:eastAsia="Times New Roman" w:hint="default"/>
                <w:sz w:val="18"/>
                <w:szCs w:val="18"/>
              </w:rPr>
              <w:t>”</w:t>
            </w:r>
            <w:r>
              <w:rPr>
                <w:rFonts w:ascii="宋体" w:hAnsi="宋体" w:cs="宋体" w:eastAsia="宋体" w:hint="default"/>
                <w:sz w:val="18"/>
                <w:szCs w:val="18"/>
              </w:rPr>
              <w:t>）从</w:t>
            </w:r>
          </w:p>
        </w:tc>
        <w:tc>
          <w:tcPr>
            <w:tcW w:w="2390" w:type="dxa"/>
            <w:vMerge/>
            <w:tcBorders>
              <w:left w:val="single" w:sz="4" w:space="0" w:color="000000"/>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防控措施将对本集团的生产</w:t>
            </w:r>
          </w:p>
        </w:tc>
      </w:tr>
      <w:tr>
        <w:trPr>
          <w:trHeight w:val="619" w:hRule="exact"/>
        </w:trPr>
        <w:tc>
          <w:tcPr>
            <w:tcW w:w="24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left="24" w:right="0"/>
              <w:jc w:val="left"/>
              <w:rPr>
                <w:rFonts w:ascii="宋体" w:hAnsi="宋体" w:cs="宋体" w:eastAsia="宋体" w:hint="default"/>
                <w:sz w:val="18"/>
                <w:szCs w:val="18"/>
              </w:rPr>
            </w:pPr>
            <w:r>
              <w:rPr>
                <w:rFonts w:ascii="宋体" w:hAnsi="宋体" w:cs="宋体" w:eastAsia="宋体" w:hint="default"/>
                <w:sz w:val="18"/>
                <w:szCs w:val="18"/>
              </w:rPr>
              <w:t>新冠疫情</w:t>
            </w: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300" w:lineRule="auto" w:before="16"/>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月起在全国爆发以 来，本集团为做到防疫和生</w:t>
            </w:r>
          </w:p>
        </w:tc>
        <w:tc>
          <w:tcPr>
            <w:tcW w:w="2390" w:type="dxa"/>
            <w:vMerge/>
            <w:tcBorders>
              <w:left w:val="single" w:sz="4" w:space="0" w:color="000000"/>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和经营造成一定的暂时性影 响，影响程度取决于疫情防控</w:t>
            </w:r>
          </w:p>
        </w:tc>
      </w:tr>
      <w:tr>
        <w:trPr>
          <w:trHeight w:val="312"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产两不误，本公司及各驻地</w:t>
            </w:r>
          </w:p>
        </w:tc>
        <w:tc>
          <w:tcPr>
            <w:tcW w:w="2390" w:type="dxa"/>
            <w:vMerge/>
            <w:tcBorders>
              <w:left w:val="single" w:sz="4" w:space="0" w:color="000000"/>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的进展情况、持续时间以及各</w:t>
            </w:r>
          </w:p>
        </w:tc>
      </w:tr>
      <w:tr>
        <w:trPr>
          <w:trHeight w:val="328"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分（子）公司自</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w:t>
            </w:r>
          </w:p>
        </w:tc>
        <w:tc>
          <w:tcPr>
            <w:tcW w:w="2390" w:type="dxa"/>
            <w:vMerge/>
            <w:tcBorders>
              <w:left w:val="single" w:sz="4" w:space="0" w:color="000000"/>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地防控政策的实施情况。</w:t>
            </w:r>
          </w:p>
        </w:tc>
      </w:tr>
      <w:tr>
        <w:trPr>
          <w:trHeight w:val="312" w:hRule="exact"/>
        </w:trPr>
        <w:tc>
          <w:tcPr>
            <w:tcW w:w="2494" w:type="dxa"/>
            <w:tcBorders>
              <w:top w:val="nil" w:sz="6" w:space="0" w:color="auto"/>
              <w:left w:val="single" w:sz="4" w:space="0" w:color="000000"/>
              <w:bottom w:val="single" w:sz="4" w:space="0" w:color="000000"/>
              <w:right w:val="single" w:sz="4" w:space="0" w:color="000000"/>
            </w:tcBorders>
          </w:tcPr>
          <w:p>
            <w:pPr/>
          </w:p>
        </w:tc>
        <w:tc>
          <w:tcPr>
            <w:tcW w:w="22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陆续开始复工，</w:t>
            </w:r>
          </w:p>
        </w:tc>
        <w:tc>
          <w:tcPr>
            <w:tcW w:w="2390" w:type="dxa"/>
            <w:vMerge/>
            <w:tcBorders>
              <w:left w:val="single" w:sz="4" w:space="0" w:color="000000"/>
              <w:bottom w:val="single" w:sz="4" w:space="0" w:color="000000"/>
              <w:right w:val="single" w:sz="4" w:space="0" w:color="000000"/>
            </w:tcBorders>
          </w:tcPr>
          <w:p>
            <w:pPr/>
          </w:p>
        </w:tc>
        <w:tc>
          <w:tcPr>
            <w:tcW w:w="239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80"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4"/>
        <w:gridCol w:w="2294"/>
        <w:gridCol w:w="2390"/>
        <w:gridCol w:w="2390"/>
      </w:tblGrid>
      <w:tr>
        <w:trPr>
          <w:trHeight w:val="986"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98"/>
              <w:jc w:val="both"/>
              <w:rPr>
                <w:rFonts w:ascii="宋体" w:hAnsi="宋体" w:cs="宋体" w:eastAsia="宋体" w:hint="default"/>
                <w:sz w:val="18"/>
                <w:szCs w:val="18"/>
              </w:rPr>
            </w:pPr>
            <w:r>
              <w:rPr>
                <w:rFonts w:ascii="宋体" w:hAnsi="宋体" w:cs="宋体" w:eastAsia="宋体" w:hint="default"/>
                <w:sz w:val="18"/>
                <w:szCs w:val="18"/>
              </w:rPr>
              <w:t>品牌渠道、社会责任、内部 管理等方面多管齐下支持国 家战疫。</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利润分配情况" w:id="333"/>
      <w:bookmarkEnd w:id="333"/>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8.95pt;height:41.2pt;mso-position-horizontal-relative:char;mso-position-vertical-relative:line" coordorigin="0,0" coordsize="9579,824">
            <v:group style="position:absolute;left:4961;top:14;width:24;height:394" coordorigin="4961,14" coordsize="24,394">
              <v:shape style="position:absolute;left:4961;top:14;width:24;height:394" coordorigin="4961,14" coordsize="24,394" path="m4961,408l4985,408,4985,14,4961,14,4961,408xe" filled="true" fillcolor="#d4d4d4" stroked="false">
                <v:path arrowok="t"/>
                <v:fill type="solid"/>
              </v:shape>
            </v:group>
            <v:group style="position:absolute;left:12;top:14;width:22;height:394" coordorigin="12,14" coordsize="22,394">
              <v:shape style="position:absolute;left:12;top:14;width:22;height:394" coordorigin="12,14" coordsize="22,394" path="m12,408l34,408,34,14,12,14,12,408xe" filled="true" fillcolor="#d4d4d4" stroked="false">
                <v:path arrowok="t"/>
                <v:fill type="solid"/>
              </v:shape>
            </v:group>
            <v:group style="position:absolute;left:34;top:14;width:4928;height:394" coordorigin="34,14" coordsize="4928,394">
              <v:shape style="position:absolute;left:34;top:14;width:4928;height:394" coordorigin="34,14" coordsize="4928,394" path="m34,408l4961,408,4961,14,34,14,34,408xe" filled="true" fillcolor="#d4d4d4" stroked="false">
                <v:path arrowok="t"/>
                <v:fill type="solid"/>
              </v:shape>
            </v:group>
            <v:group style="position:absolute;left:10;top:10;width:4973;height:2" coordorigin="10,10" coordsize="4973,2">
              <v:shape style="position:absolute;left:10;top:10;width:4973;height:2" coordorigin="10,10" coordsize="4973,0" path="m10,10l4982,10e" filled="false" stroked="true" strokeweight=".481pt" strokecolor="#000000">
                <v:path arrowok="t"/>
              </v:shape>
            </v:group>
            <v:group style="position:absolute;left:4992;top:10;width:4577;height:2" coordorigin="4992,10" coordsize="4577,2">
              <v:shape style="position:absolute;left:4992;top:10;width:4577;height:2" coordorigin="4992,10" coordsize="4577,0" path="m4992,10l9569,10e" filled="false" stroked="true" strokeweight=".481pt" strokecolor="#000000">
                <v:path arrowok="t"/>
              </v:shape>
            </v:group>
            <v:group style="position:absolute;left:4961;top:418;width:24;height:392" coordorigin="4961,418" coordsize="24,392">
              <v:shape style="position:absolute;left:4961;top:418;width:24;height:392" coordorigin="4961,418" coordsize="24,392" path="m4961,809l4985,809,4985,418,4961,418,4961,809xe" filled="true" fillcolor="#d4d4d4" stroked="false">
                <v:path arrowok="t"/>
                <v:fill type="solid"/>
              </v:shape>
            </v:group>
            <v:group style="position:absolute;left:12;top:418;width:22;height:392" coordorigin="12,418" coordsize="22,392">
              <v:shape style="position:absolute;left:12;top:418;width:22;height:392" coordorigin="12,418" coordsize="22,392" path="m12,809l34,809,34,418,12,418,12,809xe" filled="true" fillcolor="#d4d4d4" stroked="false">
                <v:path arrowok="t"/>
                <v:fill type="solid"/>
              </v:shape>
            </v:group>
            <v:group style="position:absolute;left:34;top:418;width:4928;height:392" coordorigin="34,418" coordsize="4928,392">
              <v:shape style="position:absolute;left:34;top:418;width:4928;height:392" coordorigin="34,418" coordsize="4928,392" path="m34,809l4961,809,4961,418,34,418,34,809xe" filled="true" fillcolor="#d4d4d4" stroked="false">
                <v:path arrowok="t"/>
                <v:fill type="solid"/>
              </v:shape>
            </v:group>
            <v:group style="position:absolute;left:10;top:413;width:4973;height:2" coordorigin="10,413" coordsize="4973,2">
              <v:shape style="position:absolute;left:10;top:413;width:4973;height:2" coordorigin="10,413" coordsize="4973,0" path="m10,413l4982,413e" filled="false" stroked="true" strokeweight=".481pt" strokecolor="#000000">
                <v:path arrowok="t"/>
              </v:shape>
            </v:group>
            <v:group style="position:absolute;left:4992;top:413;width:4577;height:2" coordorigin="4992,413" coordsize="4577,2">
              <v:shape style="position:absolute;left:4992;top:413;width:4577;height:2" coordorigin="4992,413" coordsize="4577,0" path="m4992,413l9569,413e" filled="false" stroked="true" strokeweight=".481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4973;height:2" coordorigin="10,814" coordsize="4973,2">
              <v:shape style="position:absolute;left:10;top:814;width:4973;height:2" coordorigin="10,814" coordsize="4973,0" path="m10,814l4982,814e" filled="false" stroked="true" strokeweight=".48pt" strokecolor="#000000">
                <v:path arrowok="t"/>
              </v:shape>
            </v:group>
            <v:group style="position:absolute;left:4987;top:5;width:2;height:814" coordorigin="4987,5" coordsize="2,814">
              <v:shape style="position:absolute;left:4987;top:5;width:2;height:814" coordorigin="4987,5" coordsize="0,814" path="m4987,5l4987,818e" filled="false" stroked="true" strokeweight=".48pt" strokecolor="#000000">
                <v:path arrowok="t"/>
              </v:shape>
            </v:group>
            <v:group style="position:absolute;left:4992;top:814;width:4577;height:2" coordorigin="4992,814" coordsize="4577,2">
              <v:shape style="position:absolute;left:4992;top:814;width:4577;height:2" coordorigin="4992,814" coordsize="4577,0" path="m4992,814l9569,814e" filled="false" stroked="true" strokeweight=".48pt" strokecolor="#000000">
                <v:path arrowok="t"/>
              </v:shape>
            </v:group>
            <v:group style="position:absolute;left:9574;top:5;width:2;height:814" coordorigin="9574,5" coordsize="2,814">
              <v:shape style="position:absolute;left:9574;top:5;width:2;height:814" coordorigin="9574,5" coordsize="0,814" path="m9574,5l9574,818e" filled="false" stroked="true" strokeweight=".48pt" strokecolor="#000000">
                <v:path arrowok="t"/>
              </v:shape>
              <v:shape style="position:absolute;left:34;top:121;width:16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拟分配的利润或股利</w:t>
                      </w:r>
                    </w:p>
                  </w:txbxContent>
                </v:textbox>
                <w10:wrap type="none"/>
              </v:shape>
              <v:shape style="position:absolute;left:8599;top:131;width:949;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9,000,000.00</w:t>
                      </w:r>
                    </w:p>
                  </w:txbxContent>
                </v:textbox>
                <w10:wrap type="none"/>
              </v:shape>
              <v:shape style="position:absolute;left:34;top:525;width:27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xbxContent>
                </v:textbox>
                <w10:wrap type="none"/>
              </v:shape>
              <v:shape style="position:absolute;left:8599;top:534;width:949;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9,000,000.00</w:t>
                      </w:r>
                    </w:p>
                  </w:txbxContent>
                </v:textbox>
                <w10:wrap type="none"/>
              </v:shape>
            </v:group>
          </v:group>
        </w:pict>
      </w:r>
      <w:r>
        <w:rPr>
          <w:rFonts w:ascii="宋体" w:hAnsi="宋体" w:cs="宋体" w:eastAsia="宋体" w:hint="default"/>
          <w:position w:val="-15"/>
          <w:sz w:val="20"/>
          <w:szCs w:val="20"/>
        </w:rPr>
      </w:r>
    </w:p>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十三、其他重要事项" w:id="334"/>
      <w:bookmarkEnd w:id="334"/>
      <w:r>
        <w:rPr>
          <w:b w:val="0"/>
          <w:bCs w:val="0"/>
        </w:rPr>
      </w:r>
      <w:r>
        <w:rPr/>
        <w:t>十三、其他重要事项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分部信息" w:id="335"/>
      <w:bookmarkEnd w:id="335"/>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7"/>
        <w:rPr>
          <w:rFonts w:ascii="宋体" w:hAnsi="宋体" w:cs="宋体" w:eastAsia="宋体" w:hint="default"/>
          <w:b/>
          <w:bCs/>
          <w:sz w:val="24"/>
          <w:szCs w:val="24"/>
        </w:rPr>
      </w:pPr>
    </w:p>
    <w:p>
      <w:pPr>
        <w:spacing w:line="571" w:lineRule="auto" w:before="0"/>
        <w:ind w:left="572" w:right="5725" w:hanging="421"/>
        <w:jc w:val="left"/>
        <w:rPr>
          <w:rFonts w:ascii="宋体" w:hAnsi="宋体" w:cs="宋体" w:eastAsia="宋体" w:hint="default"/>
          <w:sz w:val="21"/>
          <w:szCs w:val="21"/>
        </w:rPr>
      </w:pPr>
      <w:bookmarkStart w:name="（1）报告分部的确定依据与会计政策" w:id="336"/>
      <w:bookmarkEnd w:id="3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本集团规模较小，业务较为单一，无报告分部。</w:t>
      </w:r>
    </w:p>
    <w:p>
      <w:pPr>
        <w:pStyle w:val="Heading2"/>
        <w:spacing w:line="240" w:lineRule="auto" w:before="103"/>
        <w:ind w:right="0"/>
        <w:jc w:val="left"/>
        <w:rPr>
          <w:b w:val="0"/>
          <w:bCs w:val="0"/>
        </w:rPr>
      </w:pPr>
      <w:bookmarkStart w:name="十四、母公司财务报表主要项目注释" w:id="337"/>
      <w:bookmarkEnd w:id="337"/>
      <w:r>
        <w:rPr>
          <w:b w:val="0"/>
          <w:bCs w:val="0"/>
        </w:rPr>
      </w:r>
      <w:r>
        <w:rPr/>
        <w:t>十四、母公司财务报表主要项目注释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338"/>
      <w:bookmarkEnd w:id="338"/>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339"/>
      <w:bookmarkEnd w:id="33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4"/>
        <w:gridCol w:w="763"/>
        <w:gridCol w:w="763"/>
        <w:gridCol w:w="761"/>
        <w:gridCol w:w="763"/>
        <w:gridCol w:w="790"/>
        <w:gridCol w:w="775"/>
        <w:gridCol w:w="797"/>
        <w:gridCol w:w="799"/>
        <w:gridCol w:w="790"/>
        <w:gridCol w:w="931"/>
      </w:tblGrid>
      <w:tr>
        <w:trPr>
          <w:trHeight w:val="398" w:hRule="exact"/>
        </w:trPr>
        <w:tc>
          <w:tcPr>
            <w:tcW w:w="16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2"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4" w:type="dxa"/>
            <w:vMerge/>
            <w:tcBorders>
              <w:left w:val="single" w:sz="4" w:space="0" w:color="000000"/>
              <w:right w:val="single" w:sz="4" w:space="0" w:color="000000"/>
            </w:tcBorders>
            <w:shd w:val="clear" w:color="auto" w:fill="D4D4D4"/>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4D4D4"/>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5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1,004,56</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504,560.0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1,004,560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0.45%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49.77%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504,560.00</w:t>
            </w: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5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2" w:right="0"/>
              <w:jc w:val="center"/>
              <w:rPr>
                <w:rFonts w:ascii="Times New Roman" w:hAnsi="Times New Roman" w:cs="Times New Roman" w:eastAsia="Times New Roman" w:hint="default"/>
                <w:sz w:val="18"/>
                <w:szCs w:val="18"/>
              </w:rPr>
            </w:pPr>
            <w:r>
              <w:rPr>
                <w:rFonts w:ascii="Times New Roman"/>
                <w:sz w:val="18"/>
              </w:rPr>
              <w:t>258,394,</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746.94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99.61%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40,863,9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82.87</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217,530,7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64.07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221,903,2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18.85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99.55%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46,403,43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4.29</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175,499,78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4.56</w:t>
            </w: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信用风险特征组合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2" w:right="0"/>
              <w:jc w:val="center"/>
              <w:rPr>
                <w:rFonts w:ascii="Times New Roman" w:hAnsi="Times New Roman" w:cs="Times New Roman" w:eastAsia="Times New Roman" w:hint="default"/>
                <w:sz w:val="18"/>
                <w:szCs w:val="18"/>
              </w:rPr>
            </w:pPr>
            <w:r>
              <w:rPr>
                <w:rFonts w:ascii="Times New Roman"/>
                <w:sz w:val="18"/>
              </w:rPr>
              <w:t>258,270,</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786.94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40,863,9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82.87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217,406,8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04.07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221,779,2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58.85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99.49%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46,403,43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20.91%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175,375,82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4.56</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123,960.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123,960.0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123,960.0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123,960.00</w:t>
            </w:r>
          </w:p>
        </w:tc>
      </w:tr>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2" w:right="0"/>
              <w:jc w:val="center"/>
              <w:rPr>
                <w:rFonts w:ascii="Times New Roman" w:hAnsi="Times New Roman" w:cs="Times New Roman" w:eastAsia="Times New Roman" w:hint="default"/>
                <w:sz w:val="18"/>
                <w:szCs w:val="18"/>
              </w:rPr>
            </w:pPr>
            <w:r>
              <w:rPr>
                <w:rFonts w:ascii="Times New Roman"/>
                <w:sz w:val="18"/>
              </w:rPr>
              <w:t>259,399,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8" w:right="0"/>
              <w:jc w:val="center"/>
              <w:rPr>
                <w:rFonts w:ascii="Times New Roman" w:hAnsi="Times New Roman" w:cs="Times New Roman" w:eastAsia="Times New Roman" w:hint="default"/>
                <w:sz w:val="18"/>
                <w:szCs w:val="18"/>
              </w:rPr>
            </w:pPr>
            <w:r>
              <w:rPr>
                <w:rFonts w:ascii="Times New Roman"/>
                <w:sz w:val="18"/>
              </w:rPr>
              <w:t>41,363,9</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5" w:right="0"/>
              <w:jc w:val="left"/>
              <w:rPr>
                <w:rFonts w:ascii="Times New Roman" w:hAnsi="Times New Roman" w:cs="Times New Roman" w:eastAsia="Times New Roman" w:hint="default"/>
                <w:sz w:val="18"/>
                <w:szCs w:val="18"/>
              </w:rPr>
            </w:pPr>
            <w:r>
              <w:rPr>
                <w:rFonts w:ascii="Times New Roman"/>
                <w:sz w:val="18"/>
              </w:rPr>
              <w:t>218,035,3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 w:right="0"/>
              <w:jc w:val="center"/>
              <w:rPr>
                <w:rFonts w:ascii="Times New Roman" w:hAnsi="Times New Roman" w:cs="Times New Roman" w:eastAsia="Times New Roman" w:hint="default"/>
                <w:sz w:val="18"/>
                <w:szCs w:val="18"/>
              </w:rPr>
            </w:pPr>
            <w:r>
              <w:rPr>
                <w:rFonts w:ascii="Times New Roman"/>
                <w:sz w:val="18"/>
              </w:rPr>
              <w:t>222,907,7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center"/>
              <w:rPr>
                <w:rFonts w:ascii="Times New Roman" w:hAnsi="Times New Roman" w:cs="Times New Roman" w:eastAsia="Times New Roman" w:hint="default"/>
                <w:sz w:val="18"/>
                <w:szCs w:val="18"/>
              </w:rPr>
            </w:pPr>
            <w:r>
              <w:rPr>
                <w:rFonts w:ascii="Times New Roman"/>
                <w:sz w:val="18"/>
              </w:rPr>
              <w:t>46,903,43</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9" w:right="0"/>
              <w:jc w:val="center"/>
              <w:rPr>
                <w:rFonts w:ascii="Times New Roman" w:hAnsi="Times New Roman" w:cs="Times New Roman" w:eastAsia="Times New Roman" w:hint="default"/>
                <w:sz w:val="18"/>
                <w:szCs w:val="18"/>
              </w:rPr>
            </w:pPr>
            <w:r>
              <w:rPr>
                <w:rFonts w:ascii="Times New Roman"/>
                <w:sz w:val="18"/>
              </w:rPr>
              <w:t>176,004,34</w:t>
            </w:r>
          </w:p>
        </w:tc>
      </w:tr>
    </w:tbl>
    <w:p>
      <w:pPr>
        <w:spacing w:after="0" w:line="240" w:lineRule="auto"/>
        <w:jc w:val="center"/>
        <w:rPr>
          <w:rFonts w:ascii="Times New Roman" w:hAnsi="Times New Roman" w:cs="Times New Roman" w:eastAsia="Times New Roman" w:hint="default"/>
          <w:sz w:val="18"/>
          <w:szCs w:val="18"/>
        </w:rPr>
        <w:sectPr>
          <w:pgSz w:w="11910" w:h="16840"/>
          <w:pgMar w:header="880"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3"/>
        <w:gridCol w:w="763"/>
        <w:gridCol w:w="763"/>
        <w:gridCol w:w="761"/>
        <w:gridCol w:w="763"/>
        <w:gridCol w:w="790"/>
        <w:gridCol w:w="775"/>
        <w:gridCol w:w="797"/>
        <w:gridCol w:w="799"/>
        <w:gridCol w:w="790"/>
        <w:gridCol w:w="934"/>
      </w:tblGrid>
      <w:tr>
        <w:trPr>
          <w:trHeight w:val="362"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7" w:right="0"/>
              <w:jc w:val="left"/>
              <w:rPr>
                <w:rFonts w:ascii="Times New Roman" w:hAnsi="Times New Roman" w:cs="Times New Roman" w:eastAsia="Times New Roman" w:hint="default"/>
                <w:sz w:val="18"/>
                <w:szCs w:val="18"/>
              </w:rPr>
            </w:pPr>
            <w:r>
              <w:rPr>
                <w:rFonts w:ascii="Times New Roman"/>
                <w:sz w:val="18"/>
              </w:rPr>
              <w:t>306.94</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3" w:right="0"/>
              <w:jc w:val="left"/>
              <w:rPr>
                <w:rFonts w:ascii="Times New Roman" w:hAnsi="Times New Roman" w:cs="Times New Roman" w:eastAsia="Times New Roman" w:hint="default"/>
                <w:sz w:val="18"/>
                <w:szCs w:val="18"/>
              </w:rPr>
            </w:pPr>
            <w:r>
              <w:rPr>
                <w:rFonts w:ascii="Times New Roman"/>
                <w:sz w:val="18"/>
              </w:rPr>
              <w:t>82.87</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50" w:right="0"/>
              <w:jc w:val="left"/>
              <w:rPr>
                <w:rFonts w:ascii="Times New Roman" w:hAnsi="Times New Roman" w:cs="Times New Roman" w:eastAsia="Times New Roman" w:hint="default"/>
                <w:sz w:val="18"/>
                <w:szCs w:val="18"/>
              </w:rPr>
            </w:pPr>
            <w:r>
              <w:rPr>
                <w:rFonts w:ascii="Times New Roman"/>
                <w:sz w:val="18"/>
              </w:rPr>
              <w:t>24.07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8" w:right="0"/>
              <w:jc w:val="left"/>
              <w:rPr>
                <w:rFonts w:ascii="Times New Roman" w:hAnsi="Times New Roman" w:cs="Times New Roman" w:eastAsia="Times New Roman" w:hint="default"/>
                <w:sz w:val="18"/>
                <w:szCs w:val="18"/>
              </w:rPr>
            </w:pPr>
            <w:r>
              <w:rPr>
                <w:rFonts w:ascii="Times New Roman"/>
                <w:sz w:val="18"/>
              </w:rPr>
              <w:t>78.85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1" w:right="0"/>
              <w:jc w:val="left"/>
              <w:rPr>
                <w:rFonts w:ascii="Times New Roman" w:hAnsi="Times New Roman" w:cs="Times New Roman" w:eastAsia="Times New Roman" w:hint="default"/>
                <w:sz w:val="18"/>
                <w:szCs w:val="18"/>
              </w:rPr>
            </w:pPr>
            <w:r>
              <w:rPr>
                <w:rFonts w:ascii="Times New Roman"/>
                <w:sz w:val="18"/>
              </w:rPr>
              <w:t>4.29</w:t>
            </w:r>
          </w:p>
        </w:tc>
        <w:tc>
          <w:tcPr>
            <w:tcW w:w="79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5" w:right="0"/>
              <w:jc w:val="left"/>
              <w:rPr>
                <w:rFonts w:ascii="Times New Roman" w:hAnsi="Times New Roman" w:cs="Times New Roman" w:eastAsia="Times New Roman" w:hint="default"/>
                <w:sz w:val="18"/>
                <w:szCs w:val="18"/>
              </w:rPr>
            </w:pPr>
            <w:r>
              <w:rPr>
                <w:rFonts w:ascii="Times New Roman"/>
                <w:sz w:val="18"/>
              </w:rPr>
              <w:t>4.56</w:t>
            </w:r>
          </w:p>
        </w:tc>
      </w:tr>
    </w:tbl>
    <w:p>
      <w:pPr>
        <w:spacing w:before="51"/>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按单项计提坏账准备：</w:t>
      </w:r>
      <w:r>
        <w:rPr>
          <w:rFonts w:ascii="Times New Roman" w:hAnsi="Times New Roman" w:cs="Times New Roman" w:eastAsia="Times New Roman" w:hint="default"/>
          <w:sz w:val="18"/>
          <w:szCs w:val="18"/>
        </w:rPr>
        <w:t>500,000.00</w:t>
      </w:r>
    </w:p>
    <w:p>
      <w:pPr>
        <w:spacing w:before="101"/>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延长壳牌（四川）石油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1,004,560.00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工程项目纠纷</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1,004,560.00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500,000.00</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45,455,536.36</w:t>
      </w:r>
    </w:p>
    <w:p>
      <w:pPr>
        <w:spacing w:before="101"/>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4D4D4"/>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信用风险特征组合</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258,270,786.94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40,863,982.87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123,960.00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258,394,746.94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40,863,982.87</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38" w:lineRule="auto" w:before="29"/>
        <w:ind w:left="152" w:right="913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4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396"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167,494,941.14</w:t>
            </w:r>
            <w:r>
              <w:rPr>
                <w:rFonts w:ascii="Times New Roman"/>
                <w:sz w:val="18"/>
              </w:rPr>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38,617,668.86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24,091,441.26</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29,195,255.68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11,897,471.19</w:t>
            </w:r>
            <w:r>
              <w:rPr>
                <w:rFonts w:ascii="Times New Roman"/>
                <w:sz w:val="18"/>
              </w:rPr>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5,109,065.12</w:t>
            </w:r>
            <w:r>
              <w:rPr>
                <w:rFonts w:ascii="Times New Roman"/>
                <w:sz w:val="18"/>
              </w:rPr>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12,188,719.37</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259,399,306.94</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计提、收回或转回的坏账准备情况" w:id="340"/>
      <w:bookmarkEnd w:id="34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880"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按单项计提坏账 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2"/>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46,403,434.29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5,539,451.42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40,863,982.87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46,903,434.29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5,539,451.42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41,363,982.87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按欠款方归集的期末余额前五名的应收账款情况" w:id="341"/>
      <w:bookmarkEnd w:id="341"/>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921" w:right="110"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52,777,135.49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9,741,258.65</w:t>
            </w:r>
            <w:r>
              <w:rPr>
                <w:rFonts w:ascii="Times New Roman"/>
                <w:sz w:val="18"/>
              </w:rPr>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20,746,258.35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1,992,578.71</w:t>
            </w:r>
            <w:r>
              <w:rPr>
                <w:rFonts w:ascii="Times New Roman"/>
                <w:sz w:val="18"/>
              </w:rPr>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16,800,000.00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6.48%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840,000.00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11,121,578.85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556,078.94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7,196,664.00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359,833.20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108,641,636.69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41.89%</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其他应收款" w:id="342"/>
      <w:bookmarkEnd w:id="34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41,087.08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939,791.67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35,739,457.35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38,770,636.50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35,780,544.43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39,710,428.17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应收利息" w:id="343"/>
      <w:bookmarkEnd w:id="343"/>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344"/>
      <w:bookmarkEnd w:id="344"/>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939,791.67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七天存款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41,087.08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41,087.08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939,791.67</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7"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bookmarkStart w:name="（2）其他应收款" w:id="345"/>
      <w:bookmarkEnd w:id="345"/>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按款项性质分类情况" w:id="346"/>
      <w:bookmarkEnd w:id="346"/>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22,470,252.01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28,771,321.11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备用金及项目周转金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10,923,775.36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8,592,016.04</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应收关联方款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6,843,817.40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7,976,170.24</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1,240,561.19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668,559.29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41,478,405.96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46,008,066.68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坏账准备计提情况" w:id="347"/>
      <w:bookmarkEnd w:id="347"/>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651"/>
        <w:gridCol w:w="2098"/>
        <w:gridCol w:w="2100"/>
        <w:gridCol w:w="1805"/>
      </w:tblGrid>
      <w:tr>
        <w:trPr>
          <w:trHeight w:val="403" w:hRule="exact"/>
        </w:trPr>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5" w:type="dxa"/>
            <w:vMerge/>
            <w:tcBorders>
              <w:left w:val="single" w:sz="4" w:space="0" w:color="000000"/>
              <w:bottom w:val="single" w:sz="4" w:space="0" w:color="000000"/>
              <w:right w:val="single" w:sz="4" w:space="0" w:color="000000"/>
            </w:tcBorders>
            <w:shd w:val="clear" w:color="auto" w:fill="D4D4D4"/>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742,062.83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5,781,170.35</w:t>
            </w:r>
            <w:r>
              <w:rPr>
                <w:rFonts w:ascii="Times New Roman"/>
                <w:sz w:val="18"/>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714,197.00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7,237,430.18</w:t>
            </w:r>
            <w:r>
              <w:rPr>
                <w:rFonts w:ascii="Times New Roman"/>
                <w:sz w:val="18"/>
              </w:rPr>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62,120.18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1,418,342.39</w:t>
            </w:r>
            <w:r>
              <w:rPr>
                <w:rFonts w:ascii="Times New Roman"/>
                <w:sz w:val="18"/>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18,019.00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1,498,481.58</w:t>
            </w:r>
            <w:r>
              <w:rPr>
                <w:rFonts w:ascii="Times New Roman"/>
                <w:sz w:val="18"/>
              </w:rPr>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679,942.65</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4,362,827.96</w:t>
            </w:r>
            <w:r>
              <w:rPr>
                <w:rFonts w:ascii="Times New Roman"/>
                <w:sz w:val="18"/>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696,178.00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5,738,948.60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7" w:top="1060" w:bottom="1160" w:left="980" w:right="0"/>
        </w:sectPr>
      </w:pPr>
    </w:p>
    <w:p>
      <w:pPr>
        <w:spacing w:before="51"/>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38" w:lineRule="auto" w:before="117"/>
        <w:ind w:left="152" w:right="1613"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280" w:left="980" w:right="0"/>
          <w:cols w:num="2" w:equalWidth="0">
            <w:col w:w="3933" w:space="4894"/>
            <w:col w:w="2103"/>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396"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24,115,086.81</w:t>
            </w:r>
            <w:r>
              <w:rPr>
                <w:rFonts w:ascii="Times New Roman"/>
                <w:sz w:val="18"/>
              </w:rPr>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7,417,714.13</w:t>
            </w:r>
            <w:r>
              <w:rPr>
                <w:rFonts w:ascii="Times New Roman"/>
                <w:sz w:val="18"/>
              </w:rPr>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3,669,223.05</w:t>
            </w:r>
            <w:r>
              <w:rPr>
                <w:rFonts w:ascii="Times New Roman"/>
                <w:sz w:val="18"/>
              </w:rPr>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6,276,381.97</w:t>
            </w:r>
            <w:r>
              <w:rPr>
                <w:rFonts w:ascii="Times New Roman"/>
                <w:sz w:val="18"/>
              </w:rPr>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3,313,269.84</w:t>
            </w:r>
            <w:r>
              <w:rPr>
                <w:rFonts w:ascii="Times New Roman"/>
                <w:sz w:val="18"/>
              </w:rPr>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1,500,523.08</w:t>
            </w:r>
            <w:r>
              <w:rPr>
                <w:rFonts w:ascii="Times New Roman"/>
                <w:sz w:val="18"/>
              </w:rPr>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1,462,589.05</w:t>
            </w:r>
            <w:r>
              <w:rPr>
                <w:rFonts w:ascii="Times New Roman"/>
                <w:sz w:val="18"/>
              </w:rPr>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41,478,405.96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28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bookmarkStart w:name="3）本期计提、收回或转回的坏账准备情况" w:id="348"/>
      <w:bookmarkEnd w:id="348"/>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79"/>
        <w:gridCol w:w="1087"/>
        <w:gridCol w:w="1332"/>
        <w:gridCol w:w="1452"/>
        <w:gridCol w:w="1198"/>
        <w:gridCol w:w="1346"/>
        <w:gridCol w:w="1574"/>
      </w:tblGrid>
      <w:tr>
        <w:trPr>
          <w:trHeight w:val="402" w:hRule="exact"/>
        </w:trPr>
        <w:tc>
          <w:tcPr>
            <w:tcW w:w="157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79" w:type="dxa"/>
            <w:vMerge/>
            <w:tcBorders>
              <w:left w:val="single" w:sz="4" w:space="0" w:color="000000"/>
              <w:bottom w:val="single" w:sz="4" w:space="0" w:color="000000"/>
              <w:right w:val="single" w:sz="4" w:space="0" w:color="000000"/>
            </w:tcBorders>
            <w:shd w:val="clear" w:color="auto" w:fill="D4D4D4"/>
          </w:tcPr>
          <w:p>
            <w:pPr/>
          </w:p>
        </w:tc>
        <w:tc>
          <w:tcPr>
            <w:tcW w:w="1087" w:type="dxa"/>
            <w:vMerge/>
            <w:tcBorders>
              <w:left w:val="single" w:sz="4" w:space="0" w:color="000000"/>
              <w:bottom w:val="single" w:sz="4" w:space="0" w:color="000000"/>
              <w:right w:val="single" w:sz="4" w:space="0" w:color="000000"/>
            </w:tcBorders>
            <w:shd w:val="clear" w:color="auto" w:fill="D4D4D4"/>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账龄信用风险特征 组合</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6,822,913.70</w:t>
            </w:r>
            <w:r>
              <w:rPr>
                <w:rFonts w:ascii="Times New Roman"/>
                <w:sz w:val="18"/>
              </w:rPr>
            </w:r>
          </w:p>
        </w:tc>
        <w:tc>
          <w:tcPr>
            <w:tcW w:w="1332"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1,146,937.22</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5,675,976.48</w:t>
            </w:r>
            <w:r>
              <w:rPr>
                <w:rFonts w:ascii="Times New Roman"/>
                <w:sz w:val="18"/>
              </w:rPr>
            </w:r>
          </w:p>
        </w:tc>
      </w:tr>
      <w:tr>
        <w:trPr>
          <w:trHeight w:val="403"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性质组合</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414,516.48</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351,544.35</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62,972.13</w:t>
            </w:r>
          </w:p>
        </w:tc>
      </w:tr>
      <w:tr>
        <w:trPr>
          <w:trHeight w:val="403" w:hRule="exact"/>
        </w:trPr>
        <w:tc>
          <w:tcPr>
            <w:tcW w:w="15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7,237,430.18</w:t>
            </w:r>
            <w:r>
              <w:rPr>
                <w:rFonts w:ascii="Times New Roman"/>
                <w:sz w:val="18"/>
              </w:rPr>
            </w:r>
          </w:p>
        </w:tc>
        <w:tc>
          <w:tcPr>
            <w:tcW w:w="1332"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1,498,481.57</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5,738,948.61</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按欠款方归集的期末余额前五名的其他应收款情况" w:id="349"/>
      <w:bookmarkEnd w:id="349"/>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pict>
          <v:group style="position:absolute;margin-left:56.400002pt;margin-top:19.071728pt;width:478.95pt;height:157.2pt;mso-position-horizontal-relative:page;mso-position-vertical-relative:paragraph;z-index:-985288" coordorigin="1128,381" coordsize="9579,3144">
            <v:group style="position:absolute;left:1140;top:396;width:1673;height:704" coordorigin="1140,396" coordsize="1673,704">
              <v:shape style="position:absolute;left:1140;top:396;width:1673;height:704" coordorigin="1140,396" coordsize="1673,704" path="m1140,1099l2813,1099,2813,396,1140,396,1140,1099xe" filled="true" fillcolor="#d4d4d4" stroked="false">
                <v:path arrowok="t"/>
                <v:fill type="solid"/>
              </v:shape>
            </v:group>
            <v:group style="position:absolute;left:1162;top:552;width:1628;height:392" coordorigin="1162,552" coordsize="1628,392">
              <v:shape style="position:absolute;left:1162;top:552;width:1628;height:392" coordorigin="1162,552" coordsize="1628,392" path="m1162,943l2789,943,2789,552,1162,552,1162,943xe" filled="true" fillcolor="#d4d4d4" stroked="false">
                <v:path arrowok="t"/>
                <v:fill type="solid"/>
              </v:shape>
            </v:group>
            <v:group style="position:absolute;left:2822;top:396;width:1541;height:704" coordorigin="2822,396" coordsize="1541,704">
              <v:shape style="position:absolute;left:2822;top:396;width:1541;height:704" coordorigin="2822,396" coordsize="1541,704" path="m2822,1099l4363,1099,4363,396,2822,396,2822,1099xe" filled="true" fillcolor="#d4d4d4" stroked="false">
                <v:path arrowok="t"/>
                <v:fill type="solid"/>
              </v:shape>
            </v:group>
            <v:group style="position:absolute;left:2846;top:552;width:1496;height:392" coordorigin="2846,552" coordsize="1496,392">
              <v:shape style="position:absolute;left:2846;top:552;width:1496;height:392" coordorigin="2846,552" coordsize="1496,392" path="m2846,943l4342,943,4342,552,2846,552,2846,943xe" filled="true" fillcolor="#d4d4d4" stroked="false">
                <v:path arrowok="t"/>
                <v:fill type="solid"/>
              </v:shape>
            </v:group>
            <v:group style="position:absolute;left:4373;top:396;width:1544;height:704" coordorigin="4373,396" coordsize="1544,704">
              <v:shape style="position:absolute;left:4373;top:396;width:1544;height:704" coordorigin="4373,396" coordsize="1544,704" path="m4373,1099l5916,1099,5916,396,4373,396,4373,1099xe" filled="true" fillcolor="#d4d4d4" stroked="false">
                <v:path arrowok="t"/>
                <v:fill type="solid"/>
              </v:shape>
            </v:group>
            <v:group style="position:absolute;left:4397;top:552;width:1496;height:392" coordorigin="4397,552" coordsize="1496,392">
              <v:shape style="position:absolute;left:4397;top:552;width:1496;height:392" coordorigin="4397,552" coordsize="1496,392" path="m4397,943l5892,943,5892,552,4397,552,4397,943xe" filled="true" fillcolor="#d4d4d4" stroked="false">
                <v:path arrowok="t"/>
                <v:fill type="solid"/>
              </v:shape>
            </v:group>
            <v:group style="position:absolute;left:5926;top:396;width:1544;height:704" coordorigin="5926,396" coordsize="1544,704">
              <v:shape style="position:absolute;left:5926;top:396;width:1544;height:704" coordorigin="5926,396" coordsize="1544,704" path="m5926,1099l7469,1099,7469,396,5926,396,5926,1099xe" filled="true" fillcolor="#d4d4d4" stroked="false">
                <v:path arrowok="t"/>
                <v:fill type="solid"/>
              </v:shape>
            </v:group>
            <v:group style="position:absolute;left:5950;top:552;width:1496;height:392" coordorigin="5950,552" coordsize="1496,392">
              <v:shape style="position:absolute;left:5950;top:552;width:1496;height:392" coordorigin="5950,552" coordsize="1496,392" path="m5950,943l7445,943,7445,552,5950,552,5950,943xe" filled="true" fillcolor="#d4d4d4" stroked="false">
                <v:path arrowok="t"/>
                <v:fill type="solid"/>
              </v:shape>
            </v:group>
            <v:group style="position:absolute;left:7478;top:396;width:1606;height:704" coordorigin="7478,396" coordsize="1606,704">
              <v:shape style="position:absolute;left:7478;top:396;width:1606;height:704" coordorigin="7478,396" coordsize="1606,704" path="m7478,1099l9084,1099,9084,396,7478,396,7478,1099xe" filled="true" fillcolor="#d4d4d4" stroked="false">
                <v:path arrowok="t"/>
                <v:fill type="solid"/>
              </v:shape>
            </v:group>
            <v:group style="position:absolute;left:7500;top:396;width:1560;height:353" coordorigin="7500,396" coordsize="1560,353">
              <v:shape style="position:absolute;left:7500;top:396;width:1560;height:353" coordorigin="7500,396" coordsize="1560,353" path="m7500,749l9060,749,9060,396,7500,396,7500,749xe" filled="true" fillcolor="#d4d4d4" stroked="false">
                <v:path arrowok="t"/>
                <v:fill type="solid"/>
              </v:shape>
            </v:group>
            <v:group style="position:absolute;left:7500;top:749;width:1560;height:351" coordorigin="7500,749" coordsize="1560,351">
              <v:shape style="position:absolute;left:7500;top:749;width:1560;height:351" coordorigin="7500,749" coordsize="1560,351" path="m7500,1099l9060,1099,9060,749,7500,749,7500,1099xe" filled="true" fillcolor="#d4d4d4" stroked="false">
                <v:path arrowok="t"/>
                <v:fill type="solid"/>
              </v:shape>
            </v:group>
            <v:group style="position:absolute;left:9094;top:396;width:1604;height:704" coordorigin="9094,396" coordsize="1604,704">
              <v:shape style="position:absolute;left:9094;top:396;width:1604;height:704" coordorigin="9094,396" coordsize="1604,704" path="m9094,1099l10697,1099,10697,396,9094,396,9094,1099xe" filled="true" fillcolor="#d4d4d4" stroked="false">
                <v:path arrowok="t"/>
                <v:fill type="solid"/>
              </v:shape>
            </v:group>
            <v:group style="position:absolute;left:9115;top:552;width:1560;height:392" coordorigin="9115,552" coordsize="1560,392">
              <v:shape style="position:absolute;left:9115;top:552;width:1560;height:392" coordorigin="9115,552" coordsize="1560,392" path="m9115,943l10675,943,10675,552,9115,552,9115,943xe" filled="true" fillcolor="#d4d4d4" stroked="false">
                <v:path arrowok="t"/>
                <v:fill type="solid"/>
              </v:shape>
            </v:group>
            <v:group style="position:absolute;left:1138;top:391;width:1676;height:2" coordorigin="1138,391" coordsize="1676,2">
              <v:shape style="position:absolute;left:1138;top:391;width:1676;height:2" coordorigin="1138,391" coordsize="1676,0" path="m1138,391l2813,391e" filled="false" stroked="true" strokeweight=".48pt" strokecolor="#000000">
                <v:path arrowok="t"/>
              </v:shape>
            </v:group>
            <v:group style="position:absolute;left:2822;top:391;width:1541;height:2" coordorigin="2822,391" coordsize="1541,2">
              <v:shape style="position:absolute;left:2822;top:391;width:1541;height:2" coordorigin="2822,391" coordsize="1541,0" path="m2822,391l4363,391e" filled="false" stroked="true" strokeweight=".48pt" strokecolor="#000000">
                <v:path arrowok="t"/>
              </v:shape>
            </v:group>
            <v:group style="position:absolute;left:4373;top:391;width:1544;height:2" coordorigin="4373,391" coordsize="1544,2">
              <v:shape style="position:absolute;left:4373;top:391;width:1544;height:2" coordorigin="4373,391" coordsize="1544,0" path="m4373,391l5916,391e" filled="false" stroked="true" strokeweight=".48pt" strokecolor="#000000">
                <v:path arrowok="t"/>
              </v:shape>
            </v:group>
            <v:group style="position:absolute;left:5926;top:391;width:1541;height:2" coordorigin="5926,391" coordsize="1541,2">
              <v:shape style="position:absolute;left:5926;top:391;width:1541;height:2" coordorigin="5926,391" coordsize="1541,0" path="m5926,391l7466,391e" filled="false" stroked="true" strokeweight=".48pt" strokecolor="#000000">
                <v:path arrowok="t"/>
              </v:shape>
            </v:group>
            <v:group style="position:absolute;left:7476;top:391;width:1606;height:2" coordorigin="7476,391" coordsize="1606,2">
              <v:shape style="position:absolute;left:7476;top:391;width:1606;height:2" coordorigin="7476,391" coordsize="1606,0" path="m7476,391l9082,391e" filled="false" stroked="true" strokeweight=".48pt" strokecolor="#000000">
                <v:path arrowok="t"/>
              </v:shape>
            </v:group>
            <v:group style="position:absolute;left:9091;top:391;width:1606;height:2" coordorigin="9091,391" coordsize="1606,2">
              <v:shape style="position:absolute;left:9091;top:391;width:1606;height:2" coordorigin="9091,391" coordsize="1606,0" path="m9091,391l10697,391e" filled="false" stroked="true" strokeweight=".48pt" strokecolor="#000000">
                <v:path arrowok="t"/>
              </v:shape>
            </v:group>
            <v:group style="position:absolute;left:9060;top:1109;width:25;height:394" coordorigin="9060,1109" coordsize="25,394">
              <v:shape style="position:absolute;left:9060;top:1109;width:25;height:394" coordorigin="9060,1109" coordsize="25,394" path="m9060,1502l9084,1502,9084,1109,9060,1109,9060,1502xe" filled="true" fillcolor="#ffffff" stroked="false">
                <v:path arrowok="t"/>
                <v:fill type="solid"/>
              </v:shape>
            </v:group>
            <v:group style="position:absolute;left:7478;top:1109;width:22;height:394" coordorigin="7478,1109" coordsize="22,394">
              <v:shape style="position:absolute;left:7478;top:1109;width:22;height:394" coordorigin="7478,1109" coordsize="22,394" path="m7478,1502l7500,1502,7500,1109,7478,1109,7478,1502xe" filled="true" fillcolor="#ffffff" stroked="false">
                <v:path arrowok="t"/>
                <v:fill type="solid"/>
              </v:shape>
            </v:group>
            <v:group style="position:absolute;left:7500;top:1109;width:1560;height:394" coordorigin="7500,1109" coordsize="1560,394">
              <v:shape style="position:absolute;left:7500;top:1109;width:1560;height:394" coordorigin="7500,1109" coordsize="1560,394" path="m7500,1502l9060,1502,9060,1109,7500,1109,7500,1502xe" filled="true" fillcolor="#ffffff" stroked="false">
                <v:path arrowok="t"/>
                <v:fill type="solid"/>
              </v:shape>
            </v:group>
            <v:group style="position:absolute;left:1138;top:1104;width:1676;height:2" coordorigin="1138,1104" coordsize="1676,2">
              <v:shape style="position:absolute;left:1138;top:1104;width:1676;height:2" coordorigin="1138,1104" coordsize="1676,0" path="m1138,1104l2813,1104e" filled="false" stroked="true" strokeweight=".48pt" strokecolor="#000000">
                <v:path arrowok="t"/>
              </v:shape>
            </v:group>
            <v:group style="position:absolute;left:2822;top:1104;width:1541;height:2" coordorigin="2822,1104" coordsize="1541,2">
              <v:shape style="position:absolute;left:2822;top:1104;width:1541;height:2" coordorigin="2822,1104" coordsize="1541,0" path="m2822,1104l4363,1104e" filled="false" stroked="true" strokeweight=".48pt" strokecolor="#000000">
                <v:path arrowok="t"/>
              </v:shape>
            </v:group>
            <v:group style="position:absolute;left:4373;top:1104;width:1544;height:2" coordorigin="4373,1104" coordsize="1544,2">
              <v:shape style="position:absolute;left:4373;top:1104;width:1544;height:2" coordorigin="4373,1104" coordsize="1544,0" path="m4373,1104l5916,1104e" filled="false" stroked="true" strokeweight=".48pt" strokecolor="#000000">
                <v:path arrowok="t"/>
              </v:shape>
            </v:group>
            <v:group style="position:absolute;left:5926;top:1104;width:1541;height:2" coordorigin="5926,1104" coordsize="1541,2">
              <v:shape style="position:absolute;left:5926;top:1104;width:1541;height:2" coordorigin="5926,1104" coordsize="1541,0" path="m5926,1104l7466,1104e" filled="false" stroked="true" strokeweight=".48pt" strokecolor="#000000">
                <v:path arrowok="t"/>
              </v:shape>
            </v:group>
            <v:group style="position:absolute;left:7476;top:1104;width:1606;height:2" coordorigin="7476,1104" coordsize="1606,2">
              <v:shape style="position:absolute;left:7476;top:1104;width:1606;height:2" coordorigin="7476,1104" coordsize="1606,0" path="m7476,1104l9082,1104e" filled="false" stroked="true" strokeweight=".48pt" strokecolor="#000000">
                <v:path arrowok="t"/>
              </v:shape>
            </v:group>
            <v:group style="position:absolute;left:9091;top:1104;width:1606;height:2" coordorigin="9091,1104" coordsize="1606,2">
              <v:shape style="position:absolute;left:9091;top:1104;width:1606;height:2" coordorigin="9091,1104" coordsize="1606,0" path="m9091,1104l10697,1104e" filled="false" stroked="true" strokeweight=".48pt" strokecolor="#000000">
                <v:path arrowok="t"/>
              </v:shape>
            </v:group>
            <v:group style="position:absolute;left:9060;top:1512;width:25;height:392" coordorigin="9060,1512" coordsize="25,392">
              <v:shape style="position:absolute;left:9060;top:1512;width:25;height:392" coordorigin="9060,1512" coordsize="25,392" path="m9060,1903l9084,1903,9084,1512,9060,1512,9060,1903xe" filled="true" fillcolor="#ffffff" stroked="false">
                <v:path arrowok="t"/>
                <v:fill type="solid"/>
              </v:shape>
            </v:group>
            <v:group style="position:absolute;left:7478;top:1512;width:22;height:392" coordorigin="7478,1512" coordsize="22,392">
              <v:shape style="position:absolute;left:7478;top:1512;width:22;height:392" coordorigin="7478,1512" coordsize="22,392" path="m7478,1903l7500,1903,7500,1512,7478,1512,7478,1903xe" filled="true" fillcolor="#ffffff" stroked="false">
                <v:path arrowok="t"/>
                <v:fill type="solid"/>
              </v:shape>
            </v:group>
            <v:group style="position:absolute;left:7500;top:1512;width:1560;height:392" coordorigin="7500,1512" coordsize="1560,392">
              <v:shape style="position:absolute;left:7500;top:1512;width:1560;height:392" coordorigin="7500,1512" coordsize="1560,392" path="m7500,1903l9060,1903,9060,1512,7500,1512,7500,1903xe" filled="true" fillcolor="#ffffff" stroked="false">
                <v:path arrowok="t"/>
                <v:fill type="solid"/>
              </v:shape>
            </v:group>
            <v:group style="position:absolute;left:9060;top:1913;width:25;height:394" coordorigin="9060,1913" coordsize="25,394">
              <v:shape style="position:absolute;left:9060;top:1913;width:25;height:394" coordorigin="9060,1913" coordsize="25,394" path="m9060,2306l9084,2306,9084,1913,9060,1913,9060,2306xe" filled="true" fillcolor="#ffffff" stroked="false">
                <v:path arrowok="t"/>
                <v:fill type="solid"/>
              </v:shape>
            </v:group>
            <v:group style="position:absolute;left:7478;top:1913;width:22;height:394" coordorigin="7478,1913" coordsize="22,394">
              <v:shape style="position:absolute;left:7478;top:1913;width:22;height:394" coordorigin="7478,1913" coordsize="22,394" path="m7478,2306l7500,2306,7500,1913,7478,1913,7478,2306xe" filled="true" fillcolor="#ffffff" stroked="false">
                <v:path arrowok="t"/>
                <v:fill type="solid"/>
              </v:shape>
            </v:group>
            <v:group style="position:absolute;left:7500;top:1913;width:1560;height:394" coordorigin="7500,1913" coordsize="1560,394">
              <v:shape style="position:absolute;left:7500;top:1913;width:1560;height:394" coordorigin="7500,1913" coordsize="1560,394" path="m7500,2306l9060,2306,9060,1913,7500,1913,7500,2306xe" filled="true" fillcolor="#ffffff" stroked="false">
                <v:path arrowok="t"/>
                <v:fill type="solid"/>
              </v:shape>
            </v:group>
            <v:group style="position:absolute;left:9060;top:2316;width:25;height:392" coordorigin="9060,2316" coordsize="25,392">
              <v:shape style="position:absolute;left:9060;top:2316;width:25;height:392" coordorigin="9060,2316" coordsize="25,392" path="m9060,2707l9084,2707,9084,2316,9060,2316,9060,2707xe" filled="true" fillcolor="#ffffff" stroked="false">
                <v:path arrowok="t"/>
                <v:fill type="solid"/>
              </v:shape>
            </v:group>
            <v:group style="position:absolute;left:7478;top:2316;width:22;height:392" coordorigin="7478,2316" coordsize="22,392">
              <v:shape style="position:absolute;left:7478;top:2316;width:22;height:392" coordorigin="7478,2316" coordsize="22,392" path="m7478,2707l7500,2707,7500,2316,7478,2316,7478,2707xe" filled="true" fillcolor="#ffffff" stroked="false">
                <v:path arrowok="t"/>
                <v:fill type="solid"/>
              </v:shape>
            </v:group>
            <v:group style="position:absolute;left:7500;top:2316;width:1560;height:392" coordorigin="7500,2316" coordsize="1560,392">
              <v:shape style="position:absolute;left:7500;top:2316;width:1560;height:392" coordorigin="7500,2316" coordsize="1560,392" path="m7500,2707l9060,2707,9060,2316,7500,2316,7500,2707xe" filled="true" fillcolor="#ffffff" stroked="false">
                <v:path arrowok="t"/>
                <v:fill type="solid"/>
              </v:shape>
            </v:group>
            <v:group style="position:absolute;left:2789;top:3120;width:24;height:392" coordorigin="2789,3120" coordsize="24,392">
              <v:shape style="position:absolute;left:2789;top:3120;width:24;height:392" coordorigin="2789,3120" coordsize="24,392" path="m2789,3511l2813,3511,2813,3120,2789,3120,2789,3511xe" filled="true" fillcolor="#d4d4d4" stroked="false">
                <v:path arrowok="t"/>
                <v:fill type="solid"/>
              </v:shape>
            </v:group>
            <v:group style="position:absolute;left:1140;top:3120;width:22;height:392" coordorigin="1140,3120" coordsize="22,392">
              <v:shape style="position:absolute;left:1140;top:3120;width:22;height:392" coordorigin="1140,3120" coordsize="22,392" path="m1140,3511l1162,3511,1162,3120,1140,3120,1140,3511xe" filled="true" fillcolor="#d4d4d4" stroked="false">
                <v:path arrowok="t"/>
                <v:fill type="solid"/>
              </v:shape>
            </v:group>
            <v:group style="position:absolute;left:1162;top:3120;width:1628;height:392" coordorigin="1162,3120" coordsize="1628,392">
              <v:shape style="position:absolute;left:1162;top:3120;width:1628;height:392" coordorigin="1162,3120" coordsize="1628,392" path="m1162,3511l2789,3511,2789,3120,1162,3120,1162,3511xe" filled="true" fillcolor="#d4d4d4" stroked="false">
                <v:path arrowok="t"/>
                <v:fill type="solid"/>
              </v:shape>
            </v:group>
            <v:group style="position:absolute;left:2822;top:3120;width:24;height:392" coordorigin="2822,3120" coordsize="24,392">
              <v:shape style="position:absolute;left:2822;top:3120;width:24;height:392" coordorigin="2822,3120" coordsize="24,392" path="m2822,3511l2846,3511,2846,3120,2822,3120,2822,3511xe" filled="true" fillcolor="#d4d4d4" stroked="false">
                <v:path arrowok="t"/>
                <v:fill type="solid"/>
              </v:shape>
            </v:group>
            <v:group style="position:absolute;left:4342;top:3120;width:22;height:392" coordorigin="4342,3120" coordsize="22,392">
              <v:shape style="position:absolute;left:4342;top:3120;width:22;height:392" coordorigin="4342,3120" coordsize="22,392" path="m4342,3511l4363,3511,4363,3120,4342,3120,4342,3511xe" filled="true" fillcolor="#d4d4d4" stroked="false">
                <v:path arrowok="t"/>
                <v:fill type="solid"/>
              </v:shape>
            </v:group>
            <v:group style="position:absolute;left:2846;top:3120;width:1496;height:392" coordorigin="2846,3120" coordsize="1496,392">
              <v:shape style="position:absolute;left:2846;top:3120;width:1496;height:392" coordorigin="2846,3120" coordsize="1496,392" path="m2846,3511l4342,3511,4342,3120,2846,3120,2846,3511xe" filled="true" fillcolor="#d4d4d4" stroked="false">
                <v:path arrowok="t"/>
                <v:fill type="solid"/>
              </v:shape>
            </v:group>
            <v:group style="position:absolute;left:1138;top:3115;width:1676;height:2" coordorigin="1138,3115" coordsize="1676,2">
              <v:shape style="position:absolute;left:1138;top:3115;width:1676;height:2" coordorigin="1138,3115" coordsize="1676,0" path="m1138,3115l2813,3115e" filled="false" stroked="true" strokeweight=".481pt" strokecolor="#000000">
                <v:path arrowok="t"/>
              </v:shape>
            </v:group>
            <v:group style="position:absolute;left:2822;top:3115;width:1541;height:2" coordorigin="2822,3115" coordsize="1541,2">
              <v:shape style="position:absolute;left:2822;top:3115;width:1541;height:2" coordorigin="2822,3115" coordsize="1541,0" path="m2822,3115l4363,3115e" filled="false" stroked="true" strokeweight=".481pt" strokecolor="#000000">
                <v:path arrowok="t"/>
              </v:shape>
            </v:group>
            <v:group style="position:absolute;left:7445;top:3120;width:24;height:392" coordorigin="7445,3120" coordsize="24,392">
              <v:shape style="position:absolute;left:7445;top:3120;width:24;height:392" coordorigin="7445,3120" coordsize="24,392" path="m7445,3511l7469,3511,7469,3120,7445,3120,7445,3511xe" filled="true" fillcolor="#d4d4d4" stroked="false">
                <v:path arrowok="t"/>
                <v:fill type="solid"/>
              </v:shape>
            </v:group>
            <v:group style="position:absolute;left:5926;top:3120;width:24;height:392" coordorigin="5926,3120" coordsize="24,392">
              <v:shape style="position:absolute;left:5926;top:3120;width:24;height:392" coordorigin="5926,3120" coordsize="24,392" path="m5926,3511l5950,3511,5950,3120,5926,3120,5926,3511xe" filled="true" fillcolor="#d4d4d4" stroked="false">
                <v:path arrowok="t"/>
                <v:fill type="solid"/>
              </v:shape>
            </v:group>
            <v:group style="position:absolute;left:5950;top:3120;width:1496;height:392" coordorigin="5950,3120" coordsize="1496,392">
              <v:shape style="position:absolute;left:5950;top:3120;width:1496;height:392" coordorigin="5950,3120" coordsize="1496,392" path="m5950,3511l7445,3511,7445,3120,5950,3120,5950,3511xe" filled="true" fillcolor="#d4d4d4" stroked="false">
                <v:path arrowok="t"/>
                <v:fill type="solid"/>
              </v:shape>
            </v:group>
            <v:group style="position:absolute;left:4373;top:3115;width:1544;height:2" coordorigin="4373,3115" coordsize="1544,2">
              <v:shape style="position:absolute;left:4373;top:3115;width:1544;height:2" coordorigin="4373,3115" coordsize="1544,0" path="m4373,3115l5916,3115e" filled="false" stroked="true" strokeweight=".481pt" strokecolor="#000000">
                <v:path arrowok="t"/>
              </v:shape>
            </v:group>
            <v:group style="position:absolute;left:5926;top:3115;width:1541;height:2" coordorigin="5926,3115" coordsize="1541,2">
              <v:shape style="position:absolute;left:5926;top:3115;width:1541;height:2" coordorigin="5926,3115" coordsize="1541,0" path="m5926,3115l7466,3115e" filled="false" stroked="true" strokeweight=".481pt" strokecolor="#000000">
                <v:path arrowok="t"/>
              </v:shape>
            </v:group>
            <v:group style="position:absolute;left:7476;top:3115;width:1606;height:2" coordorigin="7476,3115" coordsize="1606,2">
              <v:shape style="position:absolute;left:7476;top:3115;width:1606;height:2" coordorigin="7476,3115" coordsize="1606,0" path="m7476,3115l9082,3115e" filled="false" stroked="true" strokeweight=".481pt" strokecolor="#000000">
                <v:path arrowok="t"/>
              </v:shape>
            </v:group>
            <v:group style="position:absolute;left:9091;top:3115;width:1606;height:2" coordorigin="9091,3115" coordsize="1606,2">
              <v:shape style="position:absolute;left:9091;top:3115;width:1606;height:2" coordorigin="9091,3115" coordsize="1606,0" path="m9091,3115l10697,3115e" filled="false" stroked="true" strokeweight=".481pt" strokecolor="#000000">
                <v:path arrowok="t"/>
              </v:shape>
            </v:group>
            <v:group style="position:absolute;left:1133;top:386;width:2;height:3135" coordorigin="1133,386" coordsize="2,3135">
              <v:shape style="position:absolute;left:1133;top:386;width:2;height:3135" coordorigin="1133,386" coordsize="0,3135" path="m1133,386l1133,3521e" filled="false" stroked="true" strokeweight=".48pt" strokecolor="#000000">
                <v:path arrowok="t"/>
              </v:shape>
            </v:group>
            <v:group style="position:absolute;left:1138;top:3516;width:1676;height:2" coordorigin="1138,3516" coordsize="1676,2">
              <v:shape style="position:absolute;left:1138;top:3516;width:1676;height:2" coordorigin="1138,3516" coordsize="1676,0" path="m1138,3516l2813,3516e" filled="false" stroked="true" strokeweight=".48pt" strokecolor="#000000">
                <v:path arrowok="t"/>
              </v:shape>
            </v:group>
            <v:group style="position:absolute;left:2822;top:3516;width:1541;height:2" coordorigin="2822,3516" coordsize="1541,2">
              <v:shape style="position:absolute;left:2822;top:3516;width:1541;height:2" coordorigin="2822,3516" coordsize="1541,0" path="m2822,3516l4363,3516e" filled="false" stroked="true" strokeweight=".48pt" strokecolor="#000000">
                <v:path arrowok="t"/>
              </v:shape>
            </v:group>
            <v:group style="position:absolute;left:4368;top:386;width:2;height:3135" coordorigin="4368,386" coordsize="2,3135">
              <v:shape style="position:absolute;left:4368;top:386;width:2;height:3135" coordorigin="4368,386" coordsize="0,3135" path="m4368,386l4368,3521e" filled="false" stroked="true" strokeweight=".48pt" strokecolor="#000000">
                <v:path arrowok="t"/>
              </v:shape>
            </v:group>
            <v:group style="position:absolute;left:4373;top:3516;width:1544;height:2" coordorigin="4373,3516" coordsize="1544,2">
              <v:shape style="position:absolute;left:4373;top:3516;width:1544;height:2" coordorigin="4373,3516" coordsize="1544,0" path="m4373,3516l5916,3516e" filled="false" stroked="true" strokeweight=".48pt" strokecolor="#000000">
                <v:path arrowok="t"/>
              </v:shape>
            </v:group>
            <v:group style="position:absolute;left:5921;top:386;width:2;height:3135" coordorigin="5921,386" coordsize="2,3135">
              <v:shape style="position:absolute;left:5921;top:386;width:2;height:3135" coordorigin="5921,386" coordsize="0,3135" path="m5921,386l5921,3521e" filled="false" stroked="true" strokeweight=".48pt" strokecolor="#000000">
                <v:path arrowok="t"/>
              </v:shape>
            </v:group>
            <v:group style="position:absolute;left:5926;top:3516;width:1541;height:2" coordorigin="5926,3516" coordsize="1541,2">
              <v:shape style="position:absolute;left:5926;top:3516;width:1541;height:2" coordorigin="5926,3516" coordsize="1541,0" path="m5926,3516l7466,3516e" filled="false" stroked="true" strokeweight=".48pt" strokecolor="#000000">
                <v:path arrowok="t"/>
              </v:shape>
            </v:group>
            <v:group style="position:absolute;left:7471;top:386;width:2;height:3135" coordorigin="7471,386" coordsize="2,3135">
              <v:shape style="position:absolute;left:7471;top:386;width:2;height:3135" coordorigin="7471,386" coordsize="0,3135" path="m7471,386l7471,3521e" filled="false" stroked="true" strokeweight=".48pt" strokecolor="#000000">
                <v:path arrowok="t"/>
              </v:shape>
            </v:group>
            <v:group style="position:absolute;left:7476;top:3516;width:1606;height:2" coordorigin="7476,3516" coordsize="1606,2">
              <v:shape style="position:absolute;left:7476;top:3516;width:1606;height:2" coordorigin="7476,3516" coordsize="1606,0" path="m7476,3516l9082,3516e" filled="false" stroked="true" strokeweight=".48pt" strokecolor="#000000">
                <v:path arrowok="t"/>
              </v:shape>
            </v:group>
            <v:group style="position:absolute;left:9091;top:3516;width:1606;height:2" coordorigin="9091,3516" coordsize="1606,2">
              <v:shape style="position:absolute;left:9091;top:3516;width:1606;height:2" coordorigin="9091,3516" coordsize="1606,0" path="m9091,3516l10697,3516e" filled="false" stroked="true" strokeweight=".48pt" strokecolor="#000000">
                <v:path arrowok="t"/>
              </v:shape>
            </v:group>
            <v:group style="position:absolute;left:10702;top:386;width:2;height:3135" coordorigin="10702,386" coordsize="2,3135">
              <v:shape style="position:absolute;left:10702;top:386;width:2;height:3135" coordorigin="10702,386" coordsize="0,3135" path="m10702,386l10702,3521e" filled="false" stroked="true" strokeweight=".48pt" strokecolor="#000000">
                <v:path arrowok="t"/>
              </v:shape>
            </v:group>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7"/>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1685"/>
        <w:gridCol w:w="1550"/>
        <w:gridCol w:w="3158"/>
        <w:gridCol w:w="1560"/>
        <w:gridCol w:w="1685"/>
      </w:tblGrid>
      <w:tr>
        <w:trPr>
          <w:trHeight w:val="713" w:hRule="exact"/>
        </w:trPr>
        <w:tc>
          <w:tcPr>
            <w:tcW w:w="1685" w:type="dxa"/>
            <w:tcBorders>
              <w:top w:val="nil" w:sz="6" w:space="0" w:color="auto"/>
              <w:left w:val="nil" w:sz="6" w:space="0" w:color="auto"/>
              <w:bottom w:val="nil" w:sz="6" w:space="0" w:color="auto"/>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nil" w:sz="6" w:space="0" w:color="auto"/>
              <w:left w:val="single" w:sz="4" w:space="0" w:color="000000"/>
              <w:bottom w:val="nil" w:sz="6" w:space="0" w:color="auto"/>
              <w:right w:val="nil" w:sz="6" w:space="0" w:color="auto"/>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3158" w:type="dxa"/>
            <w:tcBorders>
              <w:top w:val="nil" w:sz="6" w:space="0" w:color="auto"/>
              <w:left w:val="nil" w:sz="6" w:space="0" w:color="auto"/>
              <w:bottom w:val="nil" w:sz="6" w:space="0" w:color="auto"/>
              <w:right w:val="nil" w:sz="6" w:space="0" w:color="auto"/>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tabs>
                <w:tab w:pos="2147" w:val="left" w:leader="none"/>
              </w:tabs>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期末余额</w:t>
              <w:tab/>
              <w:t>账龄</w:t>
            </w:r>
          </w:p>
        </w:tc>
        <w:tc>
          <w:tcPr>
            <w:tcW w:w="1560" w:type="dxa"/>
            <w:tcBorders>
              <w:top w:val="nil" w:sz="6" w:space="0" w:color="auto"/>
              <w:left w:val="nil" w:sz="6" w:space="0" w:color="auto"/>
              <w:bottom w:val="nil" w:sz="6" w:space="0" w:color="auto"/>
              <w:right w:val="single" w:sz="4" w:space="0" w:color="000000"/>
            </w:tcBorders>
            <w:shd w:val="clear" w:color="auto" w:fill="D4D4D4"/>
          </w:tcPr>
          <w:p>
            <w:pPr>
              <w:pStyle w:val="TableParagraph"/>
              <w:spacing w:line="316" w:lineRule="auto" w:before="56"/>
              <w:ind w:left="3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85" w:type="dxa"/>
            <w:tcBorders>
              <w:top w:val="nil" w:sz="6" w:space="0" w:color="auto"/>
              <w:left w:val="single" w:sz="4" w:space="0" w:color="000000"/>
              <w:bottom w:val="nil" w:sz="6" w:space="0" w:color="auto"/>
              <w:right w:val="nil" w:sz="6" w:space="0" w:color="auto"/>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5" w:type="dxa"/>
            <w:tcBorders>
              <w:top w:val="nil" w:sz="6" w:space="0" w:color="auto"/>
              <w:left w:val="nil" w:sz="6" w:space="0" w:color="auto"/>
              <w:bottom w:val="single" w:sz="4" w:space="0" w:color="000000"/>
              <w:right w:val="single" w:sz="4" w:space="0" w:color="000000"/>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0" w:type="dxa"/>
            <w:tcBorders>
              <w:top w:val="nil" w:sz="6" w:space="0" w:color="auto"/>
              <w:left w:val="single" w:sz="4" w:space="0" w:color="000000"/>
              <w:bottom w:val="single" w:sz="4" w:space="0" w:color="000000"/>
              <w:right w:val="nil" w:sz="6" w:space="0" w:color="auto"/>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应收关联方款</w:t>
            </w:r>
          </w:p>
        </w:tc>
        <w:tc>
          <w:tcPr>
            <w:tcW w:w="3158"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5,569,439.15</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560" w:type="dxa"/>
            <w:tcBorders>
              <w:top w:val="nil" w:sz="6" w:space="0" w:color="auto"/>
              <w:left w:val="nil" w:sz="6" w:space="0" w:color="auto"/>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13.43%</w:t>
            </w:r>
          </w:p>
        </w:tc>
        <w:tc>
          <w:tcPr>
            <w:tcW w:w="1685" w:type="dxa"/>
            <w:tcBorders>
              <w:top w:val="nil" w:sz="6" w:space="0" w:color="auto"/>
              <w:left w:val="single" w:sz="4" w:space="0" w:color="000000"/>
              <w:bottom w:val="single" w:sz="4" w:space="0" w:color="000000"/>
              <w:right w:val="nil" w:sz="6" w:space="0" w:color="auto"/>
            </w:tcBorders>
          </w:tcPr>
          <w:p>
            <w:pPr/>
          </w:p>
        </w:tc>
      </w:tr>
      <w:tr>
        <w:trPr>
          <w:trHeight w:val="401"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应收关联方款</w:t>
            </w:r>
          </w:p>
        </w:tc>
        <w:tc>
          <w:tcPr>
            <w:tcW w:w="315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1,274,378.25</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3.07%</w:t>
            </w:r>
          </w:p>
        </w:tc>
        <w:tc>
          <w:tcPr>
            <w:tcW w:w="1685"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5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1,259,442.50</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3.04%</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863" w:right="0"/>
              <w:jc w:val="left"/>
              <w:rPr>
                <w:rFonts w:ascii="Times New Roman" w:hAnsi="Times New Roman" w:cs="Times New Roman" w:eastAsia="Times New Roman" w:hint="default"/>
                <w:sz w:val="18"/>
                <w:szCs w:val="18"/>
              </w:rPr>
            </w:pPr>
            <w:r>
              <w:rPr>
                <w:rFonts w:ascii="Times New Roman"/>
                <w:sz w:val="18"/>
              </w:rPr>
              <w:t>62,972.13</w:t>
            </w:r>
          </w:p>
        </w:tc>
      </w:tr>
      <w:tr>
        <w:trPr>
          <w:trHeight w:val="401"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5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994,000.00</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2.40%</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863" w:right="0"/>
              <w:jc w:val="left"/>
              <w:rPr>
                <w:rFonts w:ascii="Times New Roman" w:hAnsi="Times New Roman" w:cs="Times New Roman" w:eastAsia="Times New Roman" w:hint="default"/>
                <w:sz w:val="18"/>
                <w:szCs w:val="18"/>
              </w:rPr>
            </w:pPr>
            <w:r>
              <w:rPr>
                <w:rFonts w:ascii="Times New Roman"/>
                <w:sz w:val="18"/>
              </w:rPr>
              <w:t>49,700.00</w:t>
            </w:r>
          </w:p>
        </w:tc>
      </w:tr>
      <w:tr>
        <w:trPr>
          <w:trHeight w:val="403" w:hRule="exact"/>
        </w:trPr>
        <w:tc>
          <w:tcPr>
            <w:tcW w:w="1685" w:type="dxa"/>
            <w:tcBorders>
              <w:top w:val="single" w:sz="4" w:space="0" w:color="000000"/>
              <w:left w:val="nil" w:sz="6" w:space="0" w:color="auto"/>
              <w:bottom w:val="nil" w:sz="6" w:space="0" w:color="auto"/>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0" w:type="dxa"/>
            <w:tcBorders>
              <w:top w:val="single" w:sz="4" w:space="0" w:color="000000"/>
              <w:left w:val="single" w:sz="4" w:space="0" w:color="000000"/>
              <w:bottom w:val="nil" w:sz="6" w:space="0" w:color="auto"/>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5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7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889,910.90</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nil" w:sz="6" w:space="0" w:color="auto"/>
              <w:bottom w:val="nil" w:sz="6" w:space="0" w:color="auto"/>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2.14%</w:t>
            </w:r>
          </w:p>
        </w:tc>
        <w:tc>
          <w:tcPr>
            <w:tcW w:w="1685" w:type="dxa"/>
            <w:tcBorders>
              <w:top w:val="single" w:sz="4" w:space="0" w:color="000000"/>
              <w:left w:val="single" w:sz="4" w:space="0" w:color="000000"/>
              <w:bottom w:val="nil" w:sz="6" w:space="0" w:color="auto"/>
              <w:right w:val="nil" w:sz="6" w:space="0" w:color="auto"/>
            </w:tcBorders>
          </w:tcPr>
          <w:p>
            <w:pPr>
              <w:pStyle w:val="TableParagraph"/>
              <w:spacing w:line="240" w:lineRule="auto" w:before="93"/>
              <w:ind w:left="863" w:right="0"/>
              <w:jc w:val="left"/>
              <w:rPr>
                <w:rFonts w:ascii="Times New Roman" w:hAnsi="Times New Roman" w:cs="Times New Roman" w:eastAsia="Times New Roman" w:hint="default"/>
                <w:sz w:val="18"/>
                <w:szCs w:val="18"/>
              </w:rPr>
            </w:pPr>
            <w:r>
              <w:rPr>
                <w:rFonts w:ascii="Times New Roman"/>
                <w:sz w:val="18"/>
              </w:rPr>
              <w:t>88,991.09</w:t>
            </w:r>
          </w:p>
        </w:tc>
      </w:tr>
      <w:tr>
        <w:trPr>
          <w:trHeight w:val="401" w:hRule="exact"/>
        </w:trPr>
        <w:tc>
          <w:tcPr>
            <w:tcW w:w="1685" w:type="dxa"/>
            <w:tcBorders>
              <w:top w:val="nil" w:sz="6" w:space="0" w:color="auto"/>
              <w:left w:val="nil" w:sz="6" w:space="0" w:color="auto"/>
              <w:bottom w:val="nil" w:sz="6" w:space="0" w:color="auto"/>
              <w:right w:val="single" w:sz="4" w:space="0" w:color="000000"/>
            </w:tcBorders>
            <w:shd w:val="clear" w:color="auto" w:fill="D4D4D4"/>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nil" w:sz="6" w:space="0" w:color="auto"/>
              <w:left w:val="single" w:sz="4" w:space="0" w:color="000000"/>
              <w:bottom w:val="nil" w:sz="6" w:space="0" w:color="auto"/>
              <w:right w:val="nil" w:sz="6" w:space="0" w:color="auto"/>
            </w:tcBorders>
            <w:shd w:val="clear" w:color="auto" w:fill="D4D4D4"/>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sz w:val="18"/>
              </w:rPr>
              <w:t>--</w:t>
            </w:r>
          </w:p>
        </w:tc>
        <w:tc>
          <w:tcPr>
            <w:tcW w:w="3158" w:type="dxa"/>
            <w:tcBorders>
              <w:top w:val="nil" w:sz="6" w:space="0" w:color="auto"/>
              <w:left w:val="nil" w:sz="6" w:space="0" w:color="auto"/>
              <w:bottom w:val="nil" w:sz="6" w:space="0" w:color="auto"/>
              <w:right w:val="nil" w:sz="6" w:space="0" w:color="auto"/>
            </w:tcBorders>
          </w:tcPr>
          <w:p>
            <w:pPr>
              <w:pStyle w:val="TableParagraph"/>
              <w:tabs>
                <w:tab w:pos="2267" w:val="left" w:leader="none"/>
              </w:tabs>
              <w:spacing w:line="240" w:lineRule="auto" w:before="98"/>
              <w:ind w:left="578" w:right="0"/>
              <w:jc w:val="left"/>
              <w:rPr>
                <w:rFonts w:ascii="Times New Roman" w:hAnsi="Times New Roman" w:cs="Times New Roman" w:eastAsia="Times New Roman" w:hint="default"/>
                <w:sz w:val="18"/>
                <w:szCs w:val="18"/>
              </w:rPr>
            </w:pPr>
            <w:r>
              <w:rPr>
                <w:rFonts w:ascii="Times New Roman"/>
                <w:spacing w:val="-1"/>
                <w:sz w:val="18"/>
              </w:rPr>
              <w:t>9,987,170.80</w:t>
              <w:tab/>
            </w:r>
            <w:r>
              <w:rPr>
                <w:rFonts w:ascii="Times New Roman"/>
                <w:sz w:val="18"/>
              </w:rPr>
              <w:t>--</w:t>
            </w:r>
          </w:p>
        </w:tc>
        <w:tc>
          <w:tcPr>
            <w:tcW w:w="1560" w:type="dxa"/>
            <w:tcBorders>
              <w:top w:val="nil" w:sz="6" w:space="0" w:color="auto"/>
              <w:left w:val="nil" w:sz="6" w:space="0" w:color="auto"/>
              <w:bottom w:val="nil" w:sz="6" w:space="0" w:color="auto"/>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24.08%</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98"/>
              <w:ind w:left="772" w:right="0"/>
              <w:jc w:val="left"/>
              <w:rPr>
                <w:rFonts w:ascii="Times New Roman" w:hAnsi="Times New Roman" w:cs="Times New Roman" w:eastAsia="Times New Roman" w:hint="default"/>
                <w:sz w:val="18"/>
                <w:szCs w:val="18"/>
              </w:rPr>
            </w:pPr>
            <w:r>
              <w:rPr>
                <w:rFonts w:ascii="Times New Roman"/>
                <w:sz w:val="18"/>
              </w:rPr>
              <w:t>201,663.22</w:t>
            </w:r>
          </w:p>
        </w:tc>
      </w:tr>
      <w:tr>
        <w:trPr>
          <w:trHeight w:val="1265"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1"/>
                <w:szCs w:val="21"/>
              </w:rPr>
            </w:pPr>
            <w:bookmarkStart w:name="3、长期股权投资" w:id="350"/>
            <w:bookmarkEnd w:id="35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tc>
        <w:tc>
          <w:tcPr>
            <w:tcW w:w="1550" w:type="dxa"/>
            <w:tcBorders>
              <w:top w:val="nil" w:sz="6" w:space="0" w:color="auto"/>
              <w:left w:val="nil" w:sz="6" w:space="0" w:color="auto"/>
              <w:bottom w:val="nil" w:sz="6" w:space="0" w:color="auto"/>
              <w:right w:val="nil" w:sz="6" w:space="0" w:color="auto"/>
            </w:tcBorders>
          </w:tcPr>
          <w:p>
            <w:pPr/>
          </w:p>
        </w:tc>
        <w:tc>
          <w:tcPr>
            <w:tcW w:w="315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873"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tc>
      </w:tr>
    </w:tbl>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67,708,000.00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67,708,000.00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11,708,000.00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11,708,000.00</w:t>
            </w:r>
            <w:r>
              <w:rPr>
                <w:rFonts w:ascii="Times New Roman"/>
                <w:sz w:val="18"/>
              </w:rPr>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107,125,640.14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107,125,640.14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100,606,192.81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100,606,192.81</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174,833,640.14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174,833,640.14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112,314,192.81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112,314,192.81</w:t>
            </w:r>
          </w:p>
        </w:tc>
      </w:tr>
    </w:tbl>
    <w:p>
      <w:pPr>
        <w:spacing w:line="240" w:lineRule="auto" w:before="9"/>
        <w:rPr>
          <w:rFonts w:ascii="宋体" w:hAnsi="宋体" w:cs="宋体" w:eastAsia="宋体" w:hint="default"/>
          <w:sz w:val="19"/>
          <w:szCs w:val="19"/>
        </w:rPr>
      </w:pPr>
    </w:p>
    <w:p>
      <w:pPr>
        <w:pStyle w:val="Heading3"/>
        <w:spacing w:line="240" w:lineRule="auto" w:before="36"/>
        <w:ind w:right="0"/>
        <w:jc w:val="left"/>
        <w:rPr>
          <w:b w:val="0"/>
          <w:bCs w:val="0"/>
        </w:rPr>
      </w:pPr>
      <w:bookmarkStart w:name="（1）对子公司投资" w:id="351"/>
      <w:bookmarkEnd w:id="351"/>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6"/>
        <w:gridCol w:w="1166"/>
        <w:gridCol w:w="1166"/>
        <w:gridCol w:w="1164"/>
        <w:gridCol w:w="1166"/>
        <w:gridCol w:w="1214"/>
        <w:gridCol w:w="1212"/>
        <w:gridCol w:w="1214"/>
      </w:tblGrid>
      <w:tr>
        <w:trPr>
          <w:trHeight w:val="402" w:hRule="exact"/>
        </w:trPr>
        <w:tc>
          <w:tcPr>
            <w:tcW w:w="12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4D4D4"/>
          </w:tcPr>
          <w:p>
            <w:pPr>
              <w:pStyle w:val="TableParagraph"/>
              <w:spacing w:line="300" w:lineRule="auto" w:before="95"/>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2" w:type="dxa"/>
            <w:vMerge w:val="restart"/>
            <w:tcBorders>
              <w:top w:val="single" w:sz="4" w:space="0" w:color="000000"/>
              <w:left w:val="single" w:sz="4" w:space="0" w:color="000000"/>
              <w:right w:val="single" w:sz="4" w:space="0" w:color="000000"/>
            </w:tcBorders>
            <w:shd w:val="clear" w:color="auto" w:fill="D4D4D4"/>
          </w:tcPr>
          <w:p>
            <w:pPr>
              <w:pStyle w:val="TableParagraph"/>
              <w:spacing w:line="300" w:lineRule="auto" w:before="95"/>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5"/>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2" w:hRule="exact"/>
        </w:trPr>
        <w:tc>
          <w:tcPr>
            <w:tcW w:w="1266" w:type="dxa"/>
            <w:vMerge/>
            <w:tcBorders>
              <w:left w:val="single" w:sz="4" w:space="0" w:color="000000"/>
              <w:bottom w:val="single" w:sz="4" w:space="0" w:color="000000"/>
              <w:right w:val="single" w:sz="4" w:space="0" w:color="000000"/>
            </w:tcBorders>
            <w:shd w:val="clear" w:color="auto" w:fill="D4D4D4"/>
          </w:tcPr>
          <w:p>
            <w:pPr/>
          </w:p>
        </w:tc>
        <w:tc>
          <w:tcPr>
            <w:tcW w:w="1166" w:type="dxa"/>
            <w:vMerge/>
            <w:tcBorders>
              <w:left w:val="single" w:sz="4" w:space="0" w:color="000000"/>
              <w:bottom w:val="single" w:sz="4" w:space="0" w:color="000000"/>
              <w:right w:val="single" w:sz="4" w:space="0" w:color="000000"/>
            </w:tcBorders>
            <w:shd w:val="clear" w:color="auto" w:fill="D4D4D4"/>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2" w:type="dxa"/>
            <w:vMerge/>
            <w:tcBorders>
              <w:left w:val="single" w:sz="4" w:space="0" w:color="000000"/>
              <w:bottom w:val="single" w:sz="4" w:space="0" w:color="000000"/>
              <w:right w:val="single" w:sz="4" w:space="0" w:color="000000"/>
            </w:tcBorders>
            <w:shd w:val="clear" w:color="auto" w:fill="D4D4D4"/>
          </w:tcPr>
          <w:p>
            <w:pPr/>
          </w:p>
        </w:tc>
        <w:tc>
          <w:tcPr>
            <w:tcW w:w="1214" w:type="dxa"/>
            <w:vMerge/>
            <w:tcBorders>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880" w:footer="977"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7"/>
        <w:gridCol w:w="1166"/>
        <w:gridCol w:w="1166"/>
        <w:gridCol w:w="1164"/>
        <w:gridCol w:w="1166"/>
        <w:gridCol w:w="1214"/>
        <w:gridCol w:w="1212"/>
        <w:gridCol w:w="1214"/>
      </w:tblGrid>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成都中科石油 工程技术股份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0" w:right="0"/>
              <w:jc w:val="center"/>
              <w:rPr>
                <w:rFonts w:ascii="Times New Roman" w:hAnsi="Times New Roman" w:cs="Times New Roman" w:eastAsia="Times New Roman" w:hint="default"/>
                <w:sz w:val="18"/>
                <w:szCs w:val="18"/>
              </w:rPr>
            </w:pPr>
            <w:r>
              <w:rPr>
                <w:rFonts w:ascii="Times New Roman"/>
                <w:sz w:val="18"/>
              </w:rPr>
              <w:t>2,708,000.00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2,708,000.00</w:t>
            </w:r>
            <w:r>
              <w:rPr>
                <w:rFonts w:ascii="Times New Roman"/>
                <w:sz w:val="18"/>
              </w:rPr>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1"/>
              <w:jc w:val="left"/>
              <w:rPr>
                <w:rFonts w:ascii="宋体" w:hAnsi="宋体" w:cs="宋体" w:eastAsia="宋体" w:hint="default"/>
                <w:sz w:val="18"/>
                <w:szCs w:val="18"/>
              </w:rPr>
            </w:pPr>
            <w:r>
              <w:rPr>
                <w:rFonts w:ascii="宋体" w:hAnsi="宋体" w:cs="宋体" w:eastAsia="宋体" w:hint="default"/>
                <w:sz w:val="18"/>
                <w:szCs w:val="18"/>
              </w:rPr>
              <w:t>成都中科信息 技术有限公司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0" w:right="0"/>
              <w:jc w:val="center"/>
              <w:rPr>
                <w:rFonts w:ascii="Times New Roman" w:hAnsi="Times New Roman" w:cs="Times New Roman" w:eastAsia="Times New Roman" w:hint="default"/>
                <w:sz w:val="18"/>
                <w:szCs w:val="18"/>
              </w:rPr>
            </w:pPr>
            <w:r>
              <w:rPr>
                <w:rFonts w:ascii="Times New Roman"/>
                <w:sz w:val="18"/>
              </w:rPr>
              <w:t>6,000,000.00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中科院金华信 息技术有限公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0" w:right="0"/>
              <w:jc w:val="center"/>
              <w:rPr>
                <w:rFonts w:ascii="Times New Roman" w:hAnsi="Times New Roman" w:cs="Times New Roman" w:eastAsia="Times New Roman" w:hint="default"/>
                <w:sz w:val="18"/>
                <w:szCs w:val="18"/>
              </w:rPr>
            </w:pPr>
            <w:r>
              <w:rPr>
                <w:rFonts w:ascii="Times New Roman"/>
                <w:sz w:val="18"/>
              </w:rPr>
              <w:t>3,000,000.00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center"/>
              <w:rPr>
                <w:rFonts w:ascii="Times New Roman" w:hAnsi="Times New Roman" w:cs="Times New Roman" w:eastAsia="Times New Roman" w:hint="default"/>
                <w:sz w:val="18"/>
                <w:szCs w:val="18"/>
              </w:rPr>
            </w:pPr>
            <w:r>
              <w:rPr>
                <w:rFonts w:ascii="Times New Roman"/>
                <w:sz w:val="18"/>
              </w:rPr>
              <w:t>11,708,000.00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67,708,000.00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对联营、合营企业投资" w:id="352"/>
      <w:bookmarkEnd w:id="352"/>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深圳市中 钞科信金 融科技有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100,606,1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92.81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8,519,447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107,125,6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40.14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100,606,1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92.81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8,519,447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107,125,6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40.14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100,606,1</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92.81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8,519,447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107,125,6</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40.14</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营业收入和营业成本" w:id="353"/>
      <w:bookmarkEnd w:id="35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3" w:hRule="exact"/>
        </w:trPr>
        <w:tc>
          <w:tcPr>
            <w:tcW w:w="19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4D4D4"/>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316,433,135.83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262,852,993.63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283,219,559.11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205,525,152.00</w:t>
            </w:r>
            <w:r>
              <w:rPr>
                <w:rFonts w:ascii="Times New Roman"/>
                <w:sz w:val="18"/>
              </w:rPr>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3,823,307.16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202,003.08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4,023,853.62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251,578.18</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320,256,442.99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263,054,996.71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287,243,412.73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205,776,730.18</w:t>
            </w:r>
            <w:r>
              <w:rPr>
                <w:rFonts w:ascii="Times New Roman"/>
                <w:sz w:val="18"/>
              </w:rPr>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0" w:lineRule="auto" w:before="115"/>
        <w:ind w:left="152" w:right="985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其他说明：</w:t>
      </w:r>
    </w:p>
    <w:p>
      <w:pPr>
        <w:spacing w:after="0" w:line="340" w:lineRule="auto"/>
        <w:jc w:val="left"/>
        <w:rPr>
          <w:rFonts w:ascii="宋体" w:hAnsi="宋体" w:cs="宋体" w:eastAsia="宋体" w:hint="default"/>
          <w:sz w:val="18"/>
          <w:szCs w:val="18"/>
        </w:rPr>
        <w:sectPr>
          <w:pgSz w:w="11910" w:h="16840"/>
          <w:pgMar w:header="880" w:footer="977"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投资收益" w:id="354"/>
      <w:bookmarkEnd w:id="35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8,519,447.33</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5,572,359.00</w:t>
            </w:r>
            <w:r>
              <w:rPr>
                <w:rFonts w:ascii="Times New Roman"/>
                <w:sz w:val="18"/>
              </w:rPr>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购买银行保本理财产品收益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398,904.11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738,308.22</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8,918,351.44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6,310,667.22</w:t>
            </w:r>
            <w:r>
              <w:rPr>
                <w:rFonts w:ascii="Times New Roman"/>
                <w:sz w:val="18"/>
              </w:rPr>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bookmarkStart w:name="十五、补充资料" w:id="355"/>
      <w:bookmarkEnd w:id="355"/>
      <w:r>
        <w:rPr>
          <w:b w:val="0"/>
          <w:bCs w:val="0"/>
        </w:rPr>
      </w:r>
      <w:r>
        <w:rPr/>
        <w:t>十五、补充资料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56"/>
      <w:bookmarkEnd w:id="35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7"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4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11,031,632.81</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398,904.11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-510,000.00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1,615,577.90f</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9,304,959.02</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2"/>
        <w:ind w:left="152" w:right="112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357"/>
      <w:bookmarkEnd w:id="35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2"/>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3082" w:type="dxa"/>
            <w:tcBorders>
              <w:top w:val="single" w:sz="4" w:space="0" w:color="000000"/>
              <w:left w:val="single" w:sz="4" w:space="0" w:color="000000"/>
              <w:bottom w:val="nil" w:sz="6" w:space="0" w:color="auto"/>
              <w:right w:val="single" w:sz="4" w:space="0" w:color="000000"/>
            </w:tcBorders>
            <w:shd w:val="clear" w:color="auto" w:fill="D4D4D4"/>
          </w:tcPr>
          <w:p>
            <w:pPr/>
          </w:p>
        </w:tc>
        <w:tc>
          <w:tcPr>
            <w:tcW w:w="38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4" w:hRule="exact"/>
        </w:trPr>
        <w:tc>
          <w:tcPr>
            <w:tcW w:w="26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4D4D4"/>
          </w:tcPr>
          <w:p>
            <w:pPr/>
          </w:p>
        </w:tc>
      </w:tr>
      <w:tr>
        <w:trPr>
          <w:trHeight w:val="197" w:hRule="exact"/>
        </w:trPr>
        <w:tc>
          <w:tcPr>
            <w:tcW w:w="2662" w:type="dxa"/>
            <w:vMerge/>
            <w:tcBorders>
              <w:left w:val="single" w:sz="4" w:space="0" w:color="000000"/>
              <w:bottom w:val="nil" w:sz="6" w:space="0" w:color="auto"/>
              <w:right w:val="single" w:sz="4" w:space="0" w:color="000000"/>
            </w:tcBorders>
            <w:shd w:val="clear" w:color="auto" w:fill="D4D4D4"/>
          </w:tcPr>
          <w:p>
            <w:pPr/>
          </w:p>
        </w:tc>
        <w:tc>
          <w:tcPr>
            <w:tcW w:w="3082" w:type="dxa"/>
            <w:vMerge/>
            <w:tcBorders>
              <w:left w:val="single" w:sz="4" w:space="0" w:color="000000"/>
              <w:bottom w:val="nil" w:sz="6" w:space="0" w:color="auto"/>
              <w:right w:val="single" w:sz="4" w:space="0" w:color="000000"/>
            </w:tcBorders>
            <w:shd w:val="clear" w:color="auto" w:fill="D4D4D4"/>
          </w:tcPr>
          <w:p>
            <w:pP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308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0.1960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0.1960</w:t>
            </w:r>
            <w:r>
              <w:rPr>
                <w:rFonts w:ascii="Times New Roman"/>
                <w:sz w:val="18"/>
              </w:rPr>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0.1444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0.1444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7" w:top="1060" w:bottom="1160" w:left="980" w:right="0"/>
        </w:sectPr>
      </w:pPr>
    </w:p>
    <w:p>
      <w:pPr>
        <w:spacing w:line="240" w:lineRule="auto" w:before="1"/>
        <w:rPr>
          <w:rFonts w:ascii="宋体" w:hAnsi="宋体" w:cs="宋体" w:eastAsia="宋体" w:hint="default"/>
          <w:b/>
          <w:bCs/>
          <w:sz w:val="6"/>
          <w:szCs w:val="6"/>
        </w:rPr>
      </w:pPr>
    </w:p>
    <w:p>
      <w:pPr>
        <w:spacing w:line="240" w:lineRule="exact"/>
        <w:ind w:left="103"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483.4pt;height:12.05pt;mso-position-horizontal-relative:char;mso-position-vertical-relative:line" coordorigin="0,0" coordsize="9668,241">
            <v:group style="position:absolute;left:14;top:226;width:9639;height:2" coordorigin="14,226" coordsize="9639,2">
              <v:shape style="position:absolute;left:14;top:226;width:9639;height:2" coordorigin="14,226" coordsize="9639,0" path="m14,226l9653,226e" filled="false" stroked="true" strokeweight="1.440206pt" strokecolor="#3b3b3b">
                <v:path arrowok="t"/>
              </v:shape>
              <v:shape style="position:absolute;left:5261;top:0;width:4344;height:173" type="#_x0000_t75" stroked="false">
                <v:imagedata r:id="rId38" o:title=""/>
              </v:shape>
            </v:group>
          </v:group>
        </w:pict>
      </w:r>
      <w:r>
        <w:rPr>
          <w:rFonts w:ascii="宋体" w:hAnsi="宋体" w:cs="宋体" w:eastAsia="宋体" w:hint="default"/>
          <w:position w:val="-4"/>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9"/>
          <w:szCs w:val="19"/>
        </w:rPr>
      </w:pPr>
    </w:p>
    <w:p>
      <w:pPr>
        <w:spacing w:line="235" w:lineRule="exact"/>
        <w:ind w:left="583" w:right="0" w:firstLine="0"/>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2413671" cy="149351"/>
            <wp:effectExtent l="0" t="0" r="0" b="0"/>
            <wp:docPr id="9" name="image10.jpeg" descr=""/>
            <wp:cNvGraphicFramePr>
              <a:graphicFrameLocks noChangeAspect="1"/>
            </wp:cNvGraphicFramePr>
            <a:graphic>
              <a:graphicData uri="http://schemas.openxmlformats.org/drawingml/2006/picture">
                <pic:pic>
                  <pic:nvPicPr>
                    <pic:cNvPr id="10" name="image10.jpeg"/>
                    <pic:cNvPicPr/>
                  </pic:nvPicPr>
                  <pic:blipFill>
                    <a:blip r:embed="rId39" cstate="print"/>
                    <a:stretch>
                      <a:fillRect/>
                    </a:stretch>
                  </pic:blipFill>
                  <pic:spPr>
                    <a:xfrm>
                      <a:off x="0" y="0"/>
                      <a:ext cx="2413671" cy="149351"/>
                    </a:xfrm>
                    <a:prstGeom prst="rect">
                      <a:avLst/>
                    </a:prstGeom>
                  </pic:spPr>
                </pic:pic>
              </a:graphicData>
            </a:graphic>
          </wp:inline>
        </w:drawing>
      </w:r>
      <w:r>
        <w:rPr>
          <w:rFonts w:ascii="宋体" w:hAnsi="宋体" w:cs="宋体" w:eastAsia="宋体" w:hint="default"/>
          <w:position w:val="-4"/>
          <w:sz w:val="20"/>
          <w:szCs w:val="20"/>
        </w:rPr>
      </w:r>
    </w:p>
    <w:p>
      <w:pPr>
        <w:spacing w:line="240" w:lineRule="auto" w:before="4"/>
        <w:rPr>
          <w:rFonts w:ascii="宋体" w:hAnsi="宋体" w:cs="宋体" w:eastAsia="宋体" w:hint="default"/>
          <w:b/>
          <w:bCs/>
          <w:sz w:val="21"/>
          <w:szCs w:val="21"/>
        </w:rPr>
      </w:pPr>
    </w:p>
    <w:p>
      <w:pPr>
        <w:spacing w:line="667" w:lineRule="exact"/>
        <w:ind w:left="583" w:right="0" w:firstLine="0"/>
        <w:rPr>
          <w:rFonts w:ascii="宋体" w:hAnsi="宋体" w:cs="宋体" w:eastAsia="宋体" w:hint="default"/>
          <w:sz w:val="20"/>
          <w:szCs w:val="20"/>
        </w:rPr>
      </w:pPr>
      <w:r>
        <w:rPr>
          <w:rFonts w:ascii="宋体" w:hAnsi="宋体" w:cs="宋体" w:eastAsia="宋体" w:hint="default"/>
          <w:position w:val="-12"/>
          <w:sz w:val="20"/>
          <w:szCs w:val="20"/>
        </w:rPr>
        <w:drawing>
          <wp:inline distT="0" distB="0" distL="0" distR="0">
            <wp:extent cx="4671918" cy="423672"/>
            <wp:effectExtent l="0" t="0" r="0" b="0"/>
            <wp:docPr id="11" name="image11.jpeg" descr=""/>
            <wp:cNvGraphicFramePr>
              <a:graphicFrameLocks noChangeAspect="1"/>
            </wp:cNvGraphicFramePr>
            <a:graphic>
              <a:graphicData uri="http://schemas.openxmlformats.org/drawingml/2006/picture">
                <pic:pic>
                  <pic:nvPicPr>
                    <pic:cNvPr id="12" name="image11.jpeg"/>
                    <pic:cNvPicPr/>
                  </pic:nvPicPr>
                  <pic:blipFill>
                    <a:blip r:embed="rId40" cstate="print"/>
                    <a:stretch>
                      <a:fillRect/>
                    </a:stretch>
                  </pic:blipFill>
                  <pic:spPr>
                    <a:xfrm>
                      <a:off x="0" y="0"/>
                      <a:ext cx="4671918" cy="423672"/>
                    </a:xfrm>
                    <a:prstGeom prst="rect">
                      <a:avLst/>
                    </a:prstGeom>
                  </pic:spPr>
                </pic:pic>
              </a:graphicData>
            </a:graphic>
          </wp:inline>
        </w:drawing>
      </w:r>
      <w:r>
        <w:rPr>
          <w:rFonts w:ascii="宋体" w:hAnsi="宋体" w:cs="宋体" w:eastAsia="宋体" w:hint="default"/>
          <w:position w:val="-12"/>
          <w:sz w:val="20"/>
          <w:szCs w:val="20"/>
        </w:rPr>
      </w:r>
    </w:p>
    <w:p>
      <w:pPr>
        <w:spacing w:line="240" w:lineRule="auto" w:before="12"/>
        <w:rPr>
          <w:rFonts w:ascii="宋体" w:hAnsi="宋体" w:cs="宋体" w:eastAsia="宋体" w:hint="default"/>
          <w:b/>
          <w:bCs/>
          <w:sz w:val="20"/>
          <w:szCs w:val="20"/>
        </w:rPr>
      </w:pPr>
    </w:p>
    <w:p>
      <w:pPr>
        <w:spacing w:line="1161" w:lineRule="exact"/>
        <w:ind w:left="180" w:right="0" w:firstLine="0"/>
        <w:rPr>
          <w:rFonts w:ascii="宋体" w:hAnsi="宋体" w:cs="宋体" w:eastAsia="宋体" w:hint="default"/>
          <w:sz w:val="20"/>
          <w:szCs w:val="20"/>
        </w:rPr>
      </w:pPr>
      <w:r>
        <w:rPr>
          <w:rFonts w:ascii="宋体" w:hAnsi="宋体" w:cs="宋体" w:eastAsia="宋体" w:hint="default"/>
          <w:position w:val="-22"/>
          <w:sz w:val="20"/>
          <w:szCs w:val="20"/>
        </w:rPr>
        <w:drawing>
          <wp:inline distT="0" distB="0" distL="0" distR="0">
            <wp:extent cx="4934008" cy="737616"/>
            <wp:effectExtent l="0" t="0" r="0" b="0"/>
            <wp:docPr id="13" name="image12.jpeg" descr=""/>
            <wp:cNvGraphicFramePr>
              <a:graphicFrameLocks noChangeAspect="1"/>
            </wp:cNvGraphicFramePr>
            <a:graphic>
              <a:graphicData uri="http://schemas.openxmlformats.org/drawingml/2006/picture">
                <pic:pic>
                  <pic:nvPicPr>
                    <pic:cNvPr id="14" name="image12.jpeg"/>
                    <pic:cNvPicPr/>
                  </pic:nvPicPr>
                  <pic:blipFill>
                    <a:blip r:embed="rId41" cstate="print"/>
                    <a:stretch>
                      <a:fillRect/>
                    </a:stretch>
                  </pic:blipFill>
                  <pic:spPr>
                    <a:xfrm>
                      <a:off x="0" y="0"/>
                      <a:ext cx="4934008" cy="737616"/>
                    </a:xfrm>
                    <a:prstGeom prst="rect">
                      <a:avLst/>
                    </a:prstGeom>
                  </pic:spPr>
                </pic:pic>
              </a:graphicData>
            </a:graphic>
          </wp:inline>
        </w:drawing>
      </w:r>
      <w:r>
        <w:rPr>
          <w:rFonts w:ascii="宋体" w:hAnsi="宋体" w:cs="宋体" w:eastAsia="宋体" w:hint="default"/>
          <w:position w:val="-22"/>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8"/>
          <w:szCs w:val="28"/>
        </w:rPr>
      </w:pPr>
    </w:p>
    <w:p>
      <w:pPr>
        <w:spacing w:line="2409" w:lineRule="exact"/>
        <w:ind w:left="5133" w:right="0" w:firstLine="0"/>
        <w:rPr>
          <w:rFonts w:ascii="宋体" w:hAnsi="宋体" w:cs="宋体" w:eastAsia="宋体" w:hint="default"/>
          <w:sz w:val="20"/>
          <w:szCs w:val="20"/>
        </w:rPr>
      </w:pPr>
      <w:r>
        <w:rPr>
          <w:rFonts w:ascii="宋体" w:hAnsi="宋体" w:cs="宋体" w:eastAsia="宋体" w:hint="default"/>
          <w:position w:val="-47"/>
          <w:sz w:val="20"/>
          <w:szCs w:val="20"/>
        </w:rPr>
        <w:drawing>
          <wp:inline distT="0" distB="0" distL="0" distR="0">
            <wp:extent cx="1974822" cy="1530096"/>
            <wp:effectExtent l="0" t="0" r="0" b="0"/>
            <wp:docPr id="15" name="image13.jpeg" descr=""/>
            <wp:cNvGraphicFramePr>
              <a:graphicFrameLocks noChangeAspect="1"/>
            </wp:cNvGraphicFramePr>
            <a:graphic>
              <a:graphicData uri="http://schemas.openxmlformats.org/drawingml/2006/picture">
                <pic:pic>
                  <pic:nvPicPr>
                    <pic:cNvPr id="16" name="image13.jpeg"/>
                    <pic:cNvPicPr/>
                  </pic:nvPicPr>
                  <pic:blipFill>
                    <a:blip r:embed="rId42" cstate="print"/>
                    <a:stretch>
                      <a:fillRect/>
                    </a:stretch>
                  </pic:blipFill>
                  <pic:spPr>
                    <a:xfrm>
                      <a:off x="0" y="0"/>
                      <a:ext cx="1974822" cy="1530096"/>
                    </a:xfrm>
                    <a:prstGeom prst="rect">
                      <a:avLst/>
                    </a:prstGeom>
                  </pic:spPr>
                </pic:pic>
              </a:graphicData>
            </a:graphic>
          </wp:inline>
        </w:drawing>
      </w:r>
      <w:r>
        <w:rPr>
          <w:rFonts w:ascii="宋体" w:hAnsi="宋体" w:cs="宋体" w:eastAsia="宋体" w:hint="default"/>
          <w:position w:val="-47"/>
          <w:sz w:val="20"/>
          <w:szCs w:val="20"/>
        </w:rPr>
      </w:r>
    </w:p>
    <w:p>
      <w:pPr>
        <w:spacing w:line="240" w:lineRule="auto" w:before="1"/>
        <w:rPr>
          <w:rFonts w:ascii="宋体" w:hAnsi="宋体" w:cs="宋体" w:eastAsia="宋体" w:hint="default"/>
          <w:b/>
          <w:bCs/>
          <w:sz w:val="18"/>
          <w:szCs w:val="18"/>
        </w:rPr>
      </w:pPr>
    </w:p>
    <w:p>
      <w:pPr>
        <w:spacing w:line="196" w:lineRule="exact"/>
        <w:ind w:left="5925" w:right="0" w:firstLine="0"/>
        <w:rPr>
          <w:rFonts w:ascii="宋体" w:hAnsi="宋体" w:cs="宋体" w:eastAsia="宋体" w:hint="default"/>
          <w:sz w:val="19"/>
          <w:szCs w:val="19"/>
        </w:rPr>
      </w:pPr>
      <w:r>
        <w:rPr>
          <w:rFonts w:ascii="宋体" w:hAnsi="宋体" w:cs="宋体" w:eastAsia="宋体" w:hint="default"/>
          <w:position w:val="-3"/>
          <w:sz w:val="19"/>
          <w:szCs w:val="19"/>
        </w:rPr>
        <w:drawing>
          <wp:inline distT="0" distB="0" distL="0" distR="0">
            <wp:extent cx="828937" cy="124967"/>
            <wp:effectExtent l="0" t="0" r="0" b="0"/>
            <wp:docPr id="17" name="image14.jpeg" descr=""/>
            <wp:cNvGraphicFramePr>
              <a:graphicFrameLocks noChangeAspect="1"/>
            </wp:cNvGraphicFramePr>
            <a:graphic>
              <a:graphicData uri="http://schemas.openxmlformats.org/drawingml/2006/picture">
                <pic:pic>
                  <pic:nvPicPr>
                    <pic:cNvPr id="18" name="image14.jpeg"/>
                    <pic:cNvPicPr/>
                  </pic:nvPicPr>
                  <pic:blipFill>
                    <a:blip r:embed="rId43" cstate="print"/>
                    <a:stretch>
                      <a:fillRect/>
                    </a:stretch>
                  </pic:blipFill>
                  <pic:spPr>
                    <a:xfrm>
                      <a:off x="0" y="0"/>
                      <a:ext cx="828937" cy="124967"/>
                    </a:xfrm>
                    <a:prstGeom prst="rect">
                      <a:avLst/>
                    </a:prstGeom>
                  </pic:spPr>
                </pic:pic>
              </a:graphicData>
            </a:graphic>
          </wp:inline>
        </w:drawing>
      </w:r>
      <w:r>
        <w:rPr>
          <w:rFonts w:ascii="宋体" w:hAnsi="宋体" w:cs="宋体" w:eastAsia="宋体" w:hint="default"/>
          <w:position w:val="-3"/>
          <w:sz w:val="19"/>
          <w:szCs w:val="19"/>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spacing w:before="77"/>
        <w:ind w:left="0" w:right="107" w:firstLine="0"/>
        <w:jc w:val="right"/>
        <w:rPr>
          <w:rFonts w:ascii="Arial" w:hAnsi="Arial" w:cs="Arial" w:eastAsia="Arial" w:hint="default"/>
          <w:sz w:val="18"/>
          <w:szCs w:val="18"/>
        </w:rPr>
      </w:pPr>
      <w:bookmarkStart w:name="第十三节备查文件目录" w:id="358"/>
      <w:bookmarkEnd w:id="358"/>
      <w:r>
        <w:rPr/>
      </w:r>
      <w:r>
        <w:rPr>
          <w:rFonts w:ascii="Arial" w:hAnsi="Arial"/>
          <w:w w:val="85"/>
          <w:sz w:val="18"/>
        </w:rPr>
        <w:t>22ü</w:t>
      </w:r>
      <w:r>
        <w:rPr>
          <w:rFonts w:ascii="Arial" w:hAnsi="Arial"/>
          <w:sz w:val="18"/>
        </w:rPr>
      </w:r>
    </w:p>
    <w:sectPr>
      <w:headerReference w:type="default" r:id="rId36"/>
      <w:footerReference w:type="default" r:id="rId37"/>
      <w:pgSz w:w="11910" w:h="16850"/>
      <w:pgMar w:header="0" w:footer="0" w:top="760" w:bottom="280" w:left="90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等线">
    <w:altName w:val="等线"/>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6848" type="#_x0000_t75" stroked="false">
          <v:imagedata r:id="rId1" o:title=""/>
        </v:shape>
      </w:pict>
    </w:r>
    <w:r>
      <w:rPr/>
      <w:pict>
        <v:shape style="position:absolute;margin-left:527.559998pt;margin-top:782.077942pt;width:13.15pt;height:11pt;mso-position-horizontal-relative:page;mso-position-vertical-relative:page;z-index:-986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6344" type="#_x0000_t75" stroked="false">
          <v:imagedata r:id="rId1" o:title=""/>
        </v:shape>
      </w:pict>
    </w:r>
    <w:r>
      <w:rPr/>
      <w:pict>
        <v:shape style="position:absolute;margin-left:523pt;margin-top:782.077942pt;width:17.7pt;height:11pt;mso-position-horizontal-relative:page;mso-position-vertical-relative:page;z-index:-986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986776" type="#_x0000_t75" stroked="false">
          <v:imagedata r:id="rId1" o:title=""/>
        </v:shape>
      </w:pict>
    </w:r>
    <w:r>
      <w:rPr/>
      <w:pict>
        <v:shape style="position:absolute;margin-left:758.919983pt;margin-top:535.477966pt;width:13.15pt;height:11pt;mso-position-horizontal-relative:page;mso-position-vertical-relative:page;z-index:-986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6680" type="#_x0000_t75" stroked="false">
          <v:imagedata r:id="rId1" o:title=""/>
        </v:shape>
      </w:pict>
    </w:r>
    <w:r>
      <w:rPr/>
      <w:pict>
        <v:shape style="position:absolute;margin-left:527.559998pt;margin-top:782.077942pt;width:13.15pt;height:11pt;mso-position-horizontal-relative:page;mso-position-vertical-relative:page;z-index:-986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77</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6632" type="#_x0000_t75" stroked="false">
          <v:imagedata r:id="rId1" o:title=""/>
        </v:shape>
      </w:pict>
    </w:r>
    <w:r>
      <w:rPr/>
      <w:pict>
        <v:shape style="position:absolute;margin-left:524pt;margin-top:782.077942pt;width:15.7pt;height:11pt;mso-position-horizontal-relative:page;mso-position-vertical-relative:page;z-index:-9866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6584" type="#_x0000_t75" stroked="false">
          <v:imagedata r:id="rId1" o:title=""/>
        </v:shape>
      </w:pict>
    </w:r>
    <w:r>
      <w:rPr/>
      <w:pict>
        <v:shape style="position:absolute;margin-left:523pt;margin-top:782.077942pt;width:17.7pt;height:11pt;mso-position-horizontal-relative:page;mso-position-vertical-relative:page;z-index:-986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6536" type="#_x0000_t75" stroked="false">
          <v:imagedata r:id="rId1" o:title=""/>
        </v:shape>
      </w:pict>
    </w:r>
    <w:r>
      <w:rPr/>
      <w:pict>
        <v:shape style="position:absolute;margin-left:523.359985pt;margin-top:782.077942pt;width:17.3pt;height:11pt;mso-position-horizontal-relative:page;mso-position-vertical-relative:page;z-index:-986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6488" type="#_x0000_t75" stroked="false">
          <v:imagedata r:id="rId1" o:title=""/>
        </v:shape>
      </w:pict>
    </w:r>
    <w:r>
      <w:rPr/>
      <w:pict>
        <v:shape style="position:absolute;margin-left:523pt;margin-top:782.077942pt;width:17.7pt;height:11pt;mso-position-horizontal-relative:page;mso-position-vertical-relative:page;z-index:-986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6440" type="#_x0000_t75" stroked="false">
          <v:imagedata r:id="rId1" o:title=""/>
        </v:shape>
      </w:pict>
    </w:r>
    <w:r>
      <w:rPr/>
      <w:pict>
        <v:shape style="position:absolute;margin-left:523pt;margin-top:782.077942pt;width:17.7pt;height:11pt;mso-position-horizontal-relative:page;mso-position-vertical-relative:page;z-index:-986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170</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6392" type="#_x0000_t75" stroked="false">
          <v:imagedata r:id="rId1" o:title=""/>
        </v:shape>
      </w:pict>
    </w:r>
    <w:r>
      <w:rPr/>
      <w:pict>
        <v:shape style="position:absolute;margin-left:524pt;margin-top:782.077942pt;width:15.7pt;height:11pt;mso-position-horizontal-relative:page;mso-position-vertical-relative:page;z-index:-9863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8pt;height:.1pt;mso-position-horizontal-relative:page;mso-position-vertical-relative:page;z-index:-986896" coordorigin="1104,1111" coordsize="9696,2">
          <v:shape style="position:absolute;left:1104;top:1111;width:9696;height:2" coordorigin="1104,1111" coordsize="9696,0" path="m1104,1111l10800,1111e" filled="false" stroked="true" strokeweight=".72pt" strokecolor="#000000">
            <v:path arrowok="t"/>
          </v:shape>
          <w10:wrap type="none"/>
        </v:group>
      </w:pict>
    </w:r>
    <w:r>
      <w:rPr/>
      <w:pict>
        <v:shape style="position:absolute;margin-left:317pt;margin-top:42.985607pt;width:222.7pt;height:11.5pt;mso-position-horizontal-relative:page;mso-position-vertical-relative:page;z-index:-9868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中科院成都信息技术股份有限公司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359985pt;margin-top:42.985634pt;width:222.7pt;height:11.5pt;mso-position-horizontal-relative:page;mso-position-vertical-relative:page;z-index:-9868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中科院成都信息技术股份有限公司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8pt;height:.1pt;mso-position-horizontal-relative:page;mso-position-vertical-relative:page;z-index:-986728" coordorigin="1104,1111" coordsize="9696,2">
          <v:shape style="position:absolute;left:1104;top:1111;width:9696;height:2" coordorigin="1104,1111" coordsize="9696,0" path="m1104,1111l10800,1111e" filled="false" stroked="true" strokeweight=".72pt" strokecolor="#000000">
            <v:path arrowok="t"/>
          </v:shape>
          <w10:wrap type="none"/>
        </v:group>
      </w:pict>
    </w:r>
    <w:r>
      <w:rPr/>
      <w:pict>
        <v:shape style="position:absolute;margin-left:317pt;margin-top:42.985607pt;width:222.7pt;height:11.5pt;mso-position-horizontal-relative:page;mso-position-vertical-relative:page;z-index:-9867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中科院成都信息技术股份有限公司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2114"/>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yperlink" Target="http://www.casit.com.cn/" TargetMode="External"/><Relationship Id="rId12" Type="http://schemas.openxmlformats.org/officeDocument/2006/relationships/hyperlink" Target="mailto:dsh@casit.com.cn" TargetMode="External"/><Relationship Id="rId13" Type="http://schemas.openxmlformats.org/officeDocument/2006/relationships/hyperlink" Target="http://www.cninfo.com.cn/"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jpeg"/><Relationship Id="rId17" Type="http://schemas.openxmlformats.org/officeDocument/2006/relationships/hyperlink" Target="https://baike.sogou.com/lemma/ShowInnerLink.htm?lemmaId=7854938" TargetMode="External"/><Relationship Id="rId18" Type="http://schemas.openxmlformats.org/officeDocument/2006/relationships/hyperlink" Target="https://baike.sogou.com/lemma/ShowInnerLink.htm?lemmaId=174518289" TargetMode="External"/><Relationship Id="rId19" Type="http://schemas.openxmlformats.org/officeDocument/2006/relationships/hyperlink" Target="https://baike.sogou.com/lemma/ShowInnerLink.htm?lemmaId=69409685" TargetMode="External"/><Relationship Id="rId20" Type="http://schemas.openxmlformats.org/officeDocument/2006/relationships/hyperlink" Target="https://baike.sogou.com/lemma/ShowInnerLink.htm?lemmaId=7778656" TargetMode="External"/><Relationship Id="rId21" Type="http://schemas.openxmlformats.org/officeDocument/2006/relationships/hyperlink" Target="https://baike.sogou.com/lemma/ShowInnerLink.htm?lemmaId=71000598" TargetMode="External"/><Relationship Id="rId22" Type="http://schemas.openxmlformats.org/officeDocument/2006/relationships/hyperlink" Target="https://baike.sogou.com/lemma/ShowInnerLink.htm?lemmaId=7680005" TargetMode="External"/><Relationship Id="rId23" Type="http://schemas.openxmlformats.org/officeDocument/2006/relationships/hyperlink" Target="https://baike.sogou.com/lemma/ShowInnerLink.htm?lemmaId=6445731" TargetMode="External"/><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image" Target="media/image8.jpeg"/><Relationship Id="rId29" Type="http://schemas.openxmlformats.org/officeDocument/2006/relationships/footer" Target="footer4.xml"/><Relationship Id="rId30" Type="http://schemas.openxmlformats.org/officeDocument/2006/relationships/footer" Target="footer5.xml"/><Relationship Id="rId31" Type="http://schemas.openxmlformats.org/officeDocument/2006/relationships/footer" Target="footer6.xml"/><Relationship Id="rId32" Type="http://schemas.openxmlformats.org/officeDocument/2006/relationships/footer" Target="footer7.xml"/><Relationship Id="rId33" Type="http://schemas.openxmlformats.org/officeDocument/2006/relationships/footer" Target="footer8.xml"/><Relationship Id="rId34" Type="http://schemas.openxmlformats.org/officeDocument/2006/relationships/footer" Target="footer9.xml"/><Relationship Id="rId35" Type="http://schemas.openxmlformats.org/officeDocument/2006/relationships/footer" Target="footer10.xml"/><Relationship Id="rId36" Type="http://schemas.openxmlformats.org/officeDocument/2006/relationships/header" Target="header4.xml"/><Relationship Id="rId37" Type="http://schemas.openxmlformats.org/officeDocument/2006/relationships/footer" Target="footer11.xml"/><Relationship Id="rId38" Type="http://schemas.openxmlformats.org/officeDocument/2006/relationships/image" Target="media/image9.jpeg"/><Relationship Id="rId39" Type="http://schemas.openxmlformats.org/officeDocument/2006/relationships/image" Target="media/image10.jpeg"/><Relationship Id="rId40" Type="http://schemas.openxmlformats.org/officeDocument/2006/relationships/image" Target="media/image11.jpeg"/><Relationship Id="rId41" Type="http://schemas.openxmlformats.org/officeDocument/2006/relationships/image" Target="media/image12.jpeg"/><Relationship Id="rId42" Type="http://schemas.openxmlformats.org/officeDocument/2006/relationships/image" Target="media/image13.jpeg"/><Relationship Id="rId43" Type="http://schemas.openxmlformats.org/officeDocument/2006/relationships/image" Target="media/image14.jpe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10.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footer4.xml.rels><?xml version="1.0" encoding="UTF-8" standalone="yes"?>
<Relationships xmlns="http://schemas.openxmlformats.org/package/2006/relationships"><Relationship Id="rId1" Type="http://schemas.openxmlformats.org/officeDocument/2006/relationships/image" Target="media/image4.jpeg"/></Relationships>

</file>

<file path=word/_rels/footer5.xml.rels><?xml version="1.0" encoding="UTF-8" standalone="yes"?>
<Relationships xmlns="http://schemas.openxmlformats.org/package/2006/relationships"><Relationship Id="rId1" Type="http://schemas.openxmlformats.org/officeDocument/2006/relationships/image" Target="media/image4.jpeg"/></Relationships>

</file>

<file path=word/_rels/footer6.xml.rels><?xml version="1.0" encoding="UTF-8" standalone="yes"?>
<Relationships xmlns="http://schemas.openxmlformats.org/package/2006/relationships"><Relationship Id="rId1" Type="http://schemas.openxmlformats.org/officeDocument/2006/relationships/image" Target="media/image4.jpeg"/></Relationships>

</file>

<file path=word/_rels/footer7.xml.rels><?xml version="1.0" encoding="UTF-8" standalone="yes"?>
<Relationships xmlns="http://schemas.openxmlformats.org/package/2006/relationships"><Relationship Id="rId1" Type="http://schemas.openxmlformats.org/officeDocument/2006/relationships/image" Target="media/image4.jpeg"/></Relationships>

</file>

<file path=word/_rels/footer8.xml.rels><?xml version="1.0" encoding="UTF-8" standalone="yes"?>
<Relationships xmlns="http://schemas.openxmlformats.org/package/2006/relationships"><Relationship Id="rId1" Type="http://schemas.openxmlformats.org/officeDocument/2006/relationships/image" Target="media/image4.jpeg"/></Relationships>

</file>

<file path=word/_rels/footer9.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中科院成都信息技术股份有限公司</dc:creator>
  <dc:title>中科院成都信息技术股份有限公司2019年年度报告全文</dc:title>
  <dcterms:created xsi:type="dcterms:W3CDTF">2020-05-19T07:16:49Z</dcterms:created>
  <dcterms:modified xsi:type="dcterms:W3CDTF">2020-05-19T07:16:49Z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Acrobat PDFMaker 18 Word 版</vt:lpwstr>
  </property>
  <property fmtid="{D5CDD505-2E9C-101B-9397-08002B2CF9AE}" pid="4" name="LastSaved">
    <vt:filetime>2020-05-18T00:00:00Z</vt:filetime>
  </property>
</Properties>
</file>