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headerReference w:type="default" r:id="rId5"/>
          <w:footerReference w:type="default" r:id="rId6"/>
          <w:headerReference w:type="even" r:id="rId7"/>
          <w:footerReference w:type="even" r:id="rId8"/>
          <w:headerReference w:type="first" r:id="rId9"/>
          <w:footerReference w:type="first" r:id="rId10"/>
          <w:footnotePr>
            <w:pos w:val="pageBottom"/>
            <w:numFmt w:val="decimal"/>
            <w:numRestart w:val="continuous"/>
          </w:footnotePr>
          <w:pgSz w:w="11900" w:h="16840"/>
          <w:pgMar w:top="1245" w:right="1119" w:bottom="1028" w:left="1085" w:header="0" w:footer="3" w:gutter="0"/>
          <w:pgNumType w:start="1"/>
          <w:cols w:space="720"/>
          <w:noEndnote/>
          <w:titlePg/>
          <w:rtlGutter w:val="0"/>
          <w:docGrid w:linePitch="360"/>
        </w:sectPr>
      </w:pPr>
    </w:p>
    <w:p>
      <w:pPr>
        <w:widowControl w:val="0"/>
        <w:spacing w:line="1" w:lineRule="exact"/>
      </w:pPr>
      <w:r>
        <mc:AlternateContent>
          <mc:Choice Requires="wps">
            <w:drawing>
              <wp:anchor distT="63500" distB="0" distL="114300" distR="114300" simplePos="0" relativeHeight="125829378" behindDoc="0" locked="0" layoutInCell="1" allowOverlap="1">
                <wp:simplePos x="0" y="0"/>
                <wp:positionH relativeFrom="page">
                  <wp:posOffset>2917190</wp:posOffset>
                </wp:positionH>
                <wp:positionV relativeFrom="paragraph">
                  <wp:posOffset>2139950</wp:posOffset>
                </wp:positionV>
                <wp:extent cx="1697990" cy="542290"/>
                <wp:wrapTopAndBottom/>
                <wp:docPr id="17" name="Shape 17"/>
                <a:graphic xmlns:a="http://schemas.openxmlformats.org/drawingml/2006/main">
                  <a:graphicData uri="http://schemas.microsoft.com/office/word/2010/wordprocessingShape">
                    <wps:wsp>
                      <wps:cNvSpPr txBox="1"/>
                      <wps:spPr>
                        <a:xfrm>
                          <a:ext cx="1697990" cy="5422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center"/>
                              <w:rPr>
                                <w:sz w:val="36"/>
                                <w:szCs w:val="36"/>
                              </w:rPr>
                            </w:pPr>
                            <w:r>
                              <w:rPr>
                                <w:rFonts w:ascii="Times New Roman" w:eastAsia="Times New Roman" w:hAnsi="Times New Roman" w:cs="Times New Roman"/>
                                <w:b/>
                                <w:bCs/>
                                <w:color w:val="1F3864"/>
                                <w:spacing w:val="0"/>
                                <w:w w:val="100"/>
                                <w:position w:val="0"/>
                                <w:sz w:val="34"/>
                                <w:szCs w:val="34"/>
                              </w:rPr>
                              <w:t>2020</w:t>
                            </w:r>
                            <w:r>
                              <w:rPr>
                                <w:b/>
                                <w:bCs/>
                                <w:color w:val="1F3864"/>
                                <w:spacing w:val="0"/>
                                <w:w w:val="100"/>
                                <w:position w:val="0"/>
                                <w:sz w:val="36"/>
                                <w:szCs w:val="36"/>
                              </w:rPr>
                              <w:t>年年度报告</w:t>
                            </w:r>
                          </w:p>
                          <w:p>
                            <w:pPr>
                              <w:pStyle w:val="Style2"/>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rPr>
                              <w:t>2021-054</w:t>
                            </w:r>
                          </w:p>
                        </w:txbxContent>
                      </wps:txbx>
                      <wps:bodyPr lIns="0" tIns="0" rIns="0" bIns="0">
                        <a:noAutoFit/>
                      </wps:bodyPr>
                    </wps:wsp>
                  </a:graphicData>
                </a:graphic>
              </wp:anchor>
            </w:drawing>
          </mc:Choice>
          <mc:Fallback>
            <w:pict>
              <v:shape id="_x0000_s1043" type="#_x0000_t202" style="position:absolute;margin-left:229.70000000000002pt;margin-top:168.5pt;width:133.69999999999999pt;height:42.700000000000003pt;z-index:-125829375;mso-wrap-distance-left:9.pt;mso-wrap-distance-top:5.pt;mso-wrap-distance-right:9.pt;mso-position-horizontal-relative:page" filled="f" stroked="f">
                <v:textbox inset="0,0,0,0">
                  <w:txbxContent>
                    <w:p>
                      <w:pPr>
                        <w:pStyle w:val="Style2"/>
                        <w:keepNext w:val="0"/>
                        <w:keepLines w:val="0"/>
                        <w:widowControl w:val="0"/>
                        <w:shd w:val="clear" w:color="auto" w:fill="auto"/>
                        <w:bidi w:val="0"/>
                        <w:spacing w:before="0" w:after="60" w:line="240" w:lineRule="auto"/>
                        <w:ind w:left="0" w:right="0" w:firstLine="0"/>
                        <w:jc w:val="center"/>
                        <w:rPr>
                          <w:sz w:val="36"/>
                          <w:szCs w:val="36"/>
                        </w:rPr>
                      </w:pPr>
                      <w:r>
                        <w:rPr>
                          <w:rFonts w:ascii="Times New Roman" w:eastAsia="Times New Roman" w:hAnsi="Times New Roman" w:cs="Times New Roman"/>
                          <w:b/>
                          <w:bCs/>
                          <w:color w:val="1F3864"/>
                          <w:spacing w:val="0"/>
                          <w:w w:val="100"/>
                          <w:position w:val="0"/>
                          <w:sz w:val="34"/>
                          <w:szCs w:val="34"/>
                        </w:rPr>
                        <w:t>2020</w:t>
                      </w:r>
                      <w:r>
                        <w:rPr>
                          <w:b/>
                          <w:bCs/>
                          <w:color w:val="1F3864"/>
                          <w:spacing w:val="0"/>
                          <w:w w:val="100"/>
                          <w:position w:val="0"/>
                          <w:sz w:val="36"/>
                          <w:szCs w:val="36"/>
                        </w:rPr>
                        <w:t>年年度报告</w:t>
                      </w:r>
                    </w:p>
                    <w:p>
                      <w:pPr>
                        <w:pStyle w:val="Style2"/>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rPr>
                        <w:t>2021-054</w:t>
                      </w:r>
                    </w:p>
                  </w:txbxContent>
                </v:textbox>
                <w10:wrap type="topAndBottom" anchorx="page"/>
              </v:shape>
            </w:pict>
          </mc:Fallback>
        </mc:AlternateContent>
      </w:r>
      <w:r>
        <w:drawing>
          <wp:anchor distT="0" distB="255905" distL="408305" distR="0" simplePos="0" relativeHeight="125829380" behindDoc="0" locked="0" layoutInCell="1" allowOverlap="1">
            <wp:simplePos x="0" y="0"/>
            <wp:positionH relativeFrom="page">
              <wp:posOffset>3575050</wp:posOffset>
            </wp:positionH>
            <wp:positionV relativeFrom="paragraph">
              <wp:posOffset>2261870</wp:posOffset>
            </wp:positionV>
            <wp:extent cx="2816225" cy="4718050"/>
            <wp:wrapTight wrapText="left">
              <wp:wrapPolygon>
                <wp:start x="19075" y="0"/>
                <wp:lineTo x="21600" y="0"/>
                <wp:lineTo x="21600" y="21600"/>
                <wp:lineTo x="0" y="21600"/>
                <wp:lineTo x="0" y="7353"/>
                <wp:lineTo x="17579" y="7353"/>
                <wp:lineTo x="17579" y="5763"/>
                <wp:lineTo x="19192" y="5763"/>
                <wp:lineTo x="19192" y="3377"/>
                <wp:lineTo x="19075" y="3377"/>
                <wp:lineTo x="19075" y="0"/>
              </wp:wrapPolygon>
            </wp:wrapTight>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1"/>
                    <a:stretch/>
                  </pic:blipFill>
                  <pic:spPr>
                    <a:xfrm>
                      <a:ext cx="2816225" cy="47180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3166745</wp:posOffset>
                </wp:positionH>
                <wp:positionV relativeFrom="paragraph">
                  <wp:posOffset>6943725</wp:posOffset>
                </wp:positionV>
                <wp:extent cx="1197610" cy="292735"/>
                <wp:wrapNone/>
                <wp:docPr id="21" name="Shape 21"/>
                <a:graphic xmlns:a="http://schemas.openxmlformats.org/drawingml/2006/main">
                  <a:graphicData uri="http://schemas.microsoft.com/office/word/2010/wordprocessingShape">
                    <wps:wsp>
                      <wps:cNvSpPr txBox="1"/>
                      <wps:spPr>
                        <a:xfrm>
                          <a:ext cx="1197610" cy="2927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03</w:t>
                            </w:r>
                            <w:r>
                              <w:rPr>
                                <w:rFonts w:ascii="SimSun" w:eastAsia="SimSun" w:hAnsi="SimSun" w:cs="SimSun"/>
                                <w:color w:val="000000"/>
                                <w:spacing w:val="0"/>
                                <w:w w:val="100"/>
                                <w:position w:val="0"/>
                              </w:rPr>
                              <w:t>月</w:t>
                            </w:r>
                          </w:p>
                        </w:txbxContent>
                      </wps:txbx>
                      <wps:bodyPr lIns="0" tIns="0" rIns="0" bIns="0">
                        <a:noAutoFit/>
                      </wps:bodyPr>
                    </wps:wsp>
                  </a:graphicData>
                </a:graphic>
              </wp:anchor>
            </w:drawing>
          </mc:Choice>
          <mc:Fallback>
            <w:pict>
              <v:shape id="_x0000_s1047" type="#_x0000_t202" style="position:absolute;margin-left:249.34999999999999pt;margin-top:546.75pt;width:94.299999999999997pt;height:23.050000000000001pt;z-index:25165772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2021</w:t>
                      </w:r>
                      <w:r>
                        <w:rPr>
                          <w:rFonts w:ascii="SimSun" w:eastAsia="SimSun" w:hAnsi="SimSun" w:cs="SimSun"/>
                          <w:color w:val="000000"/>
                          <w:spacing w:val="0"/>
                          <w:w w:val="100"/>
                          <w:position w:val="0"/>
                        </w:rPr>
                        <w:t>年</w:t>
                      </w:r>
                      <w:r>
                        <w:rPr>
                          <w:color w:val="000000"/>
                          <w:spacing w:val="0"/>
                          <w:w w:val="100"/>
                          <w:position w:val="0"/>
                        </w:rPr>
                        <w:t>03</w:t>
                      </w:r>
                      <w:r>
                        <w:rPr>
                          <w:rFonts w:ascii="SimSun" w:eastAsia="SimSun" w:hAnsi="SimSun" w:cs="SimSun"/>
                          <w:color w:val="000000"/>
                          <w:spacing w:val="0"/>
                          <w:w w:val="100"/>
                          <w:position w:val="0"/>
                        </w:rPr>
                        <w:t>月</w:t>
                      </w:r>
                    </w:p>
                  </w:txbxContent>
                </v:textbox>
                <w10:wrap anchorx="page"/>
              </v:shape>
            </w:pict>
          </mc:Fallback>
        </mc:AlternateContent>
      </w:r>
    </w:p>
    <w:p>
      <w:pPr>
        <w:pStyle w:val="Style2"/>
        <w:keepNext w:val="0"/>
        <w:keepLines w:val="0"/>
        <w:widowControl w:val="0"/>
        <w:shd w:val="clear" w:color="auto" w:fill="auto"/>
        <w:bidi w:val="0"/>
        <w:spacing w:before="0" w:after="0" w:line="240" w:lineRule="auto"/>
        <w:ind w:left="5100" w:right="0" w:firstLine="0"/>
        <w:jc w:val="left"/>
        <w:rPr>
          <w:sz w:val="40"/>
          <w:szCs w:val="40"/>
        </w:rPr>
      </w:pPr>
      <w:r>
        <w:rPr>
          <w:rFonts w:ascii="Arial" w:eastAsia="Arial" w:hAnsi="Arial" w:cs="Arial"/>
          <w:b/>
          <w:bCs/>
          <w:color w:val="221A19"/>
          <w:spacing w:val="0"/>
          <w:w w:val="100"/>
          <w:position w:val="0"/>
          <w:sz w:val="40"/>
          <w:szCs w:val="40"/>
        </w:rPr>
        <w:t>CASIT</w:t>
      </w:r>
    </w:p>
    <w:p>
      <w:pPr>
        <w:pStyle w:val="Style2"/>
        <w:keepNext w:val="0"/>
        <w:keepLines w:val="0"/>
        <w:widowControl w:val="0"/>
        <w:shd w:val="clear" w:color="auto" w:fill="auto"/>
        <w:bidi w:val="0"/>
        <w:spacing w:before="0" w:after="480" w:line="240" w:lineRule="auto"/>
        <w:ind w:left="0" w:right="0" w:firstLine="0"/>
        <w:jc w:val="center"/>
        <w:rPr>
          <w:sz w:val="36"/>
          <w:szCs w:val="36"/>
        </w:rPr>
      </w:pPr>
      <w:r>
        <w:rPr>
          <w:b/>
          <w:bCs/>
          <w:color w:val="1F3864"/>
          <w:spacing w:val="0"/>
          <w:w w:val="100"/>
          <w:position w:val="0"/>
          <w:sz w:val="36"/>
          <w:szCs w:val="36"/>
        </w:rPr>
        <w:t>\^中</w:t>
      </w:r>
      <w:r>
        <w:rPr>
          <w:b/>
          <w:bCs/>
          <w:color w:val="221A19"/>
          <w:spacing w:val="0"/>
          <w:w w:val="100"/>
          <w:position w:val="0"/>
          <w:sz w:val="36"/>
          <w:szCs w:val="36"/>
        </w:rPr>
        <w:t>祖信息</w:t>
        <w:br/>
      </w:r>
      <w:r>
        <w:rPr>
          <w:b/>
          <w:bCs/>
          <w:color w:val="1F3864"/>
          <w:spacing w:val="0"/>
          <w:w w:val="100"/>
          <w:position w:val="0"/>
          <w:sz w:val="36"/>
          <w:szCs w:val="36"/>
        </w:rPr>
        <w:t>中科院成都信息技术股份有限公司</w:t>
      </w:r>
    </w:p>
    <w:p>
      <w:pPr>
        <w:pStyle w:val="Style2"/>
        <w:keepNext w:val="0"/>
        <w:keepLines w:val="0"/>
        <w:widowControl w:val="0"/>
        <w:shd w:val="clear" w:color="auto" w:fill="auto"/>
        <w:bidi w:val="0"/>
        <w:spacing w:before="0" w:after="140" w:line="240" w:lineRule="auto"/>
        <w:ind w:left="0" w:right="0" w:firstLine="0"/>
        <w:jc w:val="center"/>
      </w:pPr>
      <w:r>
        <w:rPr>
          <w:rFonts w:ascii="Times New Roman" w:eastAsia="Times New Roman" w:hAnsi="Times New Roman" w:cs="Times New Roman"/>
          <w:b/>
          <w:bCs/>
          <w:color w:val="000000"/>
          <w:spacing w:val="0"/>
          <w:w w:val="100"/>
          <w:position w:val="0"/>
          <w:sz w:val="20"/>
          <w:szCs w:val="20"/>
        </w:rPr>
        <w:t>Chengdu Infbnnation Technology of The Chinese Academy of Sciences Co.[ti</w:t>
      </w:r>
    </w:p>
    <w:p>
      <w:pPr>
        <w:pStyle w:val="Style13"/>
        <w:keepNext w:val="0"/>
        <w:keepLines w:val="0"/>
        <w:widowControl w:val="0"/>
        <w:pBdr>
          <w:top w:val="single" w:sz="4" w:space="0" w:color="auto"/>
          <w:left w:val="single" w:sz="4" w:space="0" w:color="auto"/>
          <w:bottom w:val="single" w:sz="4" w:space="15" w:color="auto"/>
          <w:right w:val="single" w:sz="4" w:space="0" w:color="auto"/>
        </w:pBdr>
        <w:shd w:val="clear" w:color="auto" w:fill="auto"/>
        <w:bidi w:val="0"/>
        <w:spacing w:before="260" w:after="78" w:line="535" w:lineRule="exact"/>
        <w:ind w:left="0" w:right="0" w:firstLine="0"/>
        <w:jc w:val="center"/>
      </w:pPr>
      <w:r>
        <w:rPr>
          <w:color w:val="000000"/>
          <w:spacing w:val="0"/>
          <w:w w:val="100"/>
          <w:position w:val="0"/>
        </w:rPr>
        <w:t>公司董事会、监事会及董事、监事、高级管理人员保证</w:t>
        <w:br/>
        <w:t>本年度报告内容的真实、准确、完整，不存在虚假记载、误</w:t>
        <w:br/>
        <w:t>导性陈述或者重大遗漏，并承担个别和连带的法律责任。</w:t>
      </w:r>
      <w:r>
        <w:br w:type="page"/>
      </w:r>
    </w:p>
    <w:p>
      <w:pPr>
        <w:pStyle w:val="Style15"/>
        <w:keepNext/>
        <w:keepLines/>
        <w:widowControl w:val="0"/>
        <w:shd w:val="clear" w:color="auto" w:fill="auto"/>
        <w:bidi w:val="0"/>
        <w:spacing w:before="0" w:after="360" w:line="240" w:lineRule="auto"/>
        <w:ind w:left="0" w:right="0" w:firstLine="0"/>
        <w:jc w:val="center"/>
      </w:pPr>
      <w:bookmarkStart w:id="0" w:name="bookmark0"/>
      <w:bookmarkStart w:id="1" w:name="bookmark1"/>
      <w:bookmarkStart w:id="2" w:name="bookmark2"/>
      <w:r>
        <w:rPr>
          <w:color w:val="000000"/>
          <w:spacing w:val="0"/>
          <w:w w:val="100"/>
          <w:position w:val="0"/>
        </w:rPr>
        <w:t>第一节重要提示、目录和释义</w:t>
      </w:r>
      <w:bookmarkEnd w:id="0"/>
      <w:bookmarkEnd w:id="1"/>
      <w:bookmarkEnd w:id="2"/>
    </w:p>
    <w:p>
      <w:pPr>
        <w:pStyle w:val="Style13"/>
        <w:keepNext w:val="0"/>
        <w:keepLines w:val="0"/>
        <w:widowControl w:val="0"/>
        <w:shd w:val="clear" w:color="auto" w:fill="auto"/>
        <w:bidi w:val="0"/>
        <w:spacing w:before="0" w:line="629" w:lineRule="exact"/>
        <w:ind w:left="0" w:right="0"/>
        <w:jc w:val="both"/>
      </w:pPr>
      <w:bookmarkStart w:id="3" w:name="bookmark3"/>
      <w:r>
        <w:rPr>
          <w:color w:val="000000"/>
          <w:spacing w:val="0"/>
          <w:w w:val="100"/>
          <w:position w:val="0"/>
        </w:rPr>
        <w:t>公司董事会、监事会及董事、监事、高级管理人员保证年度报告内容的真 实、准确、完整，不存在虚假记载、误导性陈述或者重大遗漏，并承担个别和 连带的法律责任。</w:t>
      </w:r>
      <w:bookmarkEnd w:id="3"/>
    </w:p>
    <w:p>
      <w:pPr>
        <w:pStyle w:val="Style13"/>
        <w:keepNext w:val="0"/>
        <w:keepLines w:val="0"/>
        <w:widowControl w:val="0"/>
        <w:shd w:val="clear" w:color="auto" w:fill="auto"/>
        <w:bidi w:val="0"/>
        <w:spacing w:before="0" w:line="614" w:lineRule="exact"/>
        <w:ind w:left="0" w:right="0"/>
        <w:jc w:val="both"/>
      </w:pPr>
      <w:r>
        <w:rPr>
          <w:color w:val="000000"/>
          <w:spacing w:val="0"/>
          <w:w w:val="100"/>
          <w:position w:val="0"/>
        </w:rPr>
        <w:t>公司负责人史志明、主管会计工作负责人刘小兵及会计机构负责人（会计主 管人员）杜立声明：保证本年度报告中财务报告的真实、准确、完整。</w:t>
      </w:r>
    </w:p>
    <w:p>
      <w:pPr>
        <w:pStyle w:val="Style13"/>
        <w:keepNext w:val="0"/>
        <w:keepLines w:val="0"/>
        <w:widowControl w:val="0"/>
        <w:shd w:val="clear" w:color="auto" w:fill="auto"/>
        <w:bidi w:val="0"/>
        <w:spacing w:before="0"/>
        <w:ind w:left="0" w:right="0"/>
        <w:jc w:val="both"/>
      </w:pPr>
      <w:r>
        <w:rPr>
          <w:color w:val="000000"/>
          <w:spacing w:val="0"/>
          <w:w w:val="100"/>
          <w:position w:val="0"/>
        </w:rPr>
        <w:t>所有董事均已出席了审议本报告的董事会会议。</w:t>
      </w:r>
    </w:p>
    <w:p>
      <w:pPr>
        <w:pStyle w:val="Style13"/>
        <w:keepNext w:val="0"/>
        <w:keepLines w:val="0"/>
        <w:widowControl w:val="0"/>
        <w:shd w:val="clear" w:color="auto" w:fill="auto"/>
        <w:bidi w:val="0"/>
        <w:spacing w:before="0"/>
        <w:ind w:left="0" w:right="0"/>
        <w:jc w:val="both"/>
      </w:pPr>
      <w:r>
        <w:rPr>
          <w:color w:val="000000"/>
          <w:spacing w:val="0"/>
          <w:w w:val="100"/>
          <w:position w:val="0"/>
        </w:rPr>
        <w:t>本年度报告中涉及未来计划或规划等前瞻性陈述的，均不构成公司对投资 者的实质承诺，敬请投资者及相关人士对此保持足够的风险认识，充分理解计 划、预测与承诺之间的差异，注意投资风险。</w:t>
      </w:r>
    </w:p>
    <w:p>
      <w:pPr>
        <w:pStyle w:val="Style13"/>
        <w:keepNext w:val="0"/>
        <w:keepLines w:val="0"/>
        <w:widowControl w:val="0"/>
        <w:shd w:val="clear" w:color="auto" w:fill="auto"/>
        <w:bidi w:val="0"/>
        <w:spacing w:before="0" w:line="634" w:lineRule="exact"/>
        <w:ind w:left="0" w:right="0"/>
        <w:jc w:val="both"/>
      </w:pPr>
      <w:r>
        <w:rPr>
          <w:color w:val="000000"/>
          <w:spacing w:val="0"/>
          <w:w w:val="100"/>
          <w:position w:val="0"/>
        </w:rPr>
        <w:t>公司在本报告第四节“经营情况讨论与分析”中“公司未来发展的展望”部 分，详细描述了公司经营中可能存在的风险及应对措施，敬请投资者关注相关 内容。</w:t>
      </w:r>
    </w:p>
    <w:p>
      <w:pPr>
        <w:pStyle w:val="Style13"/>
        <w:keepNext w:val="0"/>
        <w:keepLines w:val="0"/>
        <w:widowControl w:val="0"/>
        <w:shd w:val="clear" w:color="auto" w:fill="auto"/>
        <w:bidi w:val="0"/>
        <w:spacing w:before="0" w:after="3580"/>
        <w:ind w:left="0" w:right="0"/>
        <w:jc w:val="both"/>
      </w:pPr>
      <w:r>
        <w:rPr>
          <w:color w:val="000000"/>
          <w:spacing w:val="0"/>
          <w:w w:val="100"/>
          <w:position w:val="0"/>
        </w:rPr>
        <w:t>公司经本次董事会审议通过的利润分配预案为：以180000000为基数，向 全体股东每10股派发现金红利</w:t>
      </w:r>
      <w:r>
        <w:rPr>
          <w:color w:val="000000"/>
          <w:spacing w:val="0"/>
          <w:w w:val="100"/>
          <w:position w:val="0"/>
        </w:rPr>
        <w:t>0.5</w:t>
      </w:r>
      <w:r>
        <w:rPr>
          <w:color w:val="000000"/>
          <w:spacing w:val="0"/>
          <w:w w:val="100"/>
          <w:position w:val="0"/>
        </w:rPr>
        <w:t>元（含税），送红股0股（含税），以资本公 积金向全体股东每10股转增0股。</w:t>
      </w:r>
    </w:p>
    <w:p>
      <w:pPr>
        <w:pStyle w:val="Style2"/>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A2A2A2"/>
          <w:spacing w:val="0"/>
          <w:w w:val="100"/>
          <w:position w:val="0"/>
          <w:sz w:val="20"/>
          <w:szCs w:val="20"/>
        </w:rPr>
        <w:t>cninf^</w:t>
      </w:r>
    </w:p>
    <w:p>
      <w:pPr>
        <w:pStyle w:val="Style2"/>
        <w:keepNext w:val="0"/>
        <w:keepLines w:val="0"/>
        <w:widowControl w:val="0"/>
        <w:shd w:val="clear" w:color="auto" w:fill="auto"/>
        <w:bidi w:val="0"/>
        <w:spacing w:before="0" w:after="80" w:line="240" w:lineRule="auto"/>
        <w:ind w:left="0" w:right="0" w:firstLine="0"/>
        <w:jc w:val="right"/>
        <w:rPr>
          <w:sz w:val="12"/>
          <w:szCs w:val="12"/>
        </w:rPr>
      </w:pPr>
      <w:r>
        <w:rPr>
          <w:rFonts w:ascii="SimHei" w:eastAsia="SimHei" w:hAnsi="SimHei" w:cs="SimHei"/>
          <w:color w:val="A2A2A2"/>
          <w:spacing w:val="0"/>
          <w:w w:val="100"/>
          <w:position w:val="0"/>
          <w:sz w:val="12"/>
          <w:szCs w:val="12"/>
        </w:rPr>
        <w:t>巨潮资职</w:t>
      </w:r>
    </w:p>
    <w:p>
      <w:pPr>
        <w:pStyle w:val="Style2"/>
        <w:keepNext w:val="0"/>
        <w:keepLines w:val="0"/>
        <w:widowControl w:val="0"/>
        <w:shd w:val="clear" w:color="auto" w:fill="auto"/>
        <w:bidi w:val="0"/>
        <w:spacing w:before="0" w:after="1500" w:line="240" w:lineRule="auto"/>
        <w:ind w:left="0" w:right="0" w:firstLine="0"/>
        <w:jc w:val="center"/>
        <w:rPr>
          <w:sz w:val="36"/>
          <w:szCs w:val="36"/>
        </w:rPr>
      </w:pPr>
      <w:r>
        <w:rPr>
          <w:b/>
          <w:bCs/>
          <w:color w:val="000000"/>
          <w:spacing w:val="0"/>
          <w:w w:val="100"/>
          <w:position w:val="0"/>
          <w:sz w:val="36"/>
          <w:szCs w:val="36"/>
        </w:rPr>
        <w:t>目录</w:t>
      </w:r>
    </w:p>
    <w:p>
      <w:pPr>
        <w:pStyle w:val="Style27"/>
        <w:keepNext w:val="0"/>
        <w:keepLines w:val="0"/>
        <w:widowControl w:val="0"/>
        <w:shd w:val="clear" w:color="auto" w:fill="auto"/>
        <w:tabs>
          <w:tab w:leader="dot" w:pos="9612" w:val="right"/>
        </w:tabs>
        <w:bidi w:val="0"/>
        <w:spacing w:before="0" w:line="240" w:lineRule="auto"/>
        <w:ind w:left="0" w:right="0" w:firstLine="0"/>
        <w:jc w:val="both"/>
      </w:pPr>
      <w:r>
        <w:fldChar w:fldCharType="begin"/>
        <w:instrText xml:space="preserve"> TOC \o "1-5" \h \z </w:instrText>
        <w:fldChar w:fldCharType="separate"/>
      </w:r>
      <w:hyperlink w:anchor="bookmark1" w:tooltip="Current Document">
        <w:r>
          <w:rPr>
            <w:color w:val="000000"/>
            <w:spacing w:val="0"/>
            <w:w w:val="100"/>
            <w:position w:val="0"/>
            <w:sz w:val="24"/>
            <w:szCs w:val="24"/>
          </w:rPr>
          <w:t>第一节重要提示、目录和释义</w:t>
        </w:r>
        <w:r>
          <w:rPr>
            <w:color w:val="000000"/>
            <w:spacing w:val="0"/>
            <w:w w:val="100"/>
            <w:position w:val="0"/>
            <w:sz w:val="24"/>
            <w:szCs w:val="24"/>
          </w:rPr>
          <w:tab/>
        </w:r>
        <w:r>
          <w:rPr>
            <w:color w:val="000000"/>
            <w:spacing w:val="0"/>
            <w:w w:val="100"/>
            <w:position w:val="0"/>
            <w:sz w:val="24"/>
            <w:szCs w:val="24"/>
          </w:rPr>
          <w:t>2</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5" w:tooltip="Current Document">
        <w:r>
          <w:rPr>
            <w:color w:val="000000"/>
            <w:spacing w:val="0"/>
            <w:w w:val="100"/>
            <w:position w:val="0"/>
            <w:sz w:val="24"/>
            <w:szCs w:val="24"/>
          </w:rPr>
          <w:t>第二节公司简介和主要财务指标</w:t>
        </w:r>
        <w:r>
          <w:rPr>
            <w:color w:val="000000"/>
            <w:spacing w:val="0"/>
            <w:w w:val="100"/>
            <w:position w:val="0"/>
            <w:sz w:val="24"/>
            <w:szCs w:val="24"/>
          </w:rPr>
          <w:tab/>
        </w:r>
        <w:r>
          <w:rPr>
            <w:color w:val="000000"/>
            <w:spacing w:val="0"/>
            <w:w w:val="100"/>
            <w:position w:val="0"/>
            <w:sz w:val="24"/>
            <w:szCs w:val="24"/>
          </w:rPr>
          <w:t>7</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49" w:tooltip="Current Document">
        <w:r>
          <w:rPr>
            <w:color w:val="000000"/>
            <w:spacing w:val="0"/>
            <w:w w:val="100"/>
            <w:position w:val="0"/>
            <w:sz w:val="24"/>
            <w:szCs w:val="24"/>
          </w:rPr>
          <w:t>第三节公司业务概要</w:t>
        </w:r>
        <w:r>
          <w:rPr>
            <w:color w:val="000000"/>
            <w:spacing w:val="0"/>
            <w:w w:val="100"/>
            <w:position w:val="0"/>
            <w:sz w:val="24"/>
            <w:szCs w:val="24"/>
          </w:rPr>
          <w:tab/>
        </w:r>
        <w:r>
          <w:rPr>
            <w:color w:val="000000"/>
            <w:spacing w:val="0"/>
            <w:w w:val="100"/>
            <w:position w:val="0"/>
            <w:sz w:val="24"/>
            <w:szCs w:val="24"/>
          </w:rPr>
          <w:t>11</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122" w:tooltip="Current Document">
        <w:r>
          <w:rPr>
            <w:color w:val="000000"/>
            <w:spacing w:val="0"/>
            <w:w w:val="100"/>
            <w:position w:val="0"/>
            <w:sz w:val="24"/>
            <w:szCs w:val="24"/>
          </w:rPr>
          <w:t>第四节经营情况讨论与分析</w:t>
        </w:r>
        <w:r>
          <w:rPr>
            <w:color w:val="000000"/>
            <w:spacing w:val="0"/>
            <w:w w:val="100"/>
            <w:position w:val="0"/>
            <w:sz w:val="24"/>
            <w:szCs w:val="24"/>
          </w:rPr>
          <w:tab/>
        </w:r>
        <w:r>
          <w:rPr>
            <w:color w:val="000000"/>
            <w:spacing w:val="0"/>
            <w:w w:val="100"/>
            <w:position w:val="0"/>
            <w:sz w:val="24"/>
            <w:szCs w:val="24"/>
          </w:rPr>
          <w:t>32</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321" w:tooltip="Current Document">
        <w:r>
          <w:rPr>
            <w:color w:val="000000"/>
            <w:spacing w:val="0"/>
            <w:w w:val="100"/>
            <w:position w:val="0"/>
            <w:sz w:val="24"/>
            <w:szCs w:val="24"/>
          </w:rPr>
          <w:t>第五节重要事项</w:t>
        </w:r>
        <w:r>
          <w:rPr>
            <w:color w:val="000000"/>
            <w:spacing w:val="0"/>
            <w:w w:val="100"/>
            <w:position w:val="0"/>
            <w:sz w:val="24"/>
            <w:szCs w:val="24"/>
          </w:rPr>
          <w:tab/>
        </w:r>
        <w:r>
          <w:rPr>
            <w:color w:val="000000"/>
            <w:spacing w:val="0"/>
            <w:w w:val="100"/>
            <w:position w:val="0"/>
            <w:sz w:val="24"/>
            <w:szCs w:val="24"/>
          </w:rPr>
          <w:t>57</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520" w:tooltip="Current Document">
        <w:r>
          <w:rPr>
            <w:color w:val="000000"/>
            <w:spacing w:val="0"/>
            <w:w w:val="100"/>
            <w:position w:val="0"/>
            <w:sz w:val="24"/>
            <w:szCs w:val="24"/>
          </w:rPr>
          <w:t>第六节股份变动及股东情况</w:t>
        </w:r>
        <w:r>
          <w:rPr>
            <w:color w:val="000000"/>
            <w:spacing w:val="0"/>
            <w:w w:val="100"/>
            <w:position w:val="0"/>
            <w:sz w:val="24"/>
            <w:szCs w:val="24"/>
          </w:rPr>
          <w:tab/>
        </w:r>
        <w:r>
          <w:rPr>
            <w:color w:val="000000"/>
            <w:spacing w:val="0"/>
            <w:w w:val="100"/>
            <w:position w:val="0"/>
            <w:sz w:val="24"/>
            <w:szCs w:val="24"/>
          </w:rPr>
          <w:t>85</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576" w:tooltip="Current Document">
        <w:r>
          <w:rPr>
            <w:color w:val="000000"/>
            <w:spacing w:val="0"/>
            <w:w w:val="100"/>
            <w:position w:val="0"/>
            <w:sz w:val="24"/>
            <w:szCs w:val="24"/>
          </w:rPr>
          <w:t>第七节优先股相关情况</w:t>
        </w:r>
        <w:r>
          <w:rPr>
            <w:color w:val="000000"/>
            <w:spacing w:val="0"/>
            <w:w w:val="100"/>
            <w:position w:val="0"/>
            <w:sz w:val="24"/>
            <w:szCs w:val="24"/>
          </w:rPr>
          <w:tab/>
        </w:r>
        <w:r>
          <w:rPr>
            <w:color w:val="000000"/>
            <w:spacing w:val="0"/>
            <w:w w:val="100"/>
            <w:position w:val="0"/>
            <w:sz w:val="24"/>
            <w:szCs w:val="24"/>
          </w:rPr>
          <w:t>91</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580" w:tooltip="Current Document">
        <w:r>
          <w:rPr>
            <w:color w:val="000000"/>
            <w:spacing w:val="0"/>
            <w:w w:val="100"/>
            <w:position w:val="0"/>
            <w:sz w:val="24"/>
            <w:szCs w:val="24"/>
          </w:rPr>
          <w:t>第八节可转换公司债券相关情况</w:t>
        </w:r>
        <w:r>
          <w:rPr>
            <w:color w:val="000000"/>
            <w:spacing w:val="0"/>
            <w:w w:val="100"/>
            <w:position w:val="0"/>
            <w:sz w:val="24"/>
            <w:szCs w:val="24"/>
          </w:rPr>
          <w:tab/>
        </w:r>
        <w:r>
          <w:rPr>
            <w:color w:val="000000"/>
            <w:spacing w:val="0"/>
            <w:w w:val="100"/>
            <w:position w:val="0"/>
            <w:sz w:val="24"/>
            <w:szCs w:val="24"/>
          </w:rPr>
          <w:t>92</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584" w:tooltip="Current Document">
        <w:r>
          <w:rPr>
            <w:color w:val="000000"/>
            <w:spacing w:val="0"/>
            <w:w w:val="100"/>
            <w:position w:val="0"/>
            <w:sz w:val="24"/>
            <w:szCs w:val="24"/>
          </w:rPr>
          <w:t>第九节董事、监事、高级管理人员和员工情况</w:t>
        </w:r>
        <w:r>
          <w:rPr>
            <w:color w:val="000000"/>
            <w:spacing w:val="0"/>
            <w:w w:val="100"/>
            <w:position w:val="0"/>
            <w:sz w:val="24"/>
            <w:szCs w:val="24"/>
          </w:rPr>
          <w:tab/>
        </w:r>
        <w:r>
          <w:rPr>
            <w:color w:val="000000"/>
            <w:spacing w:val="0"/>
            <w:w w:val="100"/>
            <w:position w:val="0"/>
            <w:sz w:val="24"/>
            <w:szCs w:val="24"/>
          </w:rPr>
          <w:t>93</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635" w:tooltip="Current Document">
        <w:r>
          <w:rPr>
            <w:color w:val="000000"/>
            <w:spacing w:val="0"/>
            <w:w w:val="100"/>
            <w:position w:val="0"/>
            <w:sz w:val="24"/>
            <w:szCs w:val="24"/>
          </w:rPr>
          <w:t>第十节公司治理</w:t>
        </w:r>
        <w:r>
          <w:rPr>
            <w:color w:val="000000"/>
            <w:spacing w:val="0"/>
            <w:w w:val="100"/>
            <w:position w:val="0"/>
            <w:sz w:val="24"/>
            <w:szCs w:val="24"/>
          </w:rPr>
          <w:tab/>
        </w:r>
        <w:r>
          <w:rPr>
            <w:color w:val="000000"/>
            <w:spacing w:val="0"/>
            <w:w w:val="100"/>
            <w:position w:val="0"/>
            <w:sz w:val="24"/>
            <w:szCs w:val="24"/>
          </w:rPr>
          <w:t>107</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730" w:tooltip="Current Document">
        <w:r>
          <w:rPr>
            <w:color w:val="000000"/>
            <w:spacing w:val="0"/>
            <w:w w:val="100"/>
            <w:position w:val="0"/>
            <w:sz w:val="24"/>
            <w:szCs w:val="24"/>
          </w:rPr>
          <w:t>第^一节公司债券相关情况</w:t>
        </w:r>
        <w:r>
          <w:rPr>
            <w:color w:val="000000"/>
            <w:spacing w:val="0"/>
            <w:w w:val="100"/>
            <w:position w:val="0"/>
            <w:sz w:val="24"/>
            <w:szCs w:val="24"/>
          </w:rPr>
          <w:tab/>
        </w:r>
        <w:r>
          <w:rPr>
            <w:color w:val="000000"/>
            <w:spacing w:val="0"/>
            <w:w w:val="100"/>
            <w:position w:val="0"/>
            <w:sz w:val="24"/>
            <w:szCs w:val="24"/>
          </w:rPr>
          <w:t>116</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734" w:tooltip="Current Document">
        <w:r>
          <w:rPr>
            <w:color w:val="000000"/>
            <w:spacing w:val="0"/>
            <w:w w:val="100"/>
            <w:position w:val="0"/>
            <w:sz w:val="24"/>
            <w:szCs w:val="24"/>
          </w:rPr>
          <w:t>第十二节财务报告</w:t>
        </w:r>
        <w:r>
          <w:rPr>
            <w:color w:val="000000"/>
            <w:spacing w:val="0"/>
            <w:w w:val="100"/>
            <w:position w:val="0"/>
            <w:sz w:val="24"/>
            <w:szCs w:val="24"/>
          </w:rPr>
          <w:tab/>
        </w:r>
        <w:r>
          <w:rPr>
            <w:color w:val="000000"/>
            <w:spacing w:val="0"/>
            <w:w w:val="100"/>
            <w:position w:val="0"/>
            <w:sz w:val="24"/>
            <w:szCs w:val="24"/>
          </w:rPr>
          <w:t>117</w:t>
        </w:r>
      </w:hyperlink>
    </w:p>
    <w:p>
      <w:pPr>
        <w:pStyle w:val="Style27"/>
        <w:keepNext w:val="0"/>
        <w:keepLines w:val="0"/>
        <w:widowControl w:val="0"/>
        <w:shd w:val="clear" w:color="auto" w:fill="auto"/>
        <w:tabs>
          <w:tab w:leader="dot" w:pos="9612" w:val="right"/>
        </w:tabs>
        <w:bidi w:val="0"/>
        <w:spacing w:before="0" w:line="240" w:lineRule="auto"/>
        <w:ind w:left="0" w:right="0" w:firstLine="0"/>
        <w:jc w:val="both"/>
      </w:pPr>
      <w:hyperlink w:anchor="bookmark1624" w:tooltip="Current Document">
        <w:r>
          <w:rPr>
            <w:color w:val="000000"/>
            <w:spacing w:val="0"/>
            <w:w w:val="100"/>
            <w:position w:val="0"/>
            <w:sz w:val="24"/>
            <w:szCs w:val="24"/>
          </w:rPr>
          <w:t>第十三节 备查文件目录</w:t>
        </w:r>
        <w:r>
          <w:rPr>
            <w:color w:val="000000"/>
            <w:spacing w:val="0"/>
            <w:w w:val="100"/>
            <w:position w:val="0"/>
            <w:sz w:val="24"/>
            <w:szCs w:val="24"/>
          </w:rPr>
          <w:tab/>
          <w:t xml:space="preserve"> </w:t>
        </w:r>
        <w:r>
          <w:rPr>
            <w:color w:val="000000"/>
            <w:spacing w:val="0"/>
            <w:w w:val="100"/>
            <w:position w:val="0"/>
            <w:sz w:val="24"/>
            <w:szCs w:val="24"/>
          </w:rPr>
          <w:t>223</w:t>
        </w:r>
      </w:hyperlink>
      <w:r>
        <w:br w:type="page"/>
      </w:r>
      <w:r>
        <w:fldChar w:fldCharType="end"/>
      </w:r>
    </w:p>
    <w:p>
      <w:pPr>
        <w:pStyle w:val="Style2"/>
        <w:keepNext w:val="0"/>
        <w:keepLines w:val="0"/>
        <w:widowControl w:val="0"/>
        <w:shd w:val="clear" w:color="auto" w:fill="auto"/>
        <w:bidi w:val="0"/>
        <w:spacing w:before="0" w:after="800" w:line="240" w:lineRule="auto"/>
        <w:ind w:left="0" w:right="0" w:firstLine="0"/>
        <w:jc w:val="center"/>
        <w:rPr>
          <w:sz w:val="32"/>
          <w:szCs w:val="32"/>
        </w:rPr>
      </w:pPr>
      <w:r>
        <w:rPr>
          <w:b/>
          <w:bCs/>
          <w:color w:val="000000"/>
          <w:spacing w:val="0"/>
          <w:w w:val="100"/>
          <w:position w:val="0"/>
          <w:sz w:val="32"/>
          <w:szCs w:val="32"/>
        </w:rPr>
        <w:t>释义</w:t>
      </w:r>
    </w:p>
    <w:tbl>
      <w:tblPr>
        <w:tblOverlap w:val="never"/>
        <w:jc w:val="center"/>
        <w:tblLayout w:type="fixed"/>
      </w:tblPr>
      <w:tblGrid>
        <w:gridCol w:w="3528"/>
        <w:gridCol w:w="624"/>
        <w:gridCol w:w="5434"/>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释义项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释义内容</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中科信息、本集团、本公司、母公司、公司</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中科院成都信息技术股份有限公司</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国科控股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中国科学院控股有限公司，曾用名</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中国科学院国有资产经营有限责 任公司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color w:val="000000"/>
                <w:spacing w:val="0"/>
                <w:w w:val="100"/>
                <w:position w:val="0"/>
                <w:sz w:val="18"/>
                <w:szCs w:val="18"/>
              </w:rPr>
              <w:t>中科信息控股股东</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中国科学院</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成都计算所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中国科学院成都计算机应用研究所，为中科院成都信息技术股份有限 公司前身。</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宇中咨询</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荷泽宇中企业管理咨询中心（有限合伙），曾用名</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成都宇中投资管理 中心（有限合伙）</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，中科信息股东</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埃德凯森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四川埃德凯森科技有限公司，中科信息股东</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中科石油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成都中科石油工程技术股份有限公司，中科信息控股子公司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成都中科信息技术有限公司，中科信息全资子公司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中科金华</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中科院金华信息技术有限公司，中科信息全资子公司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中钞科信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深圳市中钞科信金融科技有限公司，中科信息对外投资企业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瑞拓科技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成都瑞拓科技股份有限公司，中科信息关联方</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中国证监会</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中国证券监督管理委员会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深交所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深圳证券交易所</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元</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人民币元，特别注明的除外</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报告期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日至</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r>
      <w:tr>
        <w:trPr>
          <w:trHeight w:val="259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算法</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算法（</w:t>
            </w:r>
            <w:r>
              <w:rPr>
                <w:rFonts w:ascii="Times New Roman" w:eastAsia="Times New Roman" w:hAnsi="Times New Roman" w:cs="Times New Roman"/>
                <w:color w:val="000000"/>
                <w:spacing w:val="0"/>
                <w:w w:val="100"/>
                <w:position w:val="0"/>
                <w:sz w:val="18"/>
                <w:szCs w:val="18"/>
              </w:rPr>
              <w:t>Algorithm</w:t>
            </w:r>
            <w:r>
              <w:rPr>
                <w:color w:val="000000"/>
                <w:spacing w:val="0"/>
                <w:w w:val="100"/>
                <w:position w:val="0"/>
                <w:sz w:val="18"/>
                <w:szCs w:val="18"/>
              </w:rPr>
              <w:t>），</w:t>
            </w:r>
            <w:r>
              <w:rPr>
                <w:color w:val="000000"/>
                <w:spacing w:val="0"/>
                <w:w w:val="100"/>
                <w:position w:val="0"/>
                <w:sz w:val="18"/>
                <w:szCs w:val="18"/>
              </w:rPr>
              <w:t>一般是指求解某类计算、分析或推理问题的策略 机制，一般利用计算机技术，形成一系列解决问题的清晰指令，能够 对一定规范的输入，在有限时间内获得所要求的输出。一个算法的优 劣可以用空间复杂度与时间复杂度来衡量。针对问题的不同，可以有 很多算法，比如机器学习算法就是一类从数据中自动分析获得规律， 并利用规律对未知数据进行预测的算法。再比如模式识别算法就是通 过计算机用数学技术方法来研究客体模式（如视觉和听觉信息）的自 动处理和判读。</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计算机自动推理</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计算机自动推理是计算机科学的一个分支，属于人工智能学科研究的 一种，它的主要研究方向是利用计算机进行自动化的逻辑证明，其内 容一般可分为演绎推理和非演绎推理。</w:t>
            </w: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智能识别及分析技术</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智能识别及分析技术是面向智能化生产、服务与管理的应用计算机技 术，主要解决目标特征数据自动采集、海量数据归纳与分析、复杂图 像理解与机器学习问题。</w:t>
            </w:r>
          </w:p>
        </w:tc>
      </w:tr>
    </w:tbl>
    <w:p>
      <w:pPr>
        <w:widowControl w:val="0"/>
        <w:spacing w:after="839" w:line="1" w:lineRule="exact"/>
      </w:pPr>
    </w:p>
    <w:p>
      <w:pPr>
        <w:pStyle w:val="Style2"/>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A2A2A2"/>
          <w:spacing w:val="0"/>
          <w:w w:val="100"/>
          <w:position w:val="0"/>
          <w:sz w:val="20"/>
          <w:szCs w:val="20"/>
        </w:rPr>
        <w:t>cninf^</w:t>
      </w:r>
    </w:p>
    <w:p>
      <w:pPr>
        <w:pStyle w:val="Style2"/>
        <w:keepNext w:val="0"/>
        <w:keepLines w:val="0"/>
        <w:widowControl w:val="0"/>
        <w:shd w:val="clear" w:color="auto" w:fill="auto"/>
        <w:bidi w:val="0"/>
        <w:spacing w:before="0" w:after="0" w:line="240" w:lineRule="auto"/>
        <w:ind w:left="0" w:right="0" w:firstLine="0"/>
        <w:jc w:val="right"/>
        <w:rPr>
          <w:sz w:val="12"/>
          <w:szCs w:val="12"/>
        </w:rPr>
        <w:sectPr>
          <w:footnotePr>
            <w:pos w:val="pageBottom"/>
            <w:numFmt w:val="decimal"/>
            <w:numRestart w:val="continuous"/>
          </w:footnotePr>
          <w:type w:val="continuous"/>
          <w:pgSz w:w="11900" w:h="16840"/>
          <w:pgMar w:top="1245" w:right="1119" w:bottom="1028" w:left="1085"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tbl>
      <w:tblPr>
        <w:tblOverlap w:val="never"/>
        <w:jc w:val="center"/>
        <w:tblLayout w:type="fixed"/>
      </w:tblPr>
      <w:tblGrid>
        <w:gridCol w:w="3528"/>
        <w:gridCol w:w="624"/>
        <w:gridCol w:w="5434"/>
      </w:tblGrid>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机器视觉技术</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是一门涉及人工智能、神经生物学、心理物理学、计算机科学、图像 处理、模式识别等诸多领域的交叉学科。机器视觉主要用计算机来模 拟人的视觉功能，从客观事物的图像中提取信息，进行处理并加以理 解，最终用于实际检测、测量和控制。</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物联网</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通过各种信息传感设备，如传感器、射频识别(</w:t>
            </w:r>
            <w:r>
              <w:rPr>
                <w:rFonts w:ascii="Times New Roman" w:eastAsia="Times New Roman" w:hAnsi="Times New Roman" w:cs="Times New Roman"/>
                <w:color w:val="000000"/>
                <w:spacing w:val="0"/>
                <w:w w:val="100"/>
                <w:position w:val="0"/>
                <w:sz w:val="18"/>
                <w:szCs w:val="18"/>
              </w:rPr>
              <w:t>RFID</w:t>
            </w:r>
            <w:r>
              <w:rPr>
                <w:color w:val="000000"/>
                <w:spacing w:val="0"/>
                <w:w w:val="100"/>
                <w:position w:val="0"/>
                <w:sz w:val="18"/>
                <w:szCs w:val="18"/>
              </w:rPr>
              <w:t>)</w:t>
            </w:r>
            <w:r>
              <w:rPr>
                <w:color w:val="000000"/>
                <w:spacing w:val="0"/>
                <w:w w:val="100"/>
                <w:position w:val="0"/>
                <w:sz w:val="18"/>
                <w:szCs w:val="18"/>
              </w:rPr>
              <w:t>技术、全球定 位系统、红外感应器、激光扫描器、气体感应器等各种装置与技术， 实时采集任何需要监控、连接、互动的物体或过程，采集其声、光、 热、电、力学、化学、生物、位置等各种需要的信息，与互联网结合 形成的一个巨大网络。其目的是实现物与物、物与人，所有的物品与 网络的连接，方便识别、管理和控制。</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虚拟仿真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仿真</w:t>
            </w:r>
            <w:r>
              <w:rPr>
                <w:rFonts w:ascii="Times New Roman" w:eastAsia="Times New Roman" w:hAnsi="Times New Roman" w:cs="Times New Roman"/>
                <w:color w:val="000000"/>
                <w:spacing w:val="0"/>
                <w:w w:val="100"/>
                <w:position w:val="0"/>
                <w:sz w:val="18"/>
                <w:szCs w:val="18"/>
              </w:rPr>
              <w:t>(simulation</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技术，或称为模拟技术，是用一个系统模仿另一个真 实系统的技术，是一种可创建和体验虚拟世界</w:t>
            </w:r>
            <w:r>
              <w:rPr>
                <w:rFonts w:ascii="Times New Roman" w:eastAsia="Times New Roman" w:hAnsi="Times New Roman" w:cs="Times New Roman"/>
                <w:color w:val="000000"/>
                <w:spacing w:val="0"/>
                <w:w w:val="100"/>
                <w:position w:val="0"/>
                <w:sz w:val="18"/>
                <w:szCs w:val="18"/>
              </w:rPr>
              <w:t>(Virtual World)</w:t>
            </w:r>
            <w:r>
              <w:rPr>
                <w:color w:val="000000"/>
                <w:spacing w:val="0"/>
                <w:w w:val="100"/>
                <w:position w:val="0"/>
                <w:sz w:val="18"/>
                <w:szCs w:val="18"/>
              </w:rPr>
              <w:t>的计算机 系统。是计算机技术、计算机图形学、计算机视觉、视觉生理学、视 觉心理学、仿真技术、微电子技术、多媒体技术、信息技术、立体显 示技术、传感与测量技术、软件工程、语音识别与合成技术、人机接 口技术、网络技术及人工智能技术等多种高新技术集成之结晶。其逼 真性和实时交互性为系统仿真技术提供有力的支撑。</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SCADA</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Supervisory Control And Data Acquisition </w:t>
            </w:r>
            <w:r>
              <w:rPr>
                <w:color w:val="000000"/>
                <w:spacing w:val="0"/>
                <w:w w:val="100"/>
                <w:position w:val="0"/>
                <w:sz w:val="18"/>
                <w:szCs w:val="18"/>
              </w:rPr>
              <w:t>系统，即数据采集与监视控制 系统，应用领域很广，可以应用于电力、冶金、石油、化工、燃气、 铁路等领域的数据采集与监视控制以及过程控制等诸多领域。</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CNG</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Supervisory Control And Data Acquisition </w:t>
            </w:r>
            <w:r>
              <w:rPr>
                <w:color w:val="000000"/>
                <w:spacing w:val="0"/>
                <w:w w:val="100"/>
                <w:position w:val="0"/>
                <w:sz w:val="18"/>
                <w:szCs w:val="18"/>
              </w:rPr>
              <w:t>系统，即数据采集与监视控制 系统，应用领域很广，可以应用于电力、冶金、石油、化工、燃气、 铁路等领域的数据采集与监视控制以及过程控制等诸多领域。</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大数据</w:t>
            </w:r>
            <w:r>
              <w:rPr>
                <w:rFonts w:ascii="Times New Roman" w:eastAsia="Times New Roman" w:hAnsi="Times New Roman" w:cs="Times New Roman"/>
                <w:color w:val="000000"/>
                <w:spacing w:val="0"/>
                <w:w w:val="100"/>
                <w:position w:val="0"/>
                <w:sz w:val="18"/>
                <w:szCs w:val="18"/>
              </w:rPr>
              <w:t>(big data,mega data)</w:t>
            </w:r>
            <w:r>
              <w:rPr>
                <w:color w:val="000000"/>
                <w:spacing w:val="0"/>
                <w:w w:val="100"/>
                <w:position w:val="0"/>
                <w:sz w:val="18"/>
                <w:szCs w:val="18"/>
              </w:rPr>
              <w:t>或称巨量资料，指的是需要新处理模式才能 具有更强的决策力、洞察力和流程优化能力的海量、高增长率和多样 化的信息资产。</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云计算</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云计算</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cloud computing</w:t>
            </w:r>
            <w:r>
              <w:rPr>
                <w:color w:val="000000"/>
                <w:spacing w:val="0"/>
                <w:w w:val="100"/>
                <w:position w:val="0"/>
                <w:sz w:val="18"/>
                <w:szCs w:val="18"/>
              </w:rPr>
              <w:t>)是分布式计算的一种，指的是通过网络</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云</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将巨大的数据计算处理程序分解成无数个小程序，然后，通过多 部服务器组成的系统进行处理和分析这些小程序得到结果并返回给 用户。云计算不是一种全新的网络技术，而是一种全新的网络应用概 念，云计算的核心概念就是以互联网为中心，在网站上提供快速且安 全的云计算服务与数据存储，让每一个使用互联网的人都可以使用网 络上的庞大计算资源与数据中心。</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5G</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第五代移动通信技术(英语：</w:t>
            </w:r>
            <w:r>
              <w:rPr>
                <w:rFonts w:ascii="Times New Roman" w:eastAsia="Times New Roman" w:hAnsi="Times New Roman" w:cs="Times New Roman"/>
                <w:color w:val="000000"/>
                <w:spacing w:val="0"/>
                <w:w w:val="100"/>
                <w:position w:val="0"/>
                <w:sz w:val="18"/>
                <w:szCs w:val="18"/>
              </w:rPr>
              <w:t>5th generation mobile networks</w:t>
            </w:r>
            <w:r>
              <w:rPr>
                <w:color w:val="000000"/>
                <w:spacing w:val="0"/>
                <w:w w:val="100"/>
                <w:position w:val="0"/>
                <w:sz w:val="18"/>
                <w:szCs w:val="18"/>
              </w:rPr>
              <w:t>或</w:t>
            </w:r>
            <w:r>
              <w:rPr>
                <w:rFonts w:ascii="Times New Roman" w:eastAsia="Times New Roman" w:hAnsi="Times New Roman" w:cs="Times New Roman"/>
                <w:color w:val="000000"/>
                <w:spacing w:val="0"/>
                <w:w w:val="100"/>
                <w:position w:val="0"/>
                <w:sz w:val="18"/>
                <w:szCs w:val="18"/>
              </w:rPr>
              <w:t>5th generation wireless systems</w:t>
            </w:r>
            <w:r>
              <w:rPr>
                <w:color w:val="000000"/>
                <w:spacing w:val="0"/>
                <w:w w:val="100"/>
                <w:position w:val="0"/>
                <w:sz w:val="18"/>
                <w:szCs w:val="18"/>
              </w:rPr>
              <w:t xml:space="preserve">&gt; </w:t>
            </w:r>
            <w:r>
              <w:rPr>
                <w:rFonts w:ascii="Times New Roman" w:eastAsia="Times New Roman" w:hAnsi="Times New Roman" w:cs="Times New Roman"/>
                <w:color w:val="000000"/>
                <w:spacing w:val="0"/>
                <w:w w:val="100"/>
                <w:position w:val="0"/>
                <w:sz w:val="18"/>
                <w:szCs w:val="18"/>
              </w:rPr>
              <w:t>5th-Generation</w:t>
            </w:r>
            <w:r>
              <w:rPr>
                <w:color w:val="000000"/>
                <w:spacing w:val="0"/>
                <w:w w:val="100"/>
                <w:position w:val="0"/>
                <w:sz w:val="18"/>
                <w:szCs w:val="18"/>
              </w:rPr>
              <w:t xml:space="preserve">，简称 </w:t>
            </w:r>
            <w:r>
              <w:rPr>
                <w:rFonts w:ascii="Times New Roman" w:eastAsia="Times New Roman" w:hAnsi="Times New Roman" w:cs="Times New Roman"/>
                <w:color w:val="000000"/>
                <w:spacing w:val="0"/>
                <w:w w:val="100"/>
                <w:position w:val="0"/>
                <w:sz w:val="18"/>
                <w:szCs w:val="18"/>
              </w:rPr>
              <w:t xml:space="preserve">5G </w:t>
            </w:r>
            <w:r>
              <w:rPr>
                <w:color w:val="000000"/>
                <w:spacing w:val="0"/>
                <w:w w:val="100"/>
                <w:position w:val="0"/>
                <w:sz w:val="18"/>
                <w:szCs w:val="18"/>
              </w:rPr>
              <w:t xml:space="preserve">或 </w:t>
            </w:r>
            <w:r>
              <w:rPr>
                <w:rFonts w:ascii="Times New Roman" w:eastAsia="Times New Roman" w:hAnsi="Times New Roman" w:cs="Times New Roman"/>
                <w:color w:val="000000"/>
                <w:spacing w:val="0"/>
                <w:w w:val="100"/>
                <w:position w:val="0"/>
                <w:sz w:val="18"/>
                <w:szCs w:val="18"/>
              </w:rPr>
              <w:t xml:space="preserve">5G </w:t>
            </w:r>
            <w:r>
              <w:rPr>
                <w:color w:val="000000"/>
                <w:spacing w:val="0"/>
                <w:w w:val="100"/>
                <w:position w:val="0"/>
                <w:sz w:val="18"/>
                <w:szCs w:val="18"/>
              </w:rPr>
              <w:t>技术)是 最新一代蜂窝移动通信技术，也是即</w:t>
            </w:r>
            <w:r>
              <w:rPr>
                <w:rFonts w:ascii="Times New Roman" w:eastAsia="Times New Roman" w:hAnsi="Times New Roman" w:cs="Times New Roman"/>
                <w:color w:val="000000"/>
                <w:spacing w:val="0"/>
                <w:w w:val="100"/>
                <w:position w:val="0"/>
                <w:sz w:val="18"/>
                <w:szCs w:val="18"/>
              </w:rPr>
              <w:t>4G(LTE-A</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WiMax</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3G(UMTS</w:t>
            </w:r>
            <w:r>
              <w:rPr>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LTE</w:t>
            </w:r>
            <w:r>
              <w:rPr>
                <w:color w:val="000000"/>
                <w:spacing w:val="0"/>
                <w:w w:val="100"/>
                <w:position w:val="0"/>
                <w:sz w:val="18"/>
                <w:szCs w:val="18"/>
              </w:rPr>
              <w:t>)</w:t>
            </w:r>
            <w:r>
              <w:rPr>
                <w:color w:val="000000"/>
                <w:spacing w:val="0"/>
                <w:w w:val="100"/>
                <w:position w:val="0"/>
                <w:sz w:val="18"/>
                <w:szCs w:val="18"/>
              </w:rPr>
              <w:t>和</w:t>
            </w:r>
            <w:r>
              <w:rPr>
                <w:rFonts w:ascii="Times New Roman" w:eastAsia="Times New Roman" w:hAnsi="Times New Roman" w:cs="Times New Roman"/>
                <w:color w:val="000000"/>
                <w:spacing w:val="0"/>
                <w:w w:val="100"/>
                <w:position w:val="0"/>
                <w:sz w:val="18"/>
                <w:szCs w:val="18"/>
              </w:rPr>
              <w:t xml:space="preserve">2G </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GSM</w:t>
            </w:r>
            <w:r>
              <w:rPr>
                <w:color w:val="000000"/>
                <w:spacing w:val="0"/>
                <w:w w:val="100"/>
                <w:position w:val="0"/>
                <w:sz w:val="18"/>
                <w:szCs w:val="18"/>
              </w:rPr>
              <w:t>)</w:t>
            </w:r>
            <w:r>
              <w:rPr>
                <w:color w:val="000000"/>
                <w:spacing w:val="0"/>
                <w:w w:val="100"/>
                <w:position w:val="0"/>
                <w:sz w:val="18"/>
                <w:szCs w:val="18"/>
              </w:rPr>
              <w:t>系统之后的延伸。</w:t>
            </w:r>
            <w:r>
              <w:rPr>
                <w:rFonts w:ascii="Times New Roman" w:eastAsia="Times New Roman" w:hAnsi="Times New Roman" w:cs="Times New Roman"/>
                <w:color w:val="000000"/>
                <w:spacing w:val="0"/>
                <w:w w:val="100"/>
                <w:position w:val="0"/>
                <w:sz w:val="18"/>
                <w:szCs w:val="18"/>
              </w:rPr>
              <w:t>5G</w:t>
            </w:r>
            <w:r>
              <w:rPr>
                <w:color w:val="000000"/>
                <w:spacing w:val="0"/>
                <w:w w:val="100"/>
                <w:position w:val="0"/>
                <w:sz w:val="18"/>
                <w:szCs w:val="18"/>
              </w:rPr>
              <w:t>的性能目标是高数据速率、 减少延迟、节省能源、降低成本、提高系统容量和大规模设备连接。</w:t>
            </w:r>
          </w:p>
        </w:tc>
      </w:tr>
      <w:tr>
        <w:trPr>
          <w:trHeight w:val="130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区块链</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区块链(</w:t>
            </w:r>
            <w:r>
              <w:rPr>
                <w:rFonts w:ascii="Times New Roman" w:eastAsia="Times New Roman" w:hAnsi="Times New Roman" w:cs="Times New Roman"/>
                <w:color w:val="000000"/>
                <w:spacing w:val="0"/>
                <w:w w:val="100"/>
                <w:position w:val="0"/>
                <w:sz w:val="18"/>
                <w:szCs w:val="18"/>
              </w:rPr>
              <w:t xml:space="preserve">Blockchain </w:t>
            </w:r>
            <w:r>
              <w:rPr>
                <w:color w:val="000000"/>
                <w:spacing w:val="0"/>
                <w:w w:val="100"/>
                <w:position w:val="0"/>
                <w:sz w:val="18"/>
                <w:szCs w:val="18"/>
              </w:rPr>
              <w:t>)本质上是一个去中心化的数据库，同时作为比 特币的底层技术，是一串使用密码学方法相关联产生的数据块，每一 个数据块中包含了一批次比特币网络交易的信息，用于验证其信息的 有效性(防伪)和生成下一个区块。它是分布式数据存储、点对点传</w:t>
            </w:r>
          </w:p>
        </w:tc>
      </w:tr>
    </w:tbl>
    <w:p>
      <w:pPr>
        <w:widowControl w:val="0"/>
        <w:spacing w:after="819" w:line="1" w:lineRule="exact"/>
      </w:pPr>
    </w:p>
    <w:p>
      <w:pPr>
        <w:pStyle w:val="Style2"/>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A2A2A2"/>
          <w:spacing w:val="0"/>
          <w:w w:val="100"/>
          <w:position w:val="0"/>
          <w:sz w:val="20"/>
          <w:szCs w:val="20"/>
        </w:rPr>
        <w:t>cninf^</w:t>
      </w:r>
    </w:p>
    <w:p>
      <w:pPr>
        <w:pStyle w:val="Style2"/>
        <w:keepNext w:val="0"/>
        <w:keepLines w:val="0"/>
        <w:widowControl w:val="0"/>
        <w:shd w:val="clear" w:color="auto" w:fill="auto"/>
        <w:bidi w:val="0"/>
        <w:spacing w:before="0" w:after="0" w:line="240" w:lineRule="auto"/>
        <w:ind w:left="0" w:right="0" w:firstLine="0"/>
        <w:jc w:val="right"/>
        <w:rPr>
          <w:sz w:val="12"/>
          <w:szCs w:val="12"/>
        </w:rPr>
        <w:sectPr>
          <w:headerReference w:type="default" r:id="rId13"/>
          <w:footerReference w:type="default" r:id="rId14"/>
          <w:headerReference w:type="even" r:id="rId15"/>
          <w:footerReference w:type="even" r:id="rId16"/>
          <w:footnotePr>
            <w:pos w:val="pageBottom"/>
            <w:numFmt w:val="decimal"/>
            <w:numRestart w:val="continuous"/>
          </w:footnotePr>
          <w:pgSz w:w="11900" w:h="16840"/>
          <w:pgMar w:top="1436" w:right="1200" w:bottom="941" w:left="1115"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tbl>
      <w:tblPr>
        <w:tblOverlap w:val="never"/>
        <w:jc w:val="center"/>
        <w:tblLayout w:type="fixed"/>
      </w:tblPr>
      <w:tblGrid>
        <w:gridCol w:w="3528"/>
        <w:gridCol w:w="624"/>
        <w:gridCol w:w="5434"/>
      </w:tblGrid>
      <w:tr>
        <w:trPr>
          <w:trHeight w:val="3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输、共识机制、加密算法等计算机技术的新型应用模式。</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ARM</w:t>
            </w:r>
            <w:r>
              <w:rPr>
                <w:color w:val="000000"/>
                <w:spacing w:val="0"/>
                <w:w w:val="100"/>
                <w:position w:val="0"/>
                <w:sz w:val="18"/>
                <w:szCs w:val="18"/>
              </w:rPr>
              <w:t>架构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ARM</w:t>
            </w:r>
            <w:r>
              <w:rPr>
                <w:color w:val="000000"/>
                <w:spacing w:val="0"/>
                <w:w w:val="100"/>
                <w:position w:val="0"/>
                <w:sz w:val="18"/>
                <w:szCs w:val="18"/>
              </w:rPr>
              <w:t>架构是一种采用独特的</w:t>
            </w:r>
            <w:r>
              <w:rPr>
                <w:rFonts w:ascii="Times New Roman" w:eastAsia="Times New Roman" w:hAnsi="Times New Roman" w:cs="Times New Roman"/>
                <w:color w:val="000000"/>
                <w:spacing w:val="0"/>
                <w:w w:val="100"/>
                <w:position w:val="0"/>
                <w:sz w:val="18"/>
                <w:szCs w:val="18"/>
              </w:rPr>
              <w:t>ARM</w:t>
            </w:r>
            <w:r>
              <w:rPr>
                <w:color w:val="000000"/>
                <w:spacing w:val="0"/>
                <w:w w:val="100"/>
                <w:position w:val="0"/>
                <w:sz w:val="18"/>
                <w:szCs w:val="18"/>
              </w:rPr>
              <w:t>指令集系统、并且根据不同适用范 围开发的处理器体系结构。</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CCOS</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C entral Counting Optical Scan Sy stem,</w:t>
            </w:r>
            <w:r>
              <w:rPr>
                <w:color w:val="000000"/>
                <w:spacing w:val="0"/>
                <w:w w:val="100"/>
                <w:position w:val="0"/>
                <w:sz w:val="18"/>
                <w:szCs w:val="18"/>
              </w:rPr>
              <w:t>集中式光学计票系统</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PCOS</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Precinct Counting Optical Scan Sy stem</w:t>
            </w:r>
            <w:r>
              <w:rPr>
                <w:color w:val="000000"/>
                <w:spacing w:val="0"/>
                <w:w w:val="100"/>
                <w:position w:val="0"/>
                <w:sz w:val="18"/>
                <w:szCs w:val="18"/>
              </w:rPr>
              <w:t>,</w:t>
            </w:r>
            <w:r>
              <w:rPr>
                <w:color w:val="000000"/>
                <w:spacing w:val="0"/>
                <w:w w:val="100"/>
                <w:position w:val="0"/>
                <w:sz w:val="18"/>
                <w:szCs w:val="18"/>
              </w:rPr>
              <w:t>站点式光学计票系统</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IPD</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both"/>
              <w:rPr>
                <w:sz w:val="18"/>
                <w:szCs w:val="18"/>
              </w:rPr>
            </w:pPr>
            <w:r>
              <w:rPr>
                <w:color w:val="000000"/>
                <w:spacing w:val="0"/>
                <w:w w:val="100"/>
                <w:position w:val="0"/>
                <w:sz w:val="18"/>
                <w:szCs w:val="18"/>
              </w:rPr>
              <w:t>集成产品开发</w:t>
            </w:r>
            <w:r>
              <w:rPr>
                <w:rFonts w:ascii="Times New Roman" w:eastAsia="Times New Roman" w:hAnsi="Times New Roman" w:cs="Times New Roman"/>
                <w:color w:val="000000"/>
                <w:spacing w:val="0"/>
                <w:w w:val="100"/>
                <w:position w:val="0"/>
                <w:sz w:val="18"/>
                <w:szCs w:val="18"/>
              </w:rPr>
              <w:t>(Integrated Product Development,</w:t>
            </w:r>
            <w:r>
              <w:rPr>
                <w:color w:val="000000"/>
                <w:spacing w:val="0"/>
                <w:w w:val="100"/>
                <w:position w:val="0"/>
                <w:sz w:val="18"/>
                <w:szCs w:val="18"/>
              </w:rPr>
              <w:t>简称</w:t>
            </w:r>
            <w:r>
              <w:rPr>
                <w:rFonts w:ascii="Times New Roman" w:eastAsia="Times New Roman" w:hAnsi="Times New Roman" w:cs="Times New Roman"/>
                <w:color w:val="000000"/>
                <w:spacing w:val="0"/>
                <w:w w:val="100"/>
                <w:position w:val="0"/>
                <w:sz w:val="18"/>
                <w:szCs w:val="18"/>
              </w:rPr>
              <w:t>IPD)</w:t>
            </w:r>
            <w:r>
              <w:rPr>
                <w:color w:val="000000"/>
                <w:spacing w:val="0"/>
                <w:w w:val="100"/>
                <w:position w:val="0"/>
                <w:sz w:val="18"/>
                <w:szCs w:val="18"/>
              </w:rPr>
              <w:t>是一套产品 开发的模式、理念与方法。</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PDM</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color w:val="000000"/>
                <w:spacing w:val="0"/>
                <w:w w:val="100"/>
                <w:position w:val="0"/>
                <w:sz w:val="18"/>
                <w:szCs w:val="18"/>
              </w:rPr>
              <w:t>产品数据管理</w:t>
            </w:r>
            <w:r>
              <w:rPr>
                <w:rFonts w:ascii="Times New Roman" w:eastAsia="Times New Roman" w:hAnsi="Times New Roman" w:cs="Times New Roman"/>
                <w:color w:val="000000"/>
                <w:spacing w:val="0"/>
                <w:w w:val="100"/>
                <w:position w:val="0"/>
                <w:sz w:val="18"/>
                <w:szCs w:val="18"/>
              </w:rPr>
              <w:t>(Product Data Management)</w:t>
            </w:r>
            <w:r>
              <w:rPr>
                <w:color w:val="000000"/>
                <w:spacing w:val="0"/>
                <w:w w:val="100"/>
                <w:position w:val="0"/>
                <w:sz w:val="18"/>
                <w:szCs w:val="18"/>
              </w:rPr>
              <w:t>，</w:t>
            </w:r>
            <w:r>
              <w:rPr>
                <w:color w:val="000000"/>
                <w:spacing w:val="0"/>
                <w:w w:val="100"/>
                <w:position w:val="0"/>
                <w:sz w:val="18"/>
                <w:szCs w:val="18"/>
              </w:rPr>
              <w:t>是一门用来管理所有与产 品相关信息</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包括零件信息、配置、文档、</w:t>
            </w:r>
            <w:r>
              <w:rPr>
                <w:rFonts w:ascii="Times New Roman" w:eastAsia="Times New Roman" w:hAnsi="Times New Roman" w:cs="Times New Roman"/>
                <w:color w:val="000000"/>
                <w:spacing w:val="0"/>
                <w:w w:val="100"/>
                <w:position w:val="0"/>
                <w:sz w:val="18"/>
                <w:szCs w:val="18"/>
              </w:rPr>
              <w:t>CAD</w:t>
            </w:r>
            <w:r>
              <w:rPr>
                <w:color w:val="000000"/>
                <w:spacing w:val="0"/>
                <w:w w:val="100"/>
                <w:position w:val="0"/>
                <w:sz w:val="18"/>
                <w:szCs w:val="18"/>
              </w:rPr>
              <w:t>文件、结构、权限信 息等</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和所有与产品相关过程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包括过程定义和管理</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的技术。</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PLM</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产品生命周期管理</w:t>
            </w:r>
            <w:r>
              <w:rPr>
                <w:rFonts w:ascii="Times New Roman" w:eastAsia="Times New Roman" w:hAnsi="Times New Roman" w:cs="Times New Roman"/>
                <w:color w:val="000000"/>
                <w:spacing w:val="0"/>
                <w:w w:val="100"/>
                <w:position w:val="0"/>
                <w:sz w:val="18"/>
                <w:szCs w:val="18"/>
              </w:rPr>
              <w:t>(Product Lifecycle Management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PLM)</w:t>
            </w:r>
            <w:r>
              <w:rPr>
                <w:color w:val="000000"/>
                <w:spacing w:val="0"/>
                <w:w w:val="100"/>
                <w:position w:val="0"/>
                <w:sz w:val="18"/>
                <w:szCs w:val="18"/>
              </w:rPr>
              <w:t>，</w:t>
            </w:r>
            <w:r>
              <w:rPr>
                <w:color w:val="000000"/>
                <w:spacing w:val="0"/>
                <w:w w:val="100"/>
                <w:position w:val="0"/>
                <w:sz w:val="18"/>
                <w:szCs w:val="18"/>
              </w:rPr>
              <w:t>是一种应 用于在单一地点的企业内部、分散在多个地点的企业内部，以及在产 品研发领域具有协作关系的企业之间的，支持产品全生命周期的信息 的创建、管理、分发和应用的一系列应用解决方案，它能够集成与产 品相关的人力资源、流程、应用系统和信息。</w:t>
            </w: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AI</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color w:val="000000"/>
                <w:spacing w:val="0"/>
                <w:w w:val="100"/>
                <w:position w:val="0"/>
                <w:sz w:val="18"/>
                <w:szCs w:val="18"/>
              </w:rPr>
              <w:t>人工智能(</w:t>
            </w:r>
            <w:r>
              <w:rPr>
                <w:rFonts w:ascii="Times New Roman" w:eastAsia="Times New Roman" w:hAnsi="Times New Roman" w:cs="Times New Roman"/>
                <w:color w:val="000000"/>
                <w:spacing w:val="0"/>
                <w:w w:val="100"/>
                <w:position w:val="0"/>
                <w:sz w:val="18"/>
                <w:szCs w:val="18"/>
              </w:rPr>
              <w:t xml:space="preserve">Artificial Intelligence </w:t>
            </w:r>
            <w:r>
              <w:rPr>
                <w:color w:val="000000"/>
                <w:spacing w:val="0"/>
                <w:w w:val="100"/>
                <w:position w:val="0"/>
                <w:sz w:val="18"/>
                <w:szCs w:val="18"/>
              </w:rPr>
              <w:t>)亦称智械、机器智能，指由人制造 出来的机器所表现出来的智能，通常是指通过普通计算机程序来呈现 人类智能的技术。</w:t>
            </w:r>
          </w:p>
        </w:tc>
      </w:tr>
    </w:tbl>
    <w:p>
      <w:pPr>
        <w:widowControl w:val="0"/>
        <w:spacing w:after="8399" w:line="1" w:lineRule="exact"/>
      </w:pPr>
    </w:p>
    <w:p>
      <w:pPr>
        <w:pStyle w:val="Style2"/>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A2A2A2"/>
          <w:spacing w:val="0"/>
          <w:w w:val="100"/>
          <w:position w:val="0"/>
          <w:sz w:val="20"/>
          <w:szCs w:val="20"/>
        </w:rPr>
        <w:t>cninf^</w:t>
      </w:r>
    </w:p>
    <w:p>
      <w:pPr>
        <w:pStyle w:val="Style2"/>
        <w:keepNext w:val="0"/>
        <w:keepLines w:val="0"/>
        <w:widowControl w:val="0"/>
        <w:shd w:val="clear" w:color="auto" w:fill="auto"/>
        <w:bidi w:val="0"/>
        <w:spacing w:before="0" w:after="0" w:line="240" w:lineRule="auto"/>
        <w:ind w:left="0" w:right="0" w:firstLine="0"/>
        <w:jc w:val="right"/>
        <w:rPr>
          <w:sz w:val="12"/>
          <w:szCs w:val="12"/>
        </w:rPr>
        <w:sectPr>
          <w:footnotePr>
            <w:pos w:val="pageBottom"/>
            <w:numFmt w:val="decimal"/>
            <w:numRestart w:val="continuous"/>
          </w:footnotePr>
          <w:pgSz w:w="11900" w:h="16840"/>
          <w:pgMar w:top="1436" w:right="1200" w:bottom="941" w:left="1115"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p>
      <w:pPr>
        <w:pStyle w:val="Style15"/>
        <w:keepNext/>
        <w:keepLines/>
        <w:widowControl w:val="0"/>
        <w:shd w:val="clear" w:color="auto" w:fill="auto"/>
        <w:bidi w:val="0"/>
        <w:spacing w:before="580" w:line="240" w:lineRule="auto"/>
        <w:ind w:left="0" w:right="0" w:firstLine="0"/>
        <w:jc w:val="center"/>
      </w:pPr>
      <w:bookmarkStart w:id="4" w:name="bookmark4"/>
      <w:bookmarkStart w:id="5" w:name="bookmark5"/>
      <w:bookmarkStart w:id="6" w:name="bookmark6"/>
      <w:r>
        <w:rPr>
          <w:color w:val="000000"/>
          <w:spacing w:val="0"/>
          <w:w w:val="100"/>
          <w:position w:val="0"/>
        </w:rPr>
        <w:t>第二节公司简介和主要财务指标</w:t>
      </w:r>
      <w:bookmarkEnd w:id="4"/>
      <w:bookmarkEnd w:id="5"/>
      <w:bookmarkEnd w:id="6"/>
    </w:p>
    <w:p>
      <w:pPr>
        <w:pStyle w:val="Style33"/>
        <w:keepNext/>
        <w:keepLines/>
        <w:widowControl w:val="0"/>
        <w:shd w:val="clear" w:color="auto" w:fill="auto"/>
        <w:bidi w:val="0"/>
        <w:spacing w:before="0" w:after="320" w:line="240" w:lineRule="auto"/>
        <w:ind w:left="0" w:right="0" w:firstLine="0"/>
        <w:jc w:val="left"/>
      </w:pPr>
      <w:bookmarkStart w:id="10" w:name="bookmark10"/>
      <w:bookmarkStart w:id="11" w:name="bookmark11"/>
      <w:bookmarkStart w:id="7" w:name="bookmark7"/>
      <w:bookmarkStart w:id="8" w:name="bookmark8"/>
      <w:bookmarkStart w:id="9" w:name="bookmark9"/>
      <w:r>
        <w:rPr>
          <w:color w:val="000000"/>
          <w:spacing w:val="0"/>
          <w:w w:val="100"/>
          <w:position w:val="0"/>
          <w:sz w:val="24"/>
          <w:szCs w:val="24"/>
        </w:rPr>
        <w:t>一</w:t>
      </w:r>
      <w:bookmarkEnd w:id="10"/>
      <w:r>
        <w:rPr>
          <w:color w:val="000000"/>
          <w:spacing w:val="0"/>
          <w:w w:val="100"/>
          <w:position w:val="0"/>
          <w:sz w:val="24"/>
          <w:szCs w:val="24"/>
        </w:rPr>
        <w:t>、公司信息</w:t>
      </w:r>
      <w:bookmarkEnd w:id="11"/>
      <w:bookmarkEnd w:id="8"/>
      <w:bookmarkEnd w:id="9"/>
      <w:bookmarkEnd w:id="7"/>
    </w:p>
    <w:tbl>
      <w:tblPr>
        <w:tblOverlap w:val="never"/>
        <w:jc w:val="center"/>
        <w:tblLayout w:type="fixed"/>
      </w:tblPr>
      <w:tblGrid>
        <w:gridCol w:w="2290"/>
        <w:gridCol w:w="2952"/>
        <w:gridCol w:w="2160"/>
        <w:gridCol w:w="2184"/>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股票简称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中科信息</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300678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公司的中文名称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中科院成都信息技术股份有限公司</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公司的中文简称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中科信息</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公司的外文名称（如有）</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Chengdu Information Technology of Chinese Academy of Sciences Co.,Ltd</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公司的外文名称缩写（如有）</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CASIT</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公司的法定代表人</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注册地址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成都高新区天晖路</w:t>
            </w:r>
            <w:r>
              <w:rPr>
                <w:rFonts w:ascii="Times New Roman" w:eastAsia="Times New Roman" w:hAnsi="Times New Roman" w:cs="Times New Roman"/>
                <w:color w:val="000000"/>
                <w:spacing w:val="0"/>
                <w:w w:val="100"/>
                <w:position w:val="0"/>
                <w:sz w:val="18"/>
                <w:szCs w:val="18"/>
              </w:rPr>
              <w:t>360</w:t>
            </w:r>
            <w:r>
              <w:rPr>
                <w:color w:val="000000"/>
                <w:spacing w:val="0"/>
                <w:w w:val="100"/>
                <w:position w:val="0"/>
                <w:sz w:val="18"/>
                <w:szCs w:val="18"/>
              </w:rPr>
              <w:t>号晶科</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号大厦</w:t>
            </w: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栋</w:t>
            </w:r>
            <w:r>
              <w:rPr>
                <w:rFonts w:ascii="Times New Roman" w:eastAsia="Times New Roman" w:hAnsi="Times New Roman" w:cs="Times New Roman"/>
                <w:color w:val="000000"/>
                <w:spacing w:val="0"/>
                <w:w w:val="100"/>
                <w:position w:val="0"/>
                <w:sz w:val="18"/>
                <w:szCs w:val="18"/>
              </w:rPr>
              <w:t>1803</w:t>
            </w:r>
            <w:r>
              <w:rPr>
                <w:color w:val="000000"/>
                <w:spacing w:val="0"/>
                <w:w w:val="100"/>
                <w:position w:val="0"/>
                <w:sz w:val="18"/>
                <w:szCs w:val="18"/>
              </w:rPr>
              <w:t>室</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注册地址的邮政编码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610041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办公地址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四川省成都市人民南路四段</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号</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办公地址的邮政编码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610041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公司国际互联网网址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http://www. casit. com. cn</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电子信箱</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"mailto:dsh@casit.com.cn" </w:instrText>
            </w:r>
            <w:r>
              <w:fldChar w:fldCharType="separate"/>
            </w:r>
            <w:r>
              <w:rPr>
                <w:rFonts w:ascii="Times New Roman" w:eastAsia="Times New Roman" w:hAnsi="Times New Roman" w:cs="Times New Roman"/>
                <w:color w:val="000000"/>
                <w:spacing w:val="0"/>
                <w:w w:val="100"/>
                <w:position w:val="0"/>
                <w:sz w:val="18"/>
                <w:szCs w:val="18"/>
              </w:rPr>
              <w:t>dsh@casit.com.cn</w:t>
            </w:r>
            <w:r>
              <w:fldChar w:fldCharType="end"/>
            </w:r>
          </w:p>
        </w:tc>
      </w:tr>
    </w:tbl>
    <w:p>
      <w:pPr>
        <w:widowControl w:val="0"/>
        <w:spacing w:after="319" w:line="1" w:lineRule="exact"/>
      </w:pPr>
    </w:p>
    <w:p>
      <w:pPr>
        <w:pStyle w:val="Style33"/>
        <w:keepNext/>
        <w:keepLines/>
        <w:widowControl w:val="0"/>
        <w:shd w:val="clear" w:color="auto" w:fill="auto"/>
        <w:bidi w:val="0"/>
        <w:spacing w:before="0" w:after="320" w:line="240" w:lineRule="auto"/>
        <w:ind w:left="0" w:right="0" w:firstLine="0"/>
        <w:jc w:val="left"/>
      </w:pPr>
      <w:bookmarkStart w:id="12" w:name="bookmark12"/>
      <w:bookmarkStart w:id="13" w:name="bookmark13"/>
      <w:bookmarkStart w:id="14" w:name="bookmark14"/>
      <w:bookmarkStart w:id="15" w:name="bookmark15"/>
      <w:r>
        <w:rPr>
          <w:color w:val="000000"/>
          <w:spacing w:val="0"/>
          <w:w w:val="100"/>
          <w:position w:val="0"/>
          <w:sz w:val="24"/>
          <w:szCs w:val="24"/>
        </w:rPr>
        <w:t>二</w:t>
      </w:r>
      <w:bookmarkEnd w:id="14"/>
      <w:r>
        <w:rPr>
          <w:color w:val="000000"/>
          <w:spacing w:val="0"/>
          <w:w w:val="100"/>
          <w:position w:val="0"/>
          <w:sz w:val="24"/>
          <w:szCs w:val="24"/>
        </w:rPr>
        <w:t>、联系人和联系方式</w:t>
      </w:r>
      <w:bookmarkEnd w:id="12"/>
      <w:bookmarkEnd w:id="13"/>
      <w:bookmarkEnd w:id="15"/>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董事会秘书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证券事务代表</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姓名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尹邦明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吴琳琳</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联系地址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四川省成都市人民南路四段</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四川省成都市人民南路四段</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号</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电话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028-85221773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028-85135151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传真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028-85229357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028-85229357</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电子信箱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ybm@casit. com. cn</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wulinlin@casit. com. cn</w:t>
            </w:r>
          </w:p>
        </w:tc>
      </w:tr>
    </w:tbl>
    <w:p>
      <w:pPr>
        <w:widowControl w:val="0"/>
        <w:spacing w:after="319" w:line="1" w:lineRule="exact"/>
      </w:pPr>
    </w:p>
    <w:p>
      <w:pPr>
        <w:pStyle w:val="Style33"/>
        <w:keepNext/>
        <w:keepLines/>
        <w:widowControl w:val="0"/>
        <w:shd w:val="clear" w:color="auto" w:fill="auto"/>
        <w:bidi w:val="0"/>
        <w:spacing w:before="0" w:after="320" w:line="240" w:lineRule="auto"/>
        <w:ind w:left="0" w:right="0" w:firstLine="0"/>
        <w:jc w:val="left"/>
      </w:pPr>
      <w:bookmarkStart w:id="16" w:name="bookmark16"/>
      <w:bookmarkStart w:id="17" w:name="bookmark17"/>
      <w:bookmarkStart w:id="18" w:name="bookmark18"/>
      <w:bookmarkStart w:id="19" w:name="bookmark19"/>
      <w:r>
        <w:rPr>
          <w:color w:val="000000"/>
          <w:spacing w:val="0"/>
          <w:w w:val="100"/>
          <w:position w:val="0"/>
          <w:sz w:val="24"/>
          <w:szCs w:val="24"/>
        </w:rPr>
        <w:t>三</w:t>
      </w:r>
      <w:bookmarkEnd w:id="18"/>
      <w:r>
        <w:rPr>
          <w:color w:val="000000"/>
          <w:spacing w:val="0"/>
          <w:w w:val="100"/>
          <w:position w:val="0"/>
          <w:sz w:val="24"/>
          <w:szCs w:val="24"/>
        </w:rPr>
        <w:t>、信息披露及备置地点</w:t>
      </w:r>
      <w:bookmarkEnd w:id="16"/>
      <w:bookmarkEnd w:id="17"/>
      <w:bookmarkEnd w:id="19"/>
    </w:p>
    <w:tbl>
      <w:tblPr>
        <w:tblOverlap w:val="never"/>
        <w:jc w:val="center"/>
        <w:tblLayout w:type="fixed"/>
      </w:tblPr>
      <w:tblGrid>
        <w:gridCol w:w="3998"/>
        <w:gridCol w:w="5587"/>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公司选定的信息披露媒体的名称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《证券时报》、《证券日报》、巨潮资讯</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登载年度报告的中国证监会指定网站的网址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http: //www. </w:t>
            </w:r>
            <w:r>
              <w:rPr>
                <w:rFonts w:ascii="Times New Roman" w:eastAsia="Times New Roman" w:hAnsi="Times New Roman" w:cs="Times New Roman"/>
                <w:color w:val="000000"/>
                <w:spacing w:val="0"/>
                <w:w w:val="100"/>
                <w:position w:val="0"/>
                <w:sz w:val="18"/>
                <w:szCs w:val="18"/>
              </w:rPr>
              <w:t>cninfo.com.cn</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公司年度报告备置地点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四川省成都市人民南路四段</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号中科院成都信息技术股份有限公司董 事会办公室</w:t>
            </w:r>
          </w:p>
        </w:tc>
      </w:tr>
    </w:tbl>
    <w:p>
      <w:pPr>
        <w:widowControl w:val="0"/>
        <w:spacing w:after="319" w:line="1" w:lineRule="exact"/>
      </w:pPr>
    </w:p>
    <w:p>
      <w:pPr>
        <w:pStyle w:val="Style33"/>
        <w:keepNext/>
        <w:keepLines/>
        <w:widowControl w:val="0"/>
        <w:shd w:val="clear" w:color="auto" w:fill="auto"/>
        <w:bidi w:val="0"/>
        <w:spacing w:before="0" w:after="360" w:line="240" w:lineRule="auto"/>
        <w:ind w:left="0" w:right="0" w:firstLine="0"/>
        <w:jc w:val="left"/>
      </w:pPr>
      <w:bookmarkStart w:id="20" w:name="bookmark20"/>
      <w:bookmarkStart w:id="21" w:name="bookmark21"/>
      <w:bookmarkStart w:id="22" w:name="bookmark22"/>
      <w:bookmarkStart w:id="23" w:name="bookmark23"/>
      <w:r>
        <w:rPr>
          <w:color w:val="000000"/>
          <w:spacing w:val="0"/>
          <w:w w:val="100"/>
          <w:position w:val="0"/>
          <w:sz w:val="24"/>
          <w:szCs w:val="24"/>
        </w:rPr>
        <w:t>四</w:t>
      </w:r>
      <w:bookmarkEnd w:id="22"/>
      <w:r>
        <w:rPr>
          <w:color w:val="000000"/>
          <w:spacing w:val="0"/>
          <w:w w:val="100"/>
          <w:position w:val="0"/>
          <w:sz w:val="24"/>
          <w:szCs w:val="24"/>
        </w:rPr>
        <w:t>、其他有关资料</w:t>
      </w:r>
      <w:bookmarkEnd w:id="20"/>
      <w:bookmarkEnd w:id="21"/>
      <w:bookmarkEnd w:id="23"/>
    </w:p>
    <w:p>
      <w:pPr>
        <w:pStyle w:val="Style35"/>
        <w:keepNext w:val="0"/>
        <w:keepLines w:val="0"/>
        <w:widowControl w:val="0"/>
        <w:shd w:val="clear" w:color="auto" w:fill="auto"/>
        <w:bidi w:val="0"/>
        <w:spacing w:before="0" w:after="320" w:line="240" w:lineRule="auto"/>
        <w:ind w:left="0" w:right="0" w:firstLine="0"/>
        <w:jc w:val="left"/>
      </w:pPr>
      <w:r>
        <w:rPr>
          <w:color w:val="000000"/>
          <w:spacing w:val="0"/>
          <w:w w:val="100"/>
          <w:position w:val="0"/>
        </w:rPr>
        <w:t>公司聘请的会计师事务所</w:t>
      </w:r>
      <w:r>
        <w:br w:type="page"/>
      </w:r>
    </w:p>
    <w:tbl>
      <w:tblPr>
        <w:tblOverlap w:val="never"/>
        <w:jc w:val="center"/>
        <w:tblLayout w:type="fixed"/>
      </w:tblPr>
      <w:tblGrid>
        <w:gridCol w:w="2669"/>
        <w:gridCol w:w="691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天职国际会计师事务所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特殊普通合伙</w:t>
            </w: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会计师事务所办公地址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北京市海淀区车公庄西路</w:t>
            </w:r>
            <w:r>
              <w:rPr>
                <w:rFonts w:ascii="Times New Roman" w:eastAsia="Times New Roman" w:hAnsi="Times New Roman" w:cs="Times New Roman"/>
                <w:color w:val="000000"/>
                <w:spacing w:val="0"/>
                <w:w w:val="100"/>
                <w:position w:val="0"/>
                <w:sz w:val="18"/>
                <w:szCs w:val="18"/>
              </w:rPr>
              <w:t>19</w:t>
            </w:r>
            <w:r>
              <w:rPr>
                <w:color w:val="000000"/>
                <w:spacing w:val="0"/>
                <w:w w:val="100"/>
                <w:position w:val="0"/>
                <w:sz w:val="18"/>
                <w:szCs w:val="18"/>
              </w:rPr>
              <w:t>号</w:t>
            </w:r>
            <w:r>
              <w:rPr>
                <w:rFonts w:ascii="Times New Roman" w:eastAsia="Times New Roman" w:hAnsi="Times New Roman" w:cs="Times New Roman"/>
                <w:color w:val="000000"/>
                <w:spacing w:val="0"/>
                <w:w w:val="100"/>
                <w:position w:val="0"/>
                <w:sz w:val="18"/>
                <w:szCs w:val="18"/>
              </w:rPr>
              <w:t>68</w:t>
            </w:r>
            <w:r>
              <w:rPr>
                <w:color w:val="000000"/>
                <w:spacing w:val="0"/>
                <w:w w:val="100"/>
                <w:position w:val="0"/>
                <w:sz w:val="18"/>
                <w:szCs w:val="18"/>
              </w:rPr>
              <w:t>号楼</w:t>
            </w:r>
            <w:r>
              <w:rPr>
                <w:rFonts w:ascii="Times New Roman" w:eastAsia="Times New Roman" w:hAnsi="Times New Roman" w:cs="Times New Roman"/>
                <w:color w:val="000000"/>
                <w:spacing w:val="0"/>
                <w:w w:val="100"/>
                <w:position w:val="0"/>
                <w:sz w:val="18"/>
                <w:szCs w:val="18"/>
              </w:rPr>
              <w:t>A-1</w:t>
            </w:r>
            <w:r>
              <w:rPr>
                <w:color w:val="000000"/>
                <w:spacing w:val="0"/>
                <w:w w:val="100"/>
                <w:position w:val="0"/>
                <w:sz w:val="18"/>
                <w:szCs w:val="18"/>
              </w:rPr>
              <w:t>和</w:t>
            </w:r>
            <w:r>
              <w:rPr>
                <w:rFonts w:ascii="Times New Roman" w:eastAsia="Times New Roman" w:hAnsi="Times New Roman" w:cs="Times New Roman"/>
                <w:color w:val="000000"/>
                <w:spacing w:val="0"/>
                <w:w w:val="100"/>
                <w:position w:val="0"/>
                <w:sz w:val="18"/>
                <w:szCs w:val="18"/>
              </w:rPr>
              <w:t>A-5</w:t>
            </w:r>
            <w:r>
              <w:rPr>
                <w:color w:val="000000"/>
                <w:spacing w:val="0"/>
                <w:w w:val="100"/>
                <w:position w:val="0"/>
                <w:sz w:val="18"/>
                <w:szCs w:val="18"/>
              </w:rPr>
              <w:t>区域</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签字会计师姓名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申军、刘浪</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公司聘请的报告期内履行持续督导职责的保荐机构</w:t>
      </w:r>
    </w:p>
    <w:p>
      <w:pPr>
        <w:pStyle w:val="Style35"/>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center"/>
        <w:tblLayout w:type="fixed"/>
      </w:tblPr>
      <w:tblGrid>
        <w:gridCol w:w="2400"/>
        <w:gridCol w:w="2390"/>
        <w:gridCol w:w="2395"/>
        <w:gridCol w:w="2400"/>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保荐机构名称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保荐机构办公地址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保荐代表人姓名</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持续督导期间</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国信证券股份有限公司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北京市西城区金融大街兴盛 街</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号国信证券大厦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杜畅、张毅</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2017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7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0</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31 </w:t>
            </w:r>
            <w:r>
              <w:rPr>
                <w:color w:val="000000"/>
                <w:spacing w:val="0"/>
                <w:w w:val="100"/>
                <w:position w:val="0"/>
                <w:sz w:val="18"/>
                <w:szCs w:val="18"/>
              </w:rPr>
              <w:t>0</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公司聘请的报告期内履行持续督导职责的财务顾问</w:t>
      </w:r>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220" w:line="240" w:lineRule="auto"/>
        <w:ind w:left="0" w:right="0" w:firstLine="0"/>
        <w:jc w:val="left"/>
      </w:pPr>
      <w:bookmarkStart w:id="24" w:name="bookmark24"/>
      <w:bookmarkStart w:id="25" w:name="bookmark25"/>
      <w:bookmarkStart w:id="26" w:name="bookmark26"/>
      <w:bookmarkStart w:id="27" w:name="bookmark27"/>
      <w:r>
        <w:rPr>
          <w:color w:val="000000"/>
          <w:spacing w:val="0"/>
          <w:w w:val="100"/>
          <w:position w:val="0"/>
          <w:sz w:val="24"/>
          <w:szCs w:val="24"/>
        </w:rPr>
        <w:t>五</w:t>
      </w:r>
      <w:bookmarkEnd w:id="26"/>
      <w:r>
        <w:rPr>
          <w:color w:val="000000"/>
          <w:spacing w:val="0"/>
          <w:w w:val="100"/>
          <w:position w:val="0"/>
          <w:sz w:val="24"/>
          <w:szCs w:val="24"/>
        </w:rPr>
        <w:t>、主要会计数据和财务指标</w:t>
      </w:r>
      <w:bookmarkEnd w:id="24"/>
      <w:bookmarkEnd w:id="25"/>
      <w:bookmarkEnd w:id="27"/>
    </w:p>
    <w:p>
      <w:pPr>
        <w:pStyle w:val="Style35"/>
        <w:keepNext w:val="0"/>
        <w:keepLines w:val="0"/>
        <w:widowControl w:val="0"/>
        <w:shd w:val="clear" w:color="auto" w:fill="auto"/>
        <w:bidi w:val="0"/>
        <w:spacing w:before="0" w:after="100" w:line="341" w:lineRule="exact"/>
        <w:ind w:left="0" w:right="0" w:firstLine="0"/>
        <w:jc w:val="left"/>
      </w:pPr>
      <w:r>
        <w:rPr>
          <w:color w:val="000000"/>
          <w:spacing w:val="0"/>
          <w:w w:val="100"/>
          <w:position w:val="0"/>
        </w:rPr>
        <w:t xml:space="preserve">公司是否需追溯调整或重述以前年度会计数据 </w:t>
      </w: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tbl>
      <w:tblPr>
        <w:tblOverlap w:val="never"/>
        <w:jc w:val="center"/>
        <w:tblLayout w:type="fixed"/>
      </w:tblPr>
      <w:tblGrid>
        <w:gridCol w:w="2626"/>
        <w:gridCol w:w="1738"/>
        <w:gridCol w:w="1742"/>
        <w:gridCol w:w="1733"/>
        <w:gridCol w:w="1747"/>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本年比上年增减</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sz w:val="18"/>
                <w:szCs w:val="18"/>
              </w:rPr>
              <w:t>年</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营业收入（元）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364,413,271.82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19.85%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344,467,451.37</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rPr>
              <w:t>归属于上市公司股东的净利润</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32,560,017.49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35,288,967.18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-7.73%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46,807,199.75</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归属于上市公司股东的扣除非经</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常性损益的净利润（元）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23,670,248.74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25,984,008.16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-8.90%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29,870,797.16</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rPr>
              <w:t>经营活动产生的现金流量净额</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-18,999,473.90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-4,971,602.19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282.16%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-12,732,925.39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基本每股收益（元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0.1960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-7.70%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0.2600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稀释每股收益（元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0.1960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-7.70%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0.2600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加权平均净资产收益率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5.34%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-0.75%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8.58%</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本年末比上年末增减</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年末</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资产总额（元）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867,367,502.17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859,478,665.91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731,029,892.72</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rPr>
              <w:t>归属于上市公司股东的净资产</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616,495,153.06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592,935,135.57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566,646,168.39</w:t>
            </w:r>
          </w:p>
        </w:tc>
      </w:tr>
    </w:tbl>
    <w:p>
      <w:pPr>
        <w:pStyle w:val="Style35"/>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公司最近三个会计年度扣除非经常性损益前后净利润孰低者均为负值，且最近一年审计报告显示公司持续经营能力存在不确 定性</w:t>
      </w:r>
    </w:p>
    <w:p>
      <w:pPr>
        <w:pStyle w:val="Style35"/>
        <w:keepNext w:val="0"/>
        <w:keepLines w:val="0"/>
        <w:widowControl w:val="0"/>
        <w:shd w:val="clear" w:color="auto" w:fill="auto"/>
        <w:bidi w:val="0"/>
        <w:spacing w:before="0" w:after="0" w:line="312" w:lineRule="exact"/>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扣除非经常损益前后的净利润孰低者为负值</w:t>
      </w:r>
    </w:p>
    <w:p>
      <w:pPr>
        <w:pStyle w:val="Style35"/>
        <w:keepNext w:val="0"/>
        <w:keepLines w:val="0"/>
        <w:widowControl w:val="0"/>
        <w:shd w:val="clear" w:color="auto" w:fill="auto"/>
        <w:bidi w:val="0"/>
        <w:spacing w:before="0" w:after="100" w:line="312" w:lineRule="exact"/>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r>
        <w:br w:type="page"/>
      </w:r>
    </w:p>
    <w:p>
      <w:pPr>
        <w:pStyle w:val="Style33"/>
        <w:keepNext/>
        <w:keepLines/>
        <w:widowControl w:val="0"/>
        <w:shd w:val="clear" w:color="auto" w:fill="auto"/>
        <w:bidi w:val="0"/>
        <w:spacing w:before="0" w:after="340" w:line="240" w:lineRule="auto"/>
        <w:ind w:left="0" w:right="0" w:firstLine="0"/>
        <w:jc w:val="both"/>
      </w:pPr>
      <w:bookmarkStart w:id="28" w:name="bookmark28"/>
      <w:bookmarkStart w:id="29" w:name="bookmark29"/>
      <w:bookmarkStart w:id="30" w:name="bookmark30"/>
      <w:bookmarkStart w:id="31" w:name="bookmark31"/>
      <w:r>
        <w:rPr>
          <w:color w:val="000000"/>
          <w:spacing w:val="0"/>
          <w:w w:val="100"/>
          <w:position w:val="0"/>
          <w:sz w:val="24"/>
          <w:szCs w:val="24"/>
        </w:rPr>
        <w:t>六</w:t>
      </w:r>
      <w:bookmarkEnd w:id="30"/>
      <w:r>
        <w:rPr>
          <w:color w:val="000000"/>
          <w:spacing w:val="0"/>
          <w:w w:val="100"/>
          <w:position w:val="0"/>
          <w:sz w:val="24"/>
          <w:szCs w:val="24"/>
        </w:rPr>
        <w:t>、分季度主要财务指标</w:t>
      </w:r>
      <w:bookmarkEnd w:id="28"/>
      <w:bookmarkEnd w:id="29"/>
      <w:bookmarkEnd w:id="3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626"/>
        <w:gridCol w:w="1742"/>
        <w:gridCol w:w="1738"/>
        <w:gridCol w:w="1742"/>
        <w:gridCol w:w="1738"/>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第一季度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第二季度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第三季度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第四季度</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59,347,228.66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52,042,134.09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54,954,345.06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270,399,283.56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归属于上市公司股东的净利润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973,210.54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11,081,961.90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2,097,012.88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18,407,832.17</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归属于上市公司股东的扣除非经 常性损益的净利润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-414,811.30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7,571,106.73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2,045,332.88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14,468,620.43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-43,883,920.53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-16,548,043.23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-21,458,824.84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62,891,314.70</w:t>
            </w:r>
          </w:p>
        </w:tc>
      </w:tr>
    </w:tbl>
    <w:p>
      <w:pPr>
        <w:widowControl w:val="0"/>
        <w:spacing w:after="119" w:line="1" w:lineRule="exact"/>
      </w:pP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上述财务指标或其加总数是否与公司已披露季度报告、半年度报告相关财务指标存在重大差异</w:t>
      </w:r>
    </w:p>
    <w:p>
      <w:pPr>
        <w:pStyle w:val="Style3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3"/>
        <w:keepNext/>
        <w:keepLines/>
        <w:widowControl w:val="0"/>
        <w:shd w:val="clear" w:color="auto" w:fill="auto"/>
        <w:bidi w:val="0"/>
        <w:spacing w:before="0" w:after="340" w:line="240" w:lineRule="auto"/>
        <w:ind w:left="0" w:right="0" w:firstLine="0"/>
        <w:jc w:val="both"/>
      </w:pPr>
      <w:bookmarkStart w:id="32" w:name="bookmark32"/>
      <w:bookmarkStart w:id="33" w:name="bookmark33"/>
      <w:bookmarkStart w:id="34" w:name="bookmark34"/>
      <w:bookmarkStart w:id="35" w:name="bookmark35"/>
      <w:r>
        <w:rPr>
          <w:color w:val="000000"/>
          <w:spacing w:val="0"/>
          <w:w w:val="100"/>
          <w:position w:val="0"/>
          <w:sz w:val="24"/>
          <w:szCs w:val="24"/>
        </w:rPr>
        <w:t>七</w:t>
      </w:r>
      <w:bookmarkEnd w:id="34"/>
      <w:r>
        <w:rPr>
          <w:color w:val="000000"/>
          <w:spacing w:val="0"/>
          <w:w w:val="100"/>
          <w:position w:val="0"/>
          <w:sz w:val="24"/>
          <w:szCs w:val="24"/>
        </w:rPr>
        <w:t>、境内外会计准则下会计数据差异</w:t>
      </w:r>
      <w:bookmarkEnd w:id="32"/>
      <w:bookmarkEnd w:id="33"/>
      <w:bookmarkEnd w:id="35"/>
    </w:p>
    <w:p>
      <w:pPr>
        <w:pStyle w:val="Style44"/>
        <w:keepNext/>
        <w:keepLines/>
        <w:widowControl w:val="0"/>
        <w:shd w:val="clear" w:color="auto" w:fill="auto"/>
        <w:bidi w:val="0"/>
        <w:spacing w:before="0" w:line="240" w:lineRule="auto"/>
        <w:ind w:left="0" w:right="0" w:firstLine="0"/>
        <w:jc w:val="both"/>
      </w:pPr>
      <w:bookmarkStart w:id="36" w:name="bookmark36"/>
      <w:bookmarkStart w:id="37" w:name="bookmark37"/>
      <w:bookmarkStart w:id="38" w:name="bookmark38"/>
      <w:bookmarkStart w:id="39" w:name="bookmark39"/>
      <w:r>
        <w:rPr>
          <w:rFonts w:ascii="Times New Roman" w:eastAsia="Times New Roman" w:hAnsi="Times New Roman" w:cs="Times New Roman"/>
          <w:color w:val="000000"/>
          <w:spacing w:val="0"/>
          <w:w w:val="100"/>
          <w:position w:val="0"/>
        </w:rPr>
        <w:t>1</w:t>
      </w:r>
      <w:bookmarkEnd w:id="38"/>
      <w:r>
        <w:rPr>
          <w:color w:val="000000"/>
          <w:spacing w:val="0"/>
          <w:w w:val="100"/>
          <w:position w:val="0"/>
        </w:rPr>
        <w:t>、同时按照国际会计准则与按照中国会计准则披露的财务报告中净利润和净资产差异情况</w:t>
      </w:r>
      <w:bookmarkEnd w:id="36"/>
      <w:bookmarkEnd w:id="37"/>
      <w:bookmarkEnd w:id="39"/>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公司报告期不存在按照国际会计准则与按照中国会计准则披露的财务报告中净利润和净资产差异情况。</w:t>
      </w:r>
    </w:p>
    <w:p>
      <w:pPr>
        <w:pStyle w:val="Style44"/>
        <w:keepNext/>
        <w:keepLines/>
        <w:widowControl w:val="0"/>
        <w:shd w:val="clear" w:color="auto" w:fill="auto"/>
        <w:bidi w:val="0"/>
        <w:spacing w:before="0" w:line="240" w:lineRule="auto"/>
        <w:ind w:left="0" w:right="0" w:firstLine="0"/>
        <w:jc w:val="both"/>
      </w:pPr>
      <w:bookmarkStart w:id="40" w:name="bookmark40"/>
      <w:bookmarkStart w:id="41" w:name="bookmark41"/>
      <w:bookmarkStart w:id="42" w:name="bookmark42"/>
      <w:bookmarkStart w:id="43" w:name="bookmark43"/>
      <w:r>
        <w:rPr>
          <w:rFonts w:ascii="Times New Roman" w:eastAsia="Times New Roman" w:hAnsi="Times New Roman" w:cs="Times New Roman"/>
          <w:color w:val="000000"/>
          <w:spacing w:val="0"/>
          <w:w w:val="100"/>
          <w:position w:val="0"/>
        </w:rPr>
        <w:t>2</w:t>
      </w:r>
      <w:bookmarkEnd w:id="42"/>
      <w:r>
        <w:rPr>
          <w:color w:val="000000"/>
          <w:spacing w:val="0"/>
          <w:w w:val="100"/>
          <w:position w:val="0"/>
        </w:rPr>
        <w:t>、同时按照境外会计准则与按照中国会计准则披露的财务报告中净利润和净资产差异情况</w:t>
      </w:r>
      <w:bookmarkEnd w:id="40"/>
      <w:bookmarkEnd w:id="41"/>
      <w:bookmarkEnd w:id="43"/>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公司报告期不存在按照境外会计准则与按照中国会计准则披露的财务报告中净利润和净资产差异情况。</w:t>
      </w:r>
    </w:p>
    <w:p>
      <w:pPr>
        <w:pStyle w:val="Style33"/>
        <w:keepNext/>
        <w:keepLines/>
        <w:widowControl w:val="0"/>
        <w:shd w:val="clear" w:color="auto" w:fill="auto"/>
        <w:bidi w:val="0"/>
        <w:spacing w:before="0" w:after="340" w:line="240" w:lineRule="auto"/>
        <w:ind w:left="0" w:right="0" w:firstLine="0"/>
        <w:jc w:val="both"/>
      </w:pPr>
      <w:bookmarkStart w:id="44" w:name="bookmark44"/>
      <w:bookmarkStart w:id="45" w:name="bookmark45"/>
      <w:bookmarkStart w:id="46" w:name="bookmark46"/>
      <w:bookmarkStart w:id="47" w:name="bookmark47"/>
      <w:r>
        <w:rPr>
          <w:color w:val="000000"/>
          <w:spacing w:val="0"/>
          <w:w w:val="100"/>
          <w:position w:val="0"/>
          <w:sz w:val="24"/>
          <w:szCs w:val="24"/>
        </w:rPr>
        <w:t>八</w:t>
      </w:r>
      <w:bookmarkEnd w:id="46"/>
      <w:r>
        <w:rPr>
          <w:color w:val="000000"/>
          <w:spacing w:val="0"/>
          <w:w w:val="100"/>
          <w:position w:val="0"/>
          <w:sz w:val="24"/>
          <w:szCs w:val="24"/>
        </w:rPr>
        <w:t>、非经常性损益项目及金额</w:t>
      </w:r>
      <w:bookmarkEnd w:id="44"/>
      <w:bookmarkEnd w:id="45"/>
      <w:bookmarkEnd w:id="47"/>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right"/>
      </w:pPr>
      <w:r>
        <w:rPr>
          <w:color w:val="000000"/>
          <w:spacing w:val="0"/>
          <w:w w:val="100"/>
          <w:position w:val="0"/>
        </w:rPr>
        <w:t>单位：元</w:t>
      </w:r>
    </w:p>
    <w:tbl>
      <w:tblPr>
        <w:tblOverlap w:val="never"/>
        <w:jc w:val="center"/>
        <w:tblLayout w:type="fixed"/>
      </w:tblPr>
      <w:tblGrid>
        <w:gridCol w:w="3302"/>
        <w:gridCol w:w="1522"/>
        <w:gridCol w:w="1517"/>
        <w:gridCol w:w="1522"/>
        <w:gridCol w:w="172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年金额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说明</w:t>
            </w:r>
          </w:p>
        </w:tc>
      </w:tr>
      <w:tr>
        <w:trPr>
          <w:trHeight w:val="1104"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非流动资产处置损益（包括已计提资产减 值准备的冲销部分）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-17,396.97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-6,041.03</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计入当期损益的政府补助（与企业业务密 切相关，按照国家统一标准定额或定量享 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10,462,351.89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11,031,632.81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18,579,485.98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398,904.11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738,308.22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除上述各项之外的其他营业外收入和支出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45,697.80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57,697.00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1,600,883.97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1,615,577.90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2,409,802.39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少数股东权益影响额（税后）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23,245.19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8,889,768.75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9,304,959.02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16,936,402.59</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5"/>
        <w:keepNext w:val="0"/>
        <w:keepLines w:val="0"/>
        <w:widowControl w:val="0"/>
        <w:shd w:val="clear" w:color="auto" w:fill="auto"/>
        <w:bidi w:val="0"/>
        <w:spacing w:before="0" w:line="314"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w:t>
      </w:r>
      <w:r>
        <w:rPr>
          <w:color w:val="000000"/>
          <w:spacing w:val="0"/>
          <w:w w:val="100"/>
          <w:position w:val="0"/>
        </w:rPr>
        <w:t>一</w:t>
      </w:r>
      <w:r>
        <w:rPr>
          <w:color w:val="000000"/>
          <w:spacing w:val="0"/>
          <w:w w:val="100"/>
          <w:position w:val="0"/>
        </w:rPr>
        <w:t>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号一非经常性损益》中列举的非经常性损益项目界定为经常性损益的项目，应 说明原因</w:t>
      </w:r>
    </w:p>
    <w:p>
      <w:pPr>
        <w:pStyle w:val="Style35"/>
        <w:keepNext w:val="0"/>
        <w:keepLines w:val="0"/>
        <w:widowControl w:val="0"/>
        <w:shd w:val="clear" w:color="auto" w:fill="auto"/>
        <w:bidi w:val="0"/>
        <w:spacing w:before="0" w:after="0" w:line="36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0" w:line="322" w:lineRule="exact"/>
        <w:ind w:left="0" w:right="0" w:firstLine="0"/>
        <w:jc w:val="both"/>
      </w:pPr>
      <w:r>
        <w:rPr>
          <w:color w:val="000000"/>
          <w:spacing w:val="0"/>
          <w:w w:val="100"/>
          <w:position w:val="0"/>
        </w:rPr>
        <w:t>公司报告期不存在将根据《公开发行证券的公司信息披露解释性公告第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号一非经常性损益》定义、列举的非经常性损益 项目界定为经常性损益的项目的情形。</w:t>
      </w:r>
    </w:p>
    <w:p>
      <w:pPr>
        <w:pStyle w:val="Style15"/>
        <w:keepNext/>
        <w:keepLines/>
        <w:widowControl w:val="0"/>
        <w:shd w:val="clear" w:color="auto" w:fill="auto"/>
        <w:bidi w:val="0"/>
        <w:spacing w:before="0" w:line="240" w:lineRule="auto"/>
        <w:ind w:left="0" w:right="0" w:firstLine="0"/>
        <w:jc w:val="center"/>
      </w:pPr>
      <w:bookmarkStart w:id="48" w:name="bookmark48"/>
      <w:bookmarkStart w:id="49" w:name="bookmark49"/>
      <w:bookmarkStart w:id="50" w:name="bookmark50"/>
      <w:r>
        <w:rPr>
          <w:color w:val="000000"/>
          <w:spacing w:val="0"/>
          <w:w w:val="100"/>
          <w:position w:val="0"/>
        </w:rPr>
        <w:t>第三节公司业务概要</w:t>
      </w:r>
      <w:bookmarkEnd w:id="48"/>
      <w:bookmarkEnd w:id="49"/>
      <w:bookmarkEnd w:id="50"/>
    </w:p>
    <w:p>
      <w:pPr>
        <w:pStyle w:val="Style33"/>
        <w:keepNext/>
        <w:keepLines/>
        <w:widowControl w:val="0"/>
        <w:shd w:val="clear" w:color="auto" w:fill="auto"/>
        <w:bidi w:val="0"/>
        <w:spacing w:before="0" w:after="340" w:line="240" w:lineRule="auto"/>
        <w:ind w:left="0" w:right="0" w:firstLine="0"/>
        <w:jc w:val="both"/>
      </w:pPr>
      <w:bookmarkStart w:id="51" w:name="bookmark51"/>
      <w:bookmarkStart w:id="52" w:name="bookmark52"/>
      <w:bookmarkStart w:id="53" w:name="bookmark53"/>
      <w:bookmarkStart w:id="54" w:name="bookmark54"/>
      <w:bookmarkStart w:id="55" w:name="bookmark55"/>
      <w:r>
        <w:rPr>
          <w:color w:val="000000"/>
          <w:spacing w:val="0"/>
          <w:w w:val="100"/>
          <w:position w:val="0"/>
          <w:sz w:val="24"/>
          <w:szCs w:val="24"/>
        </w:rPr>
        <w:t>一</w:t>
      </w:r>
      <w:bookmarkEnd w:id="54"/>
      <w:r>
        <w:rPr>
          <w:color w:val="000000"/>
          <w:spacing w:val="0"/>
          <w:w w:val="100"/>
          <w:position w:val="0"/>
          <w:sz w:val="24"/>
          <w:szCs w:val="24"/>
        </w:rPr>
        <w:t>、报告期内公司从事的主要业务</w:t>
      </w:r>
      <w:bookmarkEnd w:id="52"/>
      <w:bookmarkEnd w:id="53"/>
      <w:bookmarkEnd w:id="55"/>
      <w:bookmarkEnd w:id="51"/>
    </w:p>
    <w:p>
      <w:pPr>
        <w:pStyle w:val="Style35"/>
        <w:keepNext w:val="0"/>
        <w:keepLines w:val="0"/>
        <w:widowControl w:val="0"/>
        <w:shd w:val="clear" w:color="auto" w:fill="auto"/>
        <w:bidi w:val="0"/>
        <w:spacing w:before="0" w:after="220" w:line="240" w:lineRule="auto"/>
        <w:ind w:left="0" w:right="0" w:firstLine="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47"/>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公司主营业务是以智能识别及分析技术为核心，为客户提供信息化解决方案（包括软件及硬件）及相</w:t>
      </w:r>
    </w:p>
    <w:p>
      <w:pPr>
        <w:pStyle w:val="Style47"/>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关服务，目前主要应用在现场会议领域、烟草领域、印钞检测领域、油气领域、政府及其他领域。</w:t>
      </w:r>
    </w:p>
    <w:p>
      <w:pPr>
        <w:pStyle w:val="Style47"/>
        <w:keepNext w:val="0"/>
        <w:keepLines w:val="0"/>
        <w:widowControl w:val="0"/>
        <w:numPr>
          <w:ilvl w:val="0"/>
          <w:numId w:val="1"/>
        </w:numPr>
        <w:shd w:val="clear" w:color="auto" w:fill="auto"/>
        <w:bidi w:val="0"/>
        <w:spacing w:before="0" w:after="140" w:line="240" w:lineRule="auto"/>
        <w:ind w:left="0" w:right="0" w:firstLine="0"/>
        <w:jc w:val="both"/>
      </w:pPr>
      <w:bookmarkStart w:id="56" w:name="bookmark56"/>
      <w:bookmarkEnd w:id="56"/>
      <w:r>
        <w:rPr>
          <w:b/>
          <w:bCs/>
          <w:color w:val="000000"/>
          <w:spacing w:val="0"/>
          <w:w w:val="100"/>
          <w:position w:val="0"/>
        </w:rPr>
        <w:t>公司业务架构</w:t>
      </w:r>
    </w:p>
    <w:p>
      <w:pPr>
        <w:widowControl w:val="0"/>
        <w:jc w:val="center"/>
        <w:rPr>
          <w:sz w:val="2"/>
          <w:szCs w:val="2"/>
        </w:rPr>
      </w:pPr>
      <w:r>
        <w:drawing>
          <wp:inline>
            <wp:extent cx="4419600" cy="3639185"/>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stretch/>
                  </pic:blipFill>
                  <pic:spPr>
                    <a:xfrm>
                      <a:ext cx="4419600" cy="3639185"/>
                    </a:xfrm>
                    <a:prstGeom prst="rect"/>
                  </pic:spPr>
                </pic:pic>
              </a:graphicData>
            </a:graphic>
          </wp:inline>
        </w:drawing>
      </w:r>
    </w:p>
    <w:p>
      <w:pPr>
        <w:widowControl w:val="0"/>
        <w:spacing w:after="79" w:line="1" w:lineRule="exact"/>
      </w:pPr>
    </w:p>
    <w:p>
      <w:pPr>
        <w:pStyle w:val="Style47"/>
        <w:keepNext w:val="0"/>
        <w:keepLines w:val="0"/>
        <w:widowControl w:val="0"/>
        <w:shd w:val="clear" w:color="auto" w:fill="auto"/>
        <w:bidi w:val="0"/>
        <w:spacing w:before="0" w:after="0" w:line="468" w:lineRule="exact"/>
        <w:ind w:left="0" w:right="0" w:firstLine="0"/>
        <w:jc w:val="center"/>
      </w:pPr>
      <w:r>
        <w:rPr>
          <w:color w:val="000000"/>
          <w:spacing w:val="0"/>
          <w:w w:val="100"/>
          <w:position w:val="0"/>
        </w:rPr>
        <w:t>（注：报告期内公司印钞检测业务由联营企业中钞科信实施）</w:t>
      </w:r>
    </w:p>
    <w:p>
      <w:pPr>
        <w:pStyle w:val="Style47"/>
        <w:keepNext w:val="0"/>
        <w:keepLines w:val="0"/>
        <w:widowControl w:val="0"/>
        <w:shd w:val="clear" w:color="auto" w:fill="auto"/>
        <w:bidi w:val="0"/>
        <w:spacing w:before="0" w:after="0" w:line="468" w:lineRule="exact"/>
        <w:ind w:left="0" w:right="0" w:firstLine="440"/>
        <w:jc w:val="both"/>
      </w:pPr>
      <w:bookmarkStart w:id="57" w:name="bookmark57"/>
      <w:r>
        <w:rPr>
          <w:b/>
          <w:bCs/>
          <w:color w:val="000000"/>
          <w:spacing w:val="0"/>
          <w:w w:val="100"/>
          <w:position w:val="0"/>
        </w:rPr>
        <w:t>（</w:t>
      </w:r>
      <w:bookmarkEnd w:id="57"/>
      <w:r>
        <w:rPr>
          <w:b/>
          <w:bCs/>
          <w:color w:val="000000"/>
          <w:spacing w:val="0"/>
          <w:w w:val="100"/>
          <w:position w:val="0"/>
        </w:rPr>
        <w:t>二）报告期内公司从事的主要业务</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公司努力践行</w:t>
      </w:r>
      <w:r>
        <w:rPr>
          <w:rFonts w:ascii="Times New Roman" w:eastAsia="Times New Roman" w:hAnsi="Times New Roman" w:cs="Times New Roman"/>
          <w:color w:val="000000"/>
          <w:spacing w:val="0"/>
          <w:w w:val="100"/>
          <w:position w:val="0"/>
        </w:rPr>
        <w:t>“</w:t>
      </w:r>
      <w:r>
        <w:rPr>
          <w:color w:val="000000"/>
          <w:spacing w:val="0"/>
          <w:w w:val="100"/>
          <w:position w:val="0"/>
        </w:rPr>
        <w:t>创新驱动发展</w:t>
      </w:r>
      <w:r>
        <w:rPr>
          <w:color w:val="000000"/>
          <w:spacing w:val="0"/>
          <w:w w:val="100"/>
          <w:position w:val="0"/>
        </w:rPr>
        <w:t>''，</w:t>
      </w:r>
      <w:r>
        <w:rPr>
          <w:color w:val="000000"/>
          <w:spacing w:val="0"/>
          <w:w w:val="100"/>
          <w:position w:val="0"/>
        </w:rPr>
        <w:t>由中国科学院张景中院士领衔的人工智能团队在持续创新的道路上不 断推出新的研发成果推广应用于行业信息化建设，技术水平与产品质量不断提升，使公司在高速机器视觉 与数据智能分析领域继续保持国内领先水平，巩固了国内优秀行业信息化解决方案、智能化工程和相关产 品与技术服务提供商的地位。</w:t>
      </w:r>
    </w:p>
    <w:p>
      <w:pPr>
        <w:pStyle w:val="Style47"/>
        <w:keepNext w:val="0"/>
        <w:keepLines w:val="0"/>
        <w:widowControl w:val="0"/>
        <w:numPr>
          <w:ilvl w:val="0"/>
          <w:numId w:val="3"/>
        </w:numPr>
        <w:shd w:val="clear" w:color="auto" w:fill="auto"/>
        <w:bidi w:val="0"/>
        <w:spacing w:before="0" w:after="0" w:line="468" w:lineRule="exact"/>
        <w:ind w:left="0" w:right="0" w:firstLine="440"/>
        <w:jc w:val="both"/>
      </w:pPr>
      <w:bookmarkStart w:id="58" w:name="bookmark58"/>
      <w:bookmarkEnd w:id="58"/>
      <w:r>
        <w:rPr>
          <w:color w:val="000000"/>
          <w:spacing w:val="0"/>
          <w:w w:val="100"/>
          <w:position w:val="0"/>
        </w:rPr>
        <w:t>应用于现场会议领域的数字会议系列产品与信息化整体解决方案</w:t>
      </w:r>
    </w:p>
    <w:p>
      <w:pPr>
        <w:pStyle w:val="Style47"/>
        <w:keepNext w:val="0"/>
        <w:keepLines w:val="0"/>
        <w:widowControl w:val="0"/>
        <w:shd w:val="clear" w:color="auto" w:fill="auto"/>
        <w:bidi w:val="0"/>
        <w:spacing w:before="0" w:after="0" w:line="468" w:lineRule="exact"/>
        <w:ind w:left="0" w:right="0" w:firstLine="440"/>
        <w:jc w:val="both"/>
        <w:sectPr>
          <w:headerReference w:type="default" r:id="rId19"/>
          <w:footerReference w:type="default" r:id="rId20"/>
          <w:headerReference w:type="even" r:id="rId21"/>
          <w:footerReference w:type="even" r:id="rId22"/>
          <w:footnotePr>
            <w:pos w:val="pageBottom"/>
            <w:numFmt w:val="decimal"/>
            <w:numRestart w:val="continuous"/>
          </w:footnotePr>
          <w:pgSz w:w="11900" w:h="16840"/>
          <w:pgMar w:top="1321" w:right="568" w:bottom="1455" w:left="555" w:header="0" w:footer="3" w:gutter="0"/>
          <w:cols w:space="720"/>
          <w:noEndnote/>
          <w:rtlGutter w:val="0"/>
          <w:docGrid w:linePitch="360"/>
        </w:sectPr>
      </w:pPr>
      <w:r>
        <w:rPr>
          <w:color w:val="000000"/>
          <w:spacing w:val="0"/>
          <w:w w:val="100"/>
          <w:position w:val="0"/>
        </w:rPr>
        <w:t>数字会议系列产品：以电子票箱和高速选票阅读机为核心产品的集中式选举系统；以</w:t>
      </w:r>
      <w:r>
        <w:rPr>
          <w:color w:val="000000"/>
          <w:spacing w:val="0"/>
          <w:w w:val="100"/>
          <w:position w:val="0"/>
        </w:rPr>
        <w:t>CC0S</w:t>
      </w:r>
      <w:r>
        <w:rPr>
          <w:color w:val="000000"/>
          <w:spacing w:val="0"/>
          <w:w w:val="100"/>
          <w:position w:val="0"/>
        </w:rPr>
        <w:t>中央点票设 备、</w:t>
      </w:r>
      <w:r>
        <w:rPr>
          <w:color w:val="000000"/>
          <w:spacing w:val="0"/>
          <w:w w:val="100"/>
          <w:position w:val="0"/>
        </w:rPr>
        <w:t>PC0S</w:t>
      </w:r>
      <w:r>
        <w:rPr>
          <w:color w:val="000000"/>
          <w:spacing w:val="0"/>
          <w:w w:val="100"/>
          <w:position w:val="0"/>
        </w:rPr>
        <w:t xml:space="preserve">选站投票设备为主的分布式选举系统；以手持式表决器、桌面式表决器、升降式智能表决终端、 </w:t>
      </w:r>
    </w:p>
    <w:p>
      <w:pPr>
        <w:pStyle w:val="Style47"/>
        <w:keepNext w:val="0"/>
        <w:keepLines w:val="0"/>
        <w:widowControl w:val="0"/>
        <w:shd w:val="clear" w:color="auto" w:fill="auto"/>
        <w:bidi w:val="0"/>
        <w:spacing w:before="0" w:after="0" w:line="468" w:lineRule="exact"/>
        <w:ind w:left="0" w:right="0" w:firstLine="0"/>
        <w:jc w:val="both"/>
      </w:pPr>
      <w:r>
        <w:rPr>
          <w:color w:val="000000"/>
          <w:spacing w:val="0"/>
          <w:w w:val="100"/>
          <w:position w:val="0"/>
        </w:rPr>
        <w:t>嵌入式智能表决终端及远程表决子系统为主要产品的常委会与代表大会表决系统；以发言、扩声、显示和 无纸化会议为主要产品的智能会议系统及以人脸识别报到机为核心产品的会议报到系统。</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整体解决方案：包括人事任免、事项表决、人员报到、电子阅文、文件共享、同步演示及呼叫服务等 全方位会务服务的整体解决方案。</w:t>
      </w:r>
    </w:p>
    <w:p>
      <w:pPr>
        <w:pStyle w:val="Style47"/>
        <w:keepNext w:val="0"/>
        <w:keepLines w:val="0"/>
        <w:widowControl w:val="0"/>
        <w:shd w:val="clear" w:color="auto" w:fill="auto"/>
        <w:bidi w:val="0"/>
        <w:spacing w:before="0" w:after="200" w:line="469" w:lineRule="exact"/>
        <w:ind w:left="0" w:right="0" w:firstLine="420"/>
        <w:jc w:val="both"/>
      </w:pPr>
      <w:r>
        <w:rPr>
          <w:color w:val="000000"/>
          <w:spacing w:val="0"/>
          <w:w w:val="100"/>
          <w:position w:val="0"/>
        </w:rPr>
        <w:t>报告期内，在年初新冠疫情防控的紧急关头，公司迅速响应国家需求，冲锋在前，在党政数字会议领 域开发出国内首套远程表决系统，疫情期间服务于全国人大、武汉市人大，而后又保障了</w:t>
      </w:r>
      <w:r>
        <w:rPr>
          <w:rFonts w:ascii="Times New Roman" w:eastAsia="Times New Roman" w:hAnsi="Times New Roman" w:cs="Times New Roman"/>
          <w:color w:val="000000"/>
          <w:spacing w:val="0"/>
          <w:w w:val="100"/>
          <w:position w:val="0"/>
        </w:rPr>
        <w:t>2020</w:t>
      </w:r>
      <w:r>
        <w:rPr>
          <w:color w:val="000000"/>
          <w:spacing w:val="0"/>
          <w:w w:val="100"/>
          <w:position w:val="0"/>
        </w:rPr>
        <w:t>年全国两会 以及全年十余次全国人大常委会的圆满成功。同时公司加大市场开拓力度，持续推进营销队伍建设，核心 业务规模持续扩大，市场占有率持续攀升，种子业务蓬勃发展，数字会议业务整体保持良好的发展趋势。</w:t>
      </w:r>
    </w:p>
    <w:p>
      <w:pPr>
        <w:pStyle w:val="Style47"/>
        <w:keepNext w:val="0"/>
        <w:keepLines w:val="0"/>
        <w:widowControl w:val="0"/>
        <w:numPr>
          <w:ilvl w:val="0"/>
          <w:numId w:val="3"/>
        </w:numPr>
        <w:shd w:val="clear" w:color="auto" w:fill="auto"/>
        <w:tabs>
          <w:tab w:pos="694" w:val="left"/>
        </w:tabs>
        <w:bidi w:val="0"/>
        <w:spacing w:before="0" w:after="0"/>
        <w:ind w:left="0" w:right="0" w:firstLine="420"/>
        <w:jc w:val="left"/>
      </w:pPr>
      <w:bookmarkStart w:id="59" w:name="bookmark59"/>
      <w:bookmarkEnd w:id="59"/>
      <w:r>
        <w:rPr>
          <w:color w:val="000000"/>
          <w:spacing w:val="0"/>
          <w:w w:val="100"/>
          <w:position w:val="0"/>
        </w:rPr>
        <w:t>应用于烟草领域覆盖农</w:t>
      </w:r>
      <w:r>
        <w:rPr>
          <w:rFonts w:ascii="Times New Roman" w:eastAsia="Times New Roman" w:hAnsi="Times New Roman" w:cs="Times New Roman"/>
          <w:color w:val="000000"/>
          <w:spacing w:val="0"/>
          <w:w w:val="100"/>
          <w:position w:val="0"/>
        </w:rPr>
        <w:t>-</w:t>
      </w:r>
      <w:r>
        <w:rPr>
          <w:color w:val="000000"/>
          <w:spacing w:val="0"/>
          <w:w w:val="100"/>
          <w:position w:val="0"/>
        </w:rPr>
        <w:t>工</w:t>
      </w:r>
      <w:r>
        <w:rPr>
          <w:rFonts w:ascii="Times New Roman" w:eastAsia="Times New Roman" w:hAnsi="Times New Roman" w:cs="Times New Roman"/>
          <w:color w:val="000000"/>
          <w:spacing w:val="0"/>
          <w:w w:val="100"/>
          <w:position w:val="0"/>
        </w:rPr>
        <w:t>-</w:t>
      </w:r>
      <w:r>
        <w:rPr>
          <w:color w:val="000000"/>
          <w:spacing w:val="0"/>
          <w:w w:val="100"/>
          <w:position w:val="0"/>
        </w:rPr>
        <w:t>商全产业链的信息化产品与整体解决方案</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烟草信息化产品：烟草农业以烟叶质量追溯系统和烟叶复烤大数据分析为基础，探索农业信息化深度 应用；在烟草生产制造行业，以卷包生产设备数据采集为基础，结合生产管控、工艺质量、辅料供应、设 备管理等核心业务管理功能，致力于为烟草制造企业打造全域状态感知的工厂智能制造平台，为企业实现 大规模定制化、柔性化、智能化生产的智慧工厂添砖加瓦；在科技研发领域，应用互联网</w:t>
      </w:r>
      <w:r>
        <w:rPr>
          <w:rFonts w:ascii="Times New Roman" w:eastAsia="Times New Roman" w:hAnsi="Times New Roman" w:cs="Times New Roman"/>
          <w:color w:val="000000"/>
          <w:spacing w:val="0"/>
          <w:w w:val="100"/>
          <w:position w:val="0"/>
        </w:rPr>
        <w:t>+</w:t>
      </w:r>
      <w:r>
        <w:rPr>
          <w:color w:val="000000"/>
          <w:spacing w:val="0"/>
          <w:w w:val="100"/>
          <w:position w:val="0"/>
        </w:rPr>
        <w:t>思维和新技术, 通过市场需求拉动产品研发、质量管控和科技创新的快速响应，建立协同研发、集智创新的研发生态，并 运用</w:t>
      </w:r>
      <w:r>
        <w:rPr>
          <w:rFonts w:ascii="Times New Roman" w:eastAsia="Times New Roman" w:hAnsi="Times New Roman" w:cs="Times New Roman"/>
          <w:color w:val="000000"/>
          <w:spacing w:val="0"/>
          <w:w w:val="100"/>
          <w:position w:val="0"/>
        </w:rPr>
        <w:t>IPD</w:t>
      </w:r>
      <w:r>
        <w:rPr>
          <w:color w:val="000000"/>
          <w:spacing w:val="0"/>
          <w:w w:val="100"/>
          <w:position w:val="0"/>
        </w:rPr>
        <w:t>、</w:t>
      </w:r>
      <w:r>
        <w:rPr>
          <w:rFonts w:ascii="Times New Roman" w:eastAsia="Times New Roman" w:hAnsi="Times New Roman" w:cs="Times New Roman"/>
          <w:color w:val="000000"/>
          <w:spacing w:val="0"/>
          <w:w w:val="100"/>
          <w:position w:val="0"/>
        </w:rPr>
        <w:t>PDM</w:t>
      </w:r>
      <w:r>
        <w:rPr>
          <w:color w:val="000000"/>
          <w:spacing w:val="0"/>
          <w:w w:val="100"/>
          <w:position w:val="0"/>
        </w:rPr>
        <w:t>、</w:t>
      </w:r>
      <w:r>
        <w:rPr>
          <w:rFonts w:ascii="Times New Roman" w:eastAsia="Times New Roman" w:hAnsi="Times New Roman" w:cs="Times New Roman"/>
          <w:color w:val="000000"/>
          <w:spacing w:val="0"/>
          <w:w w:val="100"/>
          <w:position w:val="0"/>
        </w:rPr>
        <w:t>PLM</w:t>
      </w:r>
      <w:r>
        <w:rPr>
          <w:color w:val="000000"/>
          <w:spacing w:val="0"/>
          <w:w w:val="100"/>
          <w:position w:val="0"/>
        </w:rPr>
        <w:t>等设计思想，规划出全面覆盖核心业务的产品研发、质量监督、原料保障、科技创 新、综合管理、系统集成和智能研发综合系统；在烟草商业努力打造数字化仓储及物流管控一体化解决方 案和烟草商业大数据科学监管系统，助力烟草行业从自动化、数字化迈向智能化的产业升级。</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整体解决方案：为烟草行业提供包括农业、工业和商业全产业链信息化建设整体解决方案和烟草智能 制造服务，提供包括烟草信息化建设规划、烟草信息化基础平台建设、信息化系统运维服务和行业应用定 制化开发软硬件系统。基于工业互联网平台数字化管理解决方案，能够驱动卷烟制造全要素、全产业链、 全价值链实现深度互联。</w:t>
      </w:r>
    </w:p>
    <w:p>
      <w:pPr>
        <w:pStyle w:val="Style47"/>
        <w:keepNext w:val="0"/>
        <w:keepLines w:val="0"/>
        <w:widowControl w:val="0"/>
        <w:shd w:val="clear" w:color="auto" w:fill="auto"/>
        <w:bidi w:val="0"/>
        <w:spacing w:before="0" w:after="200" w:line="469" w:lineRule="exact"/>
        <w:ind w:left="0" w:right="0" w:firstLine="420"/>
        <w:jc w:val="both"/>
      </w:pPr>
      <w:r>
        <w:rPr>
          <w:color w:val="000000"/>
          <w:spacing w:val="0"/>
          <w:w w:val="100"/>
          <w:position w:val="0"/>
        </w:rPr>
        <w:t>报告期内，公司面向烟草行业的智能制造、生产大数据分析、智慧园区、烟叶智能收购线等行业智能 化业务持续扩大，不断挖掘高速机器视觉分析技术在工业领域的深入应用，承担的智慧工厂建设项目为烟 厂的管理水平提升提供了有效手段和决策支撑。继续加大在烟草行业工业互联网和全价值链工业数据挖掘 与分析的应用，将</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领域的创新实践作为公司烟草业务主要增长动力。积极与湖北烟草公司客户 开展合作交流，依托</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智慧鄂烟''联合实验室，多层面探索烟草行业未来发展方向。</w:t>
      </w:r>
    </w:p>
    <w:p>
      <w:pPr>
        <w:pStyle w:val="Style47"/>
        <w:keepNext w:val="0"/>
        <w:keepLines w:val="0"/>
        <w:widowControl w:val="0"/>
        <w:numPr>
          <w:ilvl w:val="0"/>
          <w:numId w:val="3"/>
        </w:numPr>
        <w:shd w:val="clear" w:color="auto" w:fill="auto"/>
        <w:tabs>
          <w:tab w:pos="694" w:val="left"/>
        </w:tabs>
        <w:bidi w:val="0"/>
        <w:spacing w:before="0" w:after="0"/>
        <w:ind w:left="0" w:right="0" w:firstLine="420"/>
        <w:jc w:val="both"/>
      </w:pPr>
      <w:bookmarkStart w:id="60" w:name="bookmark60"/>
      <w:bookmarkEnd w:id="60"/>
      <w:r>
        <w:rPr>
          <w:color w:val="000000"/>
          <w:spacing w:val="0"/>
          <w:w w:val="100"/>
          <w:position w:val="0"/>
        </w:rPr>
        <w:t>印钞检测领域全生产流程在线质量检测产品与整体解决方案</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印钞检测产品：提供从造纸到印刷整个流程的质量检测以及安全技防相关产品。包括印钞前序流程， 在线</w:t>
      </w:r>
      <w:r>
        <w:rPr>
          <w:rFonts w:ascii="Times New Roman" w:eastAsia="Times New Roman" w:hAnsi="Times New Roman" w:cs="Times New Roman"/>
          <w:color w:val="000000"/>
          <w:spacing w:val="0"/>
          <w:w w:val="100"/>
          <w:position w:val="0"/>
        </w:rPr>
        <w:t>/</w:t>
      </w:r>
      <w:r>
        <w:rPr>
          <w:color w:val="000000"/>
          <w:spacing w:val="0"/>
          <w:w w:val="100"/>
          <w:position w:val="0"/>
        </w:rPr>
        <w:t>离线质量检测系统（如纸张、防伪线设备等），印钞流程在线</w:t>
      </w:r>
      <w:r>
        <w:rPr>
          <w:rFonts w:ascii="Times New Roman" w:eastAsia="Times New Roman" w:hAnsi="Times New Roman" w:cs="Times New Roman"/>
          <w:color w:val="000000"/>
          <w:spacing w:val="0"/>
          <w:w w:val="100"/>
          <w:position w:val="0"/>
        </w:rPr>
        <w:t>/</w:t>
      </w:r>
      <w:r>
        <w:rPr>
          <w:color w:val="000000"/>
          <w:spacing w:val="0"/>
          <w:w w:val="100"/>
          <w:position w:val="0"/>
        </w:rPr>
        <w:t>离线质量检测系统（如胶</w:t>
      </w:r>
      <w:r>
        <w:rPr>
          <w:rFonts w:ascii="Times New Roman" w:eastAsia="Times New Roman" w:hAnsi="Times New Roman" w:cs="Times New Roman"/>
          <w:color w:val="000000"/>
          <w:spacing w:val="0"/>
          <w:w w:val="100"/>
          <w:position w:val="0"/>
        </w:rPr>
        <w:t>/</w:t>
      </w:r>
      <w:r>
        <w:rPr>
          <w:color w:val="000000"/>
          <w:spacing w:val="0"/>
          <w:w w:val="100"/>
          <w:position w:val="0"/>
        </w:rPr>
        <w:t xml:space="preserve">凹印在离线 检测、码后大张检查机、涂布及涂布褶子质量在线检测、裁切质量及装箱管理系统等）以及印钞行业质量 </w:t>
      </w:r>
      <w:r>
        <w:rPr>
          <w:color w:val="000000"/>
          <w:spacing w:val="0"/>
          <w:w w:val="100"/>
          <w:position w:val="0"/>
        </w:rPr>
        <w:t>信息管理系统与数字管理系统，光油检测系统，生产现场火情监控与智能安防系统，智能智造与智慧工厂 等。</w:t>
      </w:r>
    </w:p>
    <w:p>
      <w:pPr>
        <w:pStyle w:val="Style47"/>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整体解决方案：围绕钞票全生命周期提供整体在线</w:t>
      </w:r>
      <w:r>
        <w:rPr>
          <w:rFonts w:ascii="Times New Roman" w:eastAsia="Times New Roman" w:hAnsi="Times New Roman" w:cs="Times New Roman"/>
          <w:color w:val="000000"/>
          <w:spacing w:val="0"/>
          <w:w w:val="100"/>
          <w:position w:val="0"/>
        </w:rPr>
        <w:t>/</w:t>
      </w:r>
      <w:r>
        <w:rPr>
          <w:color w:val="000000"/>
          <w:spacing w:val="0"/>
          <w:w w:val="100"/>
          <w:position w:val="0"/>
        </w:rPr>
        <w:t>离线整体解决方案。</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报告期内，公司印钞行业业务主要由联营企业中钞科信实施。随着人民币新品量产、各类纪念钞产品 发行、生产工艺提升，结合大数据分析、深度学习算法及新型光学成像技术，公司研制的涂布褶子在线检 测系统、涂后全检系统、新型纸张与防伪线光学检测系统开始批量推广。新型小张精品分析、轻量级对版 系统、钞票光谱分析系统等新研制设备稳步上线，促进了印钞产品质量一致性的进一步提升。与此同时， 在行业十四五规划下积极开展行业智能制造系统与云计算系统的研究，推进行业企业间数据互联互通，智 能化的火情监控与安防技防产品的成功研发与应用，拓展了公司与印钞领域客户的业务合作范围，产品服 务门类与市场占有率进一步提升。</w:t>
      </w:r>
    </w:p>
    <w:p>
      <w:pPr>
        <w:pStyle w:val="Style47"/>
        <w:keepNext w:val="0"/>
        <w:keepLines w:val="0"/>
        <w:widowControl w:val="0"/>
        <w:numPr>
          <w:ilvl w:val="0"/>
          <w:numId w:val="3"/>
        </w:numPr>
        <w:shd w:val="clear" w:color="auto" w:fill="auto"/>
        <w:tabs>
          <w:tab w:pos="714" w:val="left"/>
        </w:tabs>
        <w:bidi w:val="0"/>
        <w:spacing w:before="0" w:after="0"/>
        <w:ind w:left="0" w:right="0" w:firstLine="440"/>
        <w:jc w:val="both"/>
      </w:pPr>
      <w:bookmarkStart w:id="61" w:name="bookmark61"/>
      <w:bookmarkEnd w:id="61"/>
      <w:r>
        <w:rPr>
          <w:color w:val="000000"/>
          <w:spacing w:val="0"/>
          <w:w w:val="100"/>
          <w:position w:val="0"/>
        </w:rPr>
        <w:t>石油领域的油气田数字化生产管理产品与整体解决方案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油气信息化产品：提供的油气田数字化生产管理产品可实现数据自动采集、生产实时监控，具有智能 防御、高效管理、科学指挥等多种功能。天然气管网集输</w:t>
      </w:r>
      <w:r>
        <w:rPr>
          <w:rFonts w:ascii="Times New Roman" w:eastAsia="Times New Roman" w:hAnsi="Times New Roman" w:cs="Times New Roman"/>
          <w:color w:val="000000"/>
          <w:spacing w:val="0"/>
          <w:w w:val="100"/>
          <w:position w:val="0"/>
        </w:rPr>
        <w:t>SCADA</w:t>
      </w:r>
      <w:r>
        <w:rPr>
          <w:color w:val="000000"/>
          <w:spacing w:val="0"/>
          <w:w w:val="100"/>
          <w:position w:val="0"/>
        </w:rPr>
        <w:t>系统、</w:t>
      </w:r>
      <w:r>
        <w:rPr>
          <w:rFonts w:ascii="Times New Roman" w:eastAsia="Times New Roman" w:hAnsi="Times New Roman" w:cs="Times New Roman"/>
          <w:color w:val="000000"/>
          <w:spacing w:val="0"/>
          <w:w w:val="100"/>
          <w:position w:val="0"/>
        </w:rPr>
        <w:t>CNG</w:t>
      </w:r>
      <w:r>
        <w:rPr>
          <w:color w:val="000000"/>
          <w:spacing w:val="0"/>
          <w:w w:val="100"/>
          <w:position w:val="0"/>
        </w:rPr>
        <w:t>场站控系统、油气井台智能 视频监控分析系统、基于油气作业场所不安全行为智能视频识别等是公司在油气领域的优势产品和解决方 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整体解决方案</w:t>
      </w:r>
      <w:r>
        <w:rPr>
          <w:rFonts w:ascii="Times New Roman" w:eastAsia="Times New Roman" w:hAnsi="Times New Roman" w:cs="Times New Roman"/>
          <w:color w:val="000000"/>
          <w:spacing w:val="0"/>
          <w:w w:val="100"/>
          <w:position w:val="0"/>
        </w:rPr>
        <w:t>:</w:t>
      </w:r>
      <w:r>
        <w:rPr>
          <w:color w:val="000000"/>
          <w:spacing w:val="0"/>
          <w:w w:val="100"/>
          <w:position w:val="0"/>
        </w:rPr>
        <w:t>石油天然气处理厂自控通信集输管理智能化系统、天然气管网集输及</w:t>
      </w:r>
      <w:r>
        <w:rPr>
          <w:rFonts w:ascii="Times New Roman" w:eastAsia="Times New Roman" w:hAnsi="Times New Roman" w:cs="Times New Roman"/>
          <w:color w:val="000000"/>
          <w:spacing w:val="0"/>
          <w:w w:val="100"/>
          <w:position w:val="0"/>
        </w:rPr>
        <w:t>CNG</w:t>
      </w:r>
      <w:r>
        <w:rPr>
          <w:color w:val="000000"/>
          <w:spacing w:val="0"/>
          <w:w w:val="100"/>
          <w:position w:val="0"/>
        </w:rPr>
        <w:t>领域的数字化 管理、油气田大型数字化整体解决方案，能够为石油天然气的日常生产、运输、调度、维护、管理提供充 分的技术支撑。</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报告期内，公司研发的油气田“电信控一体化撬”及“化学制剂加注撬”，采用模块化设计，可根据 现场生产规模灵活搭配不同的模块，从而满足不同的现场需求；通过工厂预制的建设方式，极大的降低了 用户施工现场的工作量，提升了工作效率。公司承接的重点项目</w:t>
      </w:r>
      <w:r>
        <w:rPr>
          <w:rFonts w:ascii="Times New Roman" w:eastAsia="Times New Roman" w:hAnsi="Times New Roman" w:cs="Times New Roman"/>
          <w:color w:val="000000"/>
          <w:spacing w:val="0"/>
          <w:w w:val="100"/>
          <w:position w:val="0"/>
        </w:rPr>
        <w:t>“</w:t>
      </w:r>
      <w:r>
        <w:rPr>
          <w:color w:val="000000"/>
          <w:spacing w:val="0"/>
          <w:w w:val="100"/>
          <w:position w:val="0"/>
        </w:rPr>
        <w:t>塔里木盆地喀什北区块阿克莫木气田总 体开发工程仪表、通信、安防工程项目</w:t>
      </w:r>
      <w:r>
        <w:rPr>
          <w:color w:val="000000"/>
          <w:spacing w:val="0"/>
          <w:w w:val="100"/>
          <w:position w:val="0"/>
        </w:rPr>
        <w:t>''</w:t>
      </w:r>
      <w:r>
        <w:rPr>
          <w:color w:val="000000"/>
          <w:spacing w:val="0"/>
          <w:w w:val="100"/>
          <w:position w:val="0"/>
        </w:rPr>
        <w:t>已顺利完工，该项目运用自控技术、通信技术、智能分析技术， 为用户提供大型油气田处理厂建设的数字化整体解决方案，帮助用户更进一步提升油气田生产自动化、管 理信息化、决策数字化水平。</w:t>
      </w:r>
    </w:p>
    <w:p>
      <w:pPr>
        <w:pStyle w:val="Style47"/>
        <w:keepNext w:val="0"/>
        <w:keepLines w:val="0"/>
        <w:widowControl w:val="0"/>
        <w:numPr>
          <w:ilvl w:val="0"/>
          <w:numId w:val="3"/>
        </w:numPr>
        <w:shd w:val="clear" w:color="auto" w:fill="auto"/>
        <w:tabs>
          <w:tab w:pos="714" w:val="left"/>
        </w:tabs>
        <w:bidi w:val="0"/>
        <w:spacing w:before="0" w:after="0"/>
        <w:ind w:left="0" w:right="0" w:firstLine="440"/>
        <w:jc w:val="both"/>
      </w:pPr>
      <w:bookmarkStart w:id="62" w:name="bookmark62"/>
      <w:bookmarkEnd w:id="62"/>
      <w:r>
        <w:rPr>
          <w:color w:val="000000"/>
          <w:spacing w:val="0"/>
          <w:w w:val="100"/>
          <w:position w:val="0"/>
        </w:rPr>
        <w:t>应用于智慧政务领域的政务信息化产品与整体解决方案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智慧政务产品及解决方案：提供智慧政务服务平台整体解决方案、省级政务大数据共享及民生服务平 台系统、省级政法部门信息化资源共享平台系统、视频大数据智能检索分析系统等。包括智慧组工、智慧 人大、智慧政协、智慧组工、智慧统计和智慧教育建设提供技术、产品和服务。</w:t>
      </w:r>
    </w:p>
    <w:p>
      <w:pPr>
        <w:pStyle w:val="Style47"/>
        <w:keepNext w:val="0"/>
        <w:keepLines w:val="0"/>
        <w:widowControl w:val="0"/>
        <w:shd w:val="clear" w:color="auto" w:fill="auto"/>
        <w:bidi w:val="0"/>
        <w:spacing w:before="0" w:after="200" w:line="469" w:lineRule="exact"/>
        <w:ind w:left="0" w:right="0" w:firstLine="440"/>
        <w:jc w:val="both"/>
        <w:sectPr>
          <w:headerReference w:type="default" r:id="rId23"/>
          <w:footerReference w:type="default" r:id="rId24"/>
          <w:headerReference w:type="even" r:id="rId25"/>
          <w:footerReference w:type="even" r:id="rId26"/>
          <w:headerReference w:type="first" r:id="rId27"/>
          <w:footerReference w:type="first" r:id="rId28"/>
          <w:footnotePr>
            <w:pos w:val="pageBottom"/>
            <w:numFmt w:val="decimal"/>
            <w:numRestart w:val="continuous"/>
          </w:footnotePr>
          <w:pgSz w:w="11900" w:h="16840"/>
          <w:pgMar w:top="1321" w:right="568" w:bottom="1455" w:left="555" w:header="0" w:footer="3" w:gutter="0"/>
          <w:cols w:space="720"/>
          <w:noEndnote/>
          <w:titlePg/>
          <w:rtlGutter w:val="0"/>
          <w:docGrid w:linePitch="360"/>
        </w:sectPr>
      </w:pPr>
      <w:bookmarkStart w:id="63" w:name="bookmark63"/>
      <w:r>
        <w:rPr>
          <w:color w:val="000000"/>
          <w:spacing w:val="0"/>
          <w:w w:val="100"/>
          <w:position w:val="0"/>
        </w:rPr>
        <w:t>（</w:t>
      </w:r>
      <w:bookmarkEnd w:id="63"/>
      <w:r>
        <w:rPr>
          <w:rFonts w:ascii="Times New Roman" w:eastAsia="Times New Roman" w:hAnsi="Times New Roman" w:cs="Times New Roman"/>
          <w:color w:val="000000"/>
          <w:spacing w:val="0"/>
          <w:w w:val="100"/>
          <w:position w:val="0"/>
        </w:rPr>
        <w:t>1</w:t>
      </w:r>
      <w:r>
        <w:rPr>
          <w:color w:val="000000"/>
          <w:spacing w:val="0"/>
          <w:w w:val="100"/>
          <w:position w:val="0"/>
        </w:rPr>
        <w:t>）智慧组工、智慧人大、智慧政协产品：自主创新、安全可靠为核心，以基础设施为支撑，以标 准规范和管理机制为保障，以服务党委、人大、政协为中心，通过智慧党建云平台、干部考察测评系统、</w:t>
      </w:r>
    </w:p>
    <w:p>
      <w:pPr>
        <w:pStyle w:val="Style47"/>
        <w:keepNext w:val="0"/>
        <w:keepLines w:val="0"/>
        <w:widowControl w:val="0"/>
        <w:shd w:val="clear" w:color="auto" w:fill="auto"/>
        <w:bidi w:val="0"/>
        <w:spacing w:before="0" w:after="0" w:line="469" w:lineRule="exact"/>
        <w:ind w:left="0" w:right="0" w:firstLine="0"/>
        <w:jc w:val="both"/>
      </w:pPr>
      <w:r>
        <w:rPr>
          <w:color w:val="000000"/>
          <w:spacing w:val="0"/>
          <w:w w:val="100"/>
          <w:position w:val="0"/>
        </w:rPr>
        <w:t>干部民主推荐系统、干部任免系统、代表资格审查及人事任免系统、代表履职服务平台、预算决算审查监 督系统、常委会速录简报系统、电子阅文系统、委员提案管理系统、委员信息管理系统、社情民意管理系 统等为客户提供了安全可靠的自主信息化服务。</w:t>
      </w:r>
    </w:p>
    <w:p>
      <w:pPr>
        <w:pStyle w:val="Style47"/>
        <w:keepNext w:val="0"/>
        <w:keepLines w:val="0"/>
        <w:widowControl w:val="0"/>
        <w:numPr>
          <w:ilvl w:val="0"/>
          <w:numId w:val="5"/>
        </w:numPr>
        <w:shd w:val="clear" w:color="auto" w:fill="auto"/>
        <w:bidi w:val="0"/>
        <w:spacing w:before="0" w:after="0" w:line="469" w:lineRule="exact"/>
        <w:ind w:left="0" w:right="0" w:firstLine="440"/>
        <w:jc w:val="both"/>
      </w:pPr>
      <w:bookmarkStart w:id="64" w:name="bookmark64"/>
      <w:bookmarkEnd w:id="64"/>
      <w:r>
        <w:rPr>
          <w:color w:val="000000"/>
          <w:spacing w:val="0"/>
          <w:w w:val="100"/>
          <w:position w:val="0"/>
        </w:rPr>
        <w:t>政务大数据统计与挖掘分析产品：提供统计大数据系统、全国第七次人口普查数据对比分析及 支撑平台、疫情防控排查分析系统、国家名录库改革试点管理平台、统计经济地理分析平台等相关产品与 解决方案。运用人工智能、大数据等新一代信息技术有效提升统计、发改等政府部门的业务工作效率，全 面支撑统计部门全领域改革试点、地方政府营商环境提升，助力社会经济高质量发展。</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报告期内，公司在智慧政务相关领域已成功实施和交付了多个市级、区县级的信息化项目。利用大数 据分析对比技术有效保障区域性全国第七次人口普查工作顺利进行，切实提高了普查效率和提升数据质 量；在</w:t>
      </w:r>
      <w:r>
        <w:rPr>
          <w:rFonts w:ascii="Times New Roman" w:eastAsia="Times New Roman" w:hAnsi="Times New Roman" w:cs="Times New Roman"/>
          <w:color w:val="000000"/>
          <w:spacing w:val="0"/>
          <w:w w:val="100"/>
          <w:position w:val="0"/>
        </w:rPr>
        <w:t>“</w:t>
      </w:r>
      <w:r>
        <w:rPr>
          <w:color w:val="000000"/>
          <w:spacing w:val="0"/>
          <w:w w:val="100"/>
          <w:position w:val="0"/>
        </w:rPr>
        <w:t>万众一心、共战疫情</w:t>
      </w:r>
      <w:r>
        <w:rPr>
          <w:color w:val="000000"/>
          <w:spacing w:val="0"/>
          <w:w w:val="100"/>
          <w:position w:val="0"/>
        </w:rPr>
        <w:t>''</w:t>
      </w:r>
      <w:r>
        <w:rPr>
          <w:color w:val="000000"/>
          <w:spacing w:val="0"/>
          <w:w w:val="100"/>
          <w:position w:val="0"/>
        </w:rPr>
        <w:t>的关键时刻，通过疫情防控排查分析系统的建设为疫情的阻击防控提供大数 据支撑以及辅助应急指挥决策，为地方政府准确研判疫情走势、调度指挥疫情防控工作提供帮助，受到政 府和新闻媒体的高度评价；充分利用经济普查数据、部门共享资料以及互联网信息等，实现创新政府统计 名录库维护更新方式，打造实时更新、实时入库的名录库动态维护更新机制，不断提高名录库数据质量。</w:t>
      </w:r>
    </w:p>
    <w:p>
      <w:pPr>
        <w:pStyle w:val="Style47"/>
        <w:keepNext w:val="0"/>
        <w:keepLines w:val="0"/>
        <w:widowControl w:val="0"/>
        <w:numPr>
          <w:ilvl w:val="0"/>
          <w:numId w:val="3"/>
        </w:numPr>
        <w:shd w:val="clear" w:color="auto" w:fill="auto"/>
        <w:bidi w:val="0"/>
        <w:spacing w:before="0" w:after="0"/>
        <w:ind w:left="0" w:right="0" w:firstLine="440"/>
        <w:jc w:val="both"/>
      </w:pPr>
      <w:bookmarkStart w:id="65" w:name="bookmark65"/>
      <w:bookmarkEnd w:id="65"/>
      <w:r>
        <w:rPr>
          <w:color w:val="000000"/>
          <w:spacing w:val="0"/>
          <w:w w:val="100"/>
          <w:position w:val="0"/>
        </w:rPr>
        <w:t>应用于智慧医疗领域的产品与信息化整体解决方案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智慧医疗产品：公司与四川大学华西医院紧密合作，不断扩大产品系列，形成了应用于诊疗教学和临 床监护两类产品。医学影像辅助诊疗科研教学系统包括经食管超声模拟教学系统、数字人断层解剖系统、 腹部超声模拟教学系统以及肿瘤靶区自动勾画科研平台；临床监护设备包括人工智能辅助麻醉监控仪和多 模态超声监护仪等临床产品。</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整体解决方案：公司结合人工智能技术提供的智慧医疗智能化整体解决方案可帮助医疗行业实现标准 化、信息化、可视化、智能化，包括医疗智慧物联、智慧手术室、数字化科研与辅助诊疗、智慧医教等多 种方案。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报告期内，医学仿真教学领域产品系列不断扩大，新增模拟教学、移动端教学产品品类，并结合四川 大学华西医院丰富的病例大数据，搭建大数据云病例平台，形成课程体系、模拟教学、床旁教学整体解决 方。经食管超声模拟教学系统在四川、上海、深圳、甘肃、河南、湖南等地多家三甲医院实现推广销售； 通过与华西医院紧密合作，面向全国各大医院持续举办临床超声培训班，推广面向断层解剖的临床超声数 字人新产品，成效较好。在医学装备物联网领域，加快对各类医学装备智能采集装置研发，搭建分布式大 数据平台，加快人工智能模块的研发速度，持续提升产品核心竞争力。目前，医疗装备物联网产品已开始 在川西地区部分医院上线，正面向全国各大医院推广。</w:t>
      </w:r>
    </w:p>
    <w:p>
      <w:pPr>
        <w:pStyle w:val="Style47"/>
        <w:keepNext w:val="0"/>
        <w:keepLines w:val="0"/>
        <w:widowControl w:val="0"/>
        <w:numPr>
          <w:ilvl w:val="0"/>
          <w:numId w:val="7"/>
        </w:numPr>
        <w:shd w:val="clear" w:color="auto" w:fill="auto"/>
        <w:bidi w:val="0"/>
        <w:spacing w:before="0" w:after="0" w:line="469" w:lineRule="exact"/>
        <w:ind w:left="0" w:right="0" w:firstLine="440"/>
        <w:jc w:val="both"/>
      </w:pPr>
      <w:bookmarkStart w:id="66" w:name="bookmark66"/>
      <w:bookmarkEnd w:id="66"/>
      <w:r>
        <w:rPr>
          <w:b/>
          <w:bCs/>
          <w:color w:val="000000"/>
          <w:spacing w:val="0"/>
          <w:w w:val="100"/>
          <w:position w:val="0"/>
        </w:rPr>
        <w:t>主要经营模式</w:t>
      </w:r>
    </w:p>
    <w:p>
      <w:pPr>
        <w:pStyle w:val="Style47"/>
        <w:keepNext w:val="0"/>
        <w:keepLines w:val="0"/>
        <w:widowControl w:val="0"/>
        <w:shd w:val="clear" w:color="auto" w:fill="auto"/>
        <w:bidi w:val="0"/>
        <w:spacing w:before="0" w:after="780" w:line="469" w:lineRule="exact"/>
        <w:ind w:left="0" w:right="0" w:firstLine="440"/>
        <w:jc w:val="both"/>
      </w:pPr>
      <w:r>
        <w:rPr>
          <w:color w:val="000000"/>
          <w:spacing w:val="0"/>
          <w:w w:val="100"/>
          <w:position w:val="0"/>
        </w:rPr>
        <w:t>公司主要以承接各类客户的信息化项目的形式开展业务。客户根据所实施信息化项目的具体情况，一</w:t>
      </w:r>
    </w:p>
    <w:p>
      <w:pPr>
        <w:pStyle w:val="Style2"/>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巨潮查讯</w:t>
      </w:r>
    </w:p>
    <w:p>
      <w:pPr>
        <w:pStyle w:val="Style2"/>
        <w:keepNext w:val="0"/>
        <w:keepLines w:val="0"/>
        <w:widowControl w:val="0"/>
        <w:shd w:val="clear" w:color="auto" w:fill="auto"/>
        <w:bidi w:val="0"/>
        <w:spacing w:before="0" w:after="100" w:line="240" w:lineRule="auto"/>
        <w:ind w:left="0" w:right="0" w:firstLine="0"/>
        <w:jc w:val="right"/>
        <w:rPr>
          <w:sz w:val="11"/>
          <w:szCs w:val="11"/>
        </w:rPr>
        <w:sectPr>
          <w:headerReference w:type="default" r:id="rId29"/>
          <w:footerReference w:type="default" r:id="rId30"/>
          <w:headerReference w:type="even" r:id="rId31"/>
          <w:footerReference w:type="even" r:id="rId32"/>
          <w:footnotePr>
            <w:pos w:val="pageBottom"/>
            <w:numFmt w:val="decimal"/>
            <w:numRestart w:val="continuous"/>
          </w:footnotePr>
          <w:pgSz w:w="11900" w:h="16840"/>
          <w:pgMar w:top="1326" w:right="24" w:bottom="169" w:left="1100" w:header="0" w:footer="3" w:gutter="0"/>
          <w:cols w:space="720"/>
          <w:noEndnote/>
          <w:rtlGutter w:val="0"/>
          <w:docGrid w:linePitch="360"/>
        </w:sectPr>
      </w:pPr>
      <w:r>
        <w:fldChar w:fldCharType="begin"/>
      </w:r>
      <w:r>
        <w:rPr/>
        <w:instrText> HYPERLINK "http://www.cnlnfo.com.cn" </w:instrText>
      </w:r>
      <w:r>
        <w:fldChar w:fldCharType="separate"/>
      </w:r>
      <w:r>
        <w:rPr>
          <w:rFonts w:ascii="Arial" w:eastAsia="Arial" w:hAnsi="Arial" w:cs="Arial"/>
          <w:b/>
          <w:bCs/>
          <w:color w:val="A2A2A2"/>
          <w:spacing w:val="0"/>
          <w:w w:val="100"/>
          <w:position w:val="0"/>
          <w:sz w:val="11"/>
          <w:szCs w:val="11"/>
        </w:rPr>
        <w:t>www.cnlnfo.com.cn</w:t>
      </w:r>
      <w:r>
        <w:fldChar w:fldCharType="end"/>
      </w:r>
    </w:p>
    <w:p>
      <w:pPr>
        <w:pStyle w:val="Style47"/>
        <w:keepNext w:val="0"/>
        <w:keepLines w:val="0"/>
        <w:widowControl w:val="0"/>
        <w:shd w:val="clear" w:color="auto" w:fill="auto"/>
        <w:bidi w:val="0"/>
        <w:spacing w:before="0" w:after="200" w:line="468" w:lineRule="exact"/>
        <w:ind w:left="0" w:right="0" w:firstLine="0"/>
        <w:jc w:val="both"/>
      </w:pPr>
      <w:r>
        <w:rPr>
          <w:color w:val="000000"/>
          <w:spacing w:val="0"/>
          <w:w w:val="100"/>
          <w:position w:val="0"/>
        </w:rPr>
        <w:t>般以公开招标、邀请投标或单一来源采购谈判等方式选择供应商，招投标也是公司获取信息化项目业务的 主要方式。公司依据客户招标文件的要求，对客户所实施项目进行技术方案设计、软硬件系统配置、交付 方案制定、人员投入计划、实施费用估算等实质内容进行公开响应并参与投标比选。项目中标后公司与客 户签订正式的销售合同，各事业部组织项目组开展项目方案优化、技术开发、软硬件采购、安装实施、使 用培训等工作，然后交付客户测试运行、验收。</w:t>
      </w:r>
    </w:p>
    <w:p>
      <w:pPr>
        <w:pStyle w:val="Style47"/>
        <w:keepNext w:val="0"/>
        <w:keepLines w:val="0"/>
        <w:widowControl w:val="0"/>
        <w:numPr>
          <w:ilvl w:val="0"/>
          <w:numId w:val="9"/>
        </w:numPr>
        <w:shd w:val="clear" w:color="auto" w:fill="auto"/>
        <w:tabs>
          <w:tab w:pos="755" w:val="left"/>
        </w:tabs>
        <w:bidi w:val="0"/>
        <w:spacing w:before="0" w:after="0"/>
        <w:ind w:left="0" w:right="0" w:firstLine="440"/>
        <w:jc w:val="both"/>
      </w:pPr>
      <w:bookmarkStart w:id="67" w:name="bookmark67"/>
      <w:bookmarkEnd w:id="67"/>
      <w:r>
        <w:rPr>
          <w:color w:val="000000"/>
          <w:spacing w:val="0"/>
          <w:w w:val="100"/>
          <w:position w:val="0"/>
        </w:rPr>
        <w:t>销售模式</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公司销售为直销方式，具体主要流程如下：</w:t>
      </w:r>
    </w:p>
    <w:p>
      <w:pPr>
        <w:pStyle w:val="Style47"/>
        <w:keepNext w:val="0"/>
        <w:keepLines w:val="0"/>
        <w:widowControl w:val="0"/>
        <w:shd w:val="clear" w:color="auto" w:fill="auto"/>
        <w:tabs>
          <w:tab w:pos="978" w:val="left"/>
        </w:tabs>
        <w:bidi w:val="0"/>
        <w:spacing w:before="0" w:after="0" w:line="468" w:lineRule="exact"/>
        <w:ind w:left="0" w:right="0" w:firstLine="440"/>
        <w:jc w:val="both"/>
      </w:pPr>
      <w:bookmarkStart w:id="68" w:name="bookmark68"/>
      <w:r>
        <w:rPr>
          <w:color w:val="000000"/>
          <w:spacing w:val="0"/>
          <w:w w:val="100"/>
          <w:position w:val="0"/>
        </w:rPr>
        <w:t>（</w:t>
      </w:r>
      <w:bookmarkEnd w:id="68"/>
      <w:r>
        <w:rPr>
          <w:rFonts w:ascii="Times New Roman" w:eastAsia="Times New Roman" w:hAnsi="Times New Roman" w:cs="Times New Roman"/>
          <w:color w:val="000000"/>
          <w:spacing w:val="0"/>
          <w:w w:val="100"/>
          <w:position w:val="0"/>
        </w:rPr>
        <w:t>1</w:t>
      </w:r>
      <w:r>
        <w:rPr>
          <w:color w:val="000000"/>
          <w:spacing w:val="0"/>
          <w:w w:val="100"/>
          <w:position w:val="0"/>
        </w:rPr>
        <w:t>）</w:t>
        <w:tab/>
        <w:t>销售人员通过直访、项目信息发布平台、合作伙伴、设备供应商和业主邀标等多种形式获得项 目销售线索，由公司进行销售线索的筛选和分配；</w:t>
      </w:r>
    </w:p>
    <w:p>
      <w:pPr>
        <w:pStyle w:val="Style47"/>
        <w:keepNext w:val="0"/>
        <w:keepLines w:val="0"/>
        <w:widowControl w:val="0"/>
        <w:shd w:val="clear" w:color="auto" w:fill="auto"/>
        <w:tabs>
          <w:tab w:pos="923" w:val="left"/>
        </w:tabs>
        <w:bidi w:val="0"/>
        <w:spacing w:before="0" w:after="0" w:line="468" w:lineRule="exact"/>
        <w:ind w:left="0" w:right="0" w:firstLine="440"/>
        <w:jc w:val="both"/>
      </w:pPr>
      <w:bookmarkStart w:id="69" w:name="bookmark69"/>
      <w:r>
        <w:rPr>
          <w:color w:val="000000"/>
          <w:spacing w:val="0"/>
          <w:w w:val="100"/>
          <w:position w:val="0"/>
        </w:rPr>
        <w:t>（</w:t>
      </w:r>
      <w:bookmarkEnd w:id="69"/>
      <w:r>
        <w:rPr>
          <w:rFonts w:ascii="Times New Roman" w:eastAsia="Times New Roman" w:hAnsi="Times New Roman" w:cs="Times New Roman"/>
          <w:color w:val="000000"/>
          <w:spacing w:val="0"/>
          <w:w w:val="100"/>
          <w:position w:val="0"/>
        </w:rPr>
        <w:t>2</w:t>
      </w:r>
      <w:r>
        <w:rPr>
          <w:color w:val="000000"/>
          <w:spacing w:val="0"/>
          <w:w w:val="100"/>
          <w:position w:val="0"/>
        </w:rPr>
        <w:t>）</w:t>
        <w:tab/>
        <w:t>项目负责人组织销售团队了解和分析客户需求，制定解决方案并与客户进行沟通、技术交流；</w:t>
      </w:r>
    </w:p>
    <w:p>
      <w:pPr>
        <w:pStyle w:val="Style47"/>
        <w:keepNext w:val="0"/>
        <w:keepLines w:val="0"/>
        <w:widowControl w:val="0"/>
        <w:shd w:val="clear" w:color="auto" w:fill="auto"/>
        <w:tabs>
          <w:tab w:pos="923" w:val="left"/>
        </w:tabs>
        <w:bidi w:val="0"/>
        <w:spacing w:before="0" w:after="0" w:line="468" w:lineRule="exact"/>
        <w:ind w:left="0" w:right="0" w:firstLine="440"/>
        <w:jc w:val="both"/>
      </w:pPr>
      <w:bookmarkStart w:id="70" w:name="bookmark70"/>
      <w:r>
        <w:rPr>
          <w:color w:val="000000"/>
          <w:spacing w:val="0"/>
          <w:w w:val="100"/>
          <w:position w:val="0"/>
        </w:rPr>
        <w:t>（</w:t>
      </w:r>
      <w:bookmarkEnd w:id="70"/>
      <w:r>
        <w:rPr>
          <w:rFonts w:ascii="Times New Roman" w:eastAsia="Times New Roman" w:hAnsi="Times New Roman" w:cs="Times New Roman"/>
          <w:color w:val="000000"/>
          <w:spacing w:val="0"/>
          <w:w w:val="100"/>
          <w:position w:val="0"/>
        </w:rPr>
        <w:t>3</w:t>
      </w:r>
      <w:r>
        <w:rPr>
          <w:color w:val="000000"/>
          <w:spacing w:val="0"/>
          <w:w w:val="100"/>
          <w:position w:val="0"/>
        </w:rPr>
        <w:t>）</w:t>
        <w:tab/>
        <w:t>参加客户或客户委托招标代理机构组织的公开招标或邀请投标或单一来源采购谈判；</w:t>
      </w:r>
    </w:p>
    <w:p>
      <w:pPr>
        <w:pStyle w:val="Style47"/>
        <w:keepNext w:val="0"/>
        <w:keepLines w:val="0"/>
        <w:widowControl w:val="0"/>
        <w:shd w:val="clear" w:color="auto" w:fill="auto"/>
        <w:tabs>
          <w:tab w:pos="923" w:val="left"/>
        </w:tabs>
        <w:bidi w:val="0"/>
        <w:spacing w:before="0" w:after="0" w:line="468" w:lineRule="exact"/>
        <w:ind w:left="0" w:right="0" w:firstLine="440"/>
        <w:jc w:val="both"/>
      </w:pPr>
      <w:bookmarkStart w:id="71" w:name="bookmark71"/>
      <w:r>
        <w:rPr>
          <w:color w:val="000000"/>
          <w:spacing w:val="0"/>
          <w:w w:val="100"/>
          <w:position w:val="0"/>
        </w:rPr>
        <w:t>（</w:t>
      </w:r>
      <w:bookmarkEnd w:id="71"/>
      <w:r>
        <w:rPr>
          <w:rFonts w:ascii="Times New Roman" w:eastAsia="Times New Roman" w:hAnsi="Times New Roman" w:cs="Times New Roman"/>
          <w:color w:val="000000"/>
          <w:spacing w:val="0"/>
          <w:w w:val="100"/>
          <w:position w:val="0"/>
        </w:rPr>
        <w:t>4</w:t>
      </w:r>
      <w:r>
        <w:rPr>
          <w:color w:val="000000"/>
          <w:spacing w:val="0"/>
          <w:w w:val="100"/>
          <w:position w:val="0"/>
        </w:rPr>
        <w:t>）</w:t>
        <w:tab/>
        <w:t>中标后依据投标文件与业主方进行合同商谈，并最终签订销售合同。</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公司各类业务的定价方式如下：</w:t>
      </w:r>
    </w:p>
    <w:p>
      <w:pPr>
        <w:pStyle w:val="Style47"/>
        <w:keepNext w:val="0"/>
        <w:keepLines w:val="0"/>
        <w:widowControl w:val="0"/>
        <w:numPr>
          <w:ilvl w:val="0"/>
          <w:numId w:val="11"/>
        </w:numPr>
        <w:shd w:val="clear" w:color="auto" w:fill="auto"/>
        <w:tabs>
          <w:tab w:pos="832" w:val="left"/>
        </w:tabs>
        <w:bidi w:val="0"/>
        <w:spacing w:before="0" w:after="0" w:line="468" w:lineRule="exact"/>
        <w:ind w:left="0" w:right="0" w:firstLine="440"/>
        <w:jc w:val="both"/>
      </w:pPr>
      <w:bookmarkStart w:id="72" w:name="bookmark72"/>
      <w:bookmarkEnd w:id="72"/>
      <w:r>
        <w:rPr>
          <w:color w:val="000000"/>
          <w:spacing w:val="0"/>
          <w:w w:val="100"/>
          <w:position w:val="0"/>
        </w:rPr>
        <w:t>信息化解决方案</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公司信息化解决方案是以客户的需求为出发点，以采购和集成部分设备或平台为基础，融入公司技术 或成果，形成满足客户需求的产品，为客户完成解决方案的部署和实施，完成产品交付。公司在综合考虑 采购成本和实施人员成本，公司融入技术成果的数量和实现难易程度等多种因素后，通过市场公开投标等 方式最终确定销售价格。</w:t>
      </w:r>
    </w:p>
    <w:p>
      <w:pPr>
        <w:pStyle w:val="Style47"/>
        <w:keepNext w:val="0"/>
        <w:keepLines w:val="0"/>
        <w:widowControl w:val="0"/>
        <w:numPr>
          <w:ilvl w:val="0"/>
          <w:numId w:val="11"/>
        </w:numPr>
        <w:shd w:val="clear" w:color="auto" w:fill="auto"/>
        <w:tabs>
          <w:tab w:pos="837" w:val="left"/>
        </w:tabs>
        <w:bidi w:val="0"/>
        <w:spacing w:before="0" w:after="0" w:line="468" w:lineRule="exact"/>
        <w:ind w:left="0" w:right="0" w:firstLine="440"/>
        <w:jc w:val="both"/>
      </w:pPr>
      <w:bookmarkStart w:id="73" w:name="bookmark73"/>
      <w:bookmarkEnd w:id="73"/>
      <w:r>
        <w:rPr>
          <w:color w:val="000000"/>
          <w:spacing w:val="0"/>
          <w:w w:val="100"/>
          <w:position w:val="0"/>
        </w:rPr>
        <w:t>技术服务与开发</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技术服务与开发主要是以公司自有核心技术或专有能力为主要内容，以客户的需求为目标，为客户提 供定制化的产品或服务，最终以提供专有产品或特定服务为形态完成交付。其定价方式综合考量了所使用 核心技术或专有能力的价值，完成具体产品或服务的人员成本，通过市场公开投标等方式最终确定销售价 格。</w:t>
      </w:r>
    </w:p>
    <w:p>
      <w:pPr>
        <w:pStyle w:val="Style47"/>
        <w:keepNext w:val="0"/>
        <w:keepLines w:val="0"/>
        <w:widowControl w:val="0"/>
        <w:numPr>
          <w:ilvl w:val="0"/>
          <w:numId w:val="9"/>
        </w:numPr>
        <w:shd w:val="clear" w:color="auto" w:fill="auto"/>
        <w:tabs>
          <w:tab w:pos="774" w:val="left"/>
        </w:tabs>
        <w:bidi w:val="0"/>
        <w:spacing w:before="0" w:after="0"/>
        <w:ind w:left="0" w:right="0" w:firstLine="440"/>
        <w:jc w:val="both"/>
      </w:pPr>
      <w:bookmarkStart w:id="74" w:name="bookmark74"/>
      <w:bookmarkEnd w:id="74"/>
      <w:r>
        <w:rPr>
          <w:color w:val="000000"/>
          <w:spacing w:val="0"/>
          <w:w w:val="100"/>
          <w:position w:val="0"/>
        </w:rPr>
        <w:t>生产及服务模式</w:t>
      </w:r>
    </w:p>
    <w:p>
      <w:pPr>
        <w:pStyle w:val="Style47"/>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公司信息化业务主要以承接项目形式开展，并分为两类：信息化解决方案项目、技术服务与开发项目。</w:t>
      </w:r>
    </w:p>
    <w:p>
      <w:pPr>
        <w:pStyle w:val="Style4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具体如下：</w:t>
      </w:r>
    </w:p>
    <w:tbl>
      <w:tblPr>
        <w:tblOverlap w:val="never"/>
        <w:jc w:val="left"/>
        <w:tblLayout w:type="fixed"/>
      </w:tblPr>
      <w:tblGrid>
        <w:gridCol w:w="1853"/>
        <w:gridCol w:w="6485"/>
      </w:tblGrid>
      <w:tr>
        <w:trPr>
          <w:trHeight w:val="3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工作内容</w:t>
            </w:r>
          </w:p>
        </w:tc>
      </w:tr>
      <w:tr>
        <w:trPr>
          <w:trHeight w:val="989"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信息化解决方案</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主要包括信息化系统的方案设计、软件开发、软硬件平台和设备部署、 辅助设备及材料的采购、安装和调试工作，部分项目还包括工程施工建 设内容。</w:t>
            </w:r>
          </w:p>
        </w:tc>
      </w:tr>
      <w:tr>
        <w:trPr>
          <w:trHeight w:val="379"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技术服务与开发</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主要包括定制技术开发、现场技术支持服务、信息化系统运维服务。</w:t>
            </w:r>
          </w:p>
        </w:tc>
      </w:tr>
    </w:tbl>
    <w:p>
      <w:pPr>
        <w:spacing w:lineRule="exact" w:line="1"/>
        <w:rPr>
          <w:sz w:val="2"/>
          <w:szCs w:val="2"/>
        </w:rPr>
      </w:pPr>
      <w:r>
        <w:br w:type="page"/>
      </w:r>
    </w:p>
    <w:p>
      <w:pPr>
        <w:pStyle w:val="Style47"/>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公司信息化解决方案项目中标后，由各项目组依据客户需求进行系统解决方案的整体设计、软硬件平</w:t>
      </w:r>
    </w:p>
    <w:p>
      <w:pPr>
        <w:pStyle w:val="Style47"/>
        <w:keepNext w:val="0"/>
        <w:keepLines w:val="0"/>
        <w:widowControl w:val="0"/>
        <w:shd w:val="clear" w:color="auto" w:fill="auto"/>
        <w:bidi w:val="0"/>
        <w:spacing w:before="0" w:after="220" w:line="240" w:lineRule="auto"/>
        <w:ind w:left="0" w:right="0" w:firstLine="0"/>
        <w:jc w:val="left"/>
      </w:pPr>
      <w:r>
        <w:rPr>
          <w:color w:val="000000"/>
          <w:spacing w:val="0"/>
          <w:w w:val="100"/>
          <w:position w:val="0"/>
        </w:rPr>
        <w:t>台和设备采购部署、相关软件系统的开发调试、配套设备和材料的采购、系统的安装和调试工作，部分项</w:t>
      </w:r>
    </w:p>
    <w:p>
      <w:pPr>
        <w:pStyle w:val="Style47"/>
        <w:keepNext w:val="0"/>
        <w:keepLines w:val="0"/>
        <w:widowControl w:val="0"/>
        <w:shd w:val="clear" w:color="auto" w:fill="auto"/>
        <w:bidi w:val="0"/>
        <w:spacing w:before="0" w:after="0" w:line="240" w:lineRule="auto"/>
        <w:ind w:left="0" w:right="0" w:firstLine="0"/>
        <w:jc w:val="left"/>
      </w:pPr>
      <w:r>
        <w:rPr>
          <w:color w:val="000000"/>
          <w:spacing w:val="0"/>
          <w:w w:val="100"/>
          <w:position w:val="0"/>
        </w:rPr>
        <w:t>目还包括施工建设工作，然后将信息化系统交付客户试运行和验收。业务流程图大致如下：</w:t>
      </w:r>
    </w:p>
    <w:p>
      <w:pPr>
        <w:widowControl w:val="0"/>
        <w:spacing w:line="1" w:lineRule="exact"/>
      </w:pPr>
      <w:r>
        <w:drawing>
          <wp:anchor distT="1713230" distB="420370" distL="0" distR="0" simplePos="0" relativeHeight="125829381" behindDoc="0" locked="0" layoutInCell="1" allowOverlap="1">
            <wp:simplePos x="0" y="0"/>
            <wp:positionH relativeFrom="page">
              <wp:posOffset>2675890</wp:posOffset>
            </wp:positionH>
            <wp:positionV relativeFrom="paragraph">
              <wp:posOffset>1713230</wp:posOffset>
            </wp:positionV>
            <wp:extent cx="121920" cy="743585"/>
            <wp:wrapTopAndBottom/>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33"/>
                    <a:stretch/>
                  </pic:blipFill>
                  <pic:spPr>
                    <a:xfrm>
                      <a:ext cx="121920" cy="743585"/>
                    </a:xfrm>
                    <a:prstGeom prst="rect"/>
                  </pic:spPr>
                </pic:pic>
              </a:graphicData>
            </a:graphic>
          </wp:anchor>
        </w:drawing>
      </w:r>
      <w:r>
        <w:drawing>
          <wp:anchor distT="76200" distB="0" distL="0" distR="0" simplePos="0" relativeHeight="125829382" behindDoc="0" locked="0" layoutInCell="1" allowOverlap="1">
            <wp:simplePos x="0" y="0"/>
            <wp:positionH relativeFrom="page">
              <wp:posOffset>3212465</wp:posOffset>
            </wp:positionH>
            <wp:positionV relativeFrom="paragraph">
              <wp:posOffset>76200</wp:posOffset>
            </wp:positionV>
            <wp:extent cx="2231390" cy="2797810"/>
            <wp:wrapTopAndBottom/>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35"/>
                    <a:stretch/>
                  </pic:blipFill>
                  <pic:spPr>
                    <a:xfrm>
                      <a:ext cx="2231390" cy="2797810"/>
                    </a:xfrm>
                    <a:prstGeom prst="rect"/>
                  </pic:spPr>
                </pic:pic>
              </a:graphicData>
            </a:graphic>
          </wp:anchor>
        </w:drawing>
      </w:r>
    </w:p>
    <w:p>
      <w:pPr>
        <w:pStyle w:val="Style47"/>
        <w:keepNext w:val="0"/>
        <w:keepLines w:val="0"/>
        <w:widowControl w:val="0"/>
        <w:shd w:val="clear" w:color="auto" w:fill="auto"/>
        <w:bidi w:val="0"/>
        <w:spacing w:before="0" w:after="0" w:line="469" w:lineRule="exact"/>
        <w:ind w:left="0" w:right="0" w:firstLine="0"/>
        <w:jc w:val="center"/>
      </w:pPr>
      <w:r>
        <w:rPr>
          <w:color w:val="000000"/>
          <w:spacing w:val="0"/>
          <w:w w:val="100"/>
          <w:position w:val="0"/>
        </w:rPr>
        <w:t>图例：公司技术开发主要是根据客户的特定需求开发出具有针对性的信息系统。</w:t>
      </w:r>
    </w:p>
    <w:p>
      <w:pPr>
        <w:pStyle w:val="Style47"/>
        <w:keepNext w:val="0"/>
        <w:keepLines w:val="0"/>
        <w:widowControl w:val="0"/>
        <w:shd w:val="clear" w:color="auto" w:fill="auto"/>
        <w:bidi w:val="0"/>
        <w:spacing w:before="0" w:after="200" w:line="469" w:lineRule="exact"/>
        <w:ind w:left="0" w:right="0"/>
        <w:jc w:val="both"/>
      </w:pPr>
      <w:r>
        <w:rPr>
          <w:color w:val="000000"/>
          <w:spacing w:val="0"/>
          <w:w w:val="100"/>
          <w:position w:val="0"/>
        </w:rPr>
        <w:t>公司技术服务项目主要分为三大类。一是面向一些大集团客户，提供信息化系统</w:t>
      </w:r>
      <w:r>
        <w:rPr>
          <w:rFonts w:ascii="Times New Roman" w:eastAsia="Times New Roman" w:hAnsi="Times New Roman" w:cs="Times New Roman"/>
          <w:color w:val="000000"/>
          <w:spacing w:val="0"/>
          <w:w w:val="100"/>
          <w:position w:val="0"/>
        </w:rPr>
        <w:t>IT</w:t>
      </w:r>
      <w:r>
        <w:rPr>
          <w:color w:val="000000"/>
          <w:spacing w:val="0"/>
          <w:w w:val="100"/>
          <w:position w:val="0"/>
        </w:rPr>
        <w:t>运维和现场技术支 持服务；二是现场数字会议领域，由公司派出技术服务团队携带相关会议设备提供现场会议服务（服务内 容包括相关会议系统设备的准备、调试以及会议期间的正式使用、会后的物资整理归档等工作，确保会议 系统设备在会议期间的正常运行）；三是公司之前为客户开发实施的整体解决方案或定制开发系统，在客 户后续使用过程中，为客户有偿提供的系统升级优化和运行维护服务。</w:t>
      </w:r>
    </w:p>
    <w:p>
      <w:pPr>
        <w:pStyle w:val="Style47"/>
        <w:keepNext w:val="0"/>
        <w:keepLines w:val="0"/>
        <w:widowControl w:val="0"/>
        <w:numPr>
          <w:ilvl w:val="0"/>
          <w:numId w:val="9"/>
        </w:numPr>
        <w:shd w:val="clear" w:color="auto" w:fill="auto"/>
        <w:tabs>
          <w:tab w:pos="692" w:val="left"/>
        </w:tabs>
        <w:bidi w:val="0"/>
        <w:spacing w:before="0" w:after="0"/>
        <w:ind w:left="0" w:right="0"/>
        <w:jc w:val="both"/>
      </w:pPr>
      <w:bookmarkStart w:id="75" w:name="bookmark75"/>
      <w:bookmarkEnd w:id="75"/>
      <w:r>
        <w:rPr>
          <w:color w:val="000000"/>
          <w:spacing w:val="0"/>
          <w:w w:val="100"/>
          <w:position w:val="0"/>
        </w:rPr>
        <w:t>研发模式</w:t>
      </w:r>
    </w:p>
    <w:p>
      <w:pPr>
        <w:pStyle w:val="Style47"/>
        <w:keepNext w:val="0"/>
        <w:keepLines w:val="0"/>
        <w:widowControl w:val="0"/>
        <w:shd w:val="clear" w:color="auto" w:fill="auto"/>
        <w:bidi w:val="0"/>
        <w:spacing w:before="0" w:after="200" w:line="469" w:lineRule="exact"/>
        <w:ind w:left="0" w:right="0"/>
        <w:jc w:val="both"/>
      </w:pPr>
      <w:r>
        <w:rPr>
          <w:color w:val="000000"/>
          <w:spacing w:val="0"/>
          <w:w w:val="100"/>
          <w:position w:val="0"/>
        </w:rPr>
        <w:t>公司施行公司</w:t>
      </w:r>
      <w:r>
        <w:rPr>
          <w:rFonts w:ascii="Times New Roman" w:eastAsia="Times New Roman" w:hAnsi="Times New Roman" w:cs="Times New Roman"/>
          <w:color w:val="000000"/>
          <w:spacing w:val="0"/>
          <w:w w:val="100"/>
          <w:position w:val="0"/>
        </w:rPr>
        <w:t>-</w:t>
      </w:r>
      <w:r>
        <w:rPr>
          <w:color w:val="000000"/>
          <w:spacing w:val="0"/>
          <w:w w:val="100"/>
          <w:position w:val="0"/>
        </w:rPr>
        <w:t>事业部两级技术研发体系，研发流程包括主流程、子流程、文档模板三部分。其中主流 程由概念阶段、计划阶段、开发阶段、验证阶段、发布阶段、生命周期管理阶段六部分构成。通过建立科 研项目管理系统，实施科研项目（含公司内部立项项目）的储备库、项目申报信息、项目申报、项目立项、 项目过程、项目结题及项目成果等全过程的管理。公司同时制订了《科研项目管理办法》，针对研发项目 进行流程管理，在执行过程中进行持续优化。</w:t>
      </w:r>
    </w:p>
    <w:p>
      <w:pPr>
        <w:pStyle w:val="Style47"/>
        <w:keepNext w:val="0"/>
        <w:keepLines w:val="0"/>
        <w:widowControl w:val="0"/>
        <w:numPr>
          <w:ilvl w:val="0"/>
          <w:numId w:val="9"/>
        </w:numPr>
        <w:shd w:val="clear" w:color="auto" w:fill="auto"/>
        <w:tabs>
          <w:tab w:pos="692" w:val="left"/>
        </w:tabs>
        <w:bidi w:val="0"/>
        <w:spacing w:before="0" w:after="0"/>
        <w:ind w:left="0" w:right="0"/>
        <w:jc w:val="both"/>
      </w:pPr>
      <w:bookmarkStart w:id="76" w:name="bookmark76"/>
      <w:bookmarkEnd w:id="76"/>
      <w:r>
        <w:rPr>
          <w:color w:val="000000"/>
          <w:spacing w:val="0"/>
          <w:w w:val="100"/>
          <w:position w:val="0"/>
        </w:rPr>
        <w:t>采购模式</w:t>
      </w:r>
    </w:p>
    <w:p>
      <w:pPr>
        <w:pStyle w:val="Style47"/>
        <w:keepNext w:val="0"/>
        <w:keepLines w:val="0"/>
        <w:widowControl w:val="0"/>
        <w:shd w:val="clear" w:color="auto" w:fill="auto"/>
        <w:bidi w:val="0"/>
        <w:spacing w:before="0" w:after="200" w:line="469" w:lineRule="exact"/>
        <w:ind w:left="0" w:right="0"/>
        <w:jc w:val="both"/>
      </w:pPr>
      <w:r>
        <w:rPr>
          <w:color w:val="000000"/>
          <w:spacing w:val="0"/>
          <w:w w:val="100"/>
          <w:position w:val="0"/>
        </w:rPr>
        <w:t>根据与客户签订的销售合同，项目实施团队拟定采购计划并上报相关管理部门审批；实施团队确定每 个项目需要采购的产品和提供的服务，然后向对应的供应商询价、谈判，通过比选、竞价、招标等多种方 式确定供应商及采购价格，并最终签订采购合同。采购内容主要包括二大类：（</w:t>
      </w:r>
      <w:r>
        <w:rPr>
          <w:rFonts w:ascii="Times New Roman" w:eastAsia="Times New Roman" w:hAnsi="Times New Roman" w:cs="Times New Roman"/>
          <w:color w:val="000000"/>
          <w:spacing w:val="0"/>
          <w:w w:val="100"/>
          <w:position w:val="0"/>
        </w:rPr>
        <w:t>1</w:t>
      </w:r>
      <w:r>
        <w:rPr>
          <w:color w:val="000000"/>
          <w:spacing w:val="0"/>
          <w:w w:val="100"/>
          <w:position w:val="0"/>
        </w:rPr>
        <w:t xml:space="preserve">）设备、软件及相关材 </w:t>
      </w:r>
      <w:r>
        <w:rPr>
          <w:color w:val="000000"/>
          <w:spacing w:val="0"/>
          <w:w w:val="100"/>
          <w:position w:val="0"/>
        </w:rPr>
        <w:t>料主要包括信息化系统建设中所需的各种传感器、仪器仪表、网络设备、工控设备、通讯设备、服务器、 存贮设备、软件开发平台、软件产品、辅助材料和各类工具等；（</w:t>
      </w:r>
      <w:r>
        <w:rPr>
          <w:rFonts w:ascii="Times New Roman" w:eastAsia="Times New Roman" w:hAnsi="Times New Roman" w:cs="Times New Roman"/>
          <w:color w:val="000000"/>
          <w:spacing w:val="0"/>
          <w:w w:val="100"/>
          <w:position w:val="0"/>
        </w:rPr>
        <w:t>2</w:t>
      </w:r>
      <w:r>
        <w:rPr>
          <w:color w:val="000000"/>
          <w:spacing w:val="0"/>
          <w:w w:val="100"/>
          <w:position w:val="0"/>
        </w:rPr>
        <w:t>）服务主要包括软件开发服务、专用 设备运维服务、生产厂家原厂服务、特种施工服务和劳务服务等等。</w:t>
      </w:r>
    </w:p>
    <w:p>
      <w:pPr>
        <w:pStyle w:val="Style47"/>
        <w:keepNext w:val="0"/>
        <w:keepLines w:val="0"/>
        <w:widowControl w:val="0"/>
        <w:numPr>
          <w:ilvl w:val="0"/>
          <w:numId w:val="9"/>
        </w:numPr>
        <w:shd w:val="clear" w:color="auto" w:fill="auto"/>
        <w:bidi w:val="0"/>
        <w:spacing w:before="0" w:after="0"/>
        <w:ind w:left="0" w:right="0" w:firstLine="420"/>
        <w:jc w:val="left"/>
      </w:pPr>
      <w:bookmarkStart w:id="77" w:name="bookmark77"/>
      <w:bookmarkEnd w:id="77"/>
      <w:r>
        <w:rPr>
          <w:color w:val="000000"/>
          <w:spacing w:val="0"/>
          <w:w w:val="100"/>
          <w:position w:val="0"/>
        </w:rPr>
        <w:t>影响经营模式的主要因素</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公司目前采用的经营模式是结合下游客户在生产经营中对信息化系统的实际需求、信息化系统产品的 定制化特点、行业技术特点及公司业务构成等因素确定的，报告期内未发生重大变化。</w:t>
      </w:r>
    </w:p>
    <w:p>
      <w:pPr>
        <w:pStyle w:val="Style47"/>
        <w:keepNext w:val="0"/>
        <w:keepLines w:val="0"/>
        <w:widowControl w:val="0"/>
        <w:shd w:val="clear" w:color="auto" w:fill="auto"/>
        <w:bidi w:val="0"/>
        <w:spacing w:before="0" w:after="0"/>
        <w:ind w:left="0" w:right="0" w:firstLine="420"/>
        <w:jc w:val="left"/>
      </w:pPr>
      <w:bookmarkStart w:id="78" w:name="bookmark78"/>
      <w:r>
        <w:rPr>
          <w:rFonts w:ascii="Times New Roman" w:eastAsia="Times New Roman" w:hAnsi="Times New Roman" w:cs="Times New Roman"/>
          <w:b/>
          <w:bCs/>
          <w:color w:val="000000"/>
          <w:spacing w:val="0"/>
          <w:w w:val="100"/>
          <w:position w:val="0"/>
        </w:rPr>
        <w:t>（</w:t>
      </w:r>
      <w:bookmarkEnd w:id="78"/>
      <w:r>
        <w:rPr>
          <w:b/>
          <w:bCs/>
          <w:color w:val="000000"/>
          <w:spacing w:val="0"/>
          <w:w w:val="100"/>
          <w:position w:val="0"/>
        </w:rPr>
        <w:t>四</w:t>
      </w:r>
      <w:r>
        <w:rPr>
          <w:rFonts w:ascii="Times New Roman" w:eastAsia="Times New Roman" w:hAnsi="Times New Roman" w:cs="Times New Roman"/>
          <w:b/>
          <w:bCs/>
          <w:color w:val="000000"/>
          <w:spacing w:val="0"/>
          <w:w w:val="100"/>
          <w:position w:val="0"/>
        </w:rPr>
        <w:t>）</w:t>
      </w:r>
      <w:r>
        <w:rPr>
          <w:b/>
          <w:bCs/>
          <w:color w:val="000000"/>
          <w:spacing w:val="0"/>
          <w:w w:val="100"/>
          <w:position w:val="0"/>
        </w:rPr>
        <w:t>业绩驱动因素</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公司收入主要来自对数字会议、烟草、印钞、油气、政府领域等客户的持续性服务。报告期内，公司 实现营业收入</w:t>
      </w:r>
      <w:r>
        <w:rPr>
          <w:rFonts w:ascii="Times New Roman" w:eastAsia="Times New Roman" w:hAnsi="Times New Roman" w:cs="Times New Roman"/>
          <w:color w:val="000000"/>
          <w:spacing w:val="0"/>
          <w:w w:val="100"/>
          <w:position w:val="0"/>
        </w:rPr>
        <w:t>43,674</w:t>
      </w:r>
      <w:r>
        <w:rPr>
          <w:color w:val="000000"/>
          <w:spacing w:val="0"/>
          <w:w w:val="100"/>
          <w:position w:val="0"/>
        </w:rPr>
        <w:t>万元，较上年同期增长</w:t>
      </w:r>
      <w:r>
        <w:rPr>
          <w:rFonts w:ascii="Times New Roman" w:eastAsia="Times New Roman" w:hAnsi="Times New Roman" w:cs="Times New Roman"/>
          <w:color w:val="000000"/>
          <w:spacing w:val="0"/>
          <w:w w:val="100"/>
          <w:position w:val="0"/>
        </w:rPr>
        <w:t xml:space="preserve">19.85% </w:t>
      </w:r>
      <w:r>
        <w:rPr>
          <w:color w:val="000000"/>
          <w:spacing w:val="0"/>
          <w:w w:val="100"/>
          <w:position w:val="0"/>
        </w:rPr>
        <w:t>；属于上市公司股东的净利润为</w:t>
      </w:r>
      <w:r>
        <w:rPr>
          <w:rFonts w:ascii="Times New Roman" w:eastAsia="Times New Roman" w:hAnsi="Times New Roman" w:cs="Times New Roman"/>
          <w:color w:val="000000"/>
          <w:spacing w:val="0"/>
          <w:w w:val="100"/>
          <w:position w:val="0"/>
        </w:rPr>
        <w:t>3,256</w:t>
      </w:r>
      <w:r>
        <w:rPr>
          <w:color w:val="000000"/>
          <w:spacing w:val="0"/>
          <w:w w:val="100"/>
          <w:position w:val="0"/>
        </w:rPr>
        <w:t>万元，较上年同 期下降</w:t>
      </w:r>
      <w:r>
        <w:rPr>
          <w:rFonts w:ascii="Times New Roman" w:eastAsia="Times New Roman" w:hAnsi="Times New Roman" w:cs="Times New Roman"/>
          <w:color w:val="000000"/>
          <w:spacing w:val="0"/>
          <w:w w:val="100"/>
          <w:position w:val="0"/>
        </w:rPr>
        <w:t>7.73%</w:t>
      </w:r>
      <w:r>
        <w:rPr>
          <w:color w:val="000000"/>
          <w:spacing w:val="0"/>
          <w:w w:val="100"/>
          <w:position w:val="0"/>
        </w:rPr>
        <w:t>。营业收入增长的主要原因有两方面：一是得益于公司</w:t>
      </w:r>
      <w:r>
        <w:rPr>
          <w:rFonts w:ascii="Times New Roman" w:eastAsia="Times New Roman" w:hAnsi="Times New Roman" w:cs="Times New Roman"/>
          <w:color w:val="000000"/>
          <w:spacing w:val="0"/>
          <w:w w:val="100"/>
          <w:position w:val="0"/>
        </w:rPr>
        <w:t>2019</w:t>
      </w:r>
      <w:r>
        <w:rPr>
          <w:color w:val="000000"/>
          <w:spacing w:val="0"/>
          <w:w w:val="100"/>
          <w:position w:val="0"/>
        </w:rPr>
        <w:t>年市场拓展良好成效和</w:t>
      </w:r>
      <w:r>
        <w:rPr>
          <w:rFonts w:ascii="Times New Roman" w:eastAsia="Times New Roman" w:hAnsi="Times New Roman" w:cs="Times New Roman"/>
          <w:color w:val="000000"/>
          <w:spacing w:val="0"/>
          <w:w w:val="100"/>
          <w:position w:val="0"/>
        </w:rPr>
        <w:t>2020</w:t>
      </w:r>
      <w:r>
        <w:rPr>
          <w:color w:val="000000"/>
          <w:spacing w:val="0"/>
          <w:w w:val="100"/>
          <w:position w:val="0"/>
        </w:rPr>
        <w:t>年下 半年的市场深耕，确保了公司经营基本面稳定；二是报告期内公司做到</w:t>
      </w:r>
      <w:r>
        <w:rPr>
          <w:rFonts w:ascii="Times New Roman" w:eastAsia="Times New Roman" w:hAnsi="Times New Roman" w:cs="Times New Roman"/>
          <w:color w:val="000000"/>
          <w:spacing w:val="0"/>
          <w:w w:val="100"/>
          <w:position w:val="0"/>
        </w:rPr>
        <w:t>“</w:t>
      </w:r>
      <w:r>
        <w:rPr>
          <w:color w:val="000000"/>
          <w:spacing w:val="0"/>
          <w:w w:val="100"/>
          <w:position w:val="0"/>
        </w:rPr>
        <w:t>疫情报防控与经营管理两手都过 硬</w:t>
      </w:r>
      <w:r>
        <w:rPr>
          <w:color w:val="000000"/>
          <w:spacing w:val="0"/>
          <w:w w:val="100"/>
          <w:position w:val="0"/>
        </w:rPr>
        <w:t>''，</w:t>
      </w:r>
      <w:r>
        <w:rPr>
          <w:color w:val="000000"/>
          <w:spacing w:val="0"/>
          <w:w w:val="100"/>
          <w:position w:val="0"/>
        </w:rPr>
        <w:t>及时合规复工复产，抢进度、抓质量，加大市场拓展力度，强化对重点项目争取的策划和资源集中 投入，一定程度上减轻了疫情所带来的不利影响。报告期内，公司在油气、政府及事业单位领域的项目实 施成效较为显著。油气信息化业务实现营业收入</w:t>
      </w:r>
      <w:r>
        <w:rPr>
          <w:rFonts w:ascii="Times New Roman" w:eastAsia="Times New Roman" w:hAnsi="Times New Roman" w:cs="Times New Roman"/>
          <w:color w:val="000000"/>
          <w:spacing w:val="0"/>
          <w:w w:val="100"/>
          <w:position w:val="0"/>
        </w:rPr>
        <w:t>9</w:t>
      </w:r>
      <w:r>
        <w:rPr>
          <w:rFonts w:ascii="Times New Roman" w:eastAsia="Times New Roman" w:hAnsi="Times New Roman" w:cs="Times New Roman"/>
          <w:color w:val="000000"/>
          <w:spacing w:val="0"/>
          <w:w w:val="100"/>
          <w:position w:val="0"/>
        </w:rPr>
        <w:t>,319.70</w:t>
      </w:r>
      <w:r>
        <w:rPr>
          <w:color w:val="000000"/>
          <w:spacing w:val="0"/>
          <w:w w:val="100"/>
          <w:position w:val="0"/>
        </w:rPr>
        <w:t>万元，较去年同期增长</w:t>
      </w:r>
      <w:r>
        <w:rPr>
          <w:rFonts w:ascii="Times New Roman" w:eastAsia="Times New Roman" w:hAnsi="Times New Roman" w:cs="Times New Roman"/>
          <w:color w:val="000000"/>
          <w:spacing w:val="0"/>
          <w:w w:val="100"/>
          <w:position w:val="0"/>
        </w:rPr>
        <w:t>43.59%</w:t>
      </w:r>
      <w:r>
        <w:rPr>
          <w:color w:val="000000"/>
          <w:spacing w:val="0"/>
          <w:w w:val="100"/>
          <w:position w:val="0"/>
        </w:rPr>
        <w:t>。政府及事业单位 信息化业务实现营业收入</w:t>
      </w:r>
      <w:r>
        <w:rPr>
          <w:rFonts w:ascii="Times New Roman" w:eastAsia="Times New Roman" w:hAnsi="Times New Roman" w:cs="Times New Roman"/>
          <w:color w:val="000000"/>
          <w:spacing w:val="0"/>
          <w:w w:val="100"/>
          <w:position w:val="0"/>
        </w:rPr>
        <w:t>15,843.54</w:t>
      </w:r>
      <w:r>
        <w:rPr>
          <w:color w:val="000000"/>
          <w:spacing w:val="0"/>
          <w:w w:val="100"/>
          <w:position w:val="0"/>
        </w:rPr>
        <w:t>万元，较去年同期增长</w:t>
      </w:r>
      <w:r>
        <w:rPr>
          <w:rFonts w:ascii="Times New Roman" w:eastAsia="Times New Roman" w:hAnsi="Times New Roman" w:cs="Times New Roman"/>
          <w:color w:val="000000"/>
          <w:spacing w:val="0"/>
          <w:w w:val="100"/>
          <w:position w:val="0"/>
        </w:rPr>
        <w:t xml:space="preserve">52.59 </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从软件与信息技术服务产业的长期发展趋势看，将受益于产业政策的持续有力支持及行业需求持续增 长，并且公司技术创新及市场开拓能力持续增强，公司营业收入增长具备持续向好的态势。</w:t>
      </w:r>
    </w:p>
    <w:p>
      <w:pPr>
        <w:pStyle w:val="Style47"/>
        <w:keepNext w:val="0"/>
        <w:keepLines w:val="0"/>
        <w:widowControl w:val="0"/>
        <w:numPr>
          <w:ilvl w:val="0"/>
          <w:numId w:val="13"/>
        </w:numPr>
        <w:shd w:val="clear" w:color="auto" w:fill="auto"/>
        <w:tabs>
          <w:tab w:pos="679" w:val="left"/>
        </w:tabs>
        <w:bidi w:val="0"/>
        <w:spacing w:before="0" w:after="0"/>
        <w:ind w:left="0" w:right="0" w:firstLine="420"/>
        <w:jc w:val="left"/>
      </w:pPr>
      <w:bookmarkStart w:id="79" w:name="bookmark79"/>
      <w:bookmarkEnd w:id="79"/>
      <w:r>
        <w:rPr>
          <w:color w:val="000000"/>
          <w:spacing w:val="0"/>
          <w:w w:val="100"/>
          <w:position w:val="0"/>
        </w:rPr>
        <w:t>政策有力推动因素</w:t>
      </w:r>
    </w:p>
    <w:p>
      <w:pPr>
        <w:pStyle w:val="Style47"/>
        <w:keepNext w:val="0"/>
        <w:keepLines w:val="0"/>
        <w:widowControl w:val="0"/>
        <w:shd w:val="clear" w:color="auto" w:fill="auto"/>
        <w:bidi w:val="0"/>
        <w:spacing w:before="0" w:after="200" w:line="468" w:lineRule="exact"/>
        <w:ind w:left="0" w:right="0" w:firstLine="420"/>
        <w:jc w:val="both"/>
      </w:pPr>
      <w:r>
        <w:rPr>
          <w:rFonts w:ascii="Times New Roman" w:eastAsia="Times New Roman" w:hAnsi="Times New Roman" w:cs="Times New Roman"/>
          <w:color w:val="000000"/>
          <w:spacing w:val="0"/>
          <w:w w:val="100"/>
          <w:position w:val="0"/>
        </w:rPr>
        <w:t>2020</w:t>
      </w:r>
      <w:r>
        <w:rPr>
          <w:color w:val="000000"/>
          <w:spacing w:val="0"/>
          <w:w w:val="100"/>
          <w:position w:val="0"/>
        </w:rPr>
        <w:t>年，是全面建成小康社会和</w:t>
      </w:r>
      <w:r>
        <w:rPr>
          <w:rFonts w:ascii="Times New Roman" w:eastAsia="Times New Roman" w:hAnsi="Times New Roman" w:cs="Times New Roman"/>
          <w:color w:val="000000"/>
          <w:spacing w:val="0"/>
          <w:w w:val="100"/>
          <w:position w:val="0"/>
        </w:rPr>
        <w:t>“</w:t>
      </w:r>
      <w:r>
        <w:rPr>
          <w:color w:val="000000"/>
          <w:spacing w:val="0"/>
          <w:w w:val="100"/>
          <w:position w:val="0"/>
        </w:rPr>
        <w:t>十三五</w:t>
      </w:r>
      <w:r>
        <w:rPr>
          <w:rFonts w:ascii="Times New Roman" w:eastAsia="Times New Roman" w:hAnsi="Times New Roman" w:cs="Times New Roman"/>
          <w:color w:val="000000"/>
          <w:spacing w:val="0"/>
          <w:w w:val="100"/>
          <w:position w:val="0"/>
        </w:rPr>
        <w:t>”</w:t>
      </w:r>
      <w:r>
        <w:rPr>
          <w:color w:val="000000"/>
          <w:spacing w:val="0"/>
          <w:w w:val="100"/>
          <w:position w:val="0"/>
        </w:rPr>
        <w:t>规划收官之年，也是谋划</w:t>
      </w:r>
      <w:r>
        <w:rPr>
          <w:rFonts w:ascii="Times New Roman" w:eastAsia="Times New Roman" w:hAnsi="Times New Roman" w:cs="Times New Roman"/>
          <w:color w:val="000000"/>
          <w:spacing w:val="0"/>
          <w:w w:val="100"/>
          <w:position w:val="0"/>
        </w:rPr>
        <w:t>“</w:t>
      </w:r>
      <w:r>
        <w:rPr>
          <w:color w:val="000000"/>
          <w:spacing w:val="0"/>
          <w:w w:val="100"/>
          <w:position w:val="0"/>
        </w:rPr>
        <w:t>十四五''规划的关键之年。国家在 推动战略性新兴产业发展方面出台的系列政策、提出的</w:t>
      </w:r>
      <w:r>
        <w:rPr>
          <w:rFonts w:ascii="Times New Roman" w:eastAsia="Times New Roman" w:hAnsi="Times New Roman" w:cs="Times New Roman"/>
          <w:color w:val="000000"/>
          <w:spacing w:val="0"/>
          <w:w w:val="100"/>
          <w:position w:val="0"/>
        </w:rPr>
        <w:t>“</w:t>
      </w:r>
      <w:r>
        <w:rPr>
          <w:color w:val="000000"/>
          <w:spacing w:val="0"/>
          <w:w w:val="100"/>
          <w:position w:val="0"/>
        </w:rPr>
        <w:t>实施网络强国战略，加快建设</w:t>
      </w:r>
      <w:r>
        <w:rPr>
          <w:rFonts w:ascii="Times New Roman" w:eastAsia="Times New Roman" w:hAnsi="Times New Roman" w:cs="Times New Roman"/>
          <w:color w:val="000000"/>
          <w:spacing w:val="0"/>
          <w:w w:val="100"/>
          <w:position w:val="0"/>
        </w:rPr>
        <w:t>“</w:t>
      </w:r>
      <w:r>
        <w:rPr>
          <w:color w:val="000000"/>
          <w:spacing w:val="0"/>
          <w:w w:val="100"/>
          <w:position w:val="0"/>
        </w:rPr>
        <w:t>数字中国</w:t>
      </w:r>
      <w:r>
        <w:rPr>
          <w:color w:val="000000"/>
          <w:spacing w:val="0"/>
          <w:w w:val="100"/>
          <w:position w:val="0"/>
        </w:rPr>
        <w:t>''，</w:t>
      </w:r>
      <w:r>
        <w:rPr>
          <w:color w:val="000000"/>
          <w:spacing w:val="0"/>
          <w:w w:val="100"/>
          <w:position w:val="0"/>
        </w:rPr>
        <w:t>推动物 联网、云计算和人工智能等技术向各行业全面融合渗透，构建万物互联、融合创新、智能协同、安全可控 的新一代信息技术产业体系</w:t>
      </w:r>
      <w:r>
        <w:rPr>
          <w:color w:val="000000"/>
          <w:spacing w:val="0"/>
          <w:w w:val="100"/>
          <w:position w:val="0"/>
        </w:rPr>
        <w:t>''</w:t>
      </w:r>
      <w:r>
        <w:rPr>
          <w:color w:val="000000"/>
          <w:spacing w:val="0"/>
          <w:w w:val="100"/>
          <w:position w:val="0"/>
        </w:rPr>
        <w:t>等要求为公司主营业务发展提供了良好的政策环境和广阔的市场空间。年初 突然爆发的新冠肺炎疫情拉动了数字消费，更提速了数字基建、数字治理平台建设，各行业、各企业也相 应加快了数字化转型</w:t>
      </w:r>
      <w:r>
        <w:rPr>
          <w:color w:val="000000"/>
          <w:spacing w:val="0"/>
          <w:w w:val="100"/>
          <w:position w:val="0"/>
        </w:rPr>
        <w:t>，</w:t>
      </w:r>
      <w:r>
        <w:rPr>
          <w:color w:val="000000"/>
          <w:spacing w:val="0"/>
          <w:w w:val="100"/>
          <w:position w:val="0"/>
        </w:rPr>
        <w:t>智慧城市、智慧政务、智慧医疗、智能制造领域也相应迸发巨大的市场需求</w:t>
      </w:r>
      <w:r>
        <w:rPr>
          <w:rFonts w:ascii="Times New Roman" w:eastAsia="Times New Roman" w:hAnsi="Times New Roman" w:cs="Times New Roman"/>
          <w:color w:val="000000"/>
          <w:spacing w:val="0"/>
          <w:w w:val="100"/>
          <w:position w:val="0"/>
        </w:rPr>
        <w:t>,</w:t>
      </w:r>
      <w:r>
        <w:rPr>
          <w:color w:val="000000"/>
          <w:spacing w:val="0"/>
          <w:w w:val="100"/>
          <w:position w:val="0"/>
        </w:rPr>
        <w:t>为公司 主营业务发展提供了良好的政策环境和广阔的市场空间。</w:t>
      </w:r>
    </w:p>
    <w:p>
      <w:pPr>
        <w:pStyle w:val="Style47"/>
        <w:keepNext w:val="0"/>
        <w:keepLines w:val="0"/>
        <w:widowControl w:val="0"/>
        <w:numPr>
          <w:ilvl w:val="0"/>
          <w:numId w:val="13"/>
        </w:numPr>
        <w:shd w:val="clear" w:color="auto" w:fill="auto"/>
        <w:tabs>
          <w:tab w:pos="699" w:val="left"/>
        </w:tabs>
        <w:bidi w:val="0"/>
        <w:spacing w:before="0" w:after="0"/>
        <w:ind w:left="0" w:right="0" w:firstLine="420"/>
        <w:jc w:val="both"/>
      </w:pPr>
      <w:bookmarkStart w:id="80" w:name="bookmark80"/>
      <w:bookmarkEnd w:id="80"/>
      <w:r>
        <w:rPr>
          <w:color w:val="000000"/>
          <w:spacing w:val="0"/>
          <w:w w:val="100"/>
          <w:position w:val="0"/>
        </w:rPr>
        <w:t>行业需求增长因素</w:t>
      </w:r>
    </w:p>
    <w:p>
      <w:pPr>
        <w:pStyle w:val="Style47"/>
        <w:keepNext w:val="0"/>
        <w:keepLines w:val="0"/>
        <w:widowControl w:val="0"/>
        <w:shd w:val="clear" w:color="auto" w:fill="auto"/>
        <w:bidi w:val="0"/>
        <w:spacing w:before="0" w:after="0" w:line="462" w:lineRule="exact"/>
        <w:ind w:left="0" w:right="0" w:firstLine="420"/>
        <w:jc w:val="both"/>
      </w:pPr>
      <w:r>
        <w:rPr>
          <w:color w:val="000000"/>
          <w:spacing w:val="0"/>
          <w:w w:val="100"/>
          <w:position w:val="0"/>
        </w:rPr>
        <w:t>随着新一代信息技术突飞猛进的发展，数字中国建设驶入快轨道。</w:t>
      </w:r>
      <w:r>
        <w:rPr>
          <w:rFonts w:ascii="Times New Roman" w:eastAsia="Times New Roman" w:hAnsi="Times New Roman" w:cs="Times New Roman"/>
          <w:color w:val="000000"/>
          <w:spacing w:val="0"/>
          <w:w w:val="100"/>
          <w:position w:val="0"/>
        </w:rPr>
        <w:t>“</w:t>
      </w:r>
      <w:r>
        <w:rPr>
          <w:color w:val="000000"/>
          <w:spacing w:val="0"/>
          <w:w w:val="100"/>
          <w:position w:val="0"/>
        </w:rPr>
        <w:t>以人民为中心''的智慧社会建设深 入推进；电子政务进入一体化、协同化发展新阶段；工业互联网的蓬勃发展带动工业新旧动能加速转换。 从公司服务的领域和行业看，我国数字会议市场主要集中在企事业单位及各类协会方面，</w:t>
      </w:r>
      <w:r>
        <w:rPr>
          <w:rFonts w:ascii="Times New Roman" w:eastAsia="Times New Roman" w:hAnsi="Times New Roman" w:cs="Times New Roman"/>
          <w:color w:val="000000"/>
          <w:spacing w:val="0"/>
          <w:w w:val="100"/>
          <w:position w:val="0"/>
        </w:rPr>
        <w:t>2018</w:t>
      </w:r>
      <w:r>
        <w:rPr>
          <w:color w:val="000000"/>
          <w:spacing w:val="0"/>
          <w:w w:val="100"/>
          <w:position w:val="0"/>
        </w:rPr>
        <w:t>年政府领域 数字会议系统市场规模达到</w:t>
      </w:r>
      <w:r>
        <w:rPr>
          <w:rFonts w:ascii="Times New Roman" w:eastAsia="Times New Roman" w:hAnsi="Times New Roman" w:cs="Times New Roman"/>
          <w:color w:val="000000"/>
          <w:spacing w:val="0"/>
          <w:w w:val="100"/>
          <w:position w:val="0"/>
        </w:rPr>
        <w:t>43.80</w:t>
      </w:r>
      <w:r>
        <w:rPr>
          <w:color w:val="000000"/>
          <w:spacing w:val="0"/>
          <w:w w:val="100"/>
          <w:position w:val="0"/>
        </w:rPr>
        <w:t>亿元，规模同比增长</w:t>
      </w:r>
      <w:r>
        <w:rPr>
          <w:rFonts w:ascii="Times New Roman" w:eastAsia="Times New Roman" w:hAnsi="Times New Roman" w:cs="Times New Roman"/>
          <w:color w:val="000000"/>
          <w:spacing w:val="0"/>
          <w:w w:val="100"/>
          <w:position w:val="0"/>
        </w:rPr>
        <w:t>19.48%</w:t>
      </w:r>
      <w:r>
        <w:rPr>
          <w:color w:val="000000"/>
          <w:spacing w:val="0"/>
          <w:w w:val="100"/>
          <w:position w:val="0"/>
        </w:rPr>
        <w:t>；企事业单位及其他领域需求规模为</w:t>
      </w:r>
      <w:r>
        <w:rPr>
          <w:rFonts w:ascii="Times New Roman" w:eastAsia="Times New Roman" w:hAnsi="Times New Roman" w:cs="Times New Roman"/>
          <w:color w:val="000000"/>
          <w:spacing w:val="0"/>
          <w:w w:val="100"/>
          <w:position w:val="0"/>
        </w:rPr>
        <w:t>131.40</w:t>
      </w:r>
      <w:r>
        <w:rPr>
          <w:color w:val="000000"/>
          <w:spacing w:val="0"/>
          <w:w w:val="100"/>
          <w:position w:val="0"/>
        </w:rPr>
        <w:t xml:space="preserve">亿 </w:t>
      </w:r>
      <w:r>
        <w:rPr>
          <w:color w:val="000000"/>
          <w:spacing w:val="0"/>
          <w:w w:val="100"/>
          <w:position w:val="0"/>
        </w:rPr>
        <w:t>元，规模较上年同期增长</w:t>
      </w:r>
      <w:r>
        <w:rPr>
          <w:rFonts w:ascii="Times New Roman" w:eastAsia="Times New Roman" w:hAnsi="Times New Roman" w:cs="Times New Roman"/>
          <w:color w:val="000000"/>
          <w:spacing w:val="0"/>
          <w:w w:val="100"/>
          <w:position w:val="0"/>
        </w:rPr>
        <w:t>21.73%</w:t>
      </w:r>
      <w:r>
        <w:rPr>
          <w:color w:val="000000"/>
          <w:spacing w:val="0"/>
          <w:w w:val="100"/>
          <w:position w:val="0"/>
        </w:rPr>
        <w:t>。（备注：数据来源于智研咨询发布的《</w:t>
      </w:r>
      <w:r>
        <w:rPr>
          <w:rFonts w:ascii="Times New Roman" w:eastAsia="Times New Roman" w:hAnsi="Times New Roman" w:cs="Times New Roman"/>
          <w:color w:val="000000"/>
          <w:spacing w:val="0"/>
          <w:w w:val="100"/>
          <w:position w:val="0"/>
        </w:rPr>
        <w:t>2</w:t>
      </w:r>
      <w:r>
        <w:rPr>
          <w:rFonts w:ascii="Times New Roman" w:eastAsia="Times New Roman" w:hAnsi="Times New Roman" w:cs="Times New Roman"/>
          <w:color w:val="000000"/>
          <w:spacing w:val="0"/>
          <w:w w:val="100"/>
          <w:position w:val="0"/>
        </w:rPr>
        <w:t>019-2025</w:t>
      </w:r>
      <w:r>
        <w:rPr>
          <w:color w:val="000000"/>
          <w:spacing w:val="0"/>
          <w:w w:val="100"/>
          <w:position w:val="0"/>
        </w:rPr>
        <w:t>年中国数字会议系统 市场全景评估及发展趋势预测报告》</w:t>
      </w:r>
      <w:r>
        <w:fldChar w:fldCharType="begin"/>
      </w:r>
      <w:r>
        <w:rPr/>
        <w:instrText> HYPERLINK "https://www.sohu.eom/a/328472071_775892%ef%bc%89%e5%9c%a8%e7%83%9f%e8%8d%89%e8%a1%8c%e4%b8%9a%ef%bc%8c%e6%b6%88%e8%b4%b9%e7%bb%88%e7%ab%af%e9%9c%80" </w:instrText>
      </w:r>
      <w:r>
        <w:fldChar w:fldCharType="separate"/>
      </w:r>
      <w:r>
        <w:rPr>
          <w:rFonts w:ascii="Times New Roman" w:eastAsia="Times New Roman" w:hAnsi="Times New Roman" w:cs="Times New Roman"/>
          <w:color w:val="000000"/>
          <w:spacing w:val="0"/>
          <w:w w:val="100"/>
          <w:position w:val="0"/>
        </w:rPr>
        <w:t>https://www.sohu.eom/a/328472071_775892</w:t>
      </w:r>
      <w:r>
        <w:rPr>
          <w:color w:val="000000"/>
          <w:spacing w:val="0"/>
          <w:w w:val="100"/>
          <w:position w:val="0"/>
        </w:rPr>
        <w:t>）</w:t>
      </w:r>
      <w:r>
        <w:rPr>
          <w:color w:val="000000"/>
          <w:spacing w:val="0"/>
          <w:w w:val="100"/>
          <w:position w:val="0"/>
        </w:rPr>
        <w:t>在烟草行业，消费终端需</w:t>
      </w:r>
      <w:r>
        <w:fldChar w:fldCharType="end"/>
      </w:r>
      <w:r>
        <w:rPr>
          <w:color w:val="000000"/>
          <w:spacing w:val="0"/>
          <w:w w:val="100"/>
          <w:position w:val="0"/>
        </w:rPr>
        <w:t xml:space="preserve"> 求较为稳定，卷烟创新产品增长势头迅猛，细支烟、爆珠烟等新产品的行情向好，产能扩张促进烟草生产 环节（工业）信息化需求进一步扩大。从</w:t>
      </w:r>
      <w:r>
        <w:rPr>
          <w:rFonts w:ascii="Times New Roman" w:eastAsia="Times New Roman" w:hAnsi="Times New Roman" w:cs="Times New Roman"/>
          <w:color w:val="000000"/>
          <w:spacing w:val="0"/>
          <w:w w:val="100"/>
          <w:position w:val="0"/>
        </w:rPr>
        <w:t>“</w:t>
      </w:r>
      <w:r>
        <w:rPr>
          <w:color w:val="000000"/>
          <w:spacing w:val="0"/>
          <w:w w:val="100"/>
          <w:position w:val="0"/>
        </w:rPr>
        <w:t>中国制造</w:t>
      </w:r>
      <w:r>
        <w:rPr>
          <w:rFonts w:ascii="Times New Roman" w:eastAsia="Times New Roman" w:hAnsi="Times New Roman" w:cs="Times New Roman"/>
          <w:color w:val="000000"/>
          <w:spacing w:val="0"/>
          <w:w w:val="100"/>
          <w:position w:val="0"/>
        </w:rPr>
        <w:t>2025”</w:t>
      </w:r>
      <w:r>
        <w:rPr>
          <w:color w:val="000000"/>
          <w:spacing w:val="0"/>
          <w:w w:val="100"/>
          <w:position w:val="0"/>
        </w:rPr>
        <w:t>到</w:t>
      </w:r>
      <w:r>
        <w:rPr>
          <w:rFonts w:ascii="Times New Roman" w:eastAsia="Times New Roman" w:hAnsi="Times New Roman" w:cs="Times New Roman"/>
          <w:color w:val="000000"/>
          <w:spacing w:val="0"/>
          <w:w w:val="100"/>
          <w:position w:val="0"/>
        </w:rPr>
        <w:t>“</w:t>
      </w:r>
      <w:r>
        <w:rPr>
          <w:color w:val="000000"/>
          <w:spacing w:val="0"/>
          <w:w w:val="100"/>
          <w:position w:val="0"/>
        </w:rPr>
        <w:t>数字中国从行业中长期科技规划到</w:t>
      </w:r>
      <w:r>
        <w:rPr>
          <w:rFonts w:ascii="Times New Roman" w:eastAsia="Times New Roman" w:hAnsi="Times New Roman" w:cs="Times New Roman"/>
          <w:color w:val="000000"/>
          <w:spacing w:val="0"/>
          <w:w w:val="100"/>
          <w:position w:val="0"/>
        </w:rPr>
        <w:t>“</w:t>
      </w:r>
      <w:r>
        <w:rPr>
          <w:color w:val="000000"/>
          <w:spacing w:val="0"/>
          <w:w w:val="100"/>
          <w:position w:val="0"/>
        </w:rPr>
        <w:t>卷烟上 水平</w:t>
      </w:r>
      <w:r>
        <w:rPr>
          <w:color w:val="000000"/>
          <w:spacing w:val="0"/>
          <w:w w:val="100"/>
          <w:position w:val="0"/>
        </w:rPr>
        <w:t>''，</w:t>
      </w:r>
      <w:r>
        <w:rPr>
          <w:color w:val="000000"/>
          <w:spacing w:val="0"/>
          <w:w w:val="100"/>
          <w:position w:val="0"/>
        </w:rPr>
        <w:t>也将释放可观烟草信息化落实与深化需求。在油气行业，在国家加大油气勘探开发力度的号召下, 保障石油行业高质量发展已经上升至国家能源安全的长效需求；国内油气产量的增加会将带动开采业固定 资产投入的增加，石油信息化投入作为固定资产投入的组成部分也将持续增长。在印钞造币行业，新版人 民防伪需求升级催生了全国印钞厂、造币厂新的技术需求，新旧版钞票更替、人民币国际化、印钞检测设 备更新换代等因素都带动了印钞防伪检测需求的稳定增长。</w:t>
      </w:r>
    </w:p>
    <w:p>
      <w:pPr>
        <w:pStyle w:val="Style47"/>
        <w:keepNext w:val="0"/>
        <w:keepLines w:val="0"/>
        <w:widowControl w:val="0"/>
        <w:numPr>
          <w:ilvl w:val="0"/>
          <w:numId w:val="13"/>
        </w:numPr>
        <w:shd w:val="clear" w:color="auto" w:fill="auto"/>
        <w:tabs>
          <w:tab w:pos="726" w:val="left"/>
        </w:tabs>
        <w:bidi w:val="0"/>
        <w:spacing w:before="0" w:after="0" w:line="468" w:lineRule="exact"/>
        <w:ind w:left="0" w:right="0" w:firstLine="440"/>
        <w:jc w:val="both"/>
      </w:pPr>
      <w:bookmarkStart w:id="81" w:name="bookmark81"/>
      <w:bookmarkEnd w:id="81"/>
      <w:r>
        <w:rPr>
          <w:color w:val="000000"/>
          <w:spacing w:val="0"/>
          <w:w w:val="100"/>
          <w:position w:val="0"/>
        </w:rPr>
        <w:t>技术创新加快因素</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公司坚持</w:t>
      </w:r>
      <w:r>
        <w:rPr>
          <w:rFonts w:ascii="Times New Roman" w:eastAsia="Times New Roman" w:hAnsi="Times New Roman" w:cs="Times New Roman"/>
          <w:color w:val="000000"/>
          <w:spacing w:val="0"/>
          <w:w w:val="100"/>
          <w:position w:val="0"/>
        </w:rPr>
        <w:t>“</w:t>
      </w:r>
      <w:r>
        <w:rPr>
          <w:color w:val="000000"/>
          <w:spacing w:val="0"/>
          <w:w w:val="100"/>
          <w:position w:val="0"/>
        </w:rPr>
        <w:t>以客户为中心，做不可替代的价值创造者</w:t>
      </w:r>
      <w:r>
        <w:rPr>
          <w:rFonts w:ascii="Times New Roman" w:eastAsia="Times New Roman" w:hAnsi="Times New Roman" w:cs="Times New Roman"/>
          <w:color w:val="000000"/>
          <w:spacing w:val="0"/>
          <w:w w:val="100"/>
          <w:position w:val="0"/>
        </w:rPr>
        <w:t>”</w:t>
      </w:r>
      <w:r>
        <w:rPr>
          <w:color w:val="000000"/>
          <w:spacing w:val="0"/>
          <w:w w:val="100"/>
          <w:position w:val="0"/>
        </w:rPr>
        <w:t>，加快推进技术创新战略实施，深度结合客户需 求，坚持核心技术与产品攻关，推出创新性的产品和服务，切实帮助行业客户实现精益管理、生产工艺和 产品品质升级。报告期内，公司根据战略布局，启动了公司技术平台一期建设，以实现共性平台共建共享, 集中打造最强技术团队，整合通用性的技术工具、解决开发项目共性技术问题，提高关键技术攻关能力， 消除分散投入、重复建设，降低研发项目成本、缩短开发周期、提升质量，提升公司整体竞争力和盈利能 力，促进公司实现高质量可持续发展。在业务发展层面，面向数字会议应用，结合自身在数字会议领域的 技术积累和创新探索，推出远程报到表决系统，为各级人大常委会业会议表决提供了坚实保障；完成了信 创表决系统开发，全面启动基于信创的新一代电子选举系统开发工作。面向政务大数据应用，大数据共享 交换及可视化平台开发进展顺利。面向烟草行业应用，公司开展了数字化仓储、物流管控一体化、智能制 造整体架构、全产业链科学监管等研究；加快推进</w:t>
      </w:r>
      <w:r>
        <w:rPr>
          <w:rFonts w:ascii="Times New Roman" w:eastAsia="Times New Roman" w:hAnsi="Times New Roman" w:cs="Times New Roman"/>
          <w:color w:val="000000"/>
          <w:spacing w:val="0"/>
          <w:w w:val="100"/>
          <w:position w:val="0"/>
        </w:rPr>
        <w:t>“</w:t>
      </w:r>
      <w:r>
        <w:rPr>
          <w:color w:val="000000"/>
          <w:spacing w:val="0"/>
          <w:w w:val="100"/>
          <w:position w:val="0"/>
        </w:rPr>
        <w:t>灵洞</w:t>
      </w:r>
      <w:r>
        <w:rPr>
          <w:rFonts w:ascii="Times New Roman" w:eastAsia="Times New Roman" w:hAnsi="Times New Roman" w:cs="Times New Roman"/>
          <w:color w:val="000000"/>
          <w:spacing w:val="0"/>
          <w:w w:val="100"/>
          <w:position w:val="0"/>
        </w:rPr>
        <w:t>”</w:t>
      </w:r>
      <w:r>
        <w:rPr>
          <w:color w:val="000000"/>
          <w:spacing w:val="0"/>
          <w:w w:val="100"/>
          <w:position w:val="0"/>
        </w:rPr>
        <w:t>智能制造体系建设，推动工业物联网整体解决方 案，形成市场推广应用。面向印钞行业应用，标准化、模块化的质量大数据处理综合平台逐步成型；深度 学习融合应用进入工程化实施阶段，区块链技术应用研发取得突破进展。面向油气行业应用，公司积极投 入智能一体化撬创新研究，系列产品进入市场推广阶段；采用深度学习智能技术的视频分析平台正式实施, 实现了高危施工场所人员不安全行为分析与预警。面向医疗行业应用，公司积极搭建智慧医疗整体解决方 案，面向临床、科研教学及医院互联互通，取得突破性进展。报告期内，公司还争取到国家自然科学基金、 四川省、中科院等</w:t>
      </w:r>
      <w:r>
        <w:rPr>
          <w:rFonts w:ascii="Times New Roman" w:eastAsia="Times New Roman" w:hAnsi="Times New Roman" w:cs="Times New Roman"/>
          <w:color w:val="000000"/>
          <w:spacing w:val="0"/>
          <w:w w:val="100"/>
          <w:position w:val="0"/>
        </w:rPr>
        <w:t>17</w:t>
      </w:r>
      <w:r>
        <w:rPr>
          <w:color w:val="000000"/>
          <w:spacing w:val="0"/>
          <w:w w:val="100"/>
          <w:position w:val="0"/>
        </w:rPr>
        <w:t>项重点项目经费支持。</w:t>
      </w:r>
    </w:p>
    <w:p>
      <w:pPr>
        <w:pStyle w:val="Style47"/>
        <w:keepNext w:val="0"/>
        <w:keepLines w:val="0"/>
        <w:widowControl w:val="0"/>
        <w:numPr>
          <w:ilvl w:val="0"/>
          <w:numId w:val="13"/>
        </w:numPr>
        <w:shd w:val="clear" w:color="auto" w:fill="auto"/>
        <w:tabs>
          <w:tab w:pos="738" w:val="left"/>
        </w:tabs>
        <w:bidi w:val="0"/>
        <w:spacing w:before="0" w:after="0" w:line="468" w:lineRule="exact"/>
        <w:ind w:left="0" w:right="0" w:firstLine="440"/>
        <w:jc w:val="both"/>
      </w:pPr>
      <w:bookmarkStart w:id="82" w:name="bookmark82"/>
      <w:bookmarkEnd w:id="82"/>
      <w:r>
        <w:rPr>
          <w:color w:val="000000"/>
          <w:spacing w:val="0"/>
          <w:w w:val="100"/>
          <w:position w:val="0"/>
        </w:rPr>
        <w:t>市场开拓增强因素</w:t>
      </w:r>
    </w:p>
    <w:p>
      <w:pPr>
        <w:pStyle w:val="Style47"/>
        <w:keepNext w:val="0"/>
        <w:keepLines w:val="0"/>
        <w:widowControl w:val="0"/>
        <w:shd w:val="clear" w:color="auto" w:fill="auto"/>
        <w:bidi w:val="0"/>
        <w:spacing w:before="0" w:after="0" w:line="468" w:lineRule="exact"/>
        <w:ind w:left="0" w:right="0" w:firstLine="440"/>
        <w:jc w:val="both"/>
        <w:sectPr>
          <w:headerReference w:type="default" r:id="rId37"/>
          <w:footerReference w:type="default" r:id="rId38"/>
          <w:headerReference w:type="even" r:id="rId39"/>
          <w:footerReference w:type="even" r:id="rId40"/>
          <w:footnotePr>
            <w:pos w:val="pageBottom"/>
            <w:numFmt w:val="decimal"/>
            <w:numRestart w:val="continuous"/>
          </w:footnotePr>
          <w:pgSz w:w="11900" w:h="16840"/>
          <w:pgMar w:top="1321" w:right="520" w:bottom="1489" w:left="604" w:header="0" w:footer="3" w:gutter="0"/>
          <w:cols w:space="720"/>
          <w:noEndnote/>
          <w:rtlGutter w:val="0"/>
          <w:docGrid w:linePitch="360"/>
        </w:sectPr>
      </w:pPr>
      <w:r>
        <w:rPr>
          <w:color w:val="000000"/>
          <w:spacing w:val="0"/>
          <w:w w:val="100"/>
          <w:position w:val="0"/>
        </w:rPr>
        <w:t>报告期内，公司坚决贯彻</w:t>
      </w:r>
      <w:r>
        <w:rPr>
          <w:rFonts w:ascii="Times New Roman" w:eastAsia="Times New Roman" w:hAnsi="Times New Roman" w:cs="Times New Roman"/>
          <w:color w:val="000000"/>
          <w:spacing w:val="0"/>
          <w:w w:val="100"/>
          <w:position w:val="0"/>
        </w:rPr>
        <w:t>“</w:t>
      </w:r>
      <w:r>
        <w:rPr>
          <w:color w:val="000000"/>
          <w:spacing w:val="0"/>
          <w:w w:val="100"/>
          <w:position w:val="0"/>
        </w:rPr>
        <w:t>以客户为中心</w:t>
      </w:r>
      <w:r>
        <w:rPr>
          <w:rFonts w:ascii="Times New Roman" w:eastAsia="Times New Roman" w:hAnsi="Times New Roman" w:cs="Times New Roman"/>
          <w:color w:val="000000"/>
          <w:spacing w:val="0"/>
          <w:w w:val="100"/>
          <w:position w:val="0"/>
        </w:rPr>
        <w:t>”</w:t>
      </w:r>
      <w:r>
        <w:rPr>
          <w:color w:val="000000"/>
          <w:spacing w:val="0"/>
          <w:w w:val="100"/>
          <w:position w:val="0"/>
        </w:rPr>
        <w:t>的理念，在认真做好员工疫情防护的同时，全力保障向客户 提供及时、持续、可行的卓越服务，第一是确保工作不断档，实现各类业务的稳步开展；第二是加大营销 体系建设力度，持续完善市场体系，扩大公司销售渠道的覆盖区域。己相继在北京、香港、上海、山东成</w:t>
      </w:r>
    </w:p>
    <w:p>
      <w:pPr>
        <w:pStyle w:val="Style47"/>
        <w:keepNext w:val="0"/>
        <w:keepLines w:val="0"/>
        <w:widowControl w:val="0"/>
        <w:shd w:val="clear" w:color="auto" w:fill="auto"/>
        <w:bidi w:val="0"/>
        <w:spacing w:before="0" w:after="200" w:line="467" w:lineRule="exact"/>
        <w:ind w:left="0" w:right="0" w:firstLine="0"/>
        <w:jc w:val="both"/>
      </w:pPr>
      <w:r>
        <w:rPr>
          <w:color w:val="000000"/>
          <w:spacing w:val="0"/>
          <w:w w:val="100"/>
          <w:position w:val="0"/>
        </w:rPr>
        <w:t>立子公司、分公司、办事处等营销服务机构，努力推进</w:t>
      </w:r>
      <w:r>
        <w:rPr>
          <w:rFonts w:ascii="Times New Roman" w:eastAsia="Times New Roman" w:hAnsi="Times New Roman" w:cs="Times New Roman"/>
          <w:color w:val="000000"/>
          <w:spacing w:val="0"/>
          <w:w w:val="100"/>
          <w:position w:val="0"/>
        </w:rPr>
        <w:t>“</w:t>
      </w:r>
      <w:r>
        <w:rPr>
          <w:color w:val="000000"/>
          <w:spacing w:val="0"/>
          <w:w w:val="100"/>
          <w:position w:val="0"/>
        </w:rPr>
        <w:t>营销网络化、服务本地化为业务发展创造更好 的条件。第三是深耕行业需求，充分利用人工智能和大数据等新技术，加强了对烟草、油气等行业重点项 目的策划、跟踪，有效提升了项目中标率。受部分重大项目实施因疫情而推迟的影响，公司</w:t>
      </w:r>
      <w:r>
        <w:rPr>
          <w:rFonts w:ascii="Times New Roman" w:eastAsia="Times New Roman" w:hAnsi="Times New Roman" w:cs="Times New Roman"/>
          <w:color w:val="000000"/>
          <w:spacing w:val="0"/>
          <w:w w:val="100"/>
          <w:position w:val="0"/>
        </w:rPr>
        <w:t>2020</w:t>
      </w:r>
      <w:r>
        <w:rPr>
          <w:color w:val="000000"/>
          <w:spacing w:val="0"/>
          <w:w w:val="100"/>
          <w:position w:val="0"/>
        </w:rPr>
        <w:t>年在数字 会议领域实现新签合同额</w:t>
      </w:r>
      <w:r>
        <w:rPr>
          <w:rFonts w:ascii="Times New Roman" w:eastAsia="Times New Roman" w:hAnsi="Times New Roman" w:cs="Times New Roman"/>
          <w:color w:val="000000"/>
          <w:spacing w:val="0"/>
          <w:w w:val="100"/>
          <w:position w:val="0"/>
        </w:rPr>
        <w:t>6842</w:t>
      </w:r>
      <w:r>
        <w:rPr>
          <w:color w:val="000000"/>
          <w:spacing w:val="0"/>
          <w:w w:val="100"/>
          <w:position w:val="0"/>
        </w:rPr>
        <w:t>万元，较</w:t>
      </w:r>
      <w:r>
        <w:rPr>
          <w:rFonts w:ascii="Times New Roman" w:eastAsia="Times New Roman" w:hAnsi="Times New Roman" w:cs="Times New Roman"/>
          <w:color w:val="000000"/>
          <w:spacing w:val="0"/>
          <w:w w:val="100"/>
          <w:position w:val="0"/>
        </w:rPr>
        <w:t>2019</w:t>
      </w:r>
      <w:r>
        <w:rPr>
          <w:color w:val="000000"/>
          <w:spacing w:val="0"/>
          <w:w w:val="100"/>
          <w:position w:val="0"/>
        </w:rPr>
        <w:t>年同比下降</w:t>
      </w:r>
      <w:r>
        <w:rPr>
          <w:rFonts w:ascii="Times New Roman" w:eastAsia="Times New Roman" w:hAnsi="Times New Roman" w:cs="Times New Roman"/>
          <w:color w:val="000000"/>
          <w:spacing w:val="0"/>
          <w:w w:val="100"/>
          <w:position w:val="0"/>
        </w:rPr>
        <w:t>2.5%</w:t>
      </w:r>
      <w:r>
        <w:rPr>
          <w:color w:val="000000"/>
          <w:spacing w:val="0"/>
          <w:w w:val="100"/>
          <w:position w:val="0"/>
        </w:rPr>
        <w:t>；油气行业领域实现新签合同额</w:t>
      </w:r>
      <w:r>
        <w:rPr>
          <w:rFonts w:ascii="Times New Roman" w:eastAsia="Times New Roman" w:hAnsi="Times New Roman" w:cs="Times New Roman"/>
          <w:color w:val="000000"/>
          <w:spacing w:val="0"/>
          <w:w w:val="100"/>
          <w:position w:val="0"/>
        </w:rPr>
        <w:t>8043</w:t>
      </w:r>
      <w:r>
        <w:rPr>
          <w:color w:val="000000"/>
          <w:spacing w:val="0"/>
          <w:w w:val="100"/>
          <w:position w:val="0"/>
        </w:rPr>
        <w:t>万元，同 比下降</w:t>
      </w:r>
      <w:r>
        <w:rPr>
          <w:rFonts w:ascii="Times New Roman" w:eastAsia="Times New Roman" w:hAnsi="Times New Roman" w:cs="Times New Roman"/>
          <w:color w:val="000000"/>
          <w:spacing w:val="0"/>
          <w:w w:val="100"/>
          <w:position w:val="0"/>
        </w:rPr>
        <w:t>13.9%</w:t>
      </w:r>
      <w:r>
        <w:rPr>
          <w:color w:val="000000"/>
          <w:spacing w:val="0"/>
          <w:w w:val="100"/>
          <w:position w:val="0"/>
        </w:rPr>
        <w:t>；在政府与其他领域实现新签合同</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.85</w:t>
      </w:r>
      <w:r>
        <w:rPr>
          <w:color w:val="000000"/>
          <w:spacing w:val="0"/>
          <w:w w:val="100"/>
          <w:position w:val="0"/>
        </w:rPr>
        <w:t>亿元，同比下降</w:t>
      </w:r>
      <w:r>
        <w:rPr>
          <w:rFonts w:ascii="Times New Roman" w:eastAsia="Times New Roman" w:hAnsi="Times New Roman" w:cs="Times New Roman"/>
          <w:color w:val="000000"/>
          <w:spacing w:val="0"/>
          <w:w w:val="100"/>
          <w:position w:val="0"/>
        </w:rPr>
        <w:t>31.2%</w:t>
      </w:r>
      <w:r>
        <w:rPr>
          <w:color w:val="000000"/>
          <w:spacing w:val="0"/>
          <w:w w:val="100"/>
          <w:position w:val="0"/>
        </w:rPr>
        <w:t>；在烟草行业领域实现新签合同 额</w:t>
      </w:r>
      <w:r>
        <w:rPr>
          <w:rFonts w:ascii="Times New Roman" w:eastAsia="Times New Roman" w:hAnsi="Times New Roman" w:cs="Times New Roman"/>
          <w:color w:val="000000"/>
          <w:spacing w:val="0"/>
          <w:w w:val="100"/>
          <w:position w:val="0"/>
        </w:rPr>
        <w:t>7987</w:t>
      </w:r>
      <w:r>
        <w:rPr>
          <w:color w:val="000000"/>
          <w:spacing w:val="0"/>
          <w:w w:val="100"/>
          <w:position w:val="0"/>
        </w:rPr>
        <w:t>万元，同比增长</w:t>
      </w:r>
      <w:r>
        <w:rPr>
          <w:rFonts w:ascii="Times New Roman" w:eastAsia="Times New Roman" w:hAnsi="Times New Roman" w:cs="Times New Roman"/>
          <w:color w:val="000000"/>
          <w:spacing w:val="0"/>
          <w:w w:val="100"/>
          <w:position w:val="0"/>
        </w:rPr>
        <w:t>23.7%</w:t>
      </w:r>
      <w:r>
        <w:rPr>
          <w:color w:val="000000"/>
          <w:spacing w:val="0"/>
          <w:w w:val="100"/>
          <w:position w:val="0"/>
        </w:rPr>
        <w:t>。</w:t>
      </w:r>
    </w:p>
    <w:p>
      <w:pPr>
        <w:pStyle w:val="Style47"/>
        <w:keepNext w:val="0"/>
        <w:keepLines w:val="0"/>
        <w:widowControl w:val="0"/>
        <w:numPr>
          <w:ilvl w:val="0"/>
          <w:numId w:val="13"/>
        </w:numPr>
        <w:shd w:val="clear" w:color="auto" w:fill="auto"/>
        <w:bidi w:val="0"/>
        <w:spacing w:before="0" w:after="0"/>
        <w:ind w:left="0" w:right="0" w:firstLine="420"/>
        <w:jc w:val="both"/>
      </w:pPr>
      <w:bookmarkStart w:id="83" w:name="bookmark83"/>
      <w:bookmarkEnd w:id="83"/>
      <w:r>
        <w:rPr>
          <w:color w:val="000000"/>
          <w:spacing w:val="0"/>
          <w:w w:val="100"/>
          <w:position w:val="0"/>
        </w:rPr>
        <w:t>内部管理水平提升因素</w:t>
      </w:r>
    </w:p>
    <w:p>
      <w:pPr>
        <w:pStyle w:val="Style47"/>
        <w:keepNext w:val="0"/>
        <w:keepLines w:val="0"/>
        <w:widowControl w:val="0"/>
        <w:shd w:val="clear" w:color="auto" w:fill="auto"/>
        <w:bidi w:val="0"/>
        <w:spacing w:before="0" w:after="200" w:line="467" w:lineRule="exact"/>
        <w:ind w:left="0" w:right="0" w:firstLine="420"/>
        <w:jc w:val="both"/>
      </w:pPr>
      <w:r>
        <w:rPr>
          <w:color w:val="000000"/>
          <w:spacing w:val="0"/>
          <w:w w:val="100"/>
          <w:position w:val="0"/>
        </w:rPr>
        <w:t>公司持续加强内部管理，紧抓风险防控，不断提升运营水平。通过严格贯彻实施相关法律法规和公司 制度，规范三会运作，强化了对经营风险、法律风险、资金风险、信披风险、舆论风险的控制与防范，有 效保护了经营成果。坚持把产品与服务质量放在第一位，把客户满意度作为衡量工作质量的主要标准，确 保了产品与服务质量的有效提升。报告期内，公司着力提升运营水平，推进</w:t>
      </w:r>
      <w:r>
        <w:rPr>
          <w:rFonts w:ascii="Times New Roman" w:eastAsia="Times New Roman" w:hAnsi="Times New Roman" w:cs="Times New Roman"/>
          <w:color w:val="000000"/>
          <w:spacing w:val="0"/>
          <w:w w:val="100"/>
          <w:position w:val="0"/>
        </w:rPr>
        <w:t>“</w:t>
      </w:r>
      <w:r>
        <w:rPr>
          <w:color w:val="000000"/>
          <w:spacing w:val="0"/>
          <w:w w:val="100"/>
          <w:position w:val="0"/>
        </w:rPr>
        <w:t>管理与服务相统一''、</w:t>
      </w:r>
      <w:r>
        <w:rPr>
          <w:rFonts w:ascii="Times New Roman" w:eastAsia="Times New Roman" w:hAnsi="Times New Roman" w:cs="Times New Roman"/>
          <w:color w:val="000000"/>
          <w:spacing w:val="0"/>
          <w:w w:val="100"/>
          <w:position w:val="0"/>
        </w:rPr>
        <w:t>“</w:t>
      </w:r>
      <w:r>
        <w:rPr>
          <w:color w:val="000000"/>
          <w:spacing w:val="0"/>
          <w:w w:val="100"/>
          <w:position w:val="0"/>
        </w:rPr>
        <w:t>放权与 监督</w:t>
      </w:r>
      <w:r>
        <w:rPr>
          <w:color w:val="000000"/>
          <w:spacing w:val="0"/>
          <w:w w:val="100"/>
          <w:position w:val="0"/>
        </w:rPr>
        <w:t>''</w:t>
      </w:r>
      <w:r>
        <w:rPr>
          <w:color w:val="000000"/>
          <w:spacing w:val="0"/>
          <w:w w:val="100"/>
          <w:position w:val="0"/>
        </w:rPr>
        <w:t>相统一，为业务部门创造最佳运营和服务平台。成立公司级采购服务中心、统一公司差旅采购的措 施为公司节约数百万开支；建立内部融资制度、资金占用成本核算制度、流动资金申请制度，有效增强业 务团队的融资意识、成本意识；优化内部综合信息管理平台、实现全流程无纸化报销等，优化了合同签订 流程，极大提高了工作效率。公司还顺利取得了国家保密局颁发的涉密系统集成（系统集成</w:t>
      </w:r>
      <w:r>
        <w:rPr>
          <w:rFonts w:ascii="Times New Roman" w:eastAsia="Times New Roman" w:hAnsi="Times New Roman" w:cs="Times New Roman"/>
          <w:color w:val="000000"/>
          <w:spacing w:val="0"/>
          <w:w w:val="100"/>
          <w:position w:val="0"/>
        </w:rPr>
        <w:t>/</w:t>
      </w:r>
      <w:r>
        <w:rPr>
          <w:color w:val="000000"/>
          <w:spacing w:val="0"/>
          <w:w w:val="100"/>
          <w:position w:val="0"/>
        </w:rPr>
        <w:t>运行维护）甲 级资质在内的</w:t>
      </w:r>
      <w:r>
        <w:rPr>
          <w:rFonts w:ascii="Times New Roman" w:eastAsia="Times New Roman" w:hAnsi="Times New Roman" w:cs="Times New Roman"/>
          <w:color w:val="000000"/>
          <w:spacing w:val="0"/>
          <w:w w:val="100"/>
          <w:position w:val="0"/>
        </w:rPr>
        <w:t>10</w:t>
      </w:r>
      <w:r>
        <w:rPr>
          <w:color w:val="000000"/>
          <w:spacing w:val="0"/>
          <w:w w:val="100"/>
          <w:position w:val="0"/>
        </w:rPr>
        <w:t>项重要资质认证，成为四川省内少数拥有涉密</w:t>
      </w:r>
      <w:r>
        <w:rPr>
          <w:rFonts w:ascii="Times New Roman" w:eastAsia="Times New Roman" w:hAnsi="Times New Roman" w:cs="Times New Roman"/>
          <w:color w:val="000000"/>
          <w:spacing w:val="0"/>
          <w:w w:val="100"/>
          <w:position w:val="0"/>
        </w:rPr>
        <w:t>“</w:t>
      </w:r>
      <w:r>
        <w:rPr>
          <w:color w:val="000000"/>
          <w:spacing w:val="0"/>
          <w:w w:val="100"/>
          <w:position w:val="0"/>
        </w:rPr>
        <w:t>三甲</w:t>
      </w:r>
      <w:r>
        <w:rPr>
          <w:color w:val="000000"/>
          <w:spacing w:val="0"/>
          <w:w w:val="100"/>
          <w:position w:val="0"/>
        </w:rPr>
        <w:t>''</w:t>
      </w:r>
      <w:r>
        <w:rPr>
          <w:color w:val="000000"/>
          <w:spacing w:val="0"/>
          <w:w w:val="100"/>
          <w:position w:val="0"/>
        </w:rPr>
        <w:t>资质的企业之一。制度体系更加完善， 重量级资质不断丰富，系列资质的取得将促进公司经营发展和管理水平再上新台阶。对增强公司综合竞争 力、拓宽公司业务领域和品牌建设等方面具有重大战略意义。</w:t>
      </w:r>
    </w:p>
    <w:p>
      <w:pPr>
        <w:pStyle w:val="Style47"/>
        <w:keepNext w:val="0"/>
        <w:keepLines w:val="0"/>
        <w:widowControl w:val="0"/>
        <w:shd w:val="clear" w:color="auto" w:fill="auto"/>
        <w:bidi w:val="0"/>
        <w:spacing w:before="0" w:after="0"/>
        <w:ind w:left="0" w:right="0" w:firstLine="420"/>
        <w:jc w:val="both"/>
      </w:pPr>
      <w:bookmarkStart w:id="84" w:name="bookmark84"/>
      <w:r>
        <w:rPr>
          <w:rFonts w:ascii="Times New Roman" w:eastAsia="Times New Roman" w:hAnsi="Times New Roman" w:cs="Times New Roman"/>
          <w:b/>
          <w:bCs/>
          <w:color w:val="000000"/>
          <w:spacing w:val="0"/>
          <w:w w:val="100"/>
          <w:position w:val="0"/>
        </w:rPr>
        <w:t>（</w:t>
      </w:r>
      <w:bookmarkEnd w:id="84"/>
      <w:r>
        <w:rPr>
          <w:b/>
          <w:bCs/>
          <w:color w:val="000000"/>
          <w:spacing w:val="0"/>
          <w:w w:val="100"/>
          <w:position w:val="0"/>
        </w:rPr>
        <w:t>五</w:t>
      </w:r>
      <w:r>
        <w:rPr>
          <w:rFonts w:ascii="Times New Roman" w:eastAsia="Times New Roman" w:hAnsi="Times New Roman" w:cs="Times New Roman"/>
          <w:b/>
          <w:bCs/>
          <w:color w:val="000000"/>
          <w:spacing w:val="0"/>
          <w:w w:val="100"/>
          <w:position w:val="0"/>
        </w:rPr>
        <w:t>）</w:t>
      </w:r>
      <w:r>
        <w:rPr>
          <w:b/>
          <w:bCs/>
          <w:color w:val="000000"/>
          <w:spacing w:val="0"/>
          <w:w w:val="100"/>
          <w:position w:val="0"/>
        </w:rPr>
        <w:t>客户所处行业相关的市场形势和信息化需求</w:t>
      </w:r>
    </w:p>
    <w:p>
      <w:pPr>
        <w:pStyle w:val="Style47"/>
        <w:keepNext w:val="0"/>
        <w:keepLines w:val="0"/>
        <w:widowControl w:val="0"/>
        <w:numPr>
          <w:ilvl w:val="0"/>
          <w:numId w:val="15"/>
        </w:numPr>
        <w:shd w:val="clear" w:color="auto" w:fill="auto"/>
        <w:bidi w:val="0"/>
        <w:spacing w:before="0" w:after="0"/>
        <w:ind w:left="0" w:right="0" w:firstLine="420"/>
        <w:jc w:val="both"/>
      </w:pPr>
      <w:bookmarkStart w:id="85" w:name="bookmark85"/>
      <w:bookmarkEnd w:id="85"/>
      <w:r>
        <w:rPr>
          <w:color w:val="000000"/>
          <w:spacing w:val="0"/>
          <w:w w:val="100"/>
          <w:position w:val="0"/>
        </w:rPr>
        <w:t>数字会议领域</w:t>
      </w:r>
    </w:p>
    <w:p>
      <w:pPr>
        <w:pStyle w:val="Style47"/>
        <w:keepNext w:val="0"/>
        <w:keepLines w:val="0"/>
        <w:widowControl w:val="0"/>
        <w:shd w:val="clear" w:color="auto" w:fill="auto"/>
        <w:bidi w:val="0"/>
        <w:spacing w:before="0" w:after="0" w:line="467" w:lineRule="exact"/>
        <w:ind w:left="0" w:right="0" w:firstLine="420"/>
        <w:jc w:val="both"/>
      </w:pPr>
      <w:r>
        <w:rPr>
          <w:color w:val="000000"/>
          <w:spacing w:val="0"/>
          <w:w w:val="100"/>
          <w:position w:val="0"/>
        </w:rPr>
        <w:t>随着新一代信息技术在各行业领域应用的不断深入，数字会议业务进入了既有市场竞争升级、未来市 场空间仍需开拓的发展阶段。省级机关和事业单位数字会议系统的需求水平不断提升，对产品提出了更高 的要求；地市级、县级机关和事业单位对数字会议系统的需求也在增强；大中型企业、会展中心、酒店、 学校等对数字会议系统的需求也呈现增长态势。以大数据、人工智能为支撑的新型数字会议产品具备了计 算机视觉支撑的智能签到、语音识别支撑的新型无纸化、智能阅文、语义分析、智库、自适应学习等功能。 随着国家对国产化产品的大力支持，数字会议业务的市场发展空间在不断加大。高端用户市场对可靠性、 智能性要求日益提高，党政军机关、企事业单位等对会议应用需求持续增长，数字会议系统整体市场保持 较好的发展态势。新冠疫情防控进入常态化也给数字会议行业发展带来新的变化，远程视频会议行业发展 迎来较好机遇。</w:t>
      </w:r>
    </w:p>
    <w:p>
      <w:pPr>
        <w:pStyle w:val="Style47"/>
        <w:keepNext w:val="0"/>
        <w:keepLines w:val="0"/>
        <w:widowControl w:val="0"/>
        <w:shd w:val="clear" w:color="auto" w:fill="auto"/>
        <w:bidi w:val="0"/>
        <w:spacing w:before="0" w:after="780" w:line="467" w:lineRule="exact"/>
        <w:ind w:left="0" w:right="0" w:firstLine="320"/>
        <w:jc w:val="both"/>
      </w:pPr>
      <w:r>
        <w:rPr>
          <w:color w:val="000000"/>
          <w:spacing w:val="0"/>
          <w:w w:val="100"/>
          <w:position w:val="0"/>
        </w:rPr>
        <w:t>受新冠疫情影响国内外经济发展面临严峻挑战，特别是</w:t>
      </w:r>
      <w:r>
        <w:rPr>
          <w:color w:val="000000"/>
          <w:spacing w:val="0"/>
          <w:w w:val="100"/>
          <w:position w:val="0"/>
        </w:rPr>
        <w:t>2020</w:t>
      </w:r>
      <w:r>
        <w:rPr>
          <w:color w:val="000000"/>
          <w:spacing w:val="0"/>
          <w:w w:val="100"/>
          <w:position w:val="0"/>
        </w:rPr>
        <w:t>年上半年市场需求锐减，客户订单萎缩，</w:t>
      </w:r>
    </w:p>
    <w:p>
      <w:pPr>
        <w:pStyle w:val="Style2"/>
        <w:keepNext w:val="0"/>
        <w:keepLines w:val="0"/>
        <w:widowControl w:val="0"/>
        <w:shd w:val="clear" w:color="auto" w:fill="auto"/>
        <w:bidi w:val="0"/>
        <w:spacing w:before="0" w:after="0" w:line="132" w:lineRule="exact"/>
        <w:ind w:left="0" w:right="0" w:firstLine="0"/>
        <w:jc w:val="center"/>
        <w:rPr>
          <w:sz w:val="11"/>
          <w:szCs w:val="11"/>
        </w:rPr>
        <w:sectPr>
          <w:headerReference w:type="default" r:id="rId41"/>
          <w:footerReference w:type="default" r:id="rId42"/>
          <w:headerReference w:type="even" r:id="rId43"/>
          <w:footerReference w:type="even" r:id="rId44"/>
          <w:footnotePr>
            <w:pos w:val="pageBottom"/>
            <w:numFmt w:val="decimal"/>
            <w:numRestart w:val="continuous"/>
          </w:footnotePr>
          <w:pgSz w:w="11900" w:h="16840"/>
          <w:pgMar w:top="1340" w:right="24" w:bottom="169" w:left="1105" w:header="0" w:footer="3" w:gutter="0"/>
          <w:cols w:space="720"/>
          <w:noEndnote/>
          <w:rtlGutter w:val="0"/>
          <w:docGrid w:linePitch="360"/>
        </w:sect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br/>
        <w:t>巨潮遂田</w:t>
        <w:br/>
      </w:r>
      <w:r>
        <w:fldChar w:fldCharType="begin"/>
      </w:r>
      <w:r>
        <w:rPr/>
        <w:instrText> HYPERLINK "http://www.cnlnTo.com.cn" </w:instrText>
      </w:r>
      <w:r>
        <w:fldChar w:fldCharType="separate"/>
      </w:r>
      <w:r>
        <w:rPr>
          <w:rFonts w:ascii="Arial" w:eastAsia="Arial" w:hAnsi="Arial" w:cs="Arial"/>
          <w:b/>
          <w:bCs/>
          <w:color w:val="A2A2A2"/>
          <w:spacing w:val="0"/>
          <w:w w:val="100"/>
          <w:position w:val="0"/>
          <w:sz w:val="11"/>
          <w:szCs w:val="11"/>
        </w:rPr>
        <w:t>www.cnlnTo.com.cn</w:t>
      </w:r>
      <w:r>
        <w:fldChar w:fldCharType="end"/>
      </w:r>
    </w:p>
    <w:p>
      <w:pPr>
        <w:pStyle w:val="Style47"/>
        <w:keepNext w:val="0"/>
        <w:keepLines w:val="0"/>
        <w:widowControl w:val="0"/>
        <w:shd w:val="clear" w:color="auto" w:fill="auto"/>
        <w:bidi w:val="0"/>
        <w:spacing w:before="0" w:after="0" w:line="461" w:lineRule="exact"/>
        <w:ind w:left="0" w:right="0" w:firstLine="0"/>
        <w:jc w:val="both"/>
      </w:pPr>
      <w:r>
        <w:rPr>
          <w:color w:val="000000"/>
          <w:spacing w:val="0"/>
          <w:w w:val="100"/>
          <w:position w:val="0"/>
        </w:rPr>
        <w:t>行业竞争进一步加剧，企业面临的经营压力明显增大。但随着建设数字中国进程的不断推进，</w:t>
      </w:r>
      <w:r>
        <w:rPr>
          <w:rFonts w:ascii="Times New Roman" w:eastAsia="Times New Roman" w:hAnsi="Times New Roman" w:cs="Times New Roman"/>
          <w:color w:val="000000"/>
          <w:spacing w:val="0"/>
          <w:w w:val="100"/>
          <w:position w:val="0"/>
        </w:rPr>
        <w:t>“</w:t>
      </w:r>
      <w:r>
        <w:rPr>
          <w:color w:val="000000"/>
          <w:spacing w:val="0"/>
          <w:w w:val="100"/>
          <w:position w:val="0"/>
        </w:rPr>
        <w:t>国家治理 体系和治理能力现代化''和</w:t>
      </w:r>
      <w:r>
        <w:rPr>
          <w:rFonts w:ascii="Times New Roman" w:eastAsia="Times New Roman" w:hAnsi="Times New Roman" w:cs="Times New Roman"/>
          <w:color w:val="000000"/>
          <w:spacing w:val="0"/>
          <w:w w:val="100"/>
          <w:position w:val="0"/>
        </w:rPr>
        <w:t>“</w:t>
      </w:r>
      <w:r>
        <w:rPr>
          <w:color w:val="000000"/>
          <w:spacing w:val="0"/>
          <w:w w:val="100"/>
          <w:position w:val="0"/>
        </w:rPr>
        <w:t>国家大数据战略''加速融合，将迸发出引领时代的巨大能量。据统计，</w:t>
      </w:r>
      <w:r>
        <w:rPr>
          <w:rFonts w:ascii="Times New Roman" w:eastAsia="Times New Roman" w:hAnsi="Times New Roman" w:cs="Times New Roman"/>
          <w:color w:val="000000"/>
          <w:spacing w:val="0"/>
          <w:w w:val="100"/>
          <w:position w:val="0"/>
        </w:rPr>
        <w:t>2018</w:t>
      </w:r>
      <w:r>
        <w:rPr>
          <w:color w:val="000000"/>
          <w:spacing w:val="0"/>
          <w:w w:val="100"/>
          <w:position w:val="0"/>
        </w:rPr>
        <w:t>年， 会议系统市场规模已达到</w:t>
      </w:r>
      <w:r>
        <w:rPr>
          <w:rFonts w:ascii="Times New Roman" w:eastAsia="Times New Roman" w:hAnsi="Times New Roman" w:cs="Times New Roman"/>
          <w:color w:val="000000"/>
          <w:spacing w:val="0"/>
          <w:w w:val="100"/>
          <w:position w:val="0"/>
        </w:rPr>
        <w:t>175</w:t>
      </w:r>
      <w:r>
        <w:rPr>
          <w:color w:val="000000"/>
          <w:spacing w:val="0"/>
          <w:w w:val="100"/>
          <w:position w:val="0"/>
        </w:rPr>
        <w:t>亿元，同比增长</w:t>
      </w:r>
      <w:r>
        <w:rPr>
          <w:rFonts w:ascii="Times New Roman" w:eastAsia="Times New Roman" w:hAnsi="Times New Roman" w:cs="Times New Roman"/>
          <w:color w:val="000000"/>
          <w:spacing w:val="0"/>
          <w:w w:val="100"/>
          <w:position w:val="0"/>
        </w:rPr>
        <w:t>21.2%</w:t>
      </w:r>
      <w:r>
        <w:rPr>
          <w:color w:val="000000"/>
          <w:spacing w:val="0"/>
          <w:w w:val="100"/>
          <w:position w:val="0"/>
        </w:rPr>
        <w:t>。</w:t>
      </w:r>
      <w:r>
        <w:rPr>
          <w:rFonts w:ascii="Times New Roman" w:eastAsia="Times New Roman" w:hAnsi="Times New Roman" w:cs="Times New Roman"/>
          <w:color w:val="000000"/>
          <w:spacing w:val="0"/>
          <w:w w:val="100"/>
          <w:position w:val="0"/>
        </w:rPr>
        <w:t>2019</w:t>
      </w:r>
      <w:r>
        <w:rPr>
          <w:color w:val="000000"/>
          <w:spacing w:val="0"/>
          <w:w w:val="100"/>
          <w:position w:val="0"/>
        </w:rPr>
        <w:t>年进入高速发展阶段，仅电子表决市场规模估值 数十亿，且</w:t>
      </w:r>
      <w:r>
        <w:rPr>
          <w:rFonts w:ascii="Times New Roman" w:eastAsia="Times New Roman" w:hAnsi="Times New Roman" w:cs="Times New Roman"/>
          <w:color w:val="000000"/>
          <w:spacing w:val="0"/>
          <w:w w:val="100"/>
          <w:position w:val="0"/>
        </w:rPr>
        <w:t>“</w:t>
      </w:r>
      <w:r>
        <w:rPr>
          <w:color w:val="000000"/>
          <w:spacing w:val="0"/>
          <w:w w:val="100"/>
          <w:position w:val="0"/>
        </w:rPr>
        <w:t>一带一路''等国家政策为海外市场的开拓带来了契机。同时国家机关高端客户需求稳定，企事 业单位客户需求加大，信创业务地开展如火如荼，国产品牌具有更多优势。</w:t>
      </w:r>
    </w:p>
    <w:p>
      <w:pPr>
        <w:pStyle w:val="Style47"/>
        <w:keepNext w:val="0"/>
        <w:keepLines w:val="0"/>
        <w:widowControl w:val="0"/>
        <w:shd w:val="clear" w:color="auto" w:fill="auto"/>
        <w:bidi w:val="0"/>
        <w:spacing w:before="0" w:after="0" w:line="468" w:lineRule="exact"/>
        <w:ind w:left="0" w:right="0" w:firstLine="440"/>
        <w:jc w:val="both"/>
      </w:pPr>
      <w:r>
        <w:rPr>
          <w:b/>
          <w:bCs/>
          <w:color w:val="000000"/>
          <w:spacing w:val="0"/>
          <w:w w:val="100"/>
          <w:position w:val="0"/>
        </w:rPr>
        <w:t>公司措施：</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以</w:t>
      </w:r>
      <w:r>
        <w:rPr>
          <w:rFonts w:ascii="Times New Roman" w:eastAsia="Times New Roman" w:hAnsi="Times New Roman" w:cs="Times New Roman"/>
          <w:color w:val="000000"/>
          <w:spacing w:val="0"/>
          <w:w w:val="100"/>
          <w:position w:val="0"/>
        </w:rPr>
        <w:t>“</w:t>
      </w:r>
      <w:r>
        <w:rPr>
          <w:color w:val="000000"/>
          <w:spacing w:val="0"/>
          <w:w w:val="100"/>
          <w:position w:val="0"/>
        </w:rPr>
        <w:t>成为国际领先的会议系统解决方案提供商</w:t>
      </w:r>
      <w:r>
        <w:rPr>
          <w:color w:val="000000"/>
          <w:spacing w:val="0"/>
          <w:w w:val="100"/>
          <w:position w:val="0"/>
        </w:rPr>
        <w:t>''</w:t>
      </w:r>
      <w:r>
        <w:rPr>
          <w:color w:val="000000"/>
          <w:spacing w:val="0"/>
          <w:w w:val="100"/>
          <w:position w:val="0"/>
        </w:rPr>
        <w:t>为战略目标，坚持</w:t>
      </w:r>
      <w:r>
        <w:rPr>
          <w:rFonts w:ascii="Times New Roman" w:eastAsia="Times New Roman" w:hAnsi="Times New Roman" w:cs="Times New Roman"/>
          <w:color w:val="000000"/>
          <w:spacing w:val="0"/>
          <w:w w:val="100"/>
          <w:position w:val="0"/>
        </w:rPr>
        <w:t>“</w:t>
      </w:r>
      <w:r>
        <w:rPr>
          <w:color w:val="000000"/>
          <w:spacing w:val="0"/>
          <w:w w:val="100"/>
          <w:position w:val="0"/>
        </w:rPr>
        <w:t>营销网络化、产品规模化、服务本地 化、运营市场化</w:t>
      </w:r>
      <w:r>
        <w:rPr>
          <w:color w:val="000000"/>
          <w:spacing w:val="0"/>
          <w:w w:val="100"/>
          <w:position w:val="0"/>
        </w:rPr>
        <w:t>''</w:t>
      </w:r>
      <w:r>
        <w:rPr>
          <w:color w:val="000000"/>
          <w:spacing w:val="0"/>
          <w:w w:val="100"/>
          <w:position w:val="0"/>
        </w:rPr>
        <w:t>的发展方向，深根政务信息化行业，为国内各级党委、人大、政府、政协提供会议系统 整体解决方案、产品和行业信息化系统，为海外大选提供整体解决方案和产品；坚持</w:t>
      </w:r>
      <w:r>
        <w:rPr>
          <w:rFonts w:ascii="Times New Roman" w:eastAsia="Times New Roman" w:hAnsi="Times New Roman" w:cs="Times New Roman"/>
          <w:color w:val="000000"/>
          <w:spacing w:val="0"/>
          <w:w w:val="100"/>
          <w:position w:val="0"/>
        </w:rPr>
        <w:t>“</w:t>
      </w:r>
      <w:r>
        <w:rPr>
          <w:color w:val="000000"/>
          <w:spacing w:val="0"/>
          <w:w w:val="100"/>
          <w:position w:val="0"/>
        </w:rPr>
        <w:t>核心一新兴一种子</w:t>
      </w:r>
      <w:r>
        <w:rPr>
          <w:color w:val="000000"/>
          <w:spacing w:val="0"/>
          <w:w w:val="100"/>
          <w:position w:val="0"/>
        </w:rPr>
        <w:t xml:space="preserve">'' </w:t>
      </w:r>
      <w:r>
        <w:rPr>
          <w:color w:val="000000"/>
          <w:spacing w:val="0"/>
          <w:w w:val="100"/>
          <w:position w:val="0"/>
        </w:rPr>
        <w:t>三层业务链发展模式，集中资源发展战略业务、整合资源发展战术业务。</w:t>
      </w:r>
    </w:p>
    <w:p>
      <w:pPr>
        <w:pStyle w:val="Style47"/>
        <w:keepNext w:val="0"/>
        <w:keepLines w:val="0"/>
        <w:widowControl w:val="0"/>
        <w:numPr>
          <w:ilvl w:val="0"/>
          <w:numId w:val="15"/>
        </w:numPr>
        <w:shd w:val="clear" w:color="auto" w:fill="auto"/>
        <w:bidi w:val="0"/>
        <w:spacing w:before="0" w:after="0"/>
        <w:ind w:left="0" w:right="0" w:firstLine="440"/>
        <w:jc w:val="both"/>
      </w:pPr>
      <w:bookmarkStart w:id="86" w:name="bookmark86"/>
      <w:bookmarkEnd w:id="86"/>
      <w:r>
        <w:rPr>
          <w:color w:val="000000"/>
          <w:spacing w:val="0"/>
          <w:w w:val="100"/>
          <w:position w:val="0"/>
        </w:rPr>
        <w:t>烟草信息化领域</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目前全球烟民超过十亿，约占世界人口的四分之一，我国作为金球烟民基数最大的国家，市场庞大。 我国对烟草行业实行垄断性经营，市场准入制度严格，国外烟草品牌极少进入我国市场。烟草行业是国民 经济和政府财税的支柱性行业，同时也提供了广阔的市场发展空间，截至</w:t>
      </w:r>
      <w:r>
        <w:rPr>
          <w:rFonts w:ascii="Times New Roman" w:eastAsia="Times New Roman" w:hAnsi="Times New Roman" w:cs="Times New Roman"/>
          <w:color w:val="000000"/>
          <w:spacing w:val="0"/>
          <w:w w:val="100"/>
          <w:position w:val="0"/>
        </w:rPr>
        <w:t>2019</w:t>
      </w:r>
      <w:r>
        <w:rPr>
          <w:color w:val="000000"/>
          <w:spacing w:val="0"/>
          <w:w w:val="100"/>
          <w:position w:val="0"/>
        </w:rPr>
        <w:t>年，全国共设有省级烟草专 卖局（公司）</w:t>
      </w:r>
      <w:r>
        <w:rPr>
          <w:rFonts w:ascii="Times New Roman" w:eastAsia="Times New Roman" w:hAnsi="Times New Roman" w:cs="Times New Roman"/>
          <w:color w:val="000000"/>
          <w:spacing w:val="0"/>
          <w:w w:val="100"/>
          <w:position w:val="0"/>
        </w:rPr>
        <w:t>33</w:t>
      </w:r>
      <w:r>
        <w:rPr>
          <w:color w:val="000000"/>
          <w:spacing w:val="0"/>
          <w:w w:val="100"/>
          <w:position w:val="0"/>
        </w:rPr>
        <w:t>家，地市级烟草专卖局（公司）</w:t>
      </w:r>
      <w:r>
        <w:rPr>
          <w:rFonts w:ascii="Times New Roman" w:eastAsia="Times New Roman" w:hAnsi="Times New Roman" w:cs="Times New Roman"/>
          <w:color w:val="000000"/>
          <w:spacing w:val="0"/>
          <w:w w:val="100"/>
          <w:position w:val="0"/>
        </w:rPr>
        <w:t>451</w:t>
      </w:r>
      <w:r>
        <w:rPr>
          <w:color w:val="000000"/>
          <w:spacing w:val="0"/>
          <w:w w:val="100"/>
          <w:position w:val="0"/>
        </w:rPr>
        <w:t>家，县级烟草专卖局（分公司或营销部）</w:t>
      </w:r>
      <w:r>
        <w:rPr>
          <w:rFonts w:ascii="Times New Roman" w:eastAsia="Times New Roman" w:hAnsi="Times New Roman" w:cs="Times New Roman"/>
          <w:color w:val="000000"/>
          <w:spacing w:val="0"/>
          <w:w w:val="100"/>
          <w:position w:val="0"/>
        </w:rPr>
        <w:t>2426</w:t>
      </w:r>
      <w:r>
        <w:rPr>
          <w:color w:val="000000"/>
          <w:spacing w:val="0"/>
          <w:w w:val="100"/>
          <w:position w:val="0"/>
        </w:rPr>
        <w:t>家；省 级卷烟工业公司</w:t>
      </w:r>
      <w:r>
        <w:rPr>
          <w:rFonts w:ascii="Times New Roman" w:eastAsia="Times New Roman" w:hAnsi="Times New Roman" w:cs="Times New Roman"/>
          <w:color w:val="000000"/>
          <w:spacing w:val="0"/>
          <w:w w:val="100"/>
          <w:position w:val="0"/>
        </w:rPr>
        <w:t>19</w:t>
      </w:r>
      <w:r>
        <w:rPr>
          <w:color w:val="000000"/>
          <w:spacing w:val="0"/>
          <w:w w:val="100"/>
          <w:position w:val="0"/>
        </w:rPr>
        <w:t>家，另外还有众多的卷烟生产点、打叶复烤及配套生产企业。（备注：数据来源于知乎</w:t>
      </w:r>
      <w:r>
        <w:rPr>
          <w:rFonts w:ascii="Times New Roman" w:eastAsia="Times New Roman" w:hAnsi="Times New Roman" w:cs="Times New Roman"/>
          <w:color w:val="000000"/>
          <w:spacing w:val="0"/>
          <w:w w:val="100"/>
          <w:position w:val="0"/>
        </w:rPr>
        <w:t>•</w:t>
      </w:r>
      <w:r>
        <w:rPr>
          <w:color w:val="000000"/>
          <w:spacing w:val="0"/>
          <w:w w:val="100"/>
          <w:position w:val="0"/>
        </w:rPr>
        <w:t>沃 见《中国烟草行业分析报告》</w:t>
      </w:r>
      <w:r>
        <w:fldChar w:fldCharType="begin"/>
      </w:r>
      <w:r>
        <w:rPr/>
        <w:instrText> HYPERLINK "https://zhuanlan.zhihu.eom/p/343660165%ef%bc%89" </w:instrText>
      </w:r>
      <w:r>
        <w:fldChar w:fldCharType="separate"/>
      </w:r>
      <w:r>
        <w:rPr>
          <w:rFonts w:ascii="Times New Roman" w:eastAsia="Times New Roman" w:hAnsi="Times New Roman" w:cs="Times New Roman"/>
          <w:color w:val="000000"/>
          <w:spacing w:val="0"/>
          <w:w w:val="100"/>
          <w:position w:val="0"/>
        </w:rPr>
        <w:t>https://zhuanlan.zhihu.eom/p/343660165</w:t>
      </w:r>
      <w:r>
        <w:rPr>
          <w:color w:val="000000"/>
          <w:spacing w:val="0"/>
          <w:w w:val="100"/>
          <w:position w:val="0"/>
        </w:rPr>
        <w:t>）</w:t>
      </w:r>
      <w:r>
        <w:fldChar w:fldCharType="end"/>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日新月异的信息化技术为烟草行业的发展源源不断地注入新的增长动力，也对烟草企业的运营与发展 产生深刻的影响。面对信息化新的发展形势，遵循国家局</w:t>
      </w:r>
      <w:r>
        <w:rPr>
          <w:rFonts w:ascii="Times New Roman" w:eastAsia="Times New Roman" w:hAnsi="Times New Roman" w:cs="Times New Roman"/>
          <w:color w:val="000000"/>
          <w:spacing w:val="0"/>
          <w:w w:val="100"/>
          <w:position w:val="0"/>
        </w:rPr>
        <w:t>CT-155</w:t>
      </w:r>
      <w:r>
        <w:rPr>
          <w:color w:val="000000"/>
          <w:spacing w:val="0"/>
          <w:w w:val="100"/>
          <w:position w:val="0"/>
        </w:rPr>
        <w:t>行业信息化战略规划和《烟草行业</w:t>
      </w:r>
      <w:r>
        <w:rPr>
          <w:rFonts w:ascii="Times New Roman" w:eastAsia="Times New Roman" w:hAnsi="Times New Roman" w:cs="Times New Roman"/>
          <w:color w:val="000000"/>
          <w:spacing w:val="0"/>
          <w:w w:val="100"/>
          <w:position w:val="0"/>
        </w:rPr>
        <w:t>“</w:t>
      </w:r>
      <w:r>
        <w:rPr>
          <w:color w:val="000000"/>
          <w:spacing w:val="0"/>
          <w:w w:val="100"/>
          <w:position w:val="0"/>
        </w:rPr>
        <w:t>互联 网</w:t>
      </w:r>
      <w:r>
        <w:rPr>
          <w:color w:val="000000"/>
          <w:spacing w:val="0"/>
          <w:w w:val="100"/>
          <w:position w:val="0"/>
        </w:rPr>
        <w:t>+''</w:t>
      </w:r>
      <w:r>
        <w:rPr>
          <w:color w:val="000000"/>
          <w:spacing w:val="0"/>
          <w:w w:val="100"/>
          <w:position w:val="0"/>
        </w:rPr>
        <w:t>行动计划》的要求，各烟草企业都把提升信息化水平作为实施创新驱动战略的重要抓手，扎实推动行 业平台升级改造，健全技术支撑体系，开展新技术与烟草产业融合创新课题研究</w:t>
      </w:r>
      <w:r>
        <w:rPr>
          <w:color w:val="000000"/>
          <w:spacing w:val="0"/>
          <w:w w:val="100"/>
          <w:position w:val="0"/>
        </w:rPr>
        <w:t>，</w:t>
      </w:r>
      <w:r>
        <w:rPr>
          <w:color w:val="000000"/>
          <w:spacing w:val="0"/>
          <w:w w:val="100"/>
          <w:position w:val="0"/>
        </w:rPr>
        <w:t>推动行业</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探索 实践。烟草行业信息化已开始向一体化政务、大数据科学监管（行业内外两个方面）、物流体系、仓储体 系建设等细分领域深化，大数据分析和利用成为各烟草企业信息化建设的重点。同时各中烟工业公司越来 越重视生产环节的精益化管理，运用人工智能技术满足封箱缺条检测、二维码包条件关联、小包透明纸缺 陷检测等细分需求，也为生产环节的系统升级改造带来了不少商机。</w:t>
      </w:r>
    </w:p>
    <w:p>
      <w:pPr>
        <w:pStyle w:val="Style47"/>
        <w:keepNext w:val="0"/>
        <w:keepLines w:val="0"/>
        <w:widowControl w:val="0"/>
        <w:shd w:val="clear" w:color="auto" w:fill="auto"/>
        <w:bidi w:val="0"/>
        <w:spacing w:before="0" w:after="0" w:line="468" w:lineRule="exact"/>
        <w:ind w:left="0" w:right="0" w:firstLine="440"/>
        <w:jc w:val="both"/>
      </w:pPr>
      <w:r>
        <w:rPr>
          <w:rFonts w:ascii="Times New Roman" w:eastAsia="Times New Roman" w:hAnsi="Times New Roman" w:cs="Times New Roman"/>
          <w:color w:val="000000"/>
          <w:spacing w:val="0"/>
          <w:w w:val="100"/>
          <w:position w:val="0"/>
        </w:rPr>
        <w:t>2021</w:t>
      </w:r>
      <w:r>
        <w:rPr>
          <w:color w:val="000000"/>
          <w:spacing w:val="0"/>
          <w:w w:val="100"/>
          <w:position w:val="0"/>
        </w:rPr>
        <w:t xml:space="preserve">年全国烟草工作会议上指出，烟草经济的发展已经步入了新阶段，发展的根本问题已经不在于产 量，而在于效率。单纯依靠传统生产要素的投入已经很难继续提高烟草产业的效率。要进一步深化对新发 展阶段特征的认识，突出高质量发展这个主题。认真贯彻落实党的十九届五中全会精神，着力加强科技创 新、品牌建设、市场监管，强化运行调控，推进降本增效，不断提高发展质量和效益。更加注重推动产业 链供应链优化升级，更加注重供需两侧同时发力，推进新一代信息技术与烟草产业深度融合和创新应用， </w:t>
      </w:r>
      <w:r>
        <w:rPr>
          <w:color w:val="000000"/>
          <w:spacing w:val="0"/>
          <w:w w:val="100"/>
          <w:position w:val="0"/>
        </w:rPr>
        <w:t>持续优化供给体系和产品结构，促进形成需求牵引供给、供给创造需求的更高水平动态平衡。在国家大力 推进新一代信息技术与传统产业融合的进程中，烟草行业正加快推进数字烟草、智慧烟草的建设进程。在 国家烟草专卖局</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行动计划的指引下，烟草行业正着力增强</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智慧农业、</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协同制 造、</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现代流通、</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高效政务等四个重点领域的创新能力，为实现烟草产业数字经济新生 态总体目标而努力。</w:t>
      </w:r>
    </w:p>
    <w:p>
      <w:pPr>
        <w:pStyle w:val="Style47"/>
        <w:keepNext w:val="0"/>
        <w:keepLines w:val="0"/>
        <w:widowControl w:val="0"/>
        <w:shd w:val="clear" w:color="auto" w:fill="auto"/>
        <w:bidi w:val="0"/>
        <w:spacing w:before="0" w:after="0" w:line="468" w:lineRule="exact"/>
        <w:ind w:left="0" w:right="0" w:firstLine="440"/>
        <w:jc w:val="both"/>
      </w:pPr>
      <w:r>
        <w:rPr>
          <w:b/>
          <w:bCs/>
          <w:color w:val="000000"/>
          <w:spacing w:val="0"/>
          <w:w w:val="100"/>
          <w:position w:val="0"/>
        </w:rPr>
        <w:t>公司措施：</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根据国家局整体发展战略指引整合关于智慧工厂的理解和项目积淀，充分利用自身在算法以及建模方 面的优势，继续加大在烟草行业智能制造、工业互联网和全价值链工业数据挖掘与分析的应用，并形成 智能制造整体解决方案，将</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领域的创新实践作为公司在烟草行业发展的主要增长动力。整合商 业内管、烟叶等系统，努力往科学监管方向发展，并逐渐形成全产业链科学监管整体解决方案；结合数字 仓储、烟草物流等项目积淀，形成物流管控一体化解决方案。通过与湖北烟草公司共建的</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智慧鄂 烟</w:t>
      </w:r>
      <w:r>
        <w:rPr>
          <w:color w:val="000000"/>
          <w:spacing w:val="0"/>
          <w:w w:val="100"/>
          <w:position w:val="0"/>
        </w:rPr>
        <w:t>''</w:t>
      </w:r>
      <w:r>
        <w:rPr>
          <w:color w:val="000000"/>
          <w:spacing w:val="0"/>
          <w:w w:val="100"/>
          <w:position w:val="0"/>
        </w:rPr>
        <w:t>联合实验室积极研究烟草未来发展方向，进行市场布局。</w:t>
      </w:r>
    </w:p>
    <w:p>
      <w:pPr>
        <w:pStyle w:val="Style47"/>
        <w:keepNext w:val="0"/>
        <w:keepLines w:val="0"/>
        <w:widowControl w:val="0"/>
        <w:numPr>
          <w:ilvl w:val="0"/>
          <w:numId w:val="15"/>
        </w:numPr>
        <w:shd w:val="clear" w:color="auto" w:fill="auto"/>
        <w:bidi w:val="0"/>
        <w:spacing w:before="0" w:after="0"/>
        <w:ind w:left="0" w:right="0" w:firstLine="440"/>
        <w:jc w:val="both"/>
      </w:pPr>
      <w:bookmarkStart w:id="87" w:name="bookmark87"/>
      <w:bookmarkEnd w:id="87"/>
      <w:r>
        <w:rPr>
          <w:color w:val="000000"/>
          <w:spacing w:val="0"/>
          <w:w w:val="100"/>
          <w:position w:val="0"/>
        </w:rPr>
        <w:t>印钞造币检测领域</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随着印钞行业对质量管控精细化需求的进一步提升，行业关注从单纯的质量剔废，逐步深化到在保证 质量安全的基础上，高效安全准确地进行质量缺陷分级分类与质量溯源。人工智能成为产业升级的重要手 段，以深度学习为代表的人工智能技术，有助于印钞检测行业实现质量</w:t>
      </w:r>
      <w:r>
        <w:rPr>
          <w:rFonts w:ascii="Times New Roman" w:eastAsia="Times New Roman" w:hAnsi="Times New Roman" w:cs="Times New Roman"/>
          <w:color w:val="000000"/>
          <w:spacing w:val="0"/>
          <w:w w:val="100"/>
          <w:position w:val="0"/>
        </w:rPr>
        <w:t>“</w:t>
      </w:r>
      <w:r>
        <w:rPr>
          <w:color w:val="000000"/>
          <w:spacing w:val="0"/>
          <w:w w:val="100"/>
          <w:position w:val="0"/>
        </w:rPr>
        <w:t>精准</w:t>
      </w:r>
      <w:r>
        <w:rPr>
          <w:color w:val="000000"/>
          <w:spacing w:val="0"/>
          <w:w w:val="100"/>
          <w:position w:val="0"/>
        </w:rPr>
        <w:t>''</w:t>
      </w:r>
      <w:r>
        <w:rPr>
          <w:color w:val="000000"/>
          <w:spacing w:val="0"/>
          <w:w w:val="100"/>
          <w:position w:val="0"/>
        </w:rPr>
        <w:t>控制与分析，满足印钞行业 新形势下</w:t>
      </w:r>
      <w:r>
        <w:rPr>
          <w:rFonts w:ascii="Times New Roman" w:eastAsia="Times New Roman" w:hAnsi="Times New Roman" w:cs="Times New Roman"/>
          <w:color w:val="000000"/>
          <w:spacing w:val="0"/>
          <w:w w:val="100"/>
          <w:position w:val="0"/>
        </w:rPr>
        <w:t>“</w:t>
      </w:r>
      <w:r>
        <w:rPr>
          <w:color w:val="000000"/>
          <w:spacing w:val="0"/>
          <w:w w:val="100"/>
          <w:position w:val="0"/>
        </w:rPr>
        <w:t>以质定价、以质定量</w:t>
      </w:r>
      <w:r>
        <w:rPr>
          <w:color w:val="000000"/>
          <w:spacing w:val="0"/>
          <w:w w:val="100"/>
          <w:position w:val="0"/>
        </w:rPr>
        <w:t>''</w:t>
      </w:r>
      <w:r>
        <w:rPr>
          <w:color w:val="000000"/>
          <w:spacing w:val="0"/>
          <w:w w:val="100"/>
          <w:position w:val="0"/>
        </w:rPr>
        <w:t>的生产需求。用智能制造改造传统产业成为趋势，中国印钞造币行业已经 将发展智能制造作为十四五规划的关键内容。从智能机台到智能车间，再到智能工厂，行业各企业均在智 能制造领域寻找方向、打开突破口。中国印钞造币总公司党委书记、董事长杨立杰表示：</w:t>
      </w:r>
      <w:r>
        <w:rPr>
          <w:rFonts w:ascii="Times New Roman" w:eastAsia="Times New Roman" w:hAnsi="Times New Roman" w:cs="Times New Roman"/>
          <w:color w:val="000000"/>
          <w:spacing w:val="0"/>
          <w:w w:val="100"/>
          <w:position w:val="0"/>
        </w:rPr>
        <w:t>“</w:t>
      </w:r>
      <w:r>
        <w:rPr>
          <w:color w:val="000000"/>
          <w:spacing w:val="0"/>
          <w:w w:val="100"/>
          <w:position w:val="0"/>
        </w:rPr>
        <w:t>中国印钞造币 总公司要顺应新时代要求，不断提升企业数字化水平。大数据、智能化等新一代信息技术与制造业深度融 合，将对企业的生产方式和组织形态带来根本性变革。中国印钞造币在加强顶层设计的同时，积极鼓励基 层创新，与有关科研院所和创新企业合作，推动企业智能化建设，不断完善工艺流程，提高数字化管控水 平和劳动生产率，让数字化技术为提升产品质量和经营效益赋能，持续推动印钞造币事业高质量发展。</w:t>
      </w:r>
      <w:r>
        <w:rPr>
          <w:color w:val="000000"/>
          <w:spacing w:val="0"/>
          <w:w w:val="100"/>
          <w:position w:val="0"/>
        </w:rPr>
        <w:t xml:space="preserve">’’ </w:t>
      </w:r>
      <w:r>
        <w:rPr>
          <w:color w:val="000000"/>
          <w:spacing w:val="0"/>
          <w:w w:val="100"/>
          <w:position w:val="0"/>
        </w:rPr>
        <w:t>行业在智能化与自动化的需求上呈现百花齐放的态势，使用大数据挖掘结合智能数据分析技术，达成对生 产过程进行预测分析和量化指导，实现数据信息的前后贯通与可追溯逐步成为主流思路。以智能化赋能自 动化，将带来可观的市场发展空间。</w:t>
      </w:r>
    </w:p>
    <w:p>
      <w:pPr>
        <w:pStyle w:val="Style47"/>
        <w:keepNext w:val="0"/>
        <w:keepLines w:val="0"/>
        <w:widowControl w:val="0"/>
        <w:shd w:val="clear" w:color="auto" w:fill="auto"/>
        <w:bidi w:val="0"/>
        <w:spacing w:before="0" w:after="0" w:line="468" w:lineRule="exact"/>
        <w:ind w:left="0" w:right="0" w:firstLine="440"/>
        <w:jc w:val="both"/>
      </w:pPr>
      <w:r>
        <w:rPr>
          <w:b/>
          <w:bCs/>
          <w:color w:val="000000"/>
          <w:spacing w:val="0"/>
          <w:w w:val="100"/>
          <w:position w:val="0"/>
        </w:rPr>
        <w:t>公司措施：</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公司核心技术团队始终紧跟技术发展趋势，尤其加大了对深度学习领域的研究与应用，很好的解决了 常规算法适应性有限、依赖人工经验等工程应用问题。制定了以</w:t>
      </w:r>
      <w:r>
        <w:rPr>
          <w:rFonts w:ascii="Times New Roman" w:eastAsia="Times New Roman" w:hAnsi="Times New Roman" w:cs="Times New Roman"/>
          <w:color w:val="000000"/>
          <w:spacing w:val="0"/>
          <w:w w:val="100"/>
          <w:position w:val="0"/>
        </w:rPr>
        <w:t>“</w:t>
      </w:r>
      <w:r>
        <w:rPr>
          <w:color w:val="000000"/>
          <w:spacing w:val="0"/>
          <w:w w:val="100"/>
          <w:position w:val="0"/>
        </w:rPr>
        <w:t>机检为根本、数据为驱动</w:t>
      </w:r>
      <w:r>
        <w:rPr>
          <w:color w:val="000000"/>
          <w:spacing w:val="0"/>
          <w:w w:val="100"/>
          <w:position w:val="0"/>
        </w:rPr>
        <w:t>''</w:t>
      </w:r>
      <w:r>
        <w:rPr>
          <w:color w:val="000000"/>
          <w:spacing w:val="0"/>
          <w:w w:val="100"/>
          <w:position w:val="0"/>
        </w:rPr>
        <w:t xml:space="preserve">的基本智能化 发展方向，并坚持以自身优势为中心、加大外部资源利用、联合战略协同的发展思路，充分整合外部资源、 </w:t>
      </w:r>
      <w:r>
        <w:rPr>
          <w:color w:val="000000"/>
          <w:spacing w:val="0"/>
          <w:w w:val="100"/>
          <w:position w:val="0"/>
        </w:rPr>
        <w:t>力争在十四五初期探索出一套适应印钞行业发展需求的智能化解决方案。应对疫情下印钞行业企业对强化 智能安防的需求，大力拓展智能安防与智能厂区应用产品的研发与落地。配合行业设备更新换代，升级现 有检测设备；挖掘前期在行业内投入资源不足的外围需求，扩展深度学习在行业应用领域。</w:t>
      </w:r>
    </w:p>
    <w:p>
      <w:pPr>
        <w:pStyle w:val="Style47"/>
        <w:keepNext w:val="0"/>
        <w:keepLines w:val="0"/>
        <w:widowControl w:val="0"/>
        <w:numPr>
          <w:ilvl w:val="0"/>
          <w:numId w:val="15"/>
        </w:numPr>
        <w:shd w:val="clear" w:color="auto" w:fill="auto"/>
        <w:tabs>
          <w:tab w:pos="714" w:val="left"/>
        </w:tabs>
        <w:bidi w:val="0"/>
        <w:spacing w:before="0" w:after="0"/>
        <w:ind w:left="0" w:right="0" w:firstLine="440"/>
        <w:jc w:val="both"/>
      </w:pPr>
      <w:bookmarkStart w:id="88" w:name="bookmark88"/>
      <w:bookmarkEnd w:id="88"/>
      <w:r>
        <w:rPr>
          <w:color w:val="000000"/>
          <w:spacing w:val="0"/>
          <w:w w:val="100"/>
          <w:position w:val="0"/>
        </w:rPr>
        <w:t>油气信息化领域</w:t>
      </w:r>
    </w:p>
    <w:p>
      <w:pPr>
        <w:pStyle w:val="Style47"/>
        <w:keepNext w:val="0"/>
        <w:keepLines w:val="0"/>
        <w:widowControl w:val="0"/>
        <w:shd w:val="clear" w:color="auto" w:fill="auto"/>
        <w:bidi w:val="0"/>
        <w:spacing w:before="0" w:after="0" w:line="469" w:lineRule="exact"/>
        <w:ind w:left="0" w:right="0" w:firstLine="440"/>
        <w:jc w:val="both"/>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月以来，因新冠肺炎疫情、需求低迷以及沙特、俄罗斯等国的石油价格战，国际油价处于历 史性低位。尽管全球原油价格持续波动，但石油和天然气仍将是全球的主要消费能源，占一次能源的</w:t>
      </w:r>
      <w:r>
        <w:rPr>
          <w:rFonts w:ascii="Times New Roman" w:eastAsia="Times New Roman" w:hAnsi="Times New Roman" w:cs="Times New Roman"/>
          <w:color w:val="000000"/>
          <w:spacing w:val="0"/>
          <w:w w:val="100"/>
          <w:position w:val="0"/>
        </w:rPr>
        <w:t xml:space="preserve">50% </w:t>
      </w:r>
      <w:r>
        <w:rPr>
          <w:color w:val="000000"/>
          <w:spacing w:val="0"/>
          <w:w w:val="100"/>
          <w:position w:val="0"/>
        </w:rPr>
        <w:t>以上，原油作为基础能源及化工原料，其需求依然旺盛。美国能源信息署预测</w:t>
      </w:r>
      <w:r>
        <w:rPr>
          <w:rFonts w:ascii="Times New Roman" w:eastAsia="Times New Roman" w:hAnsi="Times New Roman" w:cs="Times New Roman"/>
          <w:color w:val="000000"/>
          <w:spacing w:val="0"/>
          <w:w w:val="100"/>
          <w:position w:val="0"/>
        </w:rPr>
        <w:t>2021</w:t>
      </w:r>
      <w:r>
        <w:rPr>
          <w:color w:val="000000"/>
          <w:spacing w:val="0"/>
          <w:w w:val="100"/>
          <w:position w:val="0"/>
        </w:rPr>
        <w:t xml:space="preserve">年全球原油需求会增加 </w:t>
      </w:r>
      <w:r>
        <w:rPr>
          <w:rFonts w:ascii="Times New Roman" w:eastAsia="Times New Roman" w:hAnsi="Times New Roman" w:cs="Times New Roman"/>
          <w:color w:val="000000"/>
          <w:spacing w:val="0"/>
          <w:w w:val="100"/>
          <w:position w:val="0"/>
        </w:rPr>
        <w:t>7</w:t>
      </w:r>
      <w:r>
        <w:rPr>
          <w:color w:val="000000"/>
          <w:spacing w:val="0"/>
          <w:w w:val="100"/>
          <w:position w:val="0"/>
        </w:rPr>
        <w:t>百万桶</w:t>
      </w:r>
      <w:r>
        <w:rPr>
          <w:rFonts w:ascii="Times New Roman" w:eastAsia="Times New Roman" w:hAnsi="Times New Roman" w:cs="Times New Roman"/>
          <w:color w:val="000000"/>
          <w:spacing w:val="0"/>
          <w:w w:val="100"/>
          <w:position w:val="0"/>
        </w:rPr>
        <w:t>/</w:t>
      </w:r>
      <w:r>
        <w:rPr>
          <w:color w:val="000000"/>
          <w:spacing w:val="0"/>
          <w:w w:val="100"/>
          <w:position w:val="0"/>
        </w:rPr>
        <w:t>天，达到</w:t>
      </w:r>
      <w:r>
        <w:rPr>
          <w:rFonts w:ascii="Times New Roman" w:eastAsia="Times New Roman" w:hAnsi="Times New Roman" w:cs="Times New Roman"/>
          <w:color w:val="000000"/>
          <w:spacing w:val="0"/>
          <w:w w:val="100"/>
          <w:position w:val="0"/>
        </w:rPr>
        <w:t>99.60</w:t>
      </w:r>
      <w:r>
        <w:rPr>
          <w:color w:val="000000"/>
          <w:spacing w:val="0"/>
          <w:w w:val="100"/>
          <w:position w:val="0"/>
        </w:rPr>
        <w:t>百万桶</w:t>
      </w:r>
      <w:r>
        <w:rPr>
          <w:rFonts w:ascii="Times New Roman" w:eastAsia="Times New Roman" w:hAnsi="Times New Roman" w:cs="Times New Roman"/>
          <w:color w:val="000000"/>
          <w:spacing w:val="0"/>
          <w:w w:val="100"/>
          <w:position w:val="0"/>
        </w:rPr>
        <w:t>/</w:t>
      </w:r>
      <w:r>
        <w:rPr>
          <w:color w:val="000000"/>
          <w:spacing w:val="0"/>
          <w:w w:val="100"/>
          <w:position w:val="0"/>
        </w:rPr>
        <w:t>天。世界原油需求总体呈上升趋势。原油价格短期存在非理性下跌的情形， 但随着全球经济的发展，最终会回归于合理区间。我国正在成为世界最大的石油和天然气进口国，能源安 全保障压力大增的形势下，我国实施加大国内油气勘探开发力度的能源战略，落实国家</w:t>
      </w:r>
      <w:r>
        <w:rPr>
          <w:rFonts w:ascii="Times New Roman" w:eastAsia="Times New Roman" w:hAnsi="Times New Roman" w:cs="Times New Roman"/>
          <w:color w:val="000000"/>
          <w:spacing w:val="0"/>
          <w:w w:val="100"/>
          <w:position w:val="0"/>
        </w:rPr>
        <w:t>2019</w:t>
      </w:r>
      <w:r>
        <w:rPr>
          <w:color w:val="000000"/>
          <w:spacing w:val="0"/>
          <w:w w:val="100"/>
          <w:position w:val="0"/>
        </w:rPr>
        <w:t>〜</w:t>
      </w:r>
      <w:r>
        <w:rPr>
          <w:rFonts w:ascii="Times New Roman" w:eastAsia="Times New Roman" w:hAnsi="Times New Roman" w:cs="Times New Roman"/>
          <w:color w:val="000000"/>
          <w:spacing w:val="0"/>
          <w:w w:val="100"/>
          <w:position w:val="0"/>
        </w:rPr>
        <w:t>2025</w:t>
      </w:r>
      <w:r>
        <w:rPr>
          <w:color w:val="000000"/>
          <w:spacing w:val="0"/>
          <w:w w:val="100"/>
          <w:position w:val="0"/>
        </w:rPr>
        <w:t>七年行 动方案，力促油气增储上产的结果。国际能源机构曾预测，我国</w:t>
      </w:r>
      <w:r>
        <w:rPr>
          <w:rFonts w:ascii="Times New Roman" w:eastAsia="Times New Roman" w:hAnsi="Times New Roman" w:cs="Times New Roman"/>
          <w:color w:val="000000"/>
          <w:spacing w:val="0"/>
          <w:w w:val="100"/>
          <w:position w:val="0"/>
        </w:rPr>
        <w:t>2030</w:t>
      </w:r>
      <w:r>
        <w:rPr>
          <w:color w:val="000000"/>
          <w:spacing w:val="0"/>
          <w:w w:val="100"/>
          <w:position w:val="0"/>
        </w:rPr>
        <w:t>年的油气对外依存度将达到</w:t>
      </w:r>
      <w:r>
        <w:rPr>
          <w:rFonts w:ascii="Times New Roman" w:eastAsia="Times New Roman" w:hAnsi="Times New Roman" w:cs="Times New Roman"/>
          <w:color w:val="000000"/>
          <w:spacing w:val="0"/>
          <w:w w:val="100"/>
          <w:position w:val="0"/>
        </w:rPr>
        <w:t>75%</w:t>
      </w:r>
      <w:r>
        <w:rPr>
          <w:color w:val="000000"/>
          <w:spacing w:val="0"/>
          <w:w w:val="100"/>
          <w:position w:val="0"/>
        </w:rPr>
        <w:t>。如 何应对不确定的国际能源体系，保障国家的能源安全，成为我国所面临的重大挑战。为此，我国继续加大 国内油气勘探开发力度，推动油气行业新一轮发展，将成为必然趋势。油田必须依靠降本增效才能盈利。 国际各大石油公司不断探索智能油气田的建设模式，谋求数字化转型。智能化技术的飞速发展为石油企业 的转型升级提供了一条全新的进阶之路，如何将</w:t>
      </w:r>
      <w:r>
        <w:rPr>
          <w:rFonts w:ascii="Times New Roman" w:eastAsia="Times New Roman" w:hAnsi="Times New Roman" w:cs="Times New Roman"/>
          <w:color w:val="000000"/>
          <w:spacing w:val="0"/>
          <w:w w:val="100"/>
          <w:position w:val="0"/>
        </w:rPr>
        <w:t>AI</w:t>
      </w:r>
      <w:r>
        <w:rPr>
          <w:color w:val="000000"/>
          <w:spacing w:val="0"/>
          <w:w w:val="100"/>
          <w:position w:val="0"/>
        </w:rPr>
        <w:t>技术充分整合到油气勘探和生产生命周期中成为数字油 田建设的重要部分。目前我国油气行业的信息化处于较高级阶段，数字化技术已经起步，但距离真正的智 能化还相差很远，亟须加快发展步伐。在数字化浪潮冲击下，油气行业数字化转型、智能化发展是大势所 趋。平台化共享应用是推动数字技术与生产经营管理深度融合的趋势，以工业互联网平台为支撑的智能油 田建设，是油气业务数智化转型的方向。</w:t>
      </w:r>
    </w:p>
    <w:p>
      <w:pPr>
        <w:pStyle w:val="Style47"/>
        <w:keepNext w:val="0"/>
        <w:keepLines w:val="0"/>
        <w:widowControl w:val="0"/>
        <w:shd w:val="clear" w:color="auto" w:fill="auto"/>
        <w:bidi w:val="0"/>
        <w:spacing w:before="0" w:after="0" w:line="469" w:lineRule="exact"/>
        <w:ind w:left="0" w:right="0" w:firstLine="440"/>
        <w:jc w:val="both"/>
      </w:pPr>
      <w:r>
        <w:rPr>
          <w:b/>
          <w:bCs/>
          <w:color w:val="000000"/>
          <w:spacing w:val="0"/>
          <w:w w:val="100"/>
          <w:position w:val="0"/>
        </w:rPr>
        <w:t>公司措施：</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油气行业在疫情期间为实现自身降费增效目标而暂时压缩各类项目投资，公司面对此种压力将加强项 目成本控制，确保平稳度过这段特殊时期；同时，增加技术研发投入，逐步形成自身有竞争力的技术产品， 为公司争取更多行业竞争优势，在立足塔里木油田等现有市场的基础上，新增技术研究类业务承接，并将 当前的产品和服务向中石油西南油气田、中石油长庆油田等油田企业进行扩张，为公司在油气领域业务的 持续增长创造有利条件。</w:t>
      </w:r>
    </w:p>
    <w:p>
      <w:pPr>
        <w:pStyle w:val="Style47"/>
        <w:keepNext w:val="0"/>
        <w:keepLines w:val="0"/>
        <w:widowControl w:val="0"/>
        <w:numPr>
          <w:ilvl w:val="0"/>
          <w:numId w:val="15"/>
        </w:numPr>
        <w:shd w:val="clear" w:color="auto" w:fill="auto"/>
        <w:tabs>
          <w:tab w:pos="714" w:val="left"/>
        </w:tabs>
        <w:bidi w:val="0"/>
        <w:spacing w:before="0" w:after="0"/>
        <w:ind w:left="0" w:right="0" w:firstLine="440"/>
        <w:jc w:val="both"/>
      </w:pPr>
      <w:bookmarkStart w:id="89" w:name="bookmark89"/>
      <w:bookmarkEnd w:id="89"/>
      <w:r>
        <w:rPr>
          <w:color w:val="000000"/>
          <w:spacing w:val="0"/>
          <w:w w:val="100"/>
          <w:position w:val="0"/>
        </w:rPr>
        <w:t>政务信息化领域</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 xml:space="preserve">在建设数字中国的浪潮推动下，新时代下政务信息化工作已经迈入集约整合、全面互联、协同共治、 共享开放、安全可信的新阶段。坚持大平台、大系统、大数据的顶层架构，构建形成大平台共享、大数据 慧治、大系统共治的顶层架构，建成全国一体化的国家大数据中心，促进网络强国建设，提升宏观调控科 学化、政府治理精准化、公共服务便捷化、基础设施集约化水平。数字政府建设开启政府信息化发展新局 </w:t>
      </w:r>
      <w:r>
        <w:rPr>
          <w:color w:val="000000"/>
          <w:spacing w:val="0"/>
          <w:w w:val="100"/>
          <w:position w:val="0"/>
        </w:rPr>
        <w:t xml:space="preserve">面，全面推动基础设施统建共享、政务业务协同联动、决策治理数据支撑。互联网、物联网、大数据等技 术应用将成为政府提升经济调节、市场监管、社会管理、公共服务、生态保护等履职决策能力的重要抓手, </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rFonts w:ascii="Times New Roman" w:eastAsia="Times New Roman" w:hAnsi="Times New Roman" w:cs="Times New Roman"/>
          <w:color w:val="000000"/>
          <w:spacing w:val="0"/>
          <w:w w:val="100"/>
          <w:position w:val="0"/>
        </w:rPr>
        <w:t>+</w:t>
      </w:r>
      <w:r>
        <w:rPr>
          <w:color w:val="000000"/>
          <w:spacing w:val="0"/>
          <w:w w:val="100"/>
          <w:position w:val="0"/>
        </w:rPr>
        <w:t>政务服务互联网</w:t>
      </w:r>
      <w:r>
        <w:rPr>
          <w:rFonts w:ascii="Times New Roman" w:eastAsia="Times New Roman" w:hAnsi="Times New Roman" w:cs="Times New Roman"/>
          <w:color w:val="000000"/>
          <w:spacing w:val="0"/>
          <w:w w:val="100"/>
          <w:position w:val="0"/>
        </w:rPr>
        <w:t>+</w:t>
      </w:r>
      <w:r>
        <w:rPr>
          <w:color w:val="000000"/>
          <w:spacing w:val="0"/>
          <w:w w:val="100"/>
          <w:position w:val="0"/>
        </w:rPr>
        <w:t>监管''的推行，不仅提升政府在线服务、实时感知、在线监管、预警预测等能 力，更是能够促进经济社会运行数据的汇聚，推动</w:t>
      </w:r>
      <w:r>
        <w:rPr>
          <w:rFonts w:ascii="Times New Roman" w:eastAsia="Times New Roman" w:hAnsi="Times New Roman" w:cs="Times New Roman"/>
          <w:color w:val="000000"/>
          <w:spacing w:val="0"/>
          <w:w w:val="100"/>
          <w:position w:val="0"/>
        </w:rPr>
        <w:t>“</w:t>
      </w:r>
      <w:r>
        <w:rPr>
          <w:color w:val="000000"/>
          <w:spacing w:val="0"/>
          <w:w w:val="100"/>
          <w:position w:val="0"/>
        </w:rPr>
        <w:t>数据说话、数据决策''的数字政府建设。</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rPr>
        <w:t>“</w:t>
      </w:r>
      <w:r>
        <w:rPr>
          <w:color w:val="000000"/>
          <w:spacing w:val="0"/>
          <w:w w:val="100"/>
          <w:position w:val="0"/>
        </w:rPr>
        <w:t>十三五''国家信息化规划》等国家政策的大力支持和推动下，政务大数据行业在</w:t>
      </w:r>
      <w:r>
        <w:rPr>
          <w:rFonts w:ascii="Times New Roman" w:eastAsia="Times New Roman" w:hAnsi="Times New Roman" w:cs="Times New Roman"/>
          <w:color w:val="000000"/>
          <w:spacing w:val="0"/>
          <w:w w:val="100"/>
          <w:position w:val="0"/>
        </w:rPr>
        <w:t>“</w:t>
      </w:r>
      <w:r>
        <w:rPr>
          <w:color w:val="000000"/>
          <w:spacing w:val="0"/>
          <w:w w:val="100"/>
          <w:position w:val="0"/>
        </w:rPr>
        <w:t>十三五</w:t>
      </w:r>
      <w:r>
        <w:rPr>
          <w:color w:val="000000"/>
          <w:spacing w:val="0"/>
          <w:w w:val="100"/>
          <w:position w:val="0"/>
        </w:rPr>
        <w:t>''</w:t>
      </w:r>
      <w:r>
        <w:rPr>
          <w:color w:val="000000"/>
          <w:spacing w:val="0"/>
          <w:w w:val="100"/>
          <w:position w:val="0"/>
        </w:rPr>
        <w:t>期间取 得了高速的发展，统计信息化的建设也取得一定的成绩，但未来还面临着很多的新需求，并随之带来更加 广阔的市场机遇。</w:t>
      </w:r>
      <w:r>
        <w:rPr>
          <w:rFonts w:ascii="Times New Roman" w:eastAsia="Times New Roman" w:hAnsi="Times New Roman" w:cs="Times New Roman"/>
          <w:color w:val="000000"/>
          <w:spacing w:val="0"/>
          <w:w w:val="100"/>
          <w:position w:val="0"/>
        </w:rPr>
        <w:t>2021</w:t>
      </w:r>
      <w:r>
        <w:rPr>
          <w:color w:val="000000"/>
          <w:spacing w:val="0"/>
          <w:w w:val="100"/>
          <w:position w:val="0"/>
        </w:rPr>
        <w:t>年，作为国家</w:t>
      </w:r>
      <w:r>
        <w:rPr>
          <w:rFonts w:ascii="Times New Roman" w:eastAsia="Times New Roman" w:hAnsi="Times New Roman" w:cs="Times New Roman"/>
          <w:color w:val="000000"/>
          <w:spacing w:val="0"/>
          <w:w w:val="100"/>
          <w:position w:val="0"/>
        </w:rPr>
        <w:t>“</w:t>
      </w:r>
      <w:r>
        <w:rPr>
          <w:color w:val="000000"/>
          <w:spacing w:val="0"/>
          <w:w w:val="100"/>
          <w:position w:val="0"/>
        </w:rPr>
        <w:t>十四五''的开局之年，在政府统计体制深化改革、提升统计微观数据 价值挖掘应用、推进统计现代化改革等方面将迎来更多的发展机会。随着国家各级政府部门信息化建设的 不断深入，</w:t>
      </w:r>
      <w:r>
        <w:rPr>
          <w:rFonts w:ascii="Times New Roman" w:eastAsia="Times New Roman" w:hAnsi="Times New Roman" w:cs="Times New Roman"/>
          <w:color w:val="000000"/>
          <w:spacing w:val="0"/>
          <w:w w:val="100"/>
          <w:position w:val="0"/>
        </w:rPr>
        <w:t>"</w:t>
      </w:r>
      <w:r>
        <w:rPr>
          <w:color w:val="000000"/>
          <w:spacing w:val="0"/>
          <w:w w:val="100"/>
          <w:position w:val="0"/>
        </w:rPr>
        <w:t>大数据</w:t>
      </w:r>
      <w:r>
        <w:rPr>
          <w:rFonts w:ascii="Times New Roman" w:eastAsia="Times New Roman" w:hAnsi="Times New Roman" w:cs="Times New Roman"/>
          <w:color w:val="000000"/>
          <w:spacing w:val="0"/>
          <w:w w:val="100"/>
          <w:position w:val="0"/>
        </w:rPr>
        <w:t>+</w:t>
      </w:r>
      <w:r>
        <w:rPr>
          <w:color w:val="000000"/>
          <w:spacing w:val="0"/>
          <w:w w:val="100"/>
          <w:position w:val="0"/>
        </w:rPr>
        <w:t>政府管理</w:t>
      </w:r>
      <w:r>
        <w:rPr>
          <w:rFonts w:ascii="Times New Roman" w:eastAsia="Times New Roman" w:hAnsi="Times New Roman" w:cs="Times New Roman"/>
          <w:color w:val="000000"/>
          <w:spacing w:val="0"/>
          <w:w w:val="100"/>
          <w:position w:val="0"/>
        </w:rPr>
        <w:t>”</w:t>
      </w:r>
      <w:r>
        <w:rPr>
          <w:color w:val="000000"/>
          <w:spacing w:val="0"/>
          <w:w w:val="100"/>
          <w:position w:val="0"/>
        </w:rPr>
        <w:t>需求越加迫切，各级政府部门对以统计数据为代表的各类数据应用的广度 和深度都提出了更高的要求。公司通过成功切入各级地方政府统计部门的信息化系统建设，进一步熟悉和 掌握了政务大数据业务相应的行业特点、业务知识及相应的技术储备，为未来发展奠定了良好的基础。各 级政府也正在加大在智慧政务领域的投入，特别是智慧组工、智慧人大、智慧政协等领域的建设需求与日 剧增。未来一段时间，互联网、大数据、人工智能等新兴技术应用将成为政府提质增效的重要抓手，政务 信息化领域将迎来蓬勃发展的新机遇。</w:t>
      </w:r>
    </w:p>
    <w:p>
      <w:pPr>
        <w:pStyle w:val="Style47"/>
        <w:keepNext w:val="0"/>
        <w:keepLines w:val="0"/>
        <w:widowControl w:val="0"/>
        <w:shd w:val="clear" w:color="auto" w:fill="auto"/>
        <w:bidi w:val="0"/>
        <w:spacing w:before="0" w:after="0" w:line="469" w:lineRule="exact"/>
        <w:ind w:left="0" w:right="0" w:firstLine="440"/>
        <w:jc w:val="both"/>
      </w:pPr>
      <w:r>
        <w:rPr>
          <w:b/>
          <w:bCs/>
          <w:color w:val="000000"/>
          <w:spacing w:val="0"/>
          <w:w w:val="100"/>
          <w:position w:val="0"/>
        </w:rPr>
        <w:t>公司措施：</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公司将紧紧抓住时代机遇，加快智慧组工、智慧人大、智慧政协等产品的研发与升级，大力推广统计 大数据管理与挖掘分析平台、区域经济运行监测分析平台等相关产品与解决方案在地方政府的应用，切实 帮助其解决实际工作难题，提高工作效率，从而进一步提高公司在政务信息化领域的市场占有率。</w:t>
      </w:r>
    </w:p>
    <w:p>
      <w:pPr>
        <w:pStyle w:val="Style47"/>
        <w:keepNext w:val="0"/>
        <w:keepLines w:val="0"/>
        <w:widowControl w:val="0"/>
        <w:numPr>
          <w:ilvl w:val="0"/>
          <w:numId w:val="15"/>
        </w:numPr>
        <w:shd w:val="clear" w:color="auto" w:fill="auto"/>
        <w:bidi w:val="0"/>
        <w:spacing w:before="0" w:after="0"/>
        <w:ind w:left="0" w:right="0" w:firstLine="440"/>
        <w:jc w:val="both"/>
      </w:pPr>
      <w:bookmarkStart w:id="90" w:name="bookmark90"/>
      <w:bookmarkEnd w:id="90"/>
      <w:r>
        <w:rPr>
          <w:color w:val="000000"/>
          <w:spacing w:val="0"/>
          <w:w w:val="100"/>
          <w:position w:val="0"/>
        </w:rPr>
        <w:t>智慧医疗领域</w:t>
      </w:r>
    </w:p>
    <w:p>
      <w:pPr>
        <w:pStyle w:val="Style47"/>
        <w:keepNext w:val="0"/>
        <w:keepLines w:val="0"/>
        <w:widowControl w:val="0"/>
        <w:shd w:val="clear" w:color="auto" w:fill="auto"/>
        <w:bidi w:val="0"/>
        <w:spacing w:before="0" w:after="0" w:line="469" w:lineRule="exact"/>
        <w:ind w:left="0" w:right="0" w:firstLine="440"/>
        <w:jc w:val="both"/>
        <w:sectPr>
          <w:headerReference w:type="default" r:id="rId45"/>
          <w:footerReference w:type="default" r:id="rId46"/>
          <w:headerReference w:type="even" r:id="rId47"/>
          <w:footerReference w:type="even" r:id="rId48"/>
          <w:headerReference w:type="first" r:id="rId49"/>
          <w:footerReference w:type="first" r:id="rId50"/>
          <w:footnotePr>
            <w:pos w:val="pageBottom"/>
            <w:numFmt w:val="decimal"/>
            <w:numRestart w:val="continuous"/>
          </w:footnotePr>
          <w:pgSz w:w="11900" w:h="16840"/>
          <w:pgMar w:top="1321" w:right="27" w:bottom="1494" w:left="1101" w:header="0" w:footer="3" w:gutter="0"/>
          <w:cols w:space="720"/>
          <w:noEndnote/>
          <w:titlePg/>
          <w:rtlGutter w:val="0"/>
          <w:docGrid w:linePitch="360"/>
        </w:sectPr>
      </w:pPr>
      <w:r>
        <w:rPr>
          <w:color w:val="000000"/>
          <w:spacing w:val="0"/>
          <w:w w:val="100"/>
          <w:position w:val="0"/>
        </w:rPr>
        <w:t>在新冠肺炎疫情防控救治中，</w:t>
      </w:r>
      <w:r>
        <w:rPr>
          <w:rFonts w:ascii="Times New Roman" w:eastAsia="Times New Roman" w:hAnsi="Times New Roman" w:cs="Times New Roman"/>
          <w:color w:val="000000"/>
          <w:spacing w:val="0"/>
          <w:w w:val="100"/>
          <w:position w:val="0"/>
        </w:rPr>
        <w:t>Al</w:t>
      </w:r>
      <w:r>
        <w:rPr>
          <w:color w:val="000000"/>
          <w:spacing w:val="0"/>
          <w:w w:val="100"/>
          <w:position w:val="0"/>
        </w:rPr>
        <w:t>、</w:t>
      </w:r>
      <w:r>
        <w:rPr>
          <w:rFonts w:ascii="Times New Roman" w:eastAsia="Times New Roman" w:hAnsi="Times New Roman" w:cs="Times New Roman"/>
          <w:color w:val="000000"/>
          <w:spacing w:val="0"/>
          <w:w w:val="100"/>
          <w:position w:val="0"/>
        </w:rPr>
        <w:t>5G</w:t>
      </w:r>
      <w:r>
        <w:rPr>
          <w:color w:val="000000"/>
          <w:spacing w:val="0"/>
          <w:w w:val="100"/>
          <w:position w:val="0"/>
        </w:rPr>
        <w:t>、</w:t>
      </w:r>
      <w:r>
        <w:rPr>
          <w:color w:val="000000"/>
          <w:spacing w:val="0"/>
          <w:w w:val="100"/>
          <w:position w:val="0"/>
        </w:rPr>
        <w:t>大数据等数字技术在疫病智能诊治、物资调配、药物研发等方 面涌现出了一批服务于疫情防控的非典型服务场景，为提高管控工作效率发挥了重要作用，也将促使智慧 医疗的加速到来。随着我国社会老龄化趋势的加速，健康服务需求不断增长，自</w:t>
      </w:r>
      <w:r>
        <w:rPr>
          <w:rFonts w:ascii="Times New Roman" w:eastAsia="Times New Roman" w:hAnsi="Times New Roman" w:cs="Times New Roman"/>
          <w:color w:val="000000"/>
          <w:spacing w:val="0"/>
          <w:w w:val="100"/>
          <w:position w:val="0"/>
        </w:rPr>
        <w:t>2014</w:t>
      </w:r>
      <w:r>
        <w:rPr>
          <w:color w:val="000000"/>
          <w:spacing w:val="0"/>
          <w:w w:val="100"/>
          <w:position w:val="0"/>
        </w:rPr>
        <w:t>年开始，中央及地 方政府就围绕智慧医疗、医药行业，密集出台了一系列深化改革的政策，为智慧医疗的建设奠定了政策基 础。疫情中，数字医疗较为充分的渗透到众多环节，并形成较大规模的场景应用空间。同时国家相关部委 先后出台《充分发挥人工智能赋能效用协力抗击新型冠状病毒感染的肺炎疫情倡议书》《关于在疫情防控 中做好互联网诊疗咨询服务工作的通知》推动人工智能、互联网服务平台等在数字医疗中的应用。因此， 在市场需求攀升和政策利好频出的双轮驱动下，未来几年将是我国智慧医疗建设飞速发展的时期。在新医 改方案的指导下，各地方政府将会加大当地智慧医疗建设方面的投入，将会有更多的医疗机构参与到信息 化建设中，一些信息化建设较好的医疗机构也将致力于建设更为先进的医院管理系统，提升自身竞争力， 给广大居民带来更好的医疗体验。更多的地方医疗机构将会建设</w:t>
      </w:r>
      <w:r>
        <w:rPr>
          <w:rFonts w:ascii="Times New Roman" w:eastAsia="Times New Roman" w:hAnsi="Times New Roman" w:cs="Times New Roman"/>
          <w:color w:val="000000"/>
          <w:spacing w:val="0"/>
          <w:w w:val="100"/>
          <w:position w:val="0"/>
        </w:rPr>
        <w:t>“</w:t>
      </w:r>
      <w:r>
        <w:rPr>
          <w:color w:val="000000"/>
          <w:spacing w:val="0"/>
          <w:w w:val="100"/>
          <w:position w:val="0"/>
        </w:rPr>
        <w:t>以病人为核心''的临床管理系统，医学影</w:t>
      </w:r>
    </w:p>
    <w:p>
      <w:pPr>
        <w:pStyle w:val="Style47"/>
        <w:keepNext w:val="0"/>
        <w:keepLines w:val="0"/>
        <w:widowControl w:val="0"/>
        <w:shd w:val="clear" w:color="auto" w:fill="auto"/>
        <w:bidi w:val="0"/>
        <w:spacing w:before="0" w:after="0" w:line="469" w:lineRule="exact"/>
        <w:ind w:left="0" w:right="0" w:firstLine="0"/>
        <w:jc w:val="left"/>
      </w:pPr>
      <w:r>
        <w:rPr>
          <w:color w:val="000000"/>
          <w:spacing w:val="0"/>
          <w:w w:val="100"/>
          <w:position w:val="0"/>
        </w:rPr>
        <w:t>像传输系统的发展也将进一步展开，网络技术的持续发展为远程医疗系统的推广提供了有力的支持，区域</w:t>
      </w:r>
    </w:p>
    <w:p>
      <w:pPr>
        <w:pStyle w:val="Style47"/>
        <w:keepNext w:val="0"/>
        <w:keepLines w:val="0"/>
        <w:widowControl w:val="0"/>
        <w:shd w:val="clear" w:color="auto" w:fill="auto"/>
        <w:bidi w:val="0"/>
        <w:spacing w:before="0" w:after="0" w:line="469" w:lineRule="exact"/>
        <w:ind w:left="0" w:right="0" w:firstLine="0"/>
        <w:jc w:val="left"/>
      </w:pPr>
      <w:r>
        <w:rPr>
          <w:color w:val="000000"/>
          <w:spacing w:val="0"/>
          <w:w w:val="100"/>
          <w:position w:val="0"/>
        </w:rPr>
        <w:t>卫生信息化建设也将得到推广，我国的智慧医疗建设行业有着广阔的发展空间和投资市场。</w:t>
      </w:r>
    </w:p>
    <w:p>
      <w:pPr>
        <w:pStyle w:val="Style47"/>
        <w:keepNext w:val="0"/>
        <w:keepLines w:val="0"/>
        <w:widowControl w:val="0"/>
        <w:shd w:val="clear" w:color="auto" w:fill="auto"/>
        <w:bidi w:val="0"/>
        <w:spacing w:before="0" w:after="0" w:line="469" w:lineRule="exact"/>
        <w:ind w:left="0" w:right="0" w:firstLine="440"/>
        <w:jc w:val="both"/>
      </w:pPr>
      <w:r>
        <w:rPr>
          <w:b/>
          <w:bCs/>
          <w:color w:val="000000"/>
          <w:spacing w:val="0"/>
          <w:w w:val="100"/>
          <w:position w:val="0"/>
        </w:rPr>
        <w:t>公司措施：</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在医学仿真教学领域，已经从传统的单机版模拟教学产品向模拟教学、床旁教学、远程教学的多种方 式结合的教学体系发展。针对行业发展现状，公司与四川大学华西医院紧密合作，不断加强核心课程与产 品的融合，并结合华西的丰富大病例数据，搭建大数据云病例平台，形成核心课程、</w:t>
      </w:r>
      <w:r>
        <w:rPr>
          <w:rFonts w:ascii="Times New Roman" w:eastAsia="Times New Roman" w:hAnsi="Times New Roman" w:cs="Times New Roman"/>
          <w:color w:val="000000"/>
          <w:spacing w:val="0"/>
          <w:w w:val="100"/>
          <w:position w:val="0"/>
        </w:rPr>
        <w:t>PC</w:t>
      </w:r>
      <w:r>
        <w:rPr>
          <w:color w:val="000000"/>
          <w:spacing w:val="0"/>
          <w:w w:val="100"/>
          <w:position w:val="0"/>
        </w:rPr>
        <w:t>端模拟教学、移动 端模拟教学、云端教学整体解决方案，持续提升产品核心竞争力，实现在医学仿真教学领域的引领性扩展。 在医学装备物联网领域，针对行业需求，加快对各类医学装备智能采集装置研发，面向临床应用服务，同 时加快人工智能模块的研发速度，加大推广力度，形成产品化，规模化。</w:t>
      </w:r>
    </w:p>
    <w:p>
      <w:pPr>
        <w:pStyle w:val="Style47"/>
        <w:keepNext w:val="0"/>
        <w:keepLines w:val="0"/>
        <w:widowControl w:val="0"/>
        <w:shd w:val="clear" w:color="auto" w:fill="auto"/>
        <w:bidi w:val="0"/>
        <w:spacing w:before="0" w:after="200" w:line="469" w:lineRule="exact"/>
        <w:ind w:left="0" w:right="0" w:firstLine="280"/>
        <w:jc w:val="left"/>
      </w:pPr>
      <w:bookmarkStart w:id="91" w:name="bookmark91"/>
      <w:r>
        <w:rPr>
          <w:b/>
          <w:bCs/>
          <w:color w:val="000000"/>
          <w:spacing w:val="0"/>
          <w:w w:val="100"/>
          <w:position w:val="0"/>
        </w:rPr>
        <w:t>（</w:t>
      </w:r>
      <w:bookmarkEnd w:id="91"/>
      <w:r>
        <w:rPr>
          <w:b/>
          <w:bCs/>
          <w:color w:val="000000"/>
          <w:spacing w:val="0"/>
          <w:w w:val="100"/>
          <w:position w:val="0"/>
        </w:rPr>
        <w:t>六）公司所处行业发展阶段、周期性特点以及行业地位</w:t>
      </w:r>
    </w:p>
    <w:p>
      <w:pPr>
        <w:pStyle w:val="Style47"/>
        <w:keepNext w:val="0"/>
        <w:keepLines w:val="0"/>
        <w:widowControl w:val="0"/>
        <w:numPr>
          <w:ilvl w:val="0"/>
          <w:numId w:val="17"/>
        </w:numPr>
        <w:shd w:val="clear" w:color="auto" w:fill="auto"/>
        <w:tabs>
          <w:tab w:pos="718" w:val="left"/>
        </w:tabs>
        <w:bidi w:val="0"/>
        <w:spacing w:before="0" w:after="0"/>
        <w:ind w:left="0" w:right="0" w:firstLine="440"/>
        <w:jc w:val="both"/>
      </w:pPr>
      <w:bookmarkStart w:id="92" w:name="bookmark92"/>
      <w:bookmarkEnd w:id="92"/>
      <w:r>
        <w:rPr>
          <w:color w:val="000000"/>
          <w:spacing w:val="0"/>
          <w:w w:val="100"/>
          <w:position w:val="0"/>
        </w:rPr>
        <w:t>公司所处行业发展阶段</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rPr>
        <w:t>2020</w:t>
      </w:r>
      <w:r>
        <w:rPr>
          <w:color w:val="000000"/>
          <w:spacing w:val="0"/>
          <w:w w:val="100"/>
          <w:position w:val="0"/>
        </w:rPr>
        <w:t>年经历了新冠疫情的考验与洗礼后，</w:t>
      </w:r>
      <w:r>
        <w:rPr>
          <w:rFonts w:ascii="Times New Roman" w:eastAsia="Times New Roman" w:hAnsi="Times New Roman" w:cs="Times New Roman"/>
          <w:color w:val="000000"/>
          <w:spacing w:val="0"/>
          <w:w w:val="100"/>
          <w:position w:val="0"/>
        </w:rPr>
        <w:t>2021</w:t>
      </w:r>
      <w:r>
        <w:rPr>
          <w:color w:val="000000"/>
          <w:spacing w:val="0"/>
          <w:w w:val="100"/>
          <w:position w:val="0"/>
        </w:rPr>
        <w:t>年的中国进入</w:t>
      </w:r>
      <w:r>
        <w:rPr>
          <w:rFonts w:ascii="Times New Roman" w:eastAsia="Times New Roman" w:hAnsi="Times New Roman" w:cs="Times New Roman"/>
          <w:color w:val="000000"/>
          <w:spacing w:val="0"/>
          <w:w w:val="100"/>
          <w:position w:val="0"/>
        </w:rPr>
        <w:t>“</w:t>
      </w:r>
      <w:r>
        <w:rPr>
          <w:color w:val="000000"/>
          <w:spacing w:val="0"/>
          <w:w w:val="100"/>
          <w:position w:val="0"/>
        </w:rPr>
        <w:t>十四五''发展新纪元。计算机行业正处 于国产化、智能化、云化三浪叠加的黄金十年起点，人工智能在安防、教育、流程自动化等领域渗透率继 续大规模提升，</w:t>
      </w:r>
      <w:r>
        <w:rPr>
          <w:rFonts w:ascii="Times New Roman" w:eastAsia="Times New Roman" w:hAnsi="Times New Roman" w:cs="Times New Roman"/>
          <w:color w:val="000000"/>
          <w:spacing w:val="0"/>
          <w:w w:val="100"/>
          <w:position w:val="0"/>
        </w:rPr>
        <w:t>AI</w:t>
      </w:r>
      <w:r>
        <w:rPr>
          <w:color w:val="000000"/>
          <w:spacing w:val="0"/>
          <w:w w:val="100"/>
          <w:position w:val="0"/>
        </w:rPr>
        <w:t>在医疗影像领域有望迎来商业化元年。政府</w:t>
      </w:r>
      <w:r>
        <w:rPr>
          <w:rFonts w:ascii="Times New Roman" w:eastAsia="Times New Roman" w:hAnsi="Times New Roman" w:cs="Times New Roman"/>
          <w:color w:val="000000"/>
          <w:spacing w:val="0"/>
          <w:w w:val="100"/>
          <w:position w:val="0"/>
        </w:rPr>
        <w:t>IT</w:t>
      </w:r>
      <w:r>
        <w:rPr>
          <w:color w:val="000000"/>
          <w:spacing w:val="0"/>
          <w:w w:val="100"/>
          <w:position w:val="0"/>
        </w:rPr>
        <w:t>国产化规模落地并进入兑现业绩阶段，以 金融为代表的行业用户将接力政府，成为</w:t>
      </w:r>
      <w:r>
        <w:rPr>
          <w:rFonts w:ascii="Times New Roman" w:eastAsia="Times New Roman" w:hAnsi="Times New Roman" w:cs="Times New Roman"/>
          <w:color w:val="000000"/>
          <w:spacing w:val="0"/>
          <w:w w:val="100"/>
          <w:position w:val="0"/>
        </w:rPr>
        <w:t>IT</w:t>
      </w:r>
      <w:r>
        <w:rPr>
          <w:color w:val="000000"/>
          <w:spacing w:val="0"/>
          <w:w w:val="100"/>
          <w:position w:val="0"/>
        </w:rPr>
        <w:t>国产化的主力。</w:t>
      </w:r>
      <w:r>
        <w:rPr>
          <w:rFonts w:ascii="Times New Roman" w:eastAsia="Times New Roman" w:hAnsi="Times New Roman" w:cs="Times New Roman"/>
          <w:color w:val="000000"/>
          <w:spacing w:val="0"/>
          <w:w w:val="100"/>
          <w:position w:val="0"/>
        </w:rPr>
        <w:t>IT</w:t>
      </w:r>
      <w:r>
        <w:rPr>
          <w:color w:val="000000"/>
          <w:spacing w:val="0"/>
          <w:w w:val="100"/>
          <w:position w:val="0"/>
        </w:rPr>
        <w:t>国产化将从基础软硬件延伸至以工业软件为 代表的战略核心应用，工业软件有望兼具国产替代需求、智能制造渗透率提升、下游高景气三重发展逻辑。 未来随着</w:t>
      </w:r>
      <w:r>
        <w:rPr>
          <w:rFonts w:ascii="Times New Roman" w:eastAsia="Times New Roman" w:hAnsi="Times New Roman" w:cs="Times New Roman"/>
          <w:color w:val="000000"/>
          <w:spacing w:val="0"/>
          <w:w w:val="100"/>
          <w:position w:val="0"/>
        </w:rPr>
        <w:t>5G</w:t>
      </w:r>
      <w:r>
        <w:rPr>
          <w:color w:val="000000"/>
          <w:spacing w:val="0"/>
          <w:w w:val="100"/>
          <w:position w:val="0"/>
        </w:rPr>
        <w:t>、</w:t>
      </w:r>
      <w:r>
        <w:rPr>
          <w:color w:val="000000"/>
          <w:spacing w:val="0"/>
          <w:w w:val="100"/>
          <w:position w:val="0"/>
        </w:rPr>
        <w:t>物联网、大数据，工业互联网以及车联网等新一代信息技术更加成熟，软件和信息技术服务 业将迎来更加广阔的发展空间，将呈现加速发展的态势，产业规模进一步扩大。</w:t>
      </w:r>
    </w:p>
    <w:p>
      <w:pPr>
        <w:pStyle w:val="Style47"/>
        <w:keepNext w:val="0"/>
        <w:keepLines w:val="0"/>
        <w:widowControl w:val="0"/>
        <w:numPr>
          <w:ilvl w:val="0"/>
          <w:numId w:val="17"/>
        </w:numPr>
        <w:shd w:val="clear" w:color="auto" w:fill="auto"/>
        <w:tabs>
          <w:tab w:pos="738" w:val="left"/>
        </w:tabs>
        <w:bidi w:val="0"/>
        <w:spacing w:before="0" w:after="0"/>
        <w:ind w:left="0" w:right="0" w:firstLine="440"/>
        <w:jc w:val="both"/>
      </w:pPr>
      <w:bookmarkStart w:id="93" w:name="bookmark93"/>
      <w:bookmarkEnd w:id="93"/>
      <w:r>
        <w:rPr>
          <w:color w:val="000000"/>
          <w:spacing w:val="0"/>
          <w:w w:val="100"/>
          <w:position w:val="0"/>
        </w:rPr>
        <w:t>行业周期性特点</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相对而言，软件和信息技术服务业受经济周期的影响比传统的制造业要小，尤其是电子政务、工业信 息化等领域均为国家重点发展的信息化领域，具有较强的抗周期性。面向电子政务、工业信息化等领域服 务的软件和信息技术服务企业，由于服务的需求主体主要是政府部门和大型企业，政府部门和大型企业信 息化建设投资行为的特殊性决定本行业具有一定的季节性特征，一般而言上述客户在上一年末或当年初确 定信息化投资计划，在当年第二季度实施供应商招标，一般在当年四季度进行项目验收结算。由于项目的 规模、复杂程度及合同实施周期的差异，部分大型项目存在跨期验收结算的情况。由于政府和大型企业客 户项目验收和合同款项支付在年末相对集中，同行业内企业的营收确认、利润实现及现金流量等均呈现出 一定的季节性。</w:t>
      </w:r>
    </w:p>
    <w:p>
      <w:pPr>
        <w:pStyle w:val="Style47"/>
        <w:keepNext w:val="0"/>
        <w:keepLines w:val="0"/>
        <w:widowControl w:val="0"/>
        <w:numPr>
          <w:ilvl w:val="0"/>
          <w:numId w:val="17"/>
        </w:numPr>
        <w:shd w:val="clear" w:color="auto" w:fill="auto"/>
        <w:tabs>
          <w:tab w:pos="738" w:val="left"/>
        </w:tabs>
        <w:bidi w:val="0"/>
        <w:spacing w:before="0" w:after="0"/>
        <w:ind w:left="0" w:right="0" w:firstLine="440"/>
        <w:jc w:val="both"/>
      </w:pPr>
      <w:bookmarkStart w:id="94" w:name="bookmark94"/>
      <w:bookmarkEnd w:id="94"/>
      <w:r>
        <w:rPr>
          <w:color w:val="000000"/>
          <w:spacing w:val="0"/>
          <w:w w:val="100"/>
          <w:position w:val="0"/>
        </w:rPr>
        <w:t>公司行业地位</w:t>
      </w:r>
    </w:p>
    <w:p>
      <w:pPr>
        <w:pStyle w:val="Style47"/>
        <w:keepNext w:val="0"/>
        <w:keepLines w:val="0"/>
        <w:widowControl w:val="0"/>
        <w:shd w:val="clear" w:color="auto" w:fill="auto"/>
        <w:bidi w:val="0"/>
        <w:spacing w:before="0" w:after="780" w:line="469" w:lineRule="exact"/>
        <w:ind w:left="0" w:right="0" w:firstLine="440"/>
        <w:jc w:val="both"/>
      </w:pPr>
      <w:r>
        <w:rPr>
          <w:color w:val="000000"/>
          <w:spacing w:val="0"/>
          <w:w w:val="100"/>
          <w:position w:val="0"/>
        </w:rPr>
        <w:t>公司是中国科学院控股有限公司直接控股的高科技公司，由成立于</w:t>
      </w:r>
      <w:r>
        <w:rPr>
          <w:rFonts w:ascii="Times New Roman" w:eastAsia="Times New Roman" w:hAnsi="Times New Roman" w:cs="Times New Roman"/>
          <w:color w:val="000000"/>
          <w:spacing w:val="0"/>
          <w:w w:val="100"/>
          <w:position w:val="0"/>
        </w:rPr>
        <w:t>1958</w:t>
      </w:r>
      <w:r>
        <w:rPr>
          <w:color w:val="000000"/>
          <w:spacing w:val="0"/>
          <w:w w:val="100"/>
          <w:position w:val="0"/>
        </w:rPr>
        <w:t>年的中科院成都计算机应用研 究所整体转制而来。公司以中科院院士张景中领衔的一流应用基础研究团队，多年来专注于人工智能领域</w:t>
      </w:r>
    </w:p>
    <w:p>
      <w:pPr>
        <w:pStyle w:val="Style2"/>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200" w:line="240" w:lineRule="auto"/>
        <w:ind w:left="0" w:right="0" w:firstLine="0"/>
        <w:jc w:val="right"/>
        <w:rPr>
          <w:sz w:val="11"/>
          <w:szCs w:val="11"/>
        </w:rPr>
        <w:sectPr>
          <w:headerReference w:type="default" r:id="rId51"/>
          <w:footerReference w:type="default" r:id="rId52"/>
          <w:headerReference w:type="even" r:id="rId53"/>
          <w:footerReference w:type="even" r:id="rId54"/>
          <w:footnotePr>
            <w:pos w:val="pageBottom"/>
            <w:numFmt w:val="decimal"/>
            <w:numRestart w:val="continuous"/>
          </w:footnotePr>
          <w:pgSz w:w="11900" w:h="16840"/>
          <w:pgMar w:top="1326" w:right="24" w:bottom="169" w:left="1105" w:header="0" w:footer="3" w:gutter="0"/>
          <w:cols w:space="720"/>
          <w:noEndnote/>
          <w:rtlGutter w:val="0"/>
          <w:docGrid w:linePitch="360"/>
        </w:sectPr>
      </w:pPr>
      <w:r>
        <w:fldChar w:fldCharType="begin"/>
      </w:r>
      <w:r>
        <w:rPr/>
        <w:instrText> HYPERLINK "http://www.cnlnTo.com.cn" </w:instrText>
      </w:r>
      <w:r>
        <w:fldChar w:fldCharType="separate"/>
      </w:r>
      <w:r>
        <w:rPr>
          <w:rFonts w:ascii="Arial" w:eastAsia="Arial" w:hAnsi="Arial" w:cs="Arial"/>
          <w:b/>
          <w:bCs/>
          <w:color w:val="A2A2A2"/>
          <w:spacing w:val="0"/>
          <w:w w:val="100"/>
          <w:position w:val="0"/>
          <w:sz w:val="11"/>
          <w:szCs w:val="11"/>
        </w:rPr>
        <w:t>www.cnlnTo.com.cn</w:t>
      </w:r>
      <w:r>
        <w:fldChar w:fldCharType="end"/>
      </w:r>
    </w:p>
    <w:p>
      <w:pPr>
        <w:pStyle w:val="Style47"/>
        <w:keepNext w:val="0"/>
        <w:keepLines w:val="0"/>
        <w:widowControl w:val="0"/>
        <w:shd w:val="clear" w:color="auto" w:fill="auto"/>
        <w:bidi w:val="0"/>
        <w:spacing w:before="0" w:after="200" w:line="468" w:lineRule="exact"/>
        <w:ind w:left="0" w:right="0" w:firstLine="0"/>
        <w:jc w:val="both"/>
      </w:pPr>
      <w:r>
        <w:rPr>
          <w:color w:val="000000"/>
          <w:spacing w:val="0"/>
          <w:w w:val="100"/>
          <w:position w:val="0"/>
        </w:rPr>
        <w:t>的计算机自动推理理论研究，打造出从应用基础研究、技术研发、产品开发及专业技术服务的完整业务链 条。</w:t>
      </w:r>
      <w:r>
        <w:rPr>
          <w:rFonts w:ascii="Times New Roman" w:eastAsia="Times New Roman" w:hAnsi="Times New Roman" w:cs="Times New Roman"/>
          <w:color w:val="000000"/>
          <w:spacing w:val="0"/>
          <w:w w:val="100"/>
          <w:position w:val="0"/>
        </w:rPr>
        <w:t>60</w:t>
      </w:r>
      <w:r>
        <w:rPr>
          <w:color w:val="000000"/>
          <w:spacing w:val="0"/>
          <w:w w:val="100"/>
          <w:position w:val="0"/>
        </w:rPr>
        <w:t>余年的深厚科研积淀和众多研发成果，使公司在计算机应用领域的应用基础理论、关键技术、工程 与产品三个层次上形成了独特的综合优势，在智能识别与分析(特别是高速机器视觉)领域始终处于国际 先进、国内领先水平。公司坚持立足世界领先科技、面向国家重大需求、面向国民经济主战场、面向人民 生命健康，</w:t>
      </w:r>
      <w:r>
        <w:rPr>
          <w:rFonts w:ascii="Times New Roman" w:eastAsia="Times New Roman" w:hAnsi="Times New Roman" w:cs="Times New Roman"/>
          <w:color w:val="000000"/>
          <w:spacing w:val="0"/>
          <w:w w:val="100"/>
          <w:position w:val="0"/>
        </w:rPr>
        <w:t>30</w:t>
      </w:r>
      <w:r>
        <w:rPr>
          <w:color w:val="000000"/>
          <w:spacing w:val="0"/>
          <w:w w:val="100"/>
          <w:position w:val="0"/>
        </w:rPr>
        <w:t>多年坚持深耕行业，运用丰富的</w:t>
      </w:r>
      <w:r>
        <w:rPr>
          <w:rFonts w:ascii="Times New Roman" w:eastAsia="Times New Roman" w:hAnsi="Times New Roman" w:cs="Times New Roman"/>
          <w:color w:val="000000"/>
          <w:spacing w:val="0"/>
          <w:w w:val="100"/>
          <w:position w:val="0"/>
        </w:rPr>
        <w:t>“</w:t>
      </w:r>
      <w:r>
        <w:rPr>
          <w:color w:val="000000"/>
          <w:spacing w:val="0"/>
          <w:w w:val="100"/>
          <w:position w:val="0"/>
        </w:rPr>
        <w:t>行业专家</w:t>
      </w:r>
      <w:r>
        <w:rPr>
          <w:rFonts w:ascii="Times New Roman" w:eastAsia="Times New Roman" w:hAnsi="Times New Roman" w:cs="Times New Roman"/>
          <w:color w:val="000000"/>
          <w:spacing w:val="0"/>
          <w:w w:val="100"/>
          <w:position w:val="0"/>
        </w:rPr>
        <w:t>+</w:t>
      </w:r>
      <w:r>
        <w:rPr>
          <w:color w:val="000000"/>
          <w:spacing w:val="0"/>
          <w:w w:val="100"/>
          <w:position w:val="0"/>
        </w:rPr>
        <w:t>技术专家</w:t>
      </w:r>
      <w:r>
        <w:rPr>
          <w:color w:val="000000"/>
          <w:spacing w:val="0"/>
          <w:w w:val="100"/>
          <w:position w:val="0"/>
        </w:rPr>
        <w:t>''</w:t>
      </w:r>
      <w:r>
        <w:rPr>
          <w:color w:val="000000"/>
          <w:spacing w:val="0"/>
          <w:w w:val="100"/>
          <w:position w:val="0"/>
        </w:rPr>
        <w:t>优势，凭借</w:t>
      </w:r>
      <w:r>
        <w:rPr>
          <w:rFonts w:ascii="Times New Roman" w:eastAsia="Times New Roman" w:hAnsi="Times New Roman" w:cs="Times New Roman"/>
          <w:color w:val="000000"/>
          <w:spacing w:val="0"/>
          <w:w w:val="100"/>
          <w:position w:val="0"/>
        </w:rPr>
        <w:t>“</w:t>
      </w:r>
      <w:r>
        <w:rPr>
          <w:color w:val="000000"/>
          <w:spacing w:val="0"/>
          <w:w w:val="100"/>
          <w:position w:val="0"/>
        </w:rPr>
        <w:t>技术</w:t>
      </w:r>
      <w:r>
        <w:rPr>
          <w:rFonts w:ascii="Times New Roman" w:eastAsia="Times New Roman" w:hAnsi="Times New Roman" w:cs="Times New Roman"/>
          <w:color w:val="000000"/>
          <w:spacing w:val="0"/>
          <w:w w:val="100"/>
          <w:position w:val="0"/>
        </w:rPr>
        <w:t>+</w:t>
      </w:r>
      <w:r>
        <w:rPr>
          <w:color w:val="000000"/>
          <w:spacing w:val="0"/>
          <w:w w:val="100"/>
          <w:position w:val="0"/>
        </w:rPr>
        <w:t>服务''、</w:t>
      </w:r>
      <w:r>
        <w:rPr>
          <w:rFonts w:ascii="Times New Roman" w:eastAsia="Times New Roman" w:hAnsi="Times New Roman" w:cs="Times New Roman"/>
          <w:color w:val="000000"/>
          <w:spacing w:val="0"/>
          <w:w w:val="100"/>
          <w:position w:val="0"/>
        </w:rPr>
        <w:t>“</w:t>
      </w:r>
      <w:r>
        <w:rPr>
          <w:color w:val="000000"/>
          <w:spacing w:val="0"/>
          <w:w w:val="100"/>
          <w:position w:val="0"/>
        </w:rPr>
        <w:t>软件</w:t>
      </w:r>
      <w:r>
        <w:rPr>
          <w:rFonts w:ascii="Times New Roman" w:eastAsia="Times New Roman" w:hAnsi="Times New Roman" w:cs="Times New Roman"/>
          <w:color w:val="000000"/>
          <w:spacing w:val="0"/>
          <w:w w:val="100"/>
          <w:position w:val="0"/>
        </w:rPr>
        <w:t>+</w:t>
      </w:r>
      <w:r>
        <w:rPr>
          <w:color w:val="000000"/>
          <w:spacing w:val="0"/>
          <w:w w:val="100"/>
          <w:position w:val="0"/>
        </w:rPr>
        <w:t>硬件</w:t>
      </w:r>
      <w:r>
        <w:rPr>
          <w:color w:val="000000"/>
          <w:spacing w:val="0"/>
          <w:w w:val="100"/>
          <w:position w:val="0"/>
        </w:rPr>
        <w:t xml:space="preserve">'' </w:t>
      </w:r>
      <w:r>
        <w:rPr>
          <w:color w:val="000000"/>
          <w:spacing w:val="0"/>
          <w:w w:val="100"/>
          <w:position w:val="0"/>
        </w:rPr>
        <w:t>的业务特色，成为国内领先的行业信息化整体解决方案、智能化工程和相关产品与技术服务提供商。近年 来，公司充分运用人工智能核心技术优势，结合云计算、大数据、物联网、移动互联、虚拟仿真等新一代 信息技术，提供新型智慧城市关键技术、平台系统和运维服务，积极拓展智慧政务、智慧医疗相关业务的 应用落地和推广实施，先后在政务民生服务、人大政协议案、政法信息共享、统计大数据分析、区域经济 运行监测分析、诊疗教学培训、临床监护等领域推出了多个产品与解决方案并落地实施，取得了良好的经 济和社会效益，树立了良好的案例示范效应。</w:t>
      </w:r>
    </w:p>
    <w:p>
      <w:pPr>
        <w:pStyle w:val="Style47"/>
        <w:keepNext w:val="0"/>
        <w:keepLines w:val="0"/>
        <w:widowControl w:val="0"/>
        <w:numPr>
          <w:ilvl w:val="0"/>
          <w:numId w:val="19"/>
        </w:numPr>
        <w:shd w:val="clear" w:color="auto" w:fill="auto"/>
        <w:tabs>
          <w:tab w:pos="806" w:val="left"/>
        </w:tabs>
        <w:bidi w:val="0"/>
        <w:spacing w:before="0" w:after="0"/>
        <w:ind w:left="0" w:right="0" w:firstLine="440"/>
        <w:jc w:val="left"/>
      </w:pPr>
      <w:bookmarkStart w:id="95" w:name="bookmark95"/>
      <w:bookmarkEnd w:id="95"/>
      <w:r>
        <w:rPr>
          <w:color w:val="000000"/>
          <w:spacing w:val="0"/>
          <w:w w:val="100"/>
          <w:position w:val="0"/>
        </w:rPr>
        <w:t>在数字会议领域的行业地位</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公司前身中科院成都计算机应用研究所是我国第一代电子票箱、电子表决器和报到机的研制者，在投 票选举系统上掌握核心技术，拥有自主知识产权。从</w:t>
      </w:r>
      <w:r>
        <w:rPr>
          <w:rFonts w:ascii="Times New Roman" w:eastAsia="Times New Roman" w:hAnsi="Times New Roman" w:cs="Times New Roman"/>
          <w:color w:val="000000"/>
          <w:spacing w:val="0"/>
          <w:w w:val="100"/>
          <w:position w:val="0"/>
        </w:rPr>
        <w:t>1982</w:t>
      </w:r>
      <w:r>
        <w:rPr>
          <w:color w:val="000000"/>
          <w:spacing w:val="0"/>
          <w:w w:val="100"/>
          <w:position w:val="0"/>
        </w:rPr>
        <w:t>年党的</w:t>
      </w:r>
      <w:r>
        <w:rPr>
          <w:rFonts w:ascii="Times New Roman" w:eastAsia="Times New Roman" w:hAnsi="Times New Roman" w:cs="Times New Roman"/>
          <w:color w:val="000000"/>
          <w:spacing w:val="0"/>
          <w:w w:val="100"/>
          <w:position w:val="0"/>
        </w:rPr>
        <w:t>“</w:t>
      </w:r>
      <w:r>
        <w:rPr>
          <w:color w:val="000000"/>
          <w:spacing w:val="0"/>
          <w:w w:val="100"/>
          <w:position w:val="0"/>
        </w:rPr>
        <w:t>十二大''将计算机技术运用于现场会议领 域，至今已连续</w:t>
      </w:r>
      <w:r>
        <w:rPr>
          <w:rFonts w:ascii="Times New Roman" w:eastAsia="Times New Roman" w:hAnsi="Times New Roman" w:cs="Times New Roman"/>
          <w:color w:val="000000"/>
          <w:spacing w:val="0"/>
          <w:w w:val="100"/>
          <w:position w:val="0"/>
        </w:rPr>
        <w:t>38</w:t>
      </w:r>
      <w:r>
        <w:rPr>
          <w:color w:val="000000"/>
          <w:spacing w:val="0"/>
          <w:w w:val="100"/>
          <w:position w:val="0"/>
        </w:rPr>
        <w:t>年为国内规格最高会议一党的全国代表大会和全国</w:t>
      </w:r>
      <w:r>
        <w:rPr>
          <w:rFonts w:ascii="Times New Roman" w:eastAsia="Times New Roman" w:hAnsi="Times New Roman" w:cs="Times New Roman"/>
          <w:color w:val="000000"/>
          <w:spacing w:val="0"/>
          <w:w w:val="100"/>
          <w:position w:val="0"/>
        </w:rPr>
        <w:t>“</w:t>
      </w:r>
      <w:r>
        <w:rPr>
          <w:color w:val="000000"/>
          <w:spacing w:val="0"/>
          <w:w w:val="100"/>
          <w:position w:val="0"/>
        </w:rPr>
        <w:t>两会</w:t>
      </w:r>
      <w:r>
        <w:rPr>
          <w:color w:val="000000"/>
          <w:spacing w:val="0"/>
          <w:w w:val="100"/>
          <w:position w:val="0"/>
        </w:rPr>
        <w:t>''</w:t>
      </w:r>
      <w:r>
        <w:rPr>
          <w:color w:val="000000"/>
          <w:spacing w:val="0"/>
          <w:w w:val="100"/>
          <w:position w:val="0"/>
        </w:rPr>
        <w:t>提供服务。公司能够根据不 同用户的业务需求提供数字会议系统从产品研发、生产、销售、集成、实施到维护的一体化解决方案，实 现了从报到、选举、表决、会议管理等领域的全链条业务覆盖，成为国内数字会议一流品牌。公司是党和 国家重大会议的选举设备和服务提供商，在党政机关群体积累了丰富的中高端客户资源，同时具有很强的 客户粘合度，在电子选举市场领域具有绝对领先优势地位。</w:t>
      </w:r>
    </w:p>
    <w:p>
      <w:pPr>
        <w:pStyle w:val="Style47"/>
        <w:keepNext w:val="0"/>
        <w:keepLines w:val="0"/>
        <w:widowControl w:val="0"/>
        <w:numPr>
          <w:ilvl w:val="0"/>
          <w:numId w:val="19"/>
        </w:numPr>
        <w:shd w:val="clear" w:color="auto" w:fill="auto"/>
        <w:tabs>
          <w:tab w:pos="806" w:val="left"/>
        </w:tabs>
        <w:bidi w:val="0"/>
        <w:spacing w:before="0" w:after="0"/>
        <w:ind w:left="0" w:right="0" w:firstLine="440"/>
        <w:jc w:val="both"/>
      </w:pPr>
      <w:bookmarkStart w:id="96" w:name="bookmark96"/>
      <w:bookmarkEnd w:id="96"/>
      <w:r>
        <w:rPr>
          <w:color w:val="000000"/>
          <w:spacing w:val="0"/>
          <w:w w:val="100"/>
          <w:position w:val="0"/>
        </w:rPr>
        <w:t>在烟草信息化领域的行业地位</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公司从事烟草行业信息化建设</w:t>
      </w:r>
      <w:r>
        <w:rPr>
          <w:rFonts w:ascii="Times New Roman" w:eastAsia="Times New Roman" w:hAnsi="Times New Roman" w:cs="Times New Roman"/>
          <w:color w:val="000000"/>
          <w:spacing w:val="0"/>
          <w:w w:val="100"/>
          <w:position w:val="0"/>
        </w:rPr>
        <w:t>30</w:t>
      </w:r>
      <w:r>
        <w:rPr>
          <w:color w:val="000000"/>
          <w:spacing w:val="0"/>
          <w:w w:val="100"/>
          <w:position w:val="0"/>
        </w:rPr>
        <w:t>余年，拥有一支技术水平处于国内领先地位的专业化队伍，自主开发 了独具特色的应用系统或产品，形成了深厚的行业积累和技术沉淀。先后承担了包括河南中烟在内的</w:t>
      </w:r>
      <w:r>
        <w:rPr>
          <w:rFonts w:ascii="Times New Roman" w:eastAsia="Times New Roman" w:hAnsi="Times New Roman" w:cs="Times New Roman"/>
          <w:color w:val="000000"/>
          <w:spacing w:val="0"/>
          <w:w w:val="100"/>
          <w:position w:val="0"/>
        </w:rPr>
        <w:t>10</w:t>
      </w:r>
      <w:r>
        <w:rPr>
          <w:color w:val="000000"/>
          <w:spacing w:val="0"/>
          <w:w w:val="100"/>
          <w:position w:val="0"/>
        </w:rPr>
        <w:t>多 家省级中烟工业公司和烟草商业公司的信息化建设总体规划，完成了河南中烟、四川省烟草公司、川渝中 烟等省级公司以及郑州、许昌、杭州、南京、青岛、哈尔滨、贵阳、玉溪、成都等近</w:t>
      </w:r>
      <w:r>
        <w:rPr>
          <w:rFonts w:ascii="Times New Roman" w:eastAsia="Times New Roman" w:hAnsi="Times New Roman" w:cs="Times New Roman"/>
          <w:color w:val="000000"/>
          <w:spacing w:val="0"/>
          <w:w w:val="100"/>
          <w:position w:val="0"/>
        </w:rPr>
        <w:t>20</w:t>
      </w:r>
      <w:r>
        <w:rPr>
          <w:color w:val="000000"/>
          <w:spacing w:val="0"/>
          <w:w w:val="100"/>
          <w:position w:val="0"/>
        </w:rPr>
        <w:t>家工业企业的各类 信息化建设工程，业务覆盖烟草信息化的农、工、商全行业，是国内少数几家能为烟草行业提供包括农业、 工业和商业全产业链整体解决方案的供应商。公司面向工业智能制造推出的创新产品一卷烟厂智慧设备 管理系统在杭州等地使用获好评，成为烟草行业</w:t>
      </w:r>
      <w:r>
        <w:rPr>
          <w:rFonts w:ascii="Times New Roman" w:eastAsia="Times New Roman" w:hAnsi="Times New Roman" w:cs="Times New Roman"/>
          <w:color w:val="000000"/>
          <w:spacing w:val="0"/>
          <w:w w:val="100"/>
          <w:position w:val="0"/>
        </w:rPr>
        <w:t>“</w:t>
      </w:r>
      <w:r>
        <w:rPr>
          <w:color w:val="000000"/>
          <w:spacing w:val="0"/>
          <w:w w:val="100"/>
          <w:position w:val="0"/>
        </w:rPr>
        <w:t>智慧工厂</w:t>
      </w:r>
      <w:r>
        <w:rPr>
          <w:color w:val="000000"/>
          <w:spacing w:val="0"/>
          <w:w w:val="100"/>
          <w:position w:val="0"/>
        </w:rPr>
        <w:t>''</w:t>
      </w:r>
      <w:r>
        <w:rPr>
          <w:color w:val="000000"/>
          <w:spacing w:val="0"/>
          <w:w w:val="100"/>
          <w:position w:val="0"/>
        </w:rPr>
        <w:t>的示范案例。</w:t>
      </w:r>
    </w:p>
    <w:p>
      <w:pPr>
        <w:pStyle w:val="Style47"/>
        <w:keepNext w:val="0"/>
        <w:keepLines w:val="0"/>
        <w:widowControl w:val="0"/>
        <w:numPr>
          <w:ilvl w:val="0"/>
          <w:numId w:val="19"/>
        </w:numPr>
        <w:shd w:val="clear" w:color="auto" w:fill="auto"/>
        <w:bidi w:val="0"/>
        <w:spacing w:before="0" w:after="0"/>
        <w:ind w:left="0" w:right="0" w:firstLine="520"/>
        <w:jc w:val="left"/>
      </w:pPr>
      <w:bookmarkStart w:id="97" w:name="bookmark97"/>
      <w:bookmarkEnd w:id="97"/>
      <w:r>
        <w:rPr>
          <w:color w:val="000000"/>
          <w:spacing w:val="0"/>
          <w:w w:val="100"/>
          <w:position w:val="0"/>
        </w:rPr>
        <w:t>在印钞检测信息化领域的行业地位</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公司自</w:t>
      </w:r>
      <w:r>
        <w:rPr>
          <w:rFonts w:ascii="Times New Roman" w:eastAsia="Times New Roman" w:hAnsi="Times New Roman" w:cs="Times New Roman"/>
          <w:color w:val="000000"/>
          <w:spacing w:val="0"/>
          <w:w w:val="100"/>
          <w:position w:val="0"/>
        </w:rPr>
        <w:t>1997</w:t>
      </w:r>
      <w:r>
        <w:rPr>
          <w:color w:val="000000"/>
          <w:spacing w:val="0"/>
          <w:w w:val="100"/>
          <w:position w:val="0"/>
        </w:rPr>
        <w:t xml:space="preserve">年率先将高速机器视觉技术应用于印钞检测行业，是国内少数能从制版、防伪线、钞票纸 和印钞工序提供全套机器视觉检测解决方案的提供商，是中国印钞造币总公司重要的信息技术依托单位。 </w:t>
      </w:r>
      <w:r>
        <w:rPr>
          <w:color w:val="000000"/>
          <w:spacing w:val="0"/>
          <w:w w:val="100"/>
          <w:position w:val="0"/>
        </w:rPr>
        <w:t>自</w:t>
      </w:r>
      <w:r>
        <w:rPr>
          <w:rFonts w:ascii="Times New Roman" w:eastAsia="Times New Roman" w:hAnsi="Times New Roman" w:cs="Times New Roman"/>
          <w:color w:val="000000"/>
          <w:spacing w:val="0"/>
          <w:w w:val="100"/>
          <w:position w:val="0"/>
        </w:rPr>
        <w:t>2008</w:t>
      </w:r>
      <w:r>
        <w:rPr>
          <w:color w:val="000000"/>
          <w:spacing w:val="0"/>
          <w:w w:val="100"/>
          <w:position w:val="0"/>
        </w:rPr>
        <w:t>年起，公司主要通过联营企业中钞科信实施印钞行业信息化业务，目前该公司已经占有国内印钞检 测产品及技术服务业务的绝大部分市场份额，在确保钞票印制产品质量和保障国家金融安全领域具有不可 替代的作用。</w:t>
      </w:r>
    </w:p>
    <w:p>
      <w:pPr>
        <w:pStyle w:val="Style47"/>
        <w:keepNext w:val="0"/>
        <w:keepLines w:val="0"/>
        <w:widowControl w:val="0"/>
        <w:numPr>
          <w:ilvl w:val="0"/>
          <w:numId w:val="19"/>
        </w:numPr>
        <w:shd w:val="clear" w:color="auto" w:fill="auto"/>
        <w:bidi w:val="0"/>
        <w:spacing w:before="0" w:after="0" w:line="469" w:lineRule="exact"/>
        <w:ind w:left="0" w:right="0" w:firstLine="440"/>
        <w:jc w:val="left"/>
      </w:pPr>
      <w:bookmarkStart w:id="98" w:name="bookmark98"/>
      <w:bookmarkEnd w:id="98"/>
      <w:r>
        <w:rPr>
          <w:color w:val="000000"/>
          <w:spacing w:val="0"/>
          <w:w w:val="100"/>
          <w:position w:val="0"/>
        </w:rPr>
        <w:t>在油气信息化领域的行业地位</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2007</w:t>
      </w:r>
      <w:r>
        <w:rPr>
          <w:color w:val="000000"/>
          <w:spacing w:val="0"/>
          <w:w w:val="100"/>
          <w:position w:val="0"/>
        </w:rPr>
        <w:t>年开始进入石油行业，掌握了油气领域信息化涉及的主要核心技术，能够为行业上中下游 提供紧贴业务需求的信息化整体解决方案。，开发的油气田场站</w:t>
      </w:r>
      <w:r>
        <w:rPr>
          <w:rFonts w:ascii="Times New Roman" w:eastAsia="Times New Roman" w:hAnsi="Times New Roman" w:cs="Times New Roman"/>
          <w:color w:val="000000"/>
          <w:spacing w:val="0"/>
          <w:w w:val="100"/>
          <w:position w:val="0"/>
        </w:rPr>
        <w:t>SCADA</w:t>
      </w:r>
      <w:r>
        <w:rPr>
          <w:color w:val="000000"/>
          <w:spacing w:val="0"/>
          <w:w w:val="100"/>
          <w:position w:val="0"/>
        </w:rPr>
        <w:t>系统、多业务光传输系统、智能防 御</w:t>
      </w:r>
      <w:r>
        <w:rPr>
          <w:rFonts w:ascii="Times New Roman" w:eastAsia="Times New Roman" w:hAnsi="Times New Roman" w:cs="Times New Roman"/>
          <w:color w:val="000000"/>
          <w:spacing w:val="0"/>
          <w:w w:val="100"/>
          <w:position w:val="0"/>
        </w:rPr>
        <w:t>-</w:t>
      </w:r>
      <w:r>
        <w:rPr>
          <w:color w:val="000000"/>
          <w:spacing w:val="0"/>
          <w:w w:val="100"/>
          <w:position w:val="0"/>
        </w:rPr>
        <w:t>工业电视监控系统、统一安防平台等多种信息化系统，技术水平和创新能力在国内处于领先水平，是中 石油、中石化等国内主要石油公司信息系统建设的合作伙伴，</w:t>
      </w:r>
    </w:p>
    <w:p>
      <w:pPr>
        <w:pStyle w:val="Style47"/>
        <w:keepNext w:val="0"/>
        <w:keepLines w:val="0"/>
        <w:widowControl w:val="0"/>
        <w:numPr>
          <w:ilvl w:val="0"/>
          <w:numId w:val="19"/>
        </w:numPr>
        <w:shd w:val="clear" w:color="auto" w:fill="auto"/>
        <w:bidi w:val="0"/>
        <w:spacing w:before="0" w:after="0" w:line="469" w:lineRule="exact"/>
        <w:ind w:left="0" w:right="0" w:firstLine="520"/>
        <w:jc w:val="left"/>
      </w:pPr>
      <w:bookmarkStart w:id="99" w:name="bookmark99"/>
      <w:bookmarkEnd w:id="99"/>
      <w:r>
        <w:rPr>
          <w:color w:val="000000"/>
          <w:spacing w:val="0"/>
          <w:w w:val="100"/>
          <w:position w:val="0"/>
        </w:rPr>
        <w:t>在政府信息化领域的行业地位</w:t>
      </w:r>
    </w:p>
    <w:p>
      <w:pPr>
        <w:pStyle w:val="Style47"/>
        <w:keepNext w:val="0"/>
        <w:keepLines w:val="0"/>
        <w:widowControl w:val="0"/>
        <w:shd w:val="clear" w:color="auto" w:fill="auto"/>
        <w:bidi w:val="0"/>
        <w:spacing w:before="0" w:after="420" w:line="469" w:lineRule="exact"/>
        <w:ind w:left="0" w:right="0" w:firstLine="440"/>
        <w:jc w:val="both"/>
      </w:pPr>
      <w:r>
        <w:rPr>
          <w:color w:val="000000"/>
          <w:spacing w:val="0"/>
          <w:w w:val="100"/>
          <w:position w:val="0"/>
        </w:rPr>
        <w:t>公司长期从事四川省内政府各系统信息化基础设施相关业务，是为数不多的能够同时提供信息化基础 平台规划、信息化基础设施建设、硬件集成、软件开发及配套服务的企业，客户已覆盖省财政、教育、公 安、统计、法院等多个领域。在四川省内政府行业信息化服务供应商中，在信息化基础设施建设、智能化 工程及计算机系统集成、政务民生服务、政法信息共享、统计大数据分析、区域经济运行监测分析等领域 的技术水平较为成熟，在四川省内树立了良好的口碑。特别是在政务大数据业务领域，实现了成都市本土 市场的绝对领先，品牌影响力继续提升，省外市场拓展加快推进，形成了较强的竞争优势。</w:t>
      </w:r>
    </w:p>
    <w:p>
      <w:pPr>
        <w:pStyle w:val="Style33"/>
        <w:keepNext/>
        <w:keepLines/>
        <w:widowControl w:val="0"/>
        <w:shd w:val="clear" w:color="auto" w:fill="auto"/>
        <w:bidi w:val="0"/>
        <w:spacing w:before="0" w:after="300" w:line="240" w:lineRule="auto"/>
        <w:ind w:left="0" w:right="0" w:firstLine="0"/>
        <w:jc w:val="left"/>
      </w:pPr>
      <w:bookmarkStart w:id="100" w:name="bookmark100"/>
      <w:bookmarkStart w:id="101" w:name="bookmark101"/>
      <w:bookmarkStart w:id="102" w:name="bookmark102"/>
      <w:bookmarkStart w:id="103" w:name="bookmark103"/>
      <w:r>
        <w:rPr>
          <w:color w:val="000000"/>
          <w:spacing w:val="0"/>
          <w:w w:val="100"/>
          <w:position w:val="0"/>
          <w:sz w:val="24"/>
          <w:szCs w:val="24"/>
        </w:rPr>
        <w:t>二</w:t>
      </w:r>
      <w:bookmarkEnd w:id="102"/>
      <w:r>
        <w:rPr>
          <w:color w:val="000000"/>
          <w:spacing w:val="0"/>
          <w:w w:val="100"/>
          <w:position w:val="0"/>
          <w:sz w:val="24"/>
          <w:szCs w:val="24"/>
        </w:rPr>
        <w:t>、主要资产重大变化情况</w:t>
      </w:r>
      <w:bookmarkEnd w:id="100"/>
      <w:bookmarkEnd w:id="101"/>
      <w:bookmarkEnd w:id="103"/>
    </w:p>
    <w:p>
      <w:pPr>
        <w:pStyle w:val="Style44"/>
        <w:keepNext/>
        <w:keepLines/>
        <w:widowControl w:val="0"/>
        <w:shd w:val="clear" w:color="auto" w:fill="auto"/>
        <w:bidi w:val="0"/>
        <w:spacing w:before="0" w:after="300" w:line="240" w:lineRule="auto"/>
        <w:ind w:left="0" w:right="0" w:firstLine="0"/>
        <w:jc w:val="left"/>
      </w:pPr>
      <w:bookmarkStart w:id="104" w:name="bookmark104"/>
      <w:bookmarkStart w:id="105" w:name="bookmark105"/>
      <w:bookmarkStart w:id="106" w:name="bookmark106"/>
      <w:bookmarkStart w:id="107" w:name="bookmark107"/>
      <w:r>
        <w:rPr>
          <w:rFonts w:ascii="Times New Roman" w:eastAsia="Times New Roman" w:hAnsi="Times New Roman" w:cs="Times New Roman"/>
          <w:color w:val="000000"/>
          <w:spacing w:val="0"/>
          <w:w w:val="100"/>
          <w:position w:val="0"/>
        </w:rPr>
        <w:t>1</w:t>
      </w:r>
      <w:bookmarkEnd w:id="106"/>
      <w:r>
        <w:rPr>
          <w:color w:val="000000"/>
          <w:spacing w:val="0"/>
          <w:w w:val="100"/>
          <w:position w:val="0"/>
        </w:rPr>
        <w:t>、主要资产重大变化情况</w:t>
      </w:r>
      <w:bookmarkEnd w:id="104"/>
      <w:bookmarkEnd w:id="105"/>
      <w:bookmarkEnd w:id="107"/>
    </w:p>
    <w:tbl>
      <w:tblPr>
        <w:tblOverlap w:val="never"/>
        <w:jc w:val="left"/>
        <w:tblLayout w:type="fixed"/>
      </w:tblPr>
      <w:tblGrid>
        <w:gridCol w:w="3058"/>
        <w:gridCol w:w="6528"/>
      </w:tblGrid>
      <w:tr>
        <w:trPr>
          <w:trHeight w:val="76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主要资产</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重大变化说明</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股权资产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固定资产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无形资产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在建工程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bl>
    <w:p>
      <w:pPr>
        <w:widowControl w:val="0"/>
        <w:spacing w:after="299" w:line="1" w:lineRule="exact"/>
      </w:pPr>
    </w:p>
    <w:p>
      <w:pPr>
        <w:pStyle w:val="Style44"/>
        <w:keepNext/>
        <w:keepLines/>
        <w:widowControl w:val="0"/>
        <w:shd w:val="clear" w:color="auto" w:fill="auto"/>
        <w:bidi w:val="0"/>
        <w:spacing w:before="0" w:after="360" w:line="240" w:lineRule="auto"/>
        <w:ind w:left="0" w:right="0" w:firstLine="0"/>
        <w:jc w:val="left"/>
      </w:pPr>
      <w:bookmarkStart w:id="108" w:name="bookmark108"/>
      <w:bookmarkStart w:id="109" w:name="bookmark109"/>
      <w:bookmarkStart w:id="110" w:name="bookmark110"/>
      <w:bookmarkStart w:id="111" w:name="bookmark111"/>
      <w:r>
        <w:rPr>
          <w:rFonts w:ascii="Times New Roman" w:eastAsia="Times New Roman" w:hAnsi="Times New Roman" w:cs="Times New Roman"/>
          <w:color w:val="000000"/>
          <w:spacing w:val="0"/>
          <w:w w:val="100"/>
          <w:position w:val="0"/>
        </w:rPr>
        <w:t>2</w:t>
      </w:r>
      <w:bookmarkEnd w:id="110"/>
      <w:r>
        <w:rPr>
          <w:color w:val="000000"/>
          <w:spacing w:val="0"/>
          <w:w w:val="100"/>
          <w:position w:val="0"/>
        </w:rPr>
        <w:t>、主要境外资产情况</w:t>
      </w:r>
      <w:bookmarkEnd w:id="108"/>
      <w:bookmarkEnd w:id="109"/>
      <w:bookmarkEnd w:id="111"/>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420" w:line="240" w:lineRule="auto"/>
        <w:ind w:left="0" w:right="0" w:firstLine="0"/>
        <w:jc w:val="left"/>
      </w:pPr>
      <w:bookmarkStart w:id="112" w:name="bookmark112"/>
      <w:bookmarkStart w:id="113" w:name="bookmark113"/>
      <w:bookmarkStart w:id="114" w:name="bookmark114"/>
      <w:bookmarkStart w:id="115" w:name="bookmark115"/>
      <w:r>
        <w:rPr>
          <w:color w:val="000000"/>
          <w:spacing w:val="0"/>
          <w:w w:val="100"/>
          <w:position w:val="0"/>
          <w:sz w:val="24"/>
          <w:szCs w:val="24"/>
        </w:rPr>
        <w:t>三</w:t>
      </w:r>
      <w:bookmarkEnd w:id="114"/>
      <w:r>
        <w:rPr>
          <w:color w:val="000000"/>
          <w:spacing w:val="0"/>
          <w:w w:val="100"/>
          <w:position w:val="0"/>
          <w:sz w:val="24"/>
          <w:szCs w:val="24"/>
        </w:rPr>
        <w:t>、核心竞争力分析</w:t>
      </w:r>
      <w:bookmarkEnd w:id="112"/>
      <w:bookmarkEnd w:id="113"/>
      <w:bookmarkEnd w:id="115"/>
    </w:p>
    <w:p>
      <w:pPr>
        <w:pStyle w:val="Style47"/>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公司的核心竞争力主要体现在以下几个方面:</w:t>
      </w:r>
    </w:p>
    <w:p>
      <w:pPr>
        <w:pStyle w:val="Style47"/>
        <w:keepNext w:val="0"/>
        <w:keepLines w:val="0"/>
        <w:widowControl w:val="0"/>
        <w:numPr>
          <w:ilvl w:val="0"/>
          <w:numId w:val="21"/>
        </w:numPr>
        <w:shd w:val="clear" w:color="auto" w:fill="auto"/>
        <w:bidi w:val="0"/>
        <w:spacing w:before="0" w:after="340" w:line="240" w:lineRule="auto"/>
        <w:ind w:left="0" w:right="0" w:firstLine="440"/>
        <w:jc w:val="left"/>
        <w:sectPr>
          <w:headerReference w:type="default" r:id="rId55"/>
          <w:footerReference w:type="default" r:id="rId56"/>
          <w:headerReference w:type="even" r:id="rId57"/>
          <w:footerReference w:type="even" r:id="rId58"/>
          <w:footnotePr>
            <w:pos w:val="pageBottom"/>
            <w:numFmt w:val="decimal"/>
            <w:numRestart w:val="continuous"/>
          </w:footnotePr>
          <w:pgSz w:w="11900" w:h="16840"/>
          <w:pgMar w:top="1316" w:right="524" w:bottom="1450" w:left="604" w:header="0" w:footer="3" w:gutter="0"/>
          <w:cols w:space="720"/>
          <w:noEndnote/>
          <w:rtlGutter w:val="0"/>
          <w:docGrid w:linePitch="360"/>
        </w:sectPr>
      </w:pPr>
      <w:bookmarkStart w:id="116" w:name="bookmark116"/>
      <w:bookmarkEnd w:id="116"/>
      <w:r>
        <w:rPr>
          <w:rFonts w:ascii="Times New Roman" w:eastAsia="Times New Roman" w:hAnsi="Times New Roman" w:cs="Times New Roman"/>
          <w:b/>
          <w:bCs/>
          <w:color w:val="000000"/>
          <w:spacing w:val="0"/>
          <w:w w:val="100"/>
          <w:position w:val="0"/>
        </w:rPr>
        <w:t>“</w:t>
      </w:r>
      <w:r>
        <w:rPr>
          <w:b/>
          <w:bCs/>
          <w:color w:val="000000"/>
          <w:spacing w:val="0"/>
          <w:w w:val="100"/>
          <w:position w:val="0"/>
        </w:rPr>
        <w:t>行业专家</w:t>
      </w:r>
      <w:r>
        <w:rPr>
          <w:rFonts w:ascii="Times New Roman" w:eastAsia="Times New Roman" w:hAnsi="Times New Roman" w:cs="Times New Roman"/>
          <w:b/>
          <w:bCs/>
          <w:color w:val="000000"/>
          <w:spacing w:val="0"/>
          <w:w w:val="100"/>
          <w:position w:val="0"/>
        </w:rPr>
        <w:t>”</w:t>
      </w:r>
      <w:r>
        <w:rPr>
          <w:b/>
          <w:bCs/>
          <w:color w:val="000000"/>
          <w:spacing w:val="0"/>
          <w:w w:val="100"/>
          <w:position w:val="0"/>
        </w:rPr>
        <w:t>的品牌优势</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公司始终坚持</w:t>
      </w:r>
      <w:r>
        <w:rPr>
          <w:rFonts w:ascii="Times New Roman" w:eastAsia="Times New Roman" w:hAnsi="Times New Roman" w:cs="Times New Roman"/>
          <w:color w:val="000000"/>
          <w:spacing w:val="0"/>
          <w:w w:val="100"/>
          <w:position w:val="0"/>
        </w:rPr>
        <w:t>“</w:t>
      </w:r>
      <w:r>
        <w:rPr>
          <w:color w:val="000000"/>
          <w:spacing w:val="0"/>
          <w:w w:val="100"/>
          <w:position w:val="0"/>
        </w:rPr>
        <w:t>面向行业应用不动摇</w:t>
      </w:r>
      <w:r>
        <w:rPr>
          <w:color w:val="000000"/>
          <w:spacing w:val="0"/>
          <w:w w:val="100"/>
          <w:position w:val="0"/>
        </w:rPr>
        <w:t>''，</w:t>
      </w:r>
      <w:r>
        <w:rPr>
          <w:color w:val="000000"/>
          <w:spacing w:val="0"/>
          <w:w w:val="100"/>
          <w:position w:val="0"/>
        </w:rPr>
        <w:t>长期立足于运用信息技术服务国家重大需求，为传统行业提质 增效，实现产业升级。公司在数字会议、印钞检测、烟草物联、智能油气、智慧政务等领域坚持深耕细作 数十年，深入研究行业发展趋势，把握行业业务需求与规律，积累了丰富的行业经验，成为既懂技术又熟 悉行业业务的</w:t>
      </w:r>
      <w:r>
        <w:rPr>
          <w:rFonts w:ascii="Times New Roman" w:eastAsia="Times New Roman" w:hAnsi="Times New Roman" w:cs="Times New Roman"/>
          <w:color w:val="000000"/>
          <w:spacing w:val="0"/>
          <w:w w:val="100"/>
          <w:position w:val="0"/>
        </w:rPr>
        <w:t>“</w:t>
      </w:r>
      <w:r>
        <w:rPr>
          <w:color w:val="000000"/>
          <w:spacing w:val="0"/>
          <w:w w:val="100"/>
          <w:position w:val="0"/>
        </w:rPr>
        <w:t>行业专家</w:t>
      </w:r>
      <w:r>
        <w:rPr>
          <w:color w:val="000000"/>
          <w:spacing w:val="0"/>
          <w:w w:val="100"/>
          <w:position w:val="0"/>
        </w:rPr>
        <w:t>''，</w:t>
      </w:r>
      <w:r>
        <w:rPr>
          <w:color w:val="000000"/>
          <w:spacing w:val="0"/>
          <w:w w:val="100"/>
          <w:position w:val="0"/>
        </w:rPr>
        <w:t>实现了与客户需求沟通的</w:t>
      </w:r>
      <w:r>
        <w:rPr>
          <w:rFonts w:ascii="Times New Roman" w:eastAsia="Times New Roman" w:hAnsi="Times New Roman" w:cs="Times New Roman"/>
          <w:color w:val="000000"/>
          <w:spacing w:val="0"/>
          <w:w w:val="100"/>
          <w:position w:val="0"/>
        </w:rPr>
        <w:t>“</w:t>
      </w:r>
      <w:r>
        <w:rPr>
          <w:color w:val="000000"/>
          <w:spacing w:val="0"/>
          <w:w w:val="100"/>
          <w:position w:val="0"/>
        </w:rPr>
        <w:t>零距离''、信息技术与行业业务融合的</w:t>
      </w:r>
      <w:r>
        <w:rPr>
          <w:rFonts w:ascii="Times New Roman" w:eastAsia="Times New Roman" w:hAnsi="Times New Roman" w:cs="Times New Roman"/>
          <w:color w:val="000000"/>
          <w:spacing w:val="0"/>
          <w:w w:val="100"/>
          <w:position w:val="0"/>
        </w:rPr>
        <w:t>“</w:t>
      </w:r>
      <w:r>
        <w:rPr>
          <w:color w:val="000000"/>
          <w:spacing w:val="0"/>
          <w:w w:val="100"/>
          <w:position w:val="0"/>
        </w:rPr>
        <w:t>零障碍''，形 成了特有的行业经验优势。公司充分运用智能识别与分析的优势技术服务于行业信息化建设，推出了大批 创新性产品与整体解决方案，并专注于各行业细分领域，有效帮助客户提高管理水平与经济效益，形成了 众多有代表性的示范案例。公司是党和国家重大会议的选举设备和服务提供商、我国数字会议领域的领军 企业，中国数字会议一流品牌；是高速机器视觉技术在印钞行业应用的开创者，是中国印钞检测行业最重 要的检测设备供应商；是国内为数不多能为烟草行业提供烟草农业、烟草工业和烟草商业全产业链信息化 建设整体解决方案的供应商之一；是我国油气行业信息化服务与智能化工程建设重要提供商。</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公司新时期发展战略定位于做</w:t>
      </w:r>
      <w:r>
        <w:rPr>
          <w:rFonts w:ascii="Times New Roman" w:eastAsia="Times New Roman" w:hAnsi="Times New Roman" w:cs="Times New Roman"/>
          <w:color w:val="000000"/>
          <w:spacing w:val="0"/>
          <w:w w:val="100"/>
          <w:position w:val="0"/>
        </w:rPr>
        <w:t>“</w:t>
      </w:r>
      <w:r>
        <w:rPr>
          <w:color w:val="000000"/>
          <w:spacing w:val="0"/>
          <w:w w:val="100"/>
          <w:position w:val="0"/>
        </w:rPr>
        <w:t>国内领先的基于人工智能的行业信息化整体解决方案提供商</w:t>
      </w:r>
      <w:r>
        <w:rPr>
          <w:color w:val="000000"/>
          <w:spacing w:val="0"/>
          <w:w w:val="100"/>
          <w:position w:val="0"/>
        </w:rPr>
        <w:t>''，</w:t>
      </w:r>
      <w:r>
        <w:rPr>
          <w:color w:val="000000"/>
          <w:spacing w:val="0"/>
          <w:w w:val="100"/>
          <w:position w:val="0"/>
        </w:rPr>
        <w:t>立足人 工智能发展前沿，结合基础理论、关键技术、应用产品三个层次的综合优势，以创新驱动发展，坚持面向 行业，做大主业，努力保持在会议选举与表决、工业机器视觉、行业大数据分析、数据中心平台领域标杆 或领先地位，以高速机器视觉、大数据为核心的人工智能技术引领公司在智慧政务、智能制造、智慧城市、 智慧健康领域的产业化推进，以先进的技术、优质的产品与服务做客户不可替代的价值创造者，赢得行业 内优质客户的信赖与尊重，成为共同发展、共存共赢的长期合作伙伴，不断提升</w:t>
      </w:r>
      <w:r>
        <w:rPr>
          <w:rFonts w:ascii="Times New Roman" w:eastAsia="Times New Roman" w:hAnsi="Times New Roman" w:cs="Times New Roman"/>
          <w:color w:val="000000"/>
          <w:spacing w:val="0"/>
          <w:w w:val="100"/>
          <w:position w:val="0"/>
        </w:rPr>
        <w:t>“</w:t>
      </w:r>
      <w:r>
        <w:rPr>
          <w:color w:val="000000"/>
          <w:spacing w:val="0"/>
          <w:w w:val="100"/>
          <w:position w:val="0"/>
        </w:rPr>
        <w:t>行业专家</w:t>
      </w:r>
      <w:r>
        <w:rPr>
          <w:color w:val="000000"/>
          <w:spacing w:val="0"/>
          <w:w w:val="100"/>
          <w:position w:val="0"/>
        </w:rPr>
        <w:t>''</w:t>
      </w:r>
      <w:r>
        <w:rPr>
          <w:color w:val="000000"/>
          <w:spacing w:val="0"/>
          <w:w w:val="100"/>
          <w:position w:val="0"/>
        </w:rPr>
        <w:t>的品牌形象。</w:t>
      </w:r>
    </w:p>
    <w:p>
      <w:pPr>
        <w:pStyle w:val="Style47"/>
        <w:keepNext w:val="0"/>
        <w:keepLines w:val="0"/>
        <w:widowControl w:val="0"/>
        <w:shd w:val="clear" w:color="auto" w:fill="auto"/>
        <w:bidi w:val="0"/>
        <w:spacing w:before="0" w:after="0" w:line="469" w:lineRule="exact"/>
        <w:ind w:left="0" w:right="0" w:firstLine="420"/>
        <w:jc w:val="both"/>
      </w:pPr>
      <w:bookmarkStart w:id="117" w:name="bookmark117"/>
      <w:r>
        <w:rPr>
          <w:b/>
          <w:bCs/>
          <w:color w:val="000000"/>
          <w:spacing w:val="0"/>
          <w:w w:val="100"/>
          <w:position w:val="0"/>
        </w:rPr>
        <w:t>（</w:t>
      </w:r>
      <w:bookmarkEnd w:id="117"/>
      <w:r>
        <w:rPr>
          <w:b/>
          <w:bCs/>
          <w:color w:val="000000"/>
          <w:spacing w:val="0"/>
          <w:w w:val="100"/>
          <w:position w:val="0"/>
        </w:rPr>
        <w:t>二）</w:t>
      </w:r>
      <w:r>
        <w:rPr>
          <w:rFonts w:ascii="Times New Roman" w:eastAsia="Times New Roman" w:hAnsi="Times New Roman" w:cs="Times New Roman"/>
          <w:b/>
          <w:bCs/>
          <w:color w:val="000000"/>
          <w:spacing w:val="0"/>
          <w:w w:val="100"/>
          <w:position w:val="0"/>
        </w:rPr>
        <w:t>“</w:t>
      </w:r>
      <w:r>
        <w:rPr>
          <w:b/>
          <w:bCs/>
          <w:color w:val="000000"/>
          <w:spacing w:val="0"/>
          <w:w w:val="100"/>
          <w:position w:val="0"/>
        </w:rPr>
        <w:t>自主研发</w:t>
      </w:r>
      <w:r>
        <w:rPr>
          <w:rFonts w:ascii="Times New Roman" w:eastAsia="Times New Roman" w:hAnsi="Times New Roman" w:cs="Times New Roman"/>
          <w:b/>
          <w:bCs/>
          <w:color w:val="000000"/>
          <w:spacing w:val="0"/>
          <w:w w:val="100"/>
          <w:position w:val="0"/>
        </w:rPr>
        <w:t>”</w:t>
      </w:r>
      <w:r>
        <w:rPr>
          <w:b/>
          <w:bCs/>
          <w:color w:val="000000"/>
          <w:spacing w:val="0"/>
          <w:w w:val="100"/>
          <w:position w:val="0"/>
        </w:rPr>
        <w:t>的技术优势</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公司承继前身成都计算所雄厚的研发实力与丰富的成果积淀，并拥有包括中科院院士在内的国内一流 信息技术人才，承担过多项国家</w:t>
      </w:r>
      <w:r>
        <w:rPr>
          <w:rFonts w:ascii="Times New Roman" w:eastAsia="Times New Roman" w:hAnsi="Times New Roman" w:cs="Times New Roman"/>
          <w:color w:val="000000"/>
          <w:spacing w:val="0"/>
          <w:w w:val="100"/>
          <w:position w:val="0"/>
        </w:rPr>
        <w:t>"863"</w:t>
      </w:r>
      <w:r>
        <w:rPr>
          <w:color w:val="000000"/>
          <w:spacing w:val="0"/>
          <w:w w:val="100"/>
          <w:position w:val="0"/>
        </w:rPr>
        <w:t>、</w:t>
      </w:r>
      <w:r>
        <w:rPr>
          <w:rFonts w:ascii="Times New Roman" w:eastAsia="Times New Roman" w:hAnsi="Times New Roman" w:cs="Times New Roman"/>
          <w:color w:val="000000"/>
          <w:spacing w:val="0"/>
          <w:w w:val="100"/>
          <w:position w:val="0"/>
        </w:rPr>
        <w:t>"973"</w:t>
      </w:r>
      <w:r>
        <w:rPr>
          <w:color w:val="000000"/>
          <w:spacing w:val="0"/>
          <w:w w:val="100"/>
          <w:position w:val="0"/>
        </w:rPr>
        <w:t>、国家自然科学研究基金等重点科研项目，先后获得国家科 技进步奖、国家自然科学奖、省部级科技进步奖、中国科学院科技进步奖及地方奖项近百余项，多项成果 被列入国家级科技成果重点推广计划。公司应用基础研究团队数十年专注于人工智能领域的研究，并在自 动推理与定理机器证明领域保持了国际先进水平，在基础算法、智能识别与分析、机器学习、软件工程等 领域保持了国际先进水平、国内领先水平。</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作为人工智能领域的高科技公司，公司</w:t>
      </w:r>
      <w:r>
        <w:rPr>
          <w:rFonts w:ascii="Times New Roman" w:eastAsia="Times New Roman" w:hAnsi="Times New Roman" w:cs="Times New Roman"/>
          <w:color w:val="000000"/>
          <w:spacing w:val="0"/>
          <w:w w:val="100"/>
          <w:position w:val="0"/>
        </w:rPr>
        <w:t>2020</w:t>
      </w:r>
      <w:r>
        <w:rPr>
          <w:color w:val="000000"/>
          <w:spacing w:val="0"/>
          <w:w w:val="100"/>
          <w:position w:val="0"/>
        </w:rPr>
        <w:t>年在人工智能领域主要技术研究开发方向主要包括：计算 机自动推理、深度学习核心算法、高速图像识别与分析、群体智能、云计算、大数据、虚拟现实等，综合 运用工业装备智能控制、光机电一体化、嵌入式软件及软件中台技术等开发出满足客户需求的软硬件产品， 积极布局对集群无人机协同控制、</w:t>
      </w:r>
      <w:r>
        <w:rPr>
          <w:rFonts w:ascii="Times New Roman" w:eastAsia="Times New Roman" w:hAnsi="Times New Roman" w:cs="Times New Roman"/>
          <w:color w:val="000000"/>
          <w:spacing w:val="0"/>
          <w:w w:val="100"/>
          <w:position w:val="0"/>
        </w:rPr>
        <w:t>5G</w:t>
      </w:r>
      <w:r>
        <w:rPr>
          <w:color w:val="000000"/>
          <w:spacing w:val="0"/>
          <w:w w:val="100"/>
          <w:position w:val="0"/>
        </w:rPr>
        <w:t>通讯、区块链、智联网技术等方向的前瞻性研究。</w:t>
      </w:r>
    </w:p>
    <w:p>
      <w:pPr>
        <w:pStyle w:val="Style47"/>
        <w:keepNext w:val="0"/>
        <w:keepLines w:val="0"/>
        <w:widowControl w:val="0"/>
        <w:shd w:val="clear" w:color="auto" w:fill="auto"/>
        <w:bidi w:val="0"/>
        <w:spacing w:before="0" w:after="100" w:line="469" w:lineRule="exact"/>
        <w:ind w:left="0" w:right="0" w:firstLine="440"/>
        <w:jc w:val="both"/>
      </w:pPr>
      <w:r>
        <w:rPr>
          <w:color w:val="000000"/>
          <w:spacing w:val="0"/>
          <w:w w:val="100"/>
          <w:position w:val="0"/>
        </w:rPr>
        <w:t>报告期内，公司及全资成都中科全年新增授权发明专利</w:t>
      </w:r>
      <w:r>
        <w:rPr>
          <w:rFonts w:ascii="Times New Roman" w:eastAsia="Times New Roman" w:hAnsi="Times New Roman" w:cs="Times New Roman"/>
          <w:color w:val="000000"/>
          <w:spacing w:val="0"/>
          <w:w w:val="100"/>
          <w:position w:val="0"/>
        </w:rPr>
        <w:t>6</w:t>
      </w:r>
      <w:r>
        <w:rPr>
          <w:color w:val="000000"/>
          <w:spacing w:val="0"/>
          <w:w w:val="100"/>
          <w:position w:val="0"/>
        </w:rPr>
        <w:t>项、实用新型专利</w:t>
      </w:r>
      <w:r>
        <w:rPr>
          <w:rFonts w:ascii="Times New Roman" w:eastAsia="Times New Roman" w:hAnsi="Times New Roman" w:cs="Times New Roman"/>
          <w:color w:val="000000"/>
          <w:spacing w:val="0"/>
          <w:w w:val="100"/>
          <w:position w:val="0"/>
        </w:rPr>
        <w:t>4</w:t>
      </w:r>
      <w:r>
        <w:rPr>
          <w:color w:val="000000"/>
          <w:spacing w:val="0"/>
          <w:w w:val="100"/>
          <w:position w:val="0"/>
        </w:rPr>
        <w:t>项、外观设计专利</w:t>
      </w:r>
      <w:r>
        <w:rPr>
          <w:rFonts w:ascii="Times New Roman" w:eastAsia="Times New Roman" w:hAnsi="Times New Roman" w:cs="Times New Roman"/>
          <w:color w:val="000000"/>
          <w:spacing w:val="0"/>
          <w:w w:val="100"/>
          <w:position w:val="0"/>
        </w:rPr>
        <w:t>5</w:t>
      </w:r>
      <w:r>
        <w:rPr>
          <w:color w:val="000000"/>
          <w:spacing w:val="0"/>
          <w:w w:val="100"/>
          <w:position w:val="0"/>
        </w:rPr>
        <w:t>项、 软件著作权登记</w:t>
      </w:r>
      <w:r>
        <w:rPr>
          <w:rFonts w:ascii="Times New Roman" w:eastAsia="Times New Roman" w:hAnsi="Times New Roman" w:cs="Times New Roman"/>
          <w:color w:val="000000"/>
          <w:spacing w:val="0"/>
          <w:w w:val="100"/>
          <w:position w:val="0"/>
        </w:rPr>
        <w:t>50</w:t>
      </w:r>
      <w:r>
        <w:rPr>
          <w:color w:val="000000"/>
          <w:spacing w:val="0"/>
          <w:w w:val="100"/>
          <w:position w:val="0"/>
        </w:rPr>
        <w:t>项，具体情况如下：</w:t>
      </w:r>
    </w:p>
    <w:tbl>
      <w:tblPr>
        <w:tblOverlap w:val="never"/>
        <w:jc w:val="left"/>
        <w:tblLayout w:type="fixed"/>
      </w:tblPr>
      <w:tblGrid>
        <w:gridCol w:w="3970"/>
        <w:gridCol w:w="1138"/>
        <w:gridCol w:w="1704"/>
        <w:gridCol w:w="1133"/>
        <w:gridCol w:w="1152"/>
      </w:tblGrid>
      <w:tr>
        <w:trPr>
          <w:trHeight w:val="379"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发明名称</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专利类型</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专利号</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rPr>
              <w:t>授权公告日</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证书编号</w:t>
            </w:r>
          </w:p>
        </w:tc>
      </w:tr>
    </w:tbl>
    <w:p>
      <w:pPr>
        <w:spacing w:lineRule="exact" w:line="1"/>
        <w:rPr>
          <w:sz w:val="2"/>
          <w:szCs w:val="2"/>
        </w:rPr>
      </w:pPr>
      <w:r>
        <w:br w:type="page"/>
      </w:r>
    </w:p>
    <w:tbl>
      <w:tblPr>
        <w:tblOverlap w:val="never"/>
        <w:jc w:val="left"/>
        <w:tblLayout w:type="fixed"/>
      </w:tblPr>
      <w:tblGrid>
        <w:gridCol w:w="2275"/>
        <w:gridCol w:w="1694"/>
        <w:gridCol w:w="1138"/>
        <w:gridCol w:w="1704"/>
        <w:gridCol w:w="1133"/>
        <w:gridCol w:w="1152"/>
      </w:tblGrid>
      <w:tr>
        <w:trPr>
          <w:trHeight w:val="360"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一种电子投票箱</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201811624648.0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2020/1/14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3664249</w:t>
            </w:r>
          </w:p>
        </w:tc>
      </w:tr>
      <w:tr>
        <w:trPr>
          <w:trHeight w:val="662"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322" w:lineRule="exact"/>
              <w:ind w:left="0" w:right="0" w:firstLine="0"/>
              <w:jc w:val="center"/>
            </w:pPr>
            <w:r>
              <w:rPr>
                <w:b/>
                <w:bCs/>
                <w:color w:val="000000"/>
                <w:spacing w:val="0"/>
                <w:w w:val="100"/>
                <w:position w:val="0"/>
              </w:rPr>
              <w:t>选票图像采集系统的控制方法及选票图像 采集系统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201811624629.8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2020/3/24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3726537</w:t>
            </w:r>
          </w:p>
        </w:tc>
      </w:tr>
      <w:tr>
        <w:trPr>
          <w:trHeight w:val="355"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一种基于机器视觉的</w:t>
            </w:r>
            <w:r>
              <w:rPr>
                <w:rFonts w:ascii="Times New Roman" w:eastAsia="Times New Roman" w:hAnsi="Times New Roman" w:cs="Times New Roman"/>
                <w:b/>
                <w:bCs/>
                <w:color w:val="000000"/>
                <w:spacing w:val="0"/>
                <w:w w:val="100"/>
                <w:position w:val="0"/>
              </w:rPr>
              <w:t>Mura</w:t>
            </w:r>
            <w:r>
              <w:rPr>
                <w:b/>
                <w:bCs/>
                <w:color w:val="000000"/>
                <w:spacing w:val="0"/>
                <w:w w:val="100"/>
                <w:position w:val="0"/>
              </w:rPr>
              <w:t>缺陷检测方法</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201710578355.2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2020/9/25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4005837</w:t>
            </w:r>
          </w:p>
        </w:tc>
      </w:tr>
      <w:tr>
        <w:trPr>
          <w:trHeight w:val="350" w:hRule="exact"/>
        </w:trPr>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一种基于双通道表决系统的表决方法</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201710853784.6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2020/3/20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3724614</w:t>
            </w:r>
          </w:p>
        </w:tc>
      </w:tr>
      <w:tr>
        <w:trPr>
          <w:trHeight w:val="662"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322" w:lineRule="exact"/>
              <w:ind w:left="0" w:right="0" w:firstLine="0"/>
              <w:jc w:val="center"/>
            </w:pPr>
            <w:r>
              <w:rPr>
                <w:b/>
                <w:bCs/>
                <w:color w:val="000000"/>
                <w:spacing w:val="0"/>
                <w:w w:val="100"/>
                <w:position w:val="0"/>
              </w:rPr>
              <w:t>一种用于社区选举中表格型选票的表格处 理方法</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201811217450.0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2020/12/8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4137524</w:t>
            </w:r>
          </w:p>
        </w:tc>
      </w:tr>
      <w:tr>
        <w:trPr>
          <w:trHeight w:val="355"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一种通用表格图像的表格提取方法</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201811217691.5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2020/12/11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4143858</w:t>
            </w:r>
          </w:p>
        </w:tc>
      </w:tr>
      <w:tr>
        <w:trPr>
          <w:trHeight w:val="350" w:hRule="exact"/>
        </w:trPr>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一种油气场所一体化智能仪控撬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实用新型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202020729811.6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2020/10/27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11764299</w:t>
            </w:r>
          </w:p>
        </w:tc>
      </w:tr>
      <w:tr>
        <w:trPr>
          <w:trHeight w:val="350"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一种用于机房的新风系统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实用新型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202020308514.4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2020/10/30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11803674</w:t>
            </w:r>
          </w:p>
        </w:tc>
      </w:tr>
      <w:tr>
        <w:trPr>
          <w:trHeight w:val="355"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一种电子桌牌设置底座及电子桌牌终端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实用新型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202020131307.6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2020/5/22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10588801</w:t>
            </w:r>
          </w:p>
        </w:tc>
      </w:tr>
      <w:tr>
        <w:trPr>
          <w:trHeight w:val="350" w:hRule="exact"/>
        </w:trPr>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一种手机输出显示装置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实用新型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202020820202.1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2020/11/3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11832228</w:t>
            </w:r>
          </w:p>
        </w:tc>
      </w:tr>
      <w:tr>
        <w:trPr>
          <w:trHeight w:val="350" w:hRule="exact"/>
        </w:trPr>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电子桌牌（底座无挂钩）</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外观设计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201930403719.3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2020/3/24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5677596</w:t>
            </w:r>
          </w:p>
        </w:tc>
      </w:tr>
      <w:tr>
        <w:trPr>
          <w:trHeight w:val="355"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电子桌牌（底座有挂钩）</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外观设计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201930403174.6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2020/3/24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5677149</w:t>
            </w:r>
          </w:p>
        </w:tc>
      </w:tr>
      <w:tr>
        <w:trPr>
          <w:trHeight w:val="350" w:hRule="exact"/>
        </w:trPr>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多功能表决器</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外观设计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201930616764.7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2020/4/7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5711365</w:t>
            </w:r>
          </w:p>
        </w:tc>
      </w:tr>
      <w:tr>
        <w:trPr>
          <w:trHeight w:val="350"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升降式无纸化会议终端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外观设计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202030078259.4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2020/7/17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5950593</w:t>
            </w:r>
          </w:p>
        </w:tc>
      </w:tr>
      <w:tr>
        <w:trPr>
          <w:trHeight w:val="355" w:hRule="exact"/>
        </w:trPr>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台式表决器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外观设计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b/>
                <w:bCs/>
                <w:color w:val="000000"/>
                <w:spacing w:val="0"/>
                <w:w w:val="100"/>
                <w:position w:val="0"/>
              </w:rPr>
              <w:t>202030168228.8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2020/8/11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6001011</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证书编号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名称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取得方式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发证日期</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4906074</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计票通系统软件</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2020/1/7</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4906073</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计票通选票制作与模式生成软件</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2020/1/7</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5271746</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卷烟规范经营风险防控管理软件</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2020/4/29</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5271751</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卷烟规范经营智能预警管理软件</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2020/4/29</w:t>
            </w:r>
          </w:p>
        </w:tc>
      </w:tr>
      <w:tr>
        <w:trPr>
          <w:trHeight w:val="3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5325526</w:t>
            </w:r>
            <w:r>
              <w:rPr>
                <w:b/>
                <w:bCs/>
                <w:color w:val="000000"/>
                <w:spacing w:val="0"/>
                <w:w w:val="100"/>
                <w:position w:val="0"/>
              </w:rPr>
              <w:t>号</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基于</w:t>
            </w:r>
            <w:r>
              <w:rPr>
                <w:rFonts w:ascii="Times New Roman" w:eastAsia="Times New Roman" w:hAnsi="Times New Roman" w:cs="Times New Roman"/>
                <w:b/>
                <w:bCs/>
                <w:color w:val="000000"/>
                <w:spacing w:val="0"/>
                <w:w w:val="100"/>
                <w:position w:val="0"/>
              </w:rPr>
              <w:t>HCPS</w:t>
            </w:r>
            <w:r>
              <w:rPr>
                <w:b/>
                <w:bCs/>
                <w:color w:val="000000"/>
                <w:spacing w:val="0"/>
                <w:w w:val="100"/>
                <w:position w:val="0"/>
              </w:rPr>
              <w:t>卷包数采职能制造平台</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2020/5/13</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5352402</w:t>
            </w:r>
            <w:r>
              <w:rPr>
                <w:b/>
                <w:bCs/>
                <w:color w:val="000000"/>
                <w:spacing w:val="0"/>
                <w:w w:val="100"/>
                <w:position w:val="0"/>
              </w:rPr>
              <w:t>号</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基于价值链的卷烟物料测评</w:t>
            </w:r>
            <w:r>
              <w:rPr>
                <w:rFonts w:ascii="Times New Roman" w:eastAsia="Times New Roman" w:hAnsi="Times New Roman" w:cs="Times New Roman"/>
                <w:b/>
                <w:bCs/>
                <w:color w:val="000000"/>
                <w:spacing w:val="0"/>
                <w:w w:val="100"/>
                <w:position w:val="0"/>
              </w:rPr>
              <w:t>AP P</w:t>
            </w:r>
            <w:r>
              <w:rPr>
                <w:b/>
                <w:bCs/>
                <w:color w:val="000000"/>
                <w:spacing w:val="0"/>
                <w:w w:val="100"/>
                <w:position w:val="0"/>
              </w:rPr>
              <w:t>软件</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2020/5/19</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5365012</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油气场所一体化智能仪控撬控制系统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2020/5/21</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5369867</w:t>
            </w:r>
            <w:r>
              <w:rPr>
                <w:b/>
                <w:bCs/>
                <w:color w:val="000000"/>
                <w:spacing w:val="0"/>
                <w:w w:val="100"/>
                <w:position w:val="0"/>
              </w:rPr>
              <w:t>号</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油气场所一体化智能仪控撬传输系统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2020/5/21</w:t>
            </w:r>
          </w:p>
        </w:tc>
      </w:tr>
      <w:tr>
        <w:trPr>
          <w:trHeight w:val="6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5488561</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油气场所一体化智能仪控撬环境数据协调系统</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5486780</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油气场所一体化智能仪控撬综合分析系统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66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5488585</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油气场所一体化智能仪控撬智能诊断管理系统</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6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5488370</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油气场所一体化智能仪控撬仪表数据采集系统</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6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5487187</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油气场所一体化智能仪控撬智能</w:t>
            </w:r>
            <w:r>
              <w:rPr>
                <w:rFonts w:ascii="Times New Roman" w:eastAsia="Times New Roman" w:hAnsi="Times New Roman" w:cs="Times New Roman"/>
                <w:b/>
                <w:bCs/>
                <w:color w:val="000000"/>
                <w:spacing w:val="0"/>
                <w:w w:val="100"/>
                <w:position w:val="0"/>
              </w:rPr>
              <w:t>WEB</w:t>
            </w:r>
            <w:r>
              <w:rPr>
                <w:b/>
                <w:bCs/>
                <w:color w:val="000000"/>
                <w:spacing w:val="0"/>
                <w:w w:val="100"/>
                <w:position w:val="0"/>
              </w:rPr>
              <w:t>发布系统</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6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5488569</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油气场所一体化智能仪控撬供暖数据采集系统</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66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5488577</w:t>
            </w:r>
            <w:r>
              <w:rPr>
                <w:b/>
                <w:bCs/>
                <w:color w:val="000000"/>
                <w:spacing w:val="0"/>
                <w:w w:val="100"/>
                <w:position w:val="0"/>
              </w:rPr>
              <w:t>号</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油气场所一体化智能仪控撬电力数据采集系统</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5488775</w:t>
            </w:r>
            <w:r>
              <w:rPr>
                <w:b/>
                <w:bCs/>
                <w:color w:val="000000"/>
                <w:spacing w:val="0"/>
                <w:w w:val="100"/>
                <w:position w:val="0"/>
              </w:rPr>
              <w:t>号</w:t>
            </w:r>
          </w:p>
        </w:tc>
        <w:tc>
          <w:tcPr>
            <w:gridSpan w:val="3"/>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油气场所一体化智能仪控撬触摸屏展示系统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rPr>
              <w:t>2020/6/11</w:t>
            </w:r>
          </w:p>
        </w:tc>
      </w:tr>
    </w:tbl>
    <w:p>
      <w:pPr>
        <w:sectPr>
          <w:headerReference w:type="default" r:id="rId59"/>
          <w:footerReference w:type="default" r:id="rId60"/>
          <w:headerReference w:type="even" r:id="rId61"/>
          <w:footerReference w:type="even" r:id="rId62"/>
          <w:headerReference w:type="first" r:id="rId63"/>
          <w:footerReference w:type="first" r:id="rId64"/>
          <w:footnotePr>
            <w:pos w:val="pageBottom"/>
            <w:numFmt w:val="decimal"/>
            <w:numRestart w:val="continuous"/>
          </w:footnotePr>
          <w:pgSz w:w="11900" w:h="16840"/>
          <w:pgMar w:top="1316" w:right="524" w:bottom="1450" w:left="604" w:header="0" w:footer="3" w:gutter="0"/>
          <w:cols w:space="720"/>
          <w:noEndnote/>
          <w:titlePg/>
          <w:rtlGutter w:val="0"/>
          <w:docGrid w:linePitch="360"/>
        </w:sectPr>
      </w:pPr>
    </w:p>
    <w:tbl>
      <w:tblPr>
        <w:tblOverlap w:val="never"/>
        <w:jc w:val="center"/>
        <w:tblLayout w:type="fixed"/>
      </w:tblPr>
      <w:tblGrid>
        <w:gridCol w:w="2275"/>
        <w:gridCol w:w="4536"/>
        <w:gridCol w:w="1133"/>
        <w:gridCol w:w="1152"/>
      </w:tblGrid>
      <w:tr>
        <w:trPr>
          <w:trHeight w:val="36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5621798</w:t>
            </w:r>
            <w:r>
              <w:rPr>
                <w:b/>
                <w:bCs/>
                <w:color w:val="000000"/>
                <w:spacing w:val="0"/>
                <w:w w:val="100"/>
                <w:position w:val="0"/>
              </w:rPr>
              <w:t>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流程驱动的卷烟经营异常协同处置管理软件</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2020/7/8</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5621811</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模型驱动的卷烟经营异常综合研判管理软件</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2020/7/8</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5774533</w:t>
            </w:r>
            <w:r>
              <w:rPr>
                <w:b/>
                <w:bCs/>
                <w:color w:val="000000"/>
                <w:spacing w:val="0"/>
                <w:w w:val="100"/>
                <w:position w:val="0"/>
              </w:rPr>
              <w:t>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科技项目管理软件</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2020/8/7</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5774708</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科技评审管理系统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2020/8/7</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5774549</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科技文献管理软件</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2020/8/7</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5788731</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面向云计算的软件开发平台</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2020/8/11</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5914307</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人才库管理信息系统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5982763</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物联网综合智能管控平台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2020/9/16</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5982755</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石油天然气调度中心智能</w:t>
            </w:r>
            <w:r>
              <w:rPr>
                <w:rFonts w:ascii="Times New Roman" w:eastAsia="Times New Roman" w:hAnsi="Times New Roman" w:cs="Times New Roman"/>
                <w:b/>
                <w:bCs/>
                <w:color w:val="000000"/>
                <w:spacing w:val="0"/>
                <w:w w:val="100"/>
                <w:position w:val="0"/>
              </w:rPr>
              <w:t>S CADA</w:t>
            </w:r>
            <w:r>
              <w:rPr>
                <w:b/>
                <w:bCs/>
                <w:color w:val="000000"/>
                <w:spacing w:val="0"/>
                <w:w w:val="100"/>
                <w:position w:val="0"/>
              </w:rPr>
              <w:t>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2020/9/16</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5982787</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物联网综合分析系统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2020/9/16</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5982779</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石油天然气</w:t>
            </w:r>
            <w:r>
              <w:rPr>
                <w:rFonts w:ascii="Times New Roman" w:eastAsia="Times New Roman" w:hAnsi="Times New Roman" w:cs="Times New Roman"/>
                <w:b/>
                <w:bCs/>
                <w:color w:val="000000"/>
                <w:spacing w:val="0"/>
                <w:w w:val="100"/>
                <w:position w:val="0"/>
              </w:rPr>
              <w:t>RTU</w:t>
            </w:r>
            <w:r>
              <w:rPr>
                <w:b/>
                <w:bCs/>
                <w:color w:val="000000"/>
                <w:spacing w:val="0"/>
                <w:w w:val="100"/>
                <w:position w:val="0"/>
              </w:rPr>
              <w:t>智能采集传输系统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2020/9/16</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5982771</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石油石化</w:t>
            </w:r>
            <w:r>
              <w:rPr>
                <w:rFonts w:ascii="Times New Roman" w:eastAsia="Times New Roman" w:hAnsi="Times New Roman" w:cs="Times New Roman"/>
                <w:b/>
                <w:bCs/>
                <w:color w:val="000000"/>
                <w:spacing w:val="0"/>
                <w:w w:val="100"/>
                <w:position w:val="0"/>
              </w:rPr>
              <w:t>RTU</w:t>
            </w:r>
            <w:r>
              <w:rPr>
                <w:b/>
                <w:bCs/>
                <w:color w:val="000000"/>
                <w:spacing w:val="0"/>
                <w:w w:val="100"/>
                <w:position w:val="0"/>
              </w:rPr>
              <w:t>控制系统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2020/9/16</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6067341</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经济运行监测分析系统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2020/9/29</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6067180</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统计元数据管理平台</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2020/9/29</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6067017</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数据质量检测系统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2020/9/29</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6068089</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统计报表设计管理系统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6068050</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普查数据对比分析应用系统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2020/9/30</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6068076</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产业经济监测分析系统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6064696</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大数据可视化分析展示平台</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2020/9/29</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6068070</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高质量发展监测分析系统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2020/9/30</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6067806</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企业健康及贡献指数画像系统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6068055</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产业功能区监测分析系统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2020/9/30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6271562</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集易业务模型设计中心系统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2020/11/12</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6361311</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集易业务流程配置中心系统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6362780</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集易场景可视化设计中心系统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6371857</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集聚全域元数据中心系统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2020/11/12</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6361318</w:t>
            </w:r>
            <w:r>
              <w:rPr>
                <w:b/>
                <w:bCs/>
                <w:color w:val="000000"/>
                <w:spacing w:val="0"/>
                <w:w w:val="100"/>
                <w:position w:val="0"/>
              </w:rPr>
              <w:t>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集聚大数据采集中心系统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2020/11/10</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6371574</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集聚大数据治理中心系统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2020/11/12</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6362779</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集聚大数据存储中心系统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2020/11/10</w:t>
            </w:r>
          </w:p>
        </w:tc>
      </w:tr>
      <w:tr>
        <w:trPr>
          <w:trHeight w:val="35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6371564</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集固统一身份认证中心系统</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2020/11/12</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6371563</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集易微应用管理中心系统</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2020/11/12</w:t>
            </w:r>
          </w:p>
        </w:tc>
      </w:tr>
      <w:tr>
        <w:trPr>
          <w:trHeight w:val="3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5327637</w:t>
            </w:r>
            <w:r>
              <w:rPr>
                <w:b/>
                <w:bCs/>
                <w:color w:val="000000"/>
                <w:spacing w:val="0"/>
                <w:w w:val="100"/>
                <w:position w:val="0"/>
              </w:rPr>
              <w:t>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CSS60</w:t>
            </w:r>
            <w:r>
              <w:rPr>
                <w:rFonts w:ascii="Times New Roman" w:eastAsia="Times New Roman" w:hAnsi="Times New Roman" w:cs="Times New Roman"/>
                <w:b/>
                <w:bCs/>
                <w:color w:val="000000"/>
                <w:spacing w:val="0"/>
                <w:w w:val="100"/>
                <w:position w:val="0"/>
              </w:rPr>
              <w:t>00</w:t>
            </w:r>
            <w:r>
              <w:rPr>
                <w:b/>
                <w:bCs/>
                <w:color w:val="000000"/>
                <w:spacing w:val="0"/>
                <w:w w:val="100"/>
                <w:position w:val="0"/>
              </w:rPr>
              <w:t>表决系统主控软件</w:t>
            </w:r>
            <w:r>
              <w:rPr>
                <w:rFonts w:ascii="Times New Roman" w:eastAsia="Times New Roman" w:hAnsi="Times New Roman" w:cs="Times New Roman"/>
                <w:b/>
                <w:bCs/>
                <w:color w:val="000000"/>
                <w:spacing w:val="0"/>
                <w:w w:val="100"/>
                <w:position w:val="0"/>
              </w:rPr>
              <w:t xml:space="preserve">V </w:t>
            </w:r>
            <w:r>
              <w:rPr>
                <w:rFonts w:ascii="Times New Roman" w:eastAsia="Times New Roman" w:hAnsi="Times New Roman" w:cs="Times New Roman"/>
                <w:b/>
                <w:bCs/>
                <w:color w:val="000000"/>
                <w:spacing w:val="0"/>
                <w:w w:val="100"/>
                <w:position w:val="0"/>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2020/5/13</w:t>
            </w:r>
          </w:p>
        </w:tc>
      </w:tr>
      <w:tr>
        <w:trPr>
          <w:trHeight w:val="35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5418416</w:t>
            </w:r>
            <w:r>
              <w:rPr>
                <w:b/>
                <w:bCs/>
                <w:color w:val="000000"/>
                <w:spacing w:val="0"/>
                <w:w w:val="100"/>
                <w:position w:val="0"/>
              </w:rPr>
              <w:t>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rPr>
              <w:t>ICS-C</w:t>
            </w:r>
            <w:r>
              <w:rPr>
                <w:b/>
                <w:bCs/>
                <w:color w:val="000000"/>
                <w:spacing w:val="0"/>
                <w:w w:val="100"/>
                <w:position w:val="0"/>
              </w:rPr>
              <w:t>智能会议系统软件</w:t>
            </w:r>
            <w:r>
              <w:rPr>
                <w:rFonts w:ascii="Times New Roman" w:eastAsia="Times New Roman" w:hAnsi="Times New Roman" w:cs="Times New Roman"/>
                <w:b/>
                <w:bCs/>
                <w:color w:val="000000"/>
                <w:spacing w:val="0"/>
                <w:w w:val="100"/>
                <w:position w:val="0"/>
              </w:rPr>
              <w:t>V1.0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2020/5/29</w:t>
            </w:r>
          </w:p>
        </w:tc>
      </w:tr>
      <w:tr>
        <w:trPr>
          <w:trHeight w:val="37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软著登字第</w:t>
            </w:r>
            <w:r>
              <w:rPr>
                <w:rFonts w:ascii="Times New Roman" w:eastAsia="Times New Roman" w:hAnsi="Times New Roman" w:cs="Times New Roman"/>
                <w:b/>
                <w:bCs/>
                <w:color w:val="000000"/>
                <w:spacing w:val="0"/>
                <w:w w:val="100"/>
                <w:position w:val="0"/>
              </w:rPr>
              <w:t>5239443</w:t>
            </w:r>
            <w:r>
              <w:rPr>
                <w:b/>
                <w:bCs/>
                <w:color w:val="000000"/>
                <w:spacing w:val="0"/>
                <w:w w:val="100"/>
                <w:position w:val="0"/>
              </w:rPr>
              <w:t>号</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基于国产操作系统的会议系统软件</w:t>
            </w:r>
            <w:r>
              <w:rPr>
                <w:rFonts w:ascii="Times New Roman" w:eastAsia="Times New Roman" w:hAnsi="Times New Roman" w:cs="Times New Roman"/>
                <w:b/>
                <w:bCs/>
                <w:color w:val="000000"/>
                <w:spacing w:val="0"/>
                <w:w w:val="100"/>
                <w:position w:val="0"/>
              </w:rPr>
              <w:t>V10.0.0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原始取得</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rPr>
              <w:t>2020/4/22</w:t>
            </w:r>
          </w:p>
        </w:tc>
      </w:tr>
    </w:tbl>
    <w:p>
      <w:pPr>
        <w:pStyle w:val="Style41"/>
        <w:keepNext w:val="0"/>
        <w:keepLines w:val="0"/>
        <w:widowControl w:val="0"/>
        <w:shd w:val="clear" w:color="auto" w:fill="auto"/>
        <w:bidi w:val="0"/>
        <w:spacing w:before="0" w:after="0" w:line="240" w:lineRule="auto"/>
        <w:ind w:left="523" w:right="0" w:firstLine="0"/>
        <w:jc w:val="left"/>
      </w:pPr>
      <w:r>
        <w:rPr>
          <w:color w:val="000000"/>
          <w:spacing w:val="0"/>
          <w:w w:val="100"/>
          <w:position w:val="0"/>
        </w:rPr>
        <w:t>（三）</w:t>
      </w:r>
      <w:r>
        <w:rPr>
          <w:rFonts w:ascii="Times New Roman" w:eastAsia="Times New Roman" w:hAnsi="Times New Roman" w:cs="Times New Roman"/>
          <w:color w:val="000000"/>
          <w:spacing w:val="0"/>
          <w:w w:val="100"/>
          <w:position w:val="0"/>
        </w:rPr>
        <w:t>“</w:t>
      </w:r>
      <w:r>
        <w:rPr>
          <w:color w:val="000000"/>
          <w:spacing w:val="0"/>
          <w:w w:val="100"/>
          <w:position w:val="0"/>
        </w:rPr>
        <w:t>合作共生</w:t>
      </w:r>
      <w:r>
        <w:rPr>
          <w:rFonts w:ascii="Times New Roman" w:eastAsia="Times New Roman" w:hAnsi="Times New Roman" w:cs="Times New Roman"/>
          <w:color w:val="000000"/>
          <w:spacing w:val="0"/>
          <w:w w:val="100"/>
          <w:position w:val="0"/>
        </w:rPr>
        <w:t>”</w:t>
      </w:r>
      <w:r>
        <w:rPr>
          <w:color w:val="000000"/>
          <w:spacing w:val="0"/>
          <w:w w:val="100"/>
          <w:position w:val="0"/>
        </w:rPr>
        <w:t>的生态协作优势</w:t>
      </w:r>
    </w:p>
    <w:p>
      <w:pPr>
        <w:widowControl w:val="0"/>
        <w:spacing w:after="159" w:line="1" w:lineRule="exact"/>
      </w:pPr>
    </w:p>
    <w:p>
      <w:pPr>
        <w:pStyle w:val="Style47"/>
        <w:keepNext w:val="0"/>
        <w:keepLines w:val="0"/>
        <w:widowControl w:val="0"/>
        <w:shd w:val="clear" w:color="auto" w:fill="auto"/>
        <w:bidi w:val="0"/>
        <w:spacing w:before="0" w:after="160" w:line="240" w:lineRule="auto"/>
        <w:ind w:left="0" w:right="0" w:firstLine="440"/>
        <w:jc w:val="left"/>
      </w:pPr>
      <w:r>
        <w:rPr>
          <w:color w:val="000000"/>
          <w:spacing w:val="0"/>
          <w:w w:val="100"/>
          <w:position w:val="0"/>
        </w:rPr>
        <w:t>公司先后独立或参与建设了</w:t>
      </w:r>
      <w:r>
        <w:rPr>
          <w:rFonts w:ascii="Times New Roman" w:eastAsia="Times New Roman" w:hAnsi="Times New Roman" w:cs="Times New Roman"/>
          <w:color w:val="000000"/>
          <w:spacing w:val="0"/>
          <w:w w:val="100"/>
          <w:position w:val="0"/>
        </w:rPr>
        <w:t>“</w:t>
      </w:r>
      <w:r>
        <w:rPr>
          <w:color w:val="000000"/>
          <w:spacing w:val="0"/>
          <w:w w:val="100"/>
          <w:position w:val="0"/>
        </w:rPr>
        <w:t>中科信息</w:t>
      </w:r>
      <w:r>
        <w:rPr>
          <w:rFonts w:ascii="Times New Roman" w:eastAsia="Times New Roman" w:hAnsi="Times New Roman" w:cs="Times New Roman"/>
          <w:color w:val="000000"/>
          <w:spacing w:val="0"/>
          <w:w w:val="100"/>
          <w:position w:val="0"/>
        </w:rPr>
        <w:t>-</w:t>
      </w:r>
      <w:r>
        <w:rPr>
          <w:color w:val="000000"/>
          <w:spacing w:val="0"/>
          <w:w w:val="100"/>
          <w:position w:val="0"/>
        </w:rPr>
        <w:t>成都信息工程大学机器视觉联合实验室''、</w:t>
      </w:r>
      <w:r>
        <w:rPr>
          <w:rFonts w:ascii="Times New Roman" w:eastAsia="Times New Roman" w:hAnsi="Times New Roman" w:cs="Times New Roman"/>
          <w:color w:val="000000"/>
          <w:spacing w:val="0"/>
          <w:w w:val="100"/>
          <w:position w:val="0"/>
        </w:rPr>
        <w:t>“</w:t>
      </w:r>
      <w:r>
        <w:rPr>
          <w:color w:val="000000"/>
          <w:spacing w:val="0"/>
          <w:w w:val="100"/>
          <w:position w:val="0"/>
        </w:rPr>
        <w:t>四川省企业技术中</w:t>
      </w:r>
    </w:p>
    <w:p>
      <w:pPr>
        <w:pStyle w:val="Style47"/>
        <w:keepNext w:val="0"/>
        <w:keepLines w:val="0"/>
        <w:widowControl w:val="0"/>
        <w:shd w:val="clear" w:color="auto" w:fill="auto"/>
        <w:bidi w:val="0"/>
        <w:spacing w:before="0" w:after="220" w:line="240" w:lineRule="auto"/>
        <w:ind w:left="0" w:right="0" w:firstLine="0"/>
        <w:jc w:val="left"/>
      </w:pPr>
      <w:r>
        <w:rPr>
          <w:color w:val="000000"/>
          <w:spacing w:val="0"/>
          <w:w w:val="100"/>
          <w:position w:val="0"/>
        </w:rPr>
        <w:t>心''、</w:t>
      </w:r>
      <w:r>
        <w:rPr>
          <w:rFonts w:ascii="Times New Roman" w:eastAsia="Times New Roman" w:hAnsi="Times New Roman" w:cs="Times New Roman"/>
          <w:color w:val="000000"/>
          <w:spacing w:val="0"/>
          <w:w w:val="100"/>
          <w:position w:val="0"/>
        </w:rPr>
        <w:t>“</w:t>
      </w:r>
      <w:r>
        <w:rPr>
          <w:color w:val="000000"/>
          <w:spacing w:val="0"/>
          <w:w w:val="100"/>
          <w:position w:val="0"/>
        </w:rPr>
        <w:t>成都物联网研发中心''、</w:t>
      </w:r>
      <w:r>
        <w:rPr>
          <w:rFonts w:ascii="Times New Roman" w:eastAsia="Times New Roman" w:hAnsi="Times New Roman" w:cs="Times New Roman"/>
          <w:color w:val="000000"/>
          <w:spacing w:val="0"/>
          <w:w w:val="100"/>
          <w:position w:val="0"/>
        </w:rPr>
        <w:t>“</w:t>
      </w:r>
      <w:r>
        <w:rPr>
          <w:color w:val="000000"/>
          <w:spacing w:val="0"/>
          <w:w w:val="100"/>
          <w:position w:val="0"/>
        </w:rPr>
        <w:t>智能医学创新培训中心''、</w:t>
      </w:r>
      <w:r>
        <w:rPr>
          <w:rFonts w:ascii="Times New Roman" w:eastAsia="Times New Roman" w:hAnsi="Times New Roman" w:cs="Times New Roman"/>
          <w:color w:val="000000"/>
          <w:spacing w:val="0"/>
          <w:w w:val="100"/>
          <w:position w:val="0"/>
        </w:rPr>
        <w:t>“</w:t>
      </w:r>
      <w:r>
        <w:rPr>
          <w:color w:val="000000"/>
          <w:spacing w:val="0"/>
          <w:w w:val="100"/>
          <w:position w:val="0"/>
        </w:rPr>
        <w:t>四川省计算机学会虚拟仿真专委会、</w:t>
      </w:r>
      <w:r>
        <w:rPr>
          <w:rFonts w:ascii="Times New Roman" w:eastAsia="Times New Roman" w:hAnsi="Times New Roman" w:cs="Times New Roman"/>
          <w:color w:val="000000"/>
          <w:spacing w:val="0"/>
          <w:w w:val="100"/>
          <w:position w:val="0"/>
        </w:rPr>
        <w:t>“</w:t>
      </w:r>
      <w:r>
        <w:rPr>
          <w:color w:val="000000"/>
          <w:spacing w:val="0"/>
          <w:w w:val="100"/>
          <w:position w:val="0"/>
        </w:rPr>
        <w:t>四川省</w:t>
      </w:r>
    </w:p>
    <w:p>
      <w:pPr>
        <w:pStyle w:val="Style47"/>
        <w:keepNext w:val="0"/>
        <w:keepLines w:val="0"/>
        <w:widowControl w:val="0"/>
        <w:shd w:val="clear" w:color="auto" w:fill="auto"/>
        <w:bidi w:val="0"/>
        <w:spacing w:before="0" w:after="0" w:line="240" w:lineRule="auto"/>
        <w:ind w:left="0" w:right="0" w:firstLine="0"/>
        <w:jc w:val="left"/>
      </w:pPr>
      <w:r>
        <w:rPr>
          <w:color w:val="000000"/>
          <w:spacing w:val="0"/>
          <w:w w:val="100"/>
          <w:position w:val="0"/>
        </w:rPr>
        <w:t>肿瘤学会人工智能与大数据专委会</w:t>
      </w:r>
      <w:r>
        <w:rPr>
          <w:color w:val="000000"/>
          <w:spacing w:val="0"/>
          <w:w w:val="100"/>
          <w:position w:val="0"/>
        </w:rPr>
        <w:t>''</w:t>
      </w:r>
      <w:r>
        <w:rPr>
          <w:color w:val="000000"/>
          <w:spacing w:val="0"/>
          <w:w w:val="100"/>
          <w:position w:val="0"/>
        </w:rPr>
        <w:t xml:space="preserve">等多个创新平台。公司还是中国软件行业会员单位、四川省计算机学 </w:t>
      </w:r>
      <w:r>
        <w:rPr>
          <w:color w:val="000000"/>
          <w:spacing w:val="0"/>
          <w:w w:val="100"/>
          <w:position w:val="0"/>
        </w:rPr>
        <w:t>会挂靠单位和理事长单位、中国科学院人工智能产学研创新联盟理事单位、四川省软件行业协会常务理事 单位、中国科学院智慧城市产业化联盟理事单位，华为鲲鹏生态</w:t>
      </w:r>
      <w:r>
        <w:rPr>
          <w:rFonts w:ascii="Times New Roman" w:eastAsia="Times New Roman" w:hAnsi="Times New Roman" w:cs="Times New Roman"/>
          <w:color w:val="000000"/>
          <w:spacing w:val="0"/>
          <w:w w:val="100"/>
          <w:position w:val="0"/>
        </w:rPr>
        <w:t>ISV</w:t>
      </w:r>
      <w:r>
        <w:rPr>
          <w:color w:val="000000"/>
          <w:spacing w:val="0"/>
          <w:w w:val="100"/>
          <w:position w:val="0"/>
        </w:rPr>
        <w:t>认证合作伙伴、四川省人工智能学会 副理事长单位、成都市人工智能产业协会副会长单位、成都市高新区大数据与网络空间安全业界共治理事 会常务理事单位、成都市高新区</w:t>
      </w:r>
      <w:r>
        <w:rPr>
          <w:rFonts w:ascii="Times New Roman" w:eastAsia="Times New Roman" w:hAnsi="Times New Roman" w:cs="Times New Roman"/>
          <w:color w:val="000000"/>
          <w:spacing w:val="0"/>
          <w:w w:val="100"/>
          <w:position w:val="0"/>
        </w:rPr>
        <w:t>5G</w:t>
      </w:r>
      <w:r>
        <w:rPr>
          <w:color w:val="000000"/>
          <w:spacing w:val="0"/>
          <w:w w:val="100"/>
          <w:position w:val="0"/>
        </w:rPr>
        <w:t>与人工智能业界共治理事会常务理事单位、成都市第一届物联网智库入 选单位、组建中国科学院大学成都学院之人工智能学院的牵头单位、信息技术应用创新工作委员会会员单 位。</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报告期内，公司加入海光</w:t>
      </w:r>
      <w:r>
        <w:rPr>
          <w:rFonts w:ascii="Times New Roman" w:eastAsia="Times New Roman" w:hAnsi="Times New Roman" w:cs="Times New Roman"/>
          <w:color w:val="000000"/>
          <w:spacing w:val="0"/>
          <w:w w:val="100"/>
          <w:position w:val="0"/>
        </w:rPr>
        <w:t>•</w:t>
      </w:r>
      <w:r>
        <w:rPr>
          <w:color w:val="000000"/>
          <w:spacing w:val="0"/>
          <w:w w:val="100"/>
          <w:position w:val="0"/>
        </w:rPr>
        <w:t>光合组织四川分会，与统信软件、北京超图软件建立战略合作伙伴关系，实 现中科信息与中科曙光等七家单位的相互认证等成绩，极大提升了公司在四川省信创生态圈中的知名度和 影响力，当选四川省信息技术应用创新产业联盟第一届副理事长单位。与此同时，公司也在不断为区域人 工智能产业发展提供智力支持，为四川、成都人工智能技术与产业发展提供决策咨询，承担四川省、成都 市多项科技攻关项目。</w:t>
      </w:r>
    </w:p>
    <w:p>
      <w:pPr>
        <w:pStyle w:val="Style47"/>
        <w:keepNext w:val="0"/>
        <w:keepLines w:val="0"/>
        <w:widowControl w:val="0"/>
        <w:shd w:val="clear" w:color="auto" w:fill="auto"/>
        <w:tabs>
          <w:tab w:pos="974" w:val="left"/>
        </w:tabs>
        <w:bidi w:val="0"/>
        <w:spacing w:before="0" w:after="0" w:line="468" w:lineRule="exact"/>
        <w:ind w:left="0" w:right="0" w:firstLine="440"/>
        <w:jc w:val="both"/>
      </w:pPr>
      <w:bookmarkStart w:id="118" w:name="bookmark118"/>
      <w:r>
        <w:rPr>
          <w:b/>
          <w:bCs/>
          <w:color w:val="000000"/>
          <w:spacing w:val="0"/>
          <w:w w:val="100"/>
          <w:position w:val="0"/>
        </w:rPr>
        <w:t>（</w:t>
      </w:r>
      <w:bookmarkEnd w:id="118"/>
      <w:r>
        <w:rPr>
          <w:b/>
          <w:bCs/>
          <w:color w:val="000000"/>
          <w:spacing w:val="0"/>
          <w:w w:val="100"/>
          <w:position w:val="0"/>
        </w:rPr>
        <w:t>四）</w:t>
        <w:tab/>
      </w:r>
      <w:r>
        <w:rPr>
          <w:rFonts w:ascii="Times New Roman" w:eastAsia="Times New Roman" w:hAnsi="Times New Roman" w:cs="Times New Roman"/>
          <w:b/>
          <w:bCs/>
          <w:color w:val="000000"/>
          <w:spacing w:val="0"/>
          <w:w w:val="100"/>
          <w:position w:val="0"/>
        </w:rPr>
        <w:t>“</w:t>
      </w:r>
      <w:r>
        <w:rPr>
          <w:b/>
          <w:bCs/>
          <w:color w:val="000000"/>
          <w:spacing w:val="0"/>
          <w:w w:val="100"/>
          <w:position w:val="0"/>
        </w:rPr>
        <w:t>院士领衔</w:t>
      </w:r>
      <w:r>
        <w:rPr>
          <w:rFonts w:ascii="Times New Roman" w:eastAsia="Times New Roman" w:hAnsi="Times New Roman" w:cs="Times New Roman"/>
          <w:b/>
          <w:bCs/>
          <w:color w:val="000000"/>
          <w:spacing w:val="0"/>
          <w:w w:val="100"/>
          <w:position w:val="0"/>
        </w:rPr>
        <w:t>”</w:t>
      </w:r>
      <w:r>
        <w:rPr>
          <w:b/>
          <w:bCs/>
          <w:color w:val="000000"/>
          <w:spacing w:val="0"/>
          <w:w w:val="100"/>
          <w:position w:val="0"/>
        </w:rPr>
        <w:t>的人才优势</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公司承继了中国科学院成都计算机应用研究所深厚的科研积淀和一大批高素质科研人才，拥有张景中 院士领衔的自动推理实验室。报告期内，中国科学院大学在本公司设有计算机软件与理论、计算机应用技 术、电子信息等</w:t>
      </w:r>
      <w:r>
        <w:rPr>
          <w:rFonts w:ascii="Times New Roman" w:eastAsia="Times New Roman" w:hAnsi="Times New Roman" w:cs="Times New Roman"/>
          <w:color w:val="000000"/>
          <w:spacing w:val="0"/>
          <w:w w:val="100"/>
          <w:position w:val="0"/>
        </w:rPr>
        <w:t>3</w:t>
      </w:r>
      <w:r>
        <w:rPr>
          <w:color w:val="000000"/>
          <w:spacing w:val="0"/>
          <w:w w:val="100"/>
          <w:position w:val="0"/>
        </w:rPr>
        <w:t>个硕士培养点，计算机软件与理论博士点</w:t>
      </w:r>
      <w:r>
        <w:rPr>
          <w:rFonts w:ascii="Times New Roman" w:eastAsia="Times New Roman" w:hAnsi="Times New Roman" w:cs="Times New Roman"/>
          <w:color w:val="000000"/>
          <w:spacing w:val="0"/>
          <w:w w:val="100"/>
          <w:position w:val="0"/>
        </w:rPr>
        <w:t>1</w:t>
      </w:r>
      <w:r>
        <w:rPr>
          <w:color w:val="000000"/>
          <w:spacing w:val="0"/>
          <w:w w:val="100"/>
          <w:position w:val="0"/>
        </w:rPr>
        <w:t>个，计算机科学与技术博士后科研工作站</w:t>
      </w:r>
      <w:r>
        <w:rPr>
          <w:rFonts w:ascii="Times New Roman" w:eastAsia="Times New Roman" w:hAnsi="Times New Roman" w:cs="Times New Roman"/>
          <w:color w:val="000000"/>
          <w:spacing w:val="0"/>
          <w:w w:val="100"/>
          <w:position w:val="0"/>
        </w:rPr>
        <w:t>1</w:t>
      </w:r>
      <w:r>
        <w:rPr>
          <w:color w:val="000000"/>
          <w:spacing w:val="0"/>
          <w:w w:val="100"/>
          <w:position w:val="0"/>
        </w:rPr>
        <w:t>个, 在读研究生</w:t>
      </w:r>
      <w:r>
        <w:rPr>
          <w:rFonts w:ascii="Times New Roman" w:eastAsia="Times New Roman" w:hAnsi="Times New Roman" w:cs="Times New Roman"/>
          <w:color w:val="000000"/>
          <w:spacing w:val="0"/>
          <w:w w:val="100"/>
          <w:position w:val="0"/>
        </w:rPr>
        <w:t>124</w:t>
      </w:r>
      <w:r>
        <w:rPr>
          <w:color w:val="000000"/>
          <w:spacing w:val="0"/>
          <w:w w:val="100"/>
          <w:position w:val="0"/>
        </w:rPr>
        <w:t>名，在站博士后</w:t>
      </w:r>
      <w:r>
        <w:rPr>
          <w:rFonts w:ascii="Times New Roman" w:eastAsia="Times New Roman" w:hAnsi="Times New Roman" w:cs="Times New Roman"/>
          <w:color w:val="000000"/>
          <w:spacing w:val="0"/>
          <w:w w:val="100"/>
          <w:position w:val="0"/>
        </w:rPr>
        <w:t>2</w:t>
      </w:r>
      <w:r>
        <w:rPr>
          <w:color w:val="000000"/>
          <w:spacing w:val="0"/>
          <w:w w:val="100"/>
          <w:position w:val="0"/>
        </w:rPr>
        <w:t>名。公司拥有</w:t>
      </w:r>
      <w:r>
        <w:rPr>
          <w:rFonts w:ascii="Times New Roman" w:eastAsia="Times New Roman" w:hAnsi="Times New Roman" w:cs="Times New Roman"/>
          <w:color w:val="000000"/>
          <w:spacing w:val="0"/>
          <w:w w:val="100"/>
          <w:position w:val="0"/>
        </w:rPr>
        <w:t>8</w:t>
      </w:r>
      <w:r>
        <w:rPr>
          <w:color w:val="000000"/>
          <w:spacing w:val="0"/>
          <w:w w:val="100"/>
          <w:position w:val="0"/>
        </w:rPr>
        <w:t>名博士生导师，</w:t>
      </w:r>
      <w:r>
        <w:rPr>
          <w:rFonts w:ascii="Times New Roman" w:eastAsia="Times New Roman" w:hAnsi="Times New Roman" w:cs="Times New Roman"/>
          <w:color w:val="000000"/>
          <w:spacing w:val="0"/>
          <w:w w:val="100"/>
          <w:position w:val="0"/>
        </w:rPr>
        <w:t>13</w:t>
      </w:r>
      <w:r>
        <w:rPr>
          <w:color w:val="000000"/>
          <w:spacing w:val="0"/>
          <w:w w:val="100"/>
          <w:position w:val="0"/>
        </w:rPr>
        <w:t>名硕士生导师。正高级工程师</w:t>
      </w:r>
      <w:r>
        <w:rPr>
          <w:rFonts w:ascii="Times New Roman" w:eastAsia="Times New Roman" w:hAnsi="Times New Roman" w:cs="Times New Roman"/>
          <w:color w:val="000000"/>
          <w:spacing w:val="0"/>
          <w:w w:val="100"/>
          <w:position w:val="0"/>
        </w:rPr>
        <w:t>11</w:t>
      </w:r>
      <w:r>
        <w:rPr>
          <w:color w:val="000000"/>
          <w:spacing w:val="0"/>
          <w:w w:val="100"/>
          <w:position w:val="0"/>
        </w:rPr>
        <w:t>人，高 级工程师</w:t>
      </w:r>
      <w:r>
        <w:rPr>
          <w:rFonts w:ascii="Times New Roman" w:eastAsia="Times New Roman" w:hAnsi="Times New Roman" w:cs="Times New Roman"/>
          <w:color w:val="000000"/>
          <w:spacing w:val="0"/>
          <w:w w:val="100"/>
          <w:position w:val="0"/>
        </w:rPr>
        <w:t>75</w:t>
      </w:r>
      <w:r>
        <w:rPr>
          <w:color w:val="000000"/>
          <w:spacing w:val="0"/>
          <w:w w:val="100"/>
          <w:position w:val="0"/>
        </w:rPr>
        <w:t>人。</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公司技术与研发人才梯队完整，人才引进、培养、激励、留人机制健全，坚持内部培养与外部引进相 结合，在业务实践中持续培养了大批既精通专业技术又具备行业经验的复合型人才，并为其打造晋升通道、 制定职业生涯规划，为人才提供具有个人价值提升的事业平台及有成就感的职业生涯，研发动力充足，创 新氛围浓厚。</w:t>
      </w:r>
    </w:p>
    <w:p>
      <w:pPr>
        <w:pStyle w:val="Style47"/>
        <w:keepNext w:val="0"/>
        <w:keepLines w:val="0"/>
        <w:widowControl w:val="0"/>
        <w:shd w:val="clear" w:color="auto" w:fill="auto"/>
        <w:tabs>
          <w:tab w:pos="974" w:val="left"/>
        </w:tabs>
        <w:bidi w:val="0"/>
        <w:spacing w:before="0" w:after="0" w:line="468" w:lineRule="exact"/>
        <w:ind w:left="0" w:right="0" w:firstLine="440"/>
        <w:jc w:val="both"/>
      </w:pPr>
      <w:bookmarkStart w:id="119" w:name="bookmark119"/>
      <w:r>
        <w:rPr>
          <w:b/>
          <w:bCs/>
          <w:color w:val="000000"/>
          <w:spacing w:val="0"/>
          <w:w w:val="100"/>
          <w:position w:val="0"/>
        </w:rPr>
        <w:t>（</w:t>
      </w:r>
      <w:bookmarkEnd w:id="119"/>
      <w:r>
        <w:rPr>
          <w:b/>
          <w:bCs/>
          <w:color w:val="000000"/>
          <w:spacing w:val="0"/>
          <w:w w:val="100"/>
          <w:position w:val="0"/>
        </w:rPr>
        <w:t>五）</w:t>
        <w:tab/>
        <w:t>持续有力的政策支撑优势</w:t>
      </w:r>
    </w:p>
    <w:p>
      <w:pPr>
        <w:pStyle w:val="Style47"/>
        <w:keepNext w:val="0"/>
        <w:keepLines w:val="0"/>
        <w:widowControl w:val="0"/>
        <w:shd w:val="clear" w:color="auto" w:fill="auto"/>
        <w:bidi w:val="0"/>
        <w:spacing w:before="0" w:after="0" w:line="468" w:lineRule="exact"/>
        <w:ind w:left="0" w:right="0" w:firstLine="440"/>
        <w:jc w:val="both"/>
      </w:pP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月，国务院出台《关于积极推进</w:t>
      </w:r>
      <w:r>
        <w:rPr>
          <w:rFonts w:ascii="Times New Roman" w:eastAsia="Times New Roman" w:hAnsi="Times New Roman" w:cs="Times New Roman"/>
          <w:color w:val="000000"/>
          <w:spacing w:val="0"/>
          <w:w w:val="100"/>
          <w:position w:val="0"/>
        </w:rPr>
        <w:t>“</w:t>
      </w:r>
      <w:r>
        <w:rPr>
          <w:color w:val="000000"/>
          <w:spacing w:val="0"/>
          <w:w w:val="100"/>
          <w:position w:val="0"/>
        </w:rPr>
        <w:t>互联网</w:t>
      </w:r>
      <w:r>
        <w:rPr>
          <w:color w:val="000000"/>
          <w:spacing w:val="0"/>
          <w:w w:val="100"/>
          <w:position w:val="0"/>
        </w:rPr>
        <w:t>+''</w:t>
      </w:r>
      <w:r>
        <w:rPr>
          <w:color w:val="000000"/>
          <w:spacing w:val="0"/>
          <w:w w:val="100"/>
          <w:position w:val="0"/>
        </w:rPr>
        <w:t>行动的指导意见》，首次将人工智能纳入重点任务 之一，推动中国人工智能步入新阶段。</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月，国务院发布《新一代人工智能发展规划》，战略确立 了新一代人工智能发展三步走战略目标，将人工智能上升到国家战略层面。</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2019</w:t>
      </w:r>
      <w:r>
        <w:rPr>
          <w:color w:val="000000"/>
          <w:spacing w:val="0"/>
          <w:w w:val="100"/>
          <w:position w:val="0"/>
        </w:rPr>
        <w:t>年政府工 作报告》中将人工智能升级为「智能</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月，人工智能治理原则首次被提出，发布了《新一代人 工智能治理原则一发展负责任的人工智能》政策。</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中共中央近日发布的《中共中央关于制定国民经济和社会发展第十四个五年规划和二。三五年远景目 标的建议》中提出：</w:t>
      </w:r>
      <w:r>
        <w:rPr>
          <w:rFonts w:ascii="Times New Roman" w:eastAsia="Times New Roman" w:hAnsi="Times New Roman" w:cs="Times New Roman"/>
          <w:color w:val="000000"/>
          <w:spacing w:val="0"/>
          <w:w w:val="100"/>
          <w:position w:val="0"/>
        </w:rPr>
        <w:t>“</w:t>
      </w:r>
      <w:r>
        <w:rPr>
          <w:color w:val="000000"/>
          <w:spacing w:val="0"/>
          <w:w w:val="100"/>
          <w:position w:val="0"/>
        </w:rPr>
        <w:t>把科技自立自强作为国家发展的战略支撑</w:t>
      </w:r>
      <w:r>
        <w:rPr>
          <w:color w:val="000000"/>
          <w:spacing w:val="0"/>
          <w:w w:val="100"/>
          <w:position w:val="0"/>
        </w:rPr>
        <w:t>''，</w:t>
      </w:r>
      <w:r>
        <w:rPr>
          <w:color w:val="000000"/>
          <w:spacing w:val="0"/>
          <w:w w:val="100"/>
          <w:position w:val="0"/>
        </w:rPr>
        <w:t>同时，《建议》中还指出，</w:t>
      </w:r>
      <w:r>
        <w:rPr>
          <w:rFonts w:ascii="Times New Roman" w:eastAsia="Times New Roman" w:hAnsi="Times New Roman" w:cs="Times New Roman"/>
          <w:color w:val="000000"/>
          <w:spacing w:val="0"/>
          <w:w w:val="100"/>
          <w:position w:val="0"/>
        </w:rPr>
        <w:t>“</w:t>
      </w:r>
      <w:r>
        <w:rPr>
          <w:color w:val="000000"/>
          <w:spacing w:val="0"/>
          <w:w w:val="100"/>
          <w:position w:val="0"/>
        </w:rPr>
        <w:t xml:space="preserve">要瞄准人工 智能、量子信息、集成电路、生命健康、脑科学等前沿领域，实施一批具有前瞻性、战略性的国家重大科 </w:t>
      </w:r>
      <w:r>
        <w:rPr>
          <w:color w:val="000000"/>
          <w:spacing w:val="0"/>
          <w:w w:val="100"/>
          <w:position w:val="0"/>
        </w:rPr>
        <w:t>技项目。</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rFonts w:ascii="Times New Roman" w:eastAsia="Times New Roman" w:hAnsi="Times New Roman" w:cs="Times New Roman"/>
          <w:color w:val="000000"/>
          <w:spacing w:val="0"/>
          <w:w w:val="100"/>
          <w:position w:val="0"/>
        </w:rPr>
        <w:t>”</w:t>
      </w:r>
      <w:r>
        <w:rPr>
          <w:color w:val="000000"/>
          <w:spacing w:val="0"/>
          <w:w w:val="100"/>
          <w:position w:val="0"/>
        </w:rPr>
        <w:t>规划《建议》</w:t>
      </w:r>
      <w:r>
        <w:rPr>
          <w:rFonts w:ascii="Times New Roman" w:eastAsia="Times New Roman" w:hAnsi="Times New Roman" w:cs="Times New Roman"/>
          <w:color w:val="000000"/>
          <w:spacing w:val="0"/>
          <w:w w:val="100"/>
          <w:position w:val="0"/>
        </w:rPr>
        <w:t>36</w:t>
      </w:r>
      <w:r>
        <w:rPr>
          <w:color w:val="000000"/>
          <w:spacing w:val="0"/>
          <w:w w:val="100"/>
          <w:position w:val="0"/>
        </w:rPr>
        <w:t>次提及科技，在列举出的几大前沿科技中，人工智能、量子信息、集成 电路被放在了前三位，在一定程度上说明了其重要性上的优先级。</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除了国家层面的支持外，多个地方政府也围绕人工智能产业的发展出台了一系列更为具体的扶持政 策。据不完全统计，仅在</w:t>
      </w:r>
      <w:r>
        <w:rPr>
          <w:rFonts w:ascii="Times New Roman" w:eastAsia="Times New Roman" w:hAnsi="Times New Roman" w:cs="Times New Roman"/>
          <w:color w:val="000000"/>
          <w:spacing w:val="0"/>
          <w:w w:val="100"/>
          <w:position w:val="0"/>
        </w:rPr>
        <w:t>2020</w:t>
      </w:r>
      <w:r>
        <w:rPr>
          <w:color w:val="000000"/>
          <w:spacing w:val="0"/>
          <w:w w:val="100"/>
          <w:position w:val="0"/>
        </w:rPr>
        <w:t>年，就已经有包括北京、上海、山东、广东、福建等在内的</w:t>
      </w:r>
      <w:r>
        <w:rPr>
          <w:rFonts w:ascii="Times New Roman" w:eastAsia="Times New Roman" w:hAnsi="Times New Roman" w:cs="Times New Roman"/>
          <w:color w:val="000000"/>
          <w:spacing w:val="0"/>
          <w:w w:val="100"/>
          <w:position w:val="0"/>
        </w:rPr>
        <w:t>10</w:t>
      </w:r>
      <w:r>
        <w:rPr>
          <w:color w:val="000000"/>
          <w:spacing w:val="0"/>
          <w:w w:val="100"/>
          <w:position w:val="0"/>
        </w:rPr>
        <w:t>多个省市发布 了人工智能重点政策。</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除了政府外，人工智能也受到国内科技企业和科研机构的高度重视。目前国内许多科研院所和高等院 校都开设了人工智能相关的研究和课程；阿里、腾讯、科大讯飞、华为等企业更是在人工智能上加速布局。 中国电子信息产业发展研究院相关研究显示，我国人工智能市场将持续升温，市场规模将保持</w:t>
      </w:r>
      <w:r>
        <w:rPr>
          <w:rFonts w:ascii="Times New Roman" w:eastAsia="Times New Roman" w:hAnsi="Times New Roman" w:cs="Times New Roman"/>
          <w:color w:val="000000"/>
          <w:spacing w:val="0"/>
          <w:w w:val="100"/>
          <w:position w:val="0"/>
        </w:rPr>
        <w:t>30%</w:t>
      </w:r>
      <w:r>
        <w:rPr>
          <w:color w:val="000000"/>
          <w:spacing w:val="0"/>
          <w:w w:val="100"/>
          <w:position w:val="0"/>
        </w:rPr>
        <w:t>左右的 增长速度，到到</w:t>
      </w:r>
      <w:r>
        <w:rPr>
          <w:rFonts w:ascii="Times New Roman" w:eastAsia="Times New Roman" w:hAnsi="Times New Roman" w:cs="Times New Roman"/>
          <w:color w:val="000000"/>
          <w:spacing w:val="0"/>
          <w:w w:val="100"/>
          <w:position w:val="0"/>
        </w:rPr>
        <w:t>2025</w:t>
      </w:r>
      <w:r>
        <w:rPr>
          <w:color w:val="000000"/>
          <w:spacing w:val="0"/>
          <w:w w:val="100"/>
          <w:position w:val="0"/>
        </w:rPr>
        <w:t>年人工智能市场规模将突破</w:t>
      </w:r>
      <w:r>
        <w:rPr>
          <w:rFonts w:ascii="Times New Roman" w:eastAsia="Times New Roman" w:hAnsi="Times New Roman" w:cs="Times New Roman"/>
          <w:color w:val="000000"/>
          <w:spacing w:val="0"/>
          <w:w w:val="100"/>
          <w:position w:val="0"/>
        </w:rPr>
        <w:t>4000</w:t>
      </w:r>
      <w:r>
        <w:rPr>
          <w:color w:val="000000"/>
          <w:spacing w:val="0"/>
          <w:w w:val="100"/>
          <w:position w:val="0"/>
        </w:rPr>
        <w:t>亿元。而随着</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rFonts w:ascii="Times New Roman" w:eastAsia="Times New Roman" w:hAnsi="Times New Roman" w:cs="Times New Roman"/>
          <w:color w:val="000000"/>
          <w:spacing w:val="0"/>
          <w:w w:val="100"/>
          <w:position w:val="0"/>
        </w:rPr>
        <w:t>”</w:t>
      </w:r>
      <w:r>
        <w:rPr>
          <w:color w:val="000000"/>
          <w:spacing w:val="0"/>
          <w:w w:val="100"/>
          <w:position w:val="0"/>
        </w:rPr>
        <w:t>规划将人工智能列为前沿科技领 域的最高优先级，必将推动中国的人工智能产业迎来新一轮的大发展。</w:t>
      </w:r>
    </w:p>
    <w:p>
      <w:pPr>
        <w:pStyle w:val="Style47"/>
        <w:keepNext w:val="0"/>
        <w:keepLines w:val="0"/>
        <w:widowControl w:val="0"/>
        <w:shd w:val="clear" w:color="auto" w:fill="auto"/>
        <w:bidi w:val="0"/>
        <w:spacing w:before="0" w:after="0" w:line="468" w:lineRule="exact"/>
        <w:ind w:left="0" w:right="0" w:firstLine="420"/>
        <w:jc w:val="both"/>
      </w:pPr>
      <w:bookmarkStart w:id="120" w:name="bookmark120"/>
      <w:r>
        <w:rPr>
          <w:b/>
          <w:bCs/>
          <w:color w:val="000000"/>
          <w:spacing w:val="0"/>
          <w:w w:val="100"/>
          <w:position w:val="0"/>
        </w:rPr>
        <w:t>（</w:t>
      </w:r>
      <w:bookmarkEnd w:id="120"/>
      <w:r>
        <w:rPr>
          <w:b/>
          <w:bCs/>
          <w:color w:val="000000"/>
          <w:spacing w:val="0"/>
          <w:w w:val="100"/>
          <w:position w:val="0"/>
        </w:rPr>
        <w:t>六）稳定的客户资源及渠道支撑优势</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公司扎根于行业信息化建设，坚持战略聚焦下的行业化发展道路，以过硬的专业技术能力和数十年来 对行业业务特点的深入理解，为会议、烟草、印钞、油气、政府等行业客户提供满足其特定需求的信息化 系统解决方案及相关产品与服务。众多成功应用案例和拳头产品在行业内形成了良好口碑和客户信任度， 使公司与业内众多有影响力的优质客户形成了长期战略合作关系，形成了较强的客户资源优势和用户粘 性。</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公司近十年持续扩大覆盖范围，以成都为研发基地和销售、服务中心，在北京、上海、郑州、库尔勒、 深圳、太原、济南等地设立办事处或分公司，逐渐形成了以四川、新疆、河南、浙江、江苏、山东和广东 为核心市场区域，向全国其他省、直辖市、自治区辐射的国内营销及服务网络。公司主要客户覆盖中央 及国家机关、各省市政府机构，统计、环保、旅游、教育、交通等政府部门及公检法和部队等事业单位， 国内众多能源、制造、烟草等大中型国有企业，中国印钞造币总公司和泰国、印尼等各国央行及金融机构 等等。通过多年合作，中国印钞造币总公司、四川烟草公司、四川中烟工业公司、重庆中烟工业公司、河 南中烟工业公司、浙江中烟工业公司杭州卷烟厂、中石油塔里木油田分公司、四川石油天然气建设工程有 限责任公司新疆分公司等大型国有企业和单位，成为公司长期战略客户，多行业丰富的客户资源保障了公 司业务持续、稳健、均衡发展。</w:t>
      </w:r>
    </w:p>
    <w:p>
      <w:pPr>
        <w:pStyle w:val="Style15"/>
        <w:keepNext/>
        <w:keepLines/>
        <w:widowControl w:val="0"/>
        <w:shd w:val="clear" w:color="auto" w:fill="auto"/>
        <w:bidi w:val="0"/>
        <w:spacing w:before="0" w:line="240" w:lineRule="auto"/>
        <w:ind w:left="0" w:right="0" w:firstLine="0"/>
        <w:jc w:val="center"/>
      </w:pPr>
      <w:bookmarkStart w:id="121" w:name="bookmark121"/>
      <w:bookmarkStart w:id="122" w:name="bookmark122"/>
      <w:bookmarkStart w:id="123" w:name="bookmark123"/>
      <w:r>
        <w:rPr>
          <w:color w:val="000000"/>
          <w:spacing w:val="0"/>
          <w:w w:val="100"/>
          <w:position w:val="0"/>
        </w:rPr>
        <w:t>第四节经营情况讨论与分析</w:t>
      </w:r>
      <w:bookmarkEnd w:id="121"/>
      <w:bookmarkEnd w:id="122"/>
      <w:bookmarkEnd w:id="123"/>
    </w:p>
    <w:p>
      <w:pPr>
        <w:pStyle w:val="Style33"/>
        <w:keepNext/>
        <w:keepLines/>
        <w:widowControl w:val="0"/>
        <w:shd w:val="clear" w:color="auto" w:fill="auto"/>
        <w:bidi w:val="0"/>
        <w:spacing w:before="0" w:after="180" w:line="240" w:lineRule="auto"/>
        <w:ind w:left="0" w:right="0" w:firstLine="0"/>
        <w:jc w:val="both"/>
      </w:pPr>
      <w:bookmarkStart w:id="124" w:name="bookmark124"/>
      <w:bookmarkStart w:id="125" w:name="bookmark125"/>
      <w:bookmarkStart w:id="126" w:name="bookmark126"/>
      <w:bookmarkStart w:id="127" w:name="bookmark127"/>
      <w:bookmarkStart w:id="128" w:name="bookmark128"/>
      <w:r>
        <w:rPr>
          <w:color w:val="000000"/>
          <w:spacing w:val="0"/>
          <w:w w:val="100"/>
          <w:position w:val="0"/>
          <w:sz w:val="24"/>
          <w:szCs w:val="24"/>
        </w:rPr>
        <w:t>一</w:t>
      </w:r>
      <w:bookmarkEnd w:id="127"/>
      <w:r>
        <w:rPr>
          <w:color w:val="000000"/>
          <w:spacing w:val="0"/>
          <w:w w:val="100"/>
          <w:position w:val="0"/>
          <w:sz w:val="24"/>
          <w:szCs w:val="24"/>
        </w:rPr>
        <w:t>、概述</w:t>
      </w:r>
      <w:bookmarkEnd w:id="125"/>
      <w:bookmarkEnd w:id="126"/>
      <w:bookmarkEnd w:id="128"/>
      <w:bookmarkEnd w:id="124"/>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2020</w:t>
      </w:r>
      <w:r>
        <w:rPr>
          <w:color w:val="000000"/>
          <w:spacing w:val="0"/>
          <w:w w:val="100"/>
          <w:position w:val="0"/>
        </w:rPr>
        <w:t>年是极不平凡的一年。在新冠疫情和剧烈震荡的市场形势的双重考验下，公司深入贯彻“创新、 协调、绿色、开放、共享”的国家新发展理念、积极响应上市公司高质量发展的号召，以“改革创新”为 统领，在新时期发展战略规划的指引下，努力实现公司经营与管理稳步发展。公司干部员工凝心聚力，以 “二次创业精神”开拓奋进，真抓实干，各方面工作取得了新的成绩，改革创新取得了新的进展。在经济 周期性影响与新冠疫情干扰的双重压力下，仍然继续保持了公司良好的基本面、实现持续健康发展。切实 做到疫情防控与经营管理“两手抓”、“两不误”。</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报告期内，公司面向国家重大需求，聚焦主业，充分发挥</w:t>
      </w:r>
      <w:r>
        <w:rPr>
          <w:rFonts w:ascii="Times New Roman" w:eastAsia="Times New Roman" w:hAnsi="Times New Roman" w:cs="Times New Roman"/>
          <w:color w:val="000000"/>
          <w:spacing w:val="0"/>
          <w:w w:val="100"/>
          <w:position w:val="0"/>
        </w:rPr>
        <w:t>“</w:t>
      </w:r>
      <w:r>
        <w:rPr>
          <w:color w:val="000000"/>
          <w:spacing w:val="0"/>
          <w:w w:val="100"/>
          <w:position w:val="0"/>
        </w:rPr>
        <w:t>技术专家</w:t>
      </w:r>
      <w:r>
        <w:rPr>
          <w:rFonts w:ascii="Times New Roman" w:eastAsia="Times New Roman" w:hAnsi="Times New Roman" w:cs="Times New Roman"/>
          <w:color w:val="000000"/>
          <w:spacing w:val="0"/>
          <w:w w:val="100"/>
          <w:position w:val="0"/>
        </w:rPr>
        <w:t>+</w:t>
      </w:r>
      <w:r>
        <w:rPr>
          <w:color w:val="000000"/>
          <w:spacing w:val="0"/>
          <w:w w:val="100"/>
          <w:position w:val="0"/>
        </w:rPr>
        <w:t>行业专家''的综合优势，积极投 身科技抗疫、重要项目的争取与实施。由于疫情延迟了各行业客户复工时间，造成许多项目招标启动时间 推迟，行业竞争持续加剧，公司全年实现新签合同额</w:t>
      </w:r>
      <w:r>
        <w:rPr>
          <w:rFonts w:ascii="Times New Roman" w:eastAsia="Times New Roman" w:hAnsi="Times New Roman" w:cs="Times New Roman"/>
          <w:color w:val="000000"/>
          <w:spacing w:val="0"/>
          <w:w w:val="100"/>
          <w:position w:val="0"/>
        </w:rPr>
        <w:t>4.13</w:t>
      </w:r>
      <w:r>
        <w:rPr>
          <w:color w:val="000000"/>
          <w:spacing w:val="0"/>
          <w:w w:val="100"/>
          <w:position w:val="0"/>
        </w:rPr>
        <w:t>亿元，较去年同期下降</w:t>
      </w:r>
      <w:r>
        <w:rPr>
          <w:rFonts w:ascii="Times New Roman" w:eastAsia="Times New Roman" w:hAnsi="Times New Roman" w:cs="Times New Roman"/>
          <w:color w:val="000000"/>
          <w:spacing w:val="0"/>
          <w:w w:val="100"/>
          <w:position w:val="0"/>
        </w:rPr>
        <w:t>19.7%</w:t>
      </w:r>
      <w:r>
        <w:rPr>
          <w:color w:val="000000"/>
          <w:spacing w:val="0"/>
          <w:w w:val="100"/>
          <w:position w:val="0"/>
        </w:rPr>
        <w:t>。得益于</w:t>
      </w:r>
      <w:r>
        <w:rPr>
          <w:rFonts w:ascii="Times New Roman" w:eastAsia="Times New Roman" w:hAnsi="Times New Roman" w:cs="Times New Roman"/>
          <w:color w:val="000000"/>
          <w:spacing w:val="0"/>
          <w:w w:val="100"/>
          <w:position w:val="0"/>
        </w:rPr>
        <w:t>2019</w:t>
      </w:r>
      <w:r>
        <w:rPr>
          <w:color w:val="000000"/>
          <w:spacing w:val="0"/>
          <w:w w:val="100"/>
          <w:position w:val="0"/>
        </w:rPr>
        <w:t>年市 场开拓的良好成效和</w:t>
      </w:r>
      <w:r>
        <w:rPr>
          <w:rFonts w:ascii="Times New Roman" w:eastAsia="Times New Roman" w:hAnsi="Times New Roman" w:cs="Times New Roman"/>
          <w:color w:val="000000"/>
          <w:spacing w:val="0"/>
          <w:w w:val="100"/>
          <w:position w:val="0"/>
        </w:rPr>
        <w:t>2020</w:t>
      </w:r>
      <w:r>
        <w:rPr>
          <w:color w:val="000000"/>
          <w:spacing w:val="0"/>
          <w:w w:val="100"/>
          <w:position w:val="0"/>
        </w:rPr>
        <w:t>年下半年的市场深耕，公司实现营业收入</w:t>
      </w:r>
      <w:r>
        <w:rPr>
          <w:rFonts w:ascii="Times New Roman" w:eastAsia="Times New Roman" w:hAnsi="Times New Roman" w:cs="Times New Roman"/>
          <w:color w:val="000000"/>
          <w:spacing w:val="0"/>
          <w:w w:val="100"/>
          <w:position w:val="0"/>
        </w:rPr>
        <w:t>43,674.30</w:t>
      </w:r>
      <w:r>
        <w:rPr>
          <w:color w:val="000000"/>
          <w:spacing w:val="0"/>
          <w:w w:val="100"/>
          <w:position w:val="0"/>
        </w:rPr>
        <w:t>万元，比去年同期增长</w:t>
      </w:r>
      <w:r>
        <w:rPr>
          <w:rFonts w:ascii="Times New Roman" w:eastAsia="Times New Roman" w:hAnsi="Times New Roman" w:cs="Times New Roman"/>
          <w:color w:val="000000"/>
          <w:spacing w:val="0"/>
          <w:w w:val="100"/>
          <w:position w:val="0"/>
        </w:rPr>
        <w:t>19.85%</w:t>
      </w:r>
      <w:r>
        <w:rPr>
          <w:color w:val="000000"/>
          <w:spacing w:val="0"/>
          <w:w w:val="100"/>
          <w:position w:val="0"/>
        </w:rPr>
        <w:t>； 但是在新冠肺炎疫情冲击下，市场竞争激烈，并且公司研发投入大幅增加，导致公司整体利润水平较去年 同期略有所下降，实现营业利润</w:t>
      </w:r>
      <w:r>
        <w:rPr>
          <w:rFonts w:ascii="Times New Roman" w:eastAsia="Times New Roman" w:hAnsi="Times New Roman" w:cs="Times New Roman"/>
          <w:color w:val="000000"/>
          <w:spacing w:val="0"/>
          <w:w w:val="100"/>
          <w:position w:val="0"/>
        </w:rPr>
        <w:t>3,488.4</w:t>
      </w:r>
      <w:r>
        <w:rPr>
          <w:rFonts w:ascii="Times New Roman" w:eastAsia="Times New Roman" w:hAnsi="Times New Roman" w:cs="Times New Roman"/>
          <w:color w:val="000000"/>
          <w:spacing w:val="0"/>
          <w:w w:val="100"/>
          <w:position w:val="0"/>
        </w:rPr>
        <w:t>2</w:t>
      </w:r>
      <w:r>
        <w:rPr>
          <w:color w:val="000000"/>
          <w:spacing w:val="0"/>
          <w:w w:val="100"/>
          <w:position w:val="0"/>
        </w:rPr>
        <w:t>万元，比去年同期减少</w:t>
      </w:r>
      <w:r>
        <w:rPr>
          <w:rFonts w:ascii="Times New Roman" w:eastAsia="Times New Roman" w:hAnsi="Times New Roman" w:cs="Times New Roman"/>
          <w:color w:val="000000"/>
          <w:spacing w:val="0"/>
          <w:w w:val="100"/>
          <w:position w:val="0"/>
        </w:rPr>
        <w:t>11.97%</w:t>
      </w:r>
      <w:r>
        <w:rPr>
          <w:color w:val="000000"/>
          <w:spacing w:val="0"/>
          <w:w w:val="100"/>
          <w:position w:val="0"/>
        </w:rPr>
        <w:t>；利润总额为</w:t>
      </w:r>
      <w:r>
        <w:rPr>
          <w:rFonts w:ascii="Times New Roman" w:eastAsia="Times New Roman" w:hAnsi="Times New Roman" w:cs="Times New Roman"/>
          <w:color w:val="000000"/>
          <w:spacing w:val="0"/>
          <w:w w:val="100"/>
          <w:position w:val="0"/>
        </w:rPr>
        <w:t>3,492.99</w:t>
      </w:r>
      <w:r>
        <w:rPr>
          <w:color w:val="000000"/>
          <w:spacing w:val="0"/>
          <w:w w:val="100"/>
          <w:position w:val="0"/>
        </w:rPr>
        <w:t>万元，比去年 同期减少</w:t>
      </w:r>
      <w:r>
        <w:rPr>
          <w:rFonts w:ascii="Times New Roman" w:eastAsia="Times New Roman" w:hAnsi="Times New Roman" w:cs="Times New Roman"/>
          <w:color w:val="000000"/>
          <w:spacing w:val="0"/>
          <w:w w:val="100"/>
          <w:position w:val="0"/>
        </w:rPr>
        <w:t>10.70%</w:t>
      </w:r>
      <w:r>
        <w:rPr>
          <w:color w:val="000000"/>
          <w:spacing w:val="0"/>
          <w:w w:val="100"/>
          <w:position w:val="0"/>
        </w:rPr>
        <w:t>；归属于上市公司股东的净利润为</w:t>
      </w:r>
      <w:r>
        <w:rPr>
          <w:rFonts w:ascii="Times New Roman" w:eastAsia="Times New Roman" w:hAnsi="Times New Roman" w:cs="Times New Roman"/>
          <w:color w:val="000000"/>
          <w:spacing w:val="0"/>
          <w:w w:val="100"/>
          <w:position w:val="0"/>
        </w:rPr>
        <w:t>3,256.00</w:t>
      </w:r>
      <w:r>
        <w:rPr>
          <w:color w:val="000000"/>
          <w:spacing w:val="0"/>
          <w:w w:val="100"/>
          <w:position w:val="0"/>
        </w:rPr>
        <w:t>万元，比去年同期减少</w:t>
      </w:r>
      <w:r>
        <w:rPr>
          <w:rFonts w:ascii="Times New Roman" w:eastAsia="Times New Roman" w:hAnsi="Times New Roman" w:cs="Times New Roman"/>
          <w:color w:val="000000"/>
          <w:spacing w:val="0"/>
          <w:w w:val="100"/>
          <w:position w:val="0"/>
        </w:rPr>
        <w:t>7.73%</w:t>
      </w:r>
      <w:r>
        <w:rPr>
          <w:color w:val="000000"/>
          <w:spacing w:val="0"/>
          <w:w w:val="100"/>
          <w:position w:val="0"/>
        </w:rPr>
        <w:t>。公司主要经营情 况回顾如下：</w:t>
      </w:r>
    </w:p>
    <w:p>
      <w:pPr>
        <w:pStyle w:val="Style47"/>
        <w:keepNext w:val="0"/>
        <w:keepLines w:val="0"/>
        <w:widowControl w:val="0"/>
        <w:shd w:val="clear" w:color="auto" w:fill="auto"/>
        <w:tabs>
          <w:tab w:pos="978" w:val="left"/>
        </w:tabs>
        <w:bidi w:val="0"/>
        <w:spacing w:before="0" w:after="0" w:line="469" w:lineRule="exact"/>
        <w:ind w:left="0" w:right="0" w:firstLine="440"/>
        <w:jc w:val="both"/>
      </w:pPr>
      <w:bookmarkStart w:id="129" w:name="bookmark129"/>
      <w:r>
        <w:rPr>
          <w:b/>
          <w:bCs/>
          <w:color w:val="000000"/>
          <w:spacing w:val="0"/>
          <w:w w:val="100"/>
          <w:position w:val="0"/>
        </w:rPr>
        <w:t>（</w:t>
      </w:r>
      <w:bookmarkEnd w:id="129"/>
      <w:r>
        <w:rPr>
          <w:b/>
          <w:bCs/>
          <w:color w:val="000000"/>
          <w:spacing w:val="0"/>
          <w:w w:val="100"/>
          <w:position w:val="0"/>
        </w:rPr>
        <w:t>一）</w:t>
        <w:tab/>
        <w:t>健全四会一层治理结构，推动党建与公司治理有机融合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面对强监管、严监管新形势新要求，将持续完善公司治理作为转变体制机制的重要着力点，进一步强 化治理力度，提升公司治理有效性。按照监管法律法规、公司《章程》等的相关要求，进一步健全</w:t>
      </w:r>
      <w:r>
        <w:rPr>
          <w:rFonts w:ascii="Times New Roman" w:eastAsia="Times New Roman" w:hAnsi="Times New Roman" w:cs="Times New Roman"/>
          <w:color w:val="000000"/>
          <w:spacing w:val="0"/>
          <w:w w:val="100"/>
          <w:position w:val="0"/>
        </w:rPr>
        <w:t>“</w:t>
      </w:r>
      <w:r>
        <w:rPr>
          <w:color w:val="000000"/>
          <w:spacing w:val="0"/>
          <w:w w:val="100"/>
          <w:position w:val="0"/>
        </w:rPr>
        <w:t>四会 一层''的公司治理结构，实行党委班子与董事会、监事会成员间</w:t>
      </w:r>
      <w:r>
        <w:rPr>
          <w:rFonts w:ascii="Times New Roman" w:eastAsia="Times New Roman" w:hAnsi="Times New Roman" w:cs="Times New Roman"/>
          <w:color w:val="000000"/>
          <w:spacing w:val="0"/>
          <w:w w:val="100"/>
          <w:position w:val="0"/>
        </w:rPr>
        <w:t>“</w:t>
      </w:r>
      <w:r>
        <w:rPr>
          <w:color w:val="000000"/>
          <w:spacing w:val="0"/>
          <w:w w:val="100"/>
          <w:position w:val="0"/>
        </w:rPr>
        <w:t>双向进入、交叉任职</w:t>
      </w:r>
      <w:r>
        <w:rPr>
          <w:color w:val="000000"/>
          <w:spacing w:val="0"/>
          <w:w w:val="100"/>
          <w:position w:val="0"/>
        </w:rPr>
        <w:t>''，</w:t>
      </w:r>
      <w:r>
        <w:rPr>
          <w:color w:val="000000"/>
          <w:spacing w:val="0"/>
          <w:w w:val="100"/>
          <w:position w:val="0"/>
        </w:rPr>
        <w:t>确保党组织</w:t>
      </w:r>
      <w:r>
        <w:rPr>
          <w:rFonts w:ascii="Times New Roman" w:eastAsia="Times New Roman" w:hAnsi="Times New Roman" w:cs="Times New Roman"/>
          <w:color w:val="000000"/>
          <w:spacing w:val="0"/>
          <w:w w:val="100"/>
          <w:position w:val="0"/>
        </w:rPr>
        <w:t>“</w:t>
      </w:r>
      <w:r>
        <w:rPr>
          <w:color w:val="000000"/>
          <w:spacing w:val="0"/>
          <w:w w:val="100"/>
          <w:position w:val="0"/>
        </w:rPr>
        <w:t>把方 向、管大局、保落实''。报告期内，制定印发《</w:t>
      </w:r>
      <w:r>
        <w:rPr>
          <w:rFonts w:ascii="Times New Roman" w:eastAsia="Times New Roman" w:hAnsi="Times New Roman" w:cs="Times New Roman"/>
          <w:color w:val="000000"/>
          <w:spacing w:val="0"/>
          <w:w w:val="100"/>
          <w:position w:val="0"/>
        </w:rPr>
        <w:t>“</w:t>
      </w:r>
      <w:r>
        <w:rPr>
          <w:color w:val="000000"/>
          <w:spacing w:val="0"/>
          <w:w w:val="100"/>
          <w:position w:val="0"/>
        </w:rPr>
        <w:t>三重一大</w:t>
      </w:r>
      <w:r>
        <w:rPr>
          <w:color w:val="000000"/>
          <w:spacing w:val="0"/>
          <w:w w:val="100"/>
          <w:position w:val="0"/>
        </w:rPr>
        <w:t>''</w:t>
      </w:r>
      <w:r>
        <w:rPr>
          <w:color w:val="000000"/>
          <w:spacing w:val="0"/>
          <w:w w:val="100"/>
          <w:position w:val="0"/>
        </w:rPr>
        <w:t>议事决策制度实施办法》和事项清单，进一步厘 清</w:t>
      </w:r>
      <w:r>
        <w:rPr>
          <w:rFonts w:ascii="Times New Roman" w:eastAsia="Times New Roman" w:hAnsi="Times New Roman" w:cs="Times New Roman"/>
          <w:color w:val="000000"/>
          <w:spacing w:val="0"/>
          <w:w w:val="100"/>
          <w:position w:val="0"/>
        </w:rPr>
        <w:t>“</w:t>
      </w:r>
      <w:r>
        <w:rPr>
          <w:color w:val="000000"/>
          <w:spacing w:val="0"/>
          <w:w w:val="100"/>
          <w:position w:val="0"/>
        </w:rPr>
        <w:t>四会一层</w:t>
      </w:r>
      <w:r>
        <w:rPr>
          <w:color w:val="000000"/>
          <w:spacing w:val="0"/>
          <w:w w:val="100"/>
          <w:position w:val="0"/>
        </w:rPr>
        <w:t>''</w:t>
      </w:r>
      <w:r>
        <w:rPr>
          <w:color w:val="000000"/>
          <w:spacing w:val="0"/>
          <w:w w:val="100"/>
          <w:position w:val="0"/>
        </w:rPr>
        <w:t>在决策过程中的权责和流程，完善</w:t>
      </w:r>
      <w:r>
        <w:rPr>
          <w:rFonts w:ascii="Times New Roman" w:eastAsia="Times New Roman" w:hAnsi="Times New Roman" w:cs="Times New Roman"/>
          <w:color w:val="000000"/>
          <w:spacing w:val="0"/>
          <w:w w:val="100"/>
          <w:position w:val="0"/>
        </w:rPr>
        <w:t>“</w:t>
      </w:r>
      <w:r>
        <w:rPr>
          <w:color w:val="000000"/>
          <w:spacing w:val="0"/>
          <w:w w:val="100"/>
          <w:position w:val="0"/>
        </w:rPr>
        <w:t>四会一层''治理架构。严格按照党委会、股东大会、董事 会、监事会、经理层的权责边界及决策流程，形成了重大事项由</w:t>
      </w:r>
      <w:r>
        <w:rPr>
          <w:rFonts w:ascii="Times New Roman" w:eastAsia="Times New Roman" w:hAnsi="Times New Roman" w:cs="Times New Roman"/>
          <w:color w:val="000000"/>
          <w:spacing w:val="0"/>
          <w:w w:val="100"/>
          <w:position w:val="0"/>
        </w:rPr>
        <w:t>“</w:t>
      </w:r>
      <w:r>
        <w:rPr>
          <w:color w:val="000000"/>
          <w:spacing w:val="0"/>
          <w:w w:val="100"/>
          <w:position w:val="0"/>
        </w:rPr>
        <w:t>党委先议、董事会决策、经理层执行、 监事会监督，职代会、工会等群团组织</w:t>
      </w:r>
      <w:r>
        <w:rPr>
          <w:rFonts w:ascii="Times New Roman" w:eastAsia="Times New Roman" w:hAnsi="Times New Roman" w:cs="Times New Roman"/>
          <w:color w:val="000000"/>
          <w:spacing w:val="0"/>
          <w:w w:val="100"/>
          <w:position w:val="0"/>
        </w:rPr>
        <w:t>“</w:t>
      </w:r>
      <w:r>
        <w:rPr>
          <w:color w:val="000000"/>
          <w:spacing w:val="0"/>
          <w:w w:val="100"/>
          <w:position w:val="0"/>
        </w:rPr>
        <w:t>融民心、听民意''的</w:t>
      </w:r>
      <w:r>
        <w:rPr>
          <w:rFonts w:ascii="Times New Roman" w:eastAsia="Times New Roman" w:hAnsi="Times New Roman" w:cs="Times New Roman"/>
          <w:color w:val="000000"/>
          <w:spacing w:val="0"/>
          <w:w w:val="100"/>
          <w:position w:val="0"/>
        </w:rPr>
        <w:t>“</w:t>
      </w:r>
      <w:r>
        <w:rPr>
          <w:color w:val="000000"/>
          <w:spacing w:val="0"/>
          <w:w w:val="100"/>
          <w:position w:val="0"/>
        </w:rPr>
        <w:t>五位一体''权责格局，为高质量发展提供坚强 政治保障。报告期内共召开党委会</w:t>
      </w:r>
      <w:r>
        <w:rPr>
          <w:rFonts w:ascii="Times New Roman" w:eastAsia="Times New Roman" w:hAnsi="Times New Roman" w:cs="Times New Roman"/>
          <w:color w:val="000000"/>
          <w:spacing w:val="0"/>
          <w:w w:val="100"/>
          <w:position w:val="0"/>
        </w:rPr>
        <w:t>15</w:t>
      </w:r>
      <w:r>
        <w:rPr>
          <w:color w:val="000000"/>
          <w:spacing w:val="0"/>
          <w:w w:val="100"/>
          <w:position w:val="0"/>
        </w:rPr>
        <w:t>次，研究</w:t>
      </w:r>
      <w:r>
        <w:rPr>
          <w:rFonts w:ascii="Times New Roman" w:eastAsia="Times New Roman" w:hAnsi="Times New Roman" w:cs="Times New Roman"/>
          <w:color w:val="000000"/>
          <w:spacing w:val="0"/>
          <w:w w:val="100"/>
          <w:position w:val="0"/>
        </w:rPr>
        <w:t>“</w:t>
      </w:r>
      <w:r>
        <w:rPr>
          <w:color w:val="000000"/>
          <w:spacing w:val="0"/>
          <w:w w:val="100"/>
          <w:position w:val="0"/>
        </w:rPr>
        <w:t>三重一大''事项</w:t>
      </w:r>
      <w:r>
        <w:rPr>
          <w:rFonts w:ascii="Times New Roman" w:eastAsia="Times New Roman" w:hAnsi="Times New Roman" w:cs="Times New Roman"/>
          <w:color w:val="000000"/>
          <w:spacing w:val="0"/>
          <w:w w:val="100"/>
          <w:position w:val="0"/>
        </w:rPr>
        <w:t>19</w:t>
      </w:r>
      <w:r>
        <w:rPr>
          <w:color w:val="000000"/>
          <w:spacing w:val="0"/>
          <w:w w:val="100"/>
          <w:position w:val="0"/>
        </w:rPr>
        <w:t>项，对重大事项决策，党委坚持民主集中、 科学决策、依法决策，有效防范了重大风险。</w:t>
      </w:r>
    </w:p>
    <w:p>
      <w:pPr>
        <w:pStyle w:val="Style47"/>
        <w:keepNext w:val="0"/>
        <w:keepLines w:val="0"/>
        <w:widowControl w:val="0"/>
        <w:shd w:val="clear" w:color="auto" w:fill="auto"/>
        <w:tabs>
          <w:tab w:pos="978" w:val="left"/>
        </w:tabs>
        <w:bidi w:val="0"/>
        <w:spacing w:before="0" w:after="180" w:line="469" w:lineRule="exact"/>
        <w:ind w:left="0" w:right="0" w:firstLine="440"/>
        <w:jc w:val="both"/>
      </w:pPr>
      <w:bookmarkStart w:id="130" w:name="bookmark130"/>
      <w:r>
        <w:rPr>
          <w:b/>
          <w:bCs/>
          <w:color w:val="000000"/>
          <w:spacing w:val="0"/>
          <w:w w:val="100"/>
          <w:position w:val="0"/>
        </w:rPr>
        <w:t>（</w:t>
      </w:r>
      <w:bookmarkEnd w:id="130"/>
      <w:r>
        <w:rPr>
          <w:b/>
          <w:bCs/>
          <w:color w:val="000000"/>
          <w:spacing w:val="0"/>
          <w:w w:val="100"/>
          <w:position w:val="0"/>
        </w:rPr>
        <w:t>二）</w:t>
        <w:tab/>
        <w:t>以改革创新引领二次创业，激发公司发展新活力</w:t>
      </w:r>
    </w:p>
    <w:p>
      <w:pPr>
        <w:pStyle w:val="Style47"/>
        <w:keepNext w:val="0"/>
        <w:keepLines w:val="0"/>
        <w:widowControl w:val="0"/>
        <w:shd w:val="clear" w:color="auto" w:fill="auto"/>
        <w:bidi w:val="0"/>
        <w:spacing w:before="0" w:after="200" w:line="471" w:lineRule="exact"/>
        <w:ind w:left="0" w:right="0" w:firstLine="440"/>
        <w:jc w:val="both"/>
      </w:pPr>
      <w:r>
        <w:rPr>
          <w:color w:val="000000"/>
          <w:spacing w:val="0"/>
          <w:w w:val="100"/>
          <w:position w:val="0"/>
        </w:rPr>
        <w:t>公司大力推动党建工作与生产经营工作相融合。年初，公司党委行政联合作出《关于全面加强</w:t>
      </w:r>
      <w:r>
        <w:rPr>
          <w:rFonts w:ascii="Times New Roman" w:eastAsia="Times New Roman" w:hAnsi="Times New Roman" w:cs="Times New Roman"/>
          <w:color w:val="000000"/>
          <w:spacing w:val="0"/>
          <w:w w:val="100"/>
          <w:position w:val="0"/>
        </w:rPr>
        <w:t>“</w:t>
      </w:r>
      <w:r>
        <w:rPr>
          <w:color w:val="000000"/>
          <w:spacing w:val="0"/>
          <w:w w:val="100"/>
          <w:position w:val="0"/>
        </w:rPr>
        <w:t>改革 创新</w:t>
      </w:r>
      <w:r>
        <w:rPr>
          <w:color w:val="000000"/>
          <w:spacing w:val="0"/>
          <w:w w:val="100"/>
          <w:position w:val="0"/>
        </w:rPr>
        <w:t>''</w:t>
      </w:r>
      <w:r>
        <w:rPr>
          <w:color w:val="000000"/>
          <w:spacing w:val="0"/>
          <w:w w:val="100"/>
          <w:position w:val="0"/>
        </w:rPr>
        <w:t>推动二次创业宏伟目标早日实现的决定》，明确了公司发展</w:t>
      </w:r>
      <w:r>
        <w:rPr>
          <w:rFonts w:ascii="Times New Roman" w:eastAsia="Times New Roman" w:hAnsi="Times New Roman" w:cs="Times New Roman"/>
          <w:color w:val="000000"/>
          <w:spacing w:val="0"/>
          <w:w w:val="100"/>
          <w:position w:val="0"/>
        </w:rPr>
        <w:t>5</w:t>
      </w:r>
      <w:r>
        <w:rPr>
          <w:color w:val="000000"/>
          <w:spacing w:val="0"/>
          <w:w w:val="100"/>
          <w:position w:val="0"/>
        </w:rPr>
        <w:t>大方向改革创新任务，为公司二次创业 统一了思想。公司发展活力持续迸发，各项工作取得新进展。</w:t>
      </w:r>
    </w:p>
    <w:p>
      <w:pPr>
        <w:pStyle w:val="Style47"/>
        <w:keepNext w:val="0"/>
        <w:keepLines w:val="0"/>
        <w:widowControl w:val="0"/>
        <w:numPr>
          <w:ilvl w:val="0"/>
          <w:numId w:val="23"/>
        </w:numPr>
        <w:shd w:val="clear" w:color="auto" w:fill="auto"/>
        <w:bidi w:val="0"/>
        <w:spacing w:before="0" w:after="0" w:line="492" w:lineRule="auto"/>
        <w:ind w:left="0" w:right="0" w:firstLine="440"/>
        <w:jc w:val="both"/>
      </w:pPr>
      <w:bookmarkStart w:id="131" w:name="bookmark131"/>
      <w:bookmarkEnd w:id="131"/>
      <w:r>
        <w:rPr>
          <w:color w:val="000000"/>
          <w:spacing w:val="0"/>
          <w:w w:val="100"/>
          <w:position w:val="0"/>
        </w:rPr>
        <w:t>有力执行新时期战略规划</w:t>
      </w:r>
    </w:p>
    <w:p>
      <w:pPr>
        <w:pStyle w:val="Style47"/>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报告期内，公司股东大会审议批准了《</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-2030</w:t>
      </w:r>
      <w:r>
        <w:rPr>
          <w:color w:val="000000"/>
          <w:spacing w:val="0"/>
          <w:w w:val="100"/>
          <w:position w:val="0"/>
        </w:rPr>
        <w:t>年总体发展战略规划(纲要)》，管理层按照公司 定位、愿景、使命、目标，对实施路径、推进策略和执行计划进行了全面部署，公司上下有效推动各项任 务的快速落实。</w:t>
      </w:r>
    </w:p>
    <w:p>
      <w:pPr>
        <w:pStyle w:val="Style47"/>
        <w:keepNext w:val="0"/>
        <w:keepLines w:val="0"/>
        <w:widowControl w:val="0"/>
        <w:numPr>
          <w:ilvl w:val="0"/>
          <w:numId w:val="25"/>
        </w:numPr>
        <w:shd w:val="clear" w:color="auto" w:fill="auto"/>
        <w:tabs>
          <w:tab w:pos="962" w:val="left"/>
        </w:tabs>
        <w:bidi w:val="0"/>
        <w:spacing w:before="0" w:after="0" w:line="471" w:lineRule="exact"/>
        <w:ind w:left="0" w:right="0" w:firstLine="440"/>
        <w:jc w:val="both"/>
      </w:pPr>
      <w:bookmarkStart w:id="132" w:name="bookmark132"/>
      <w:bookmarkEnd w:id="132"/>
      <w:r>
        <w:rPr>
          <w:color w:val="000000"/>
          <w:spacing w:val="0"/>
          <w:w w:val="100"/>
          <w:position w:val="0"/>
        </w:rPr>
        <w:t>紧抓技术创新战略实施。建设中科信息技术平台是公司战略布局，旨在实现共性平台共建共享， 集中打造最强技术团队，整合通用性的技术工具、解决开发项目共性技术问题，提高关键技术攻关能力， 消除分散投入、重复建设，降低研发项目成本、缩短开发周期、提升质量，有利于提升公司整体竞争力和 盈利能力，促进公司实现高质量可持续发展。报告期内，公司加大资金和技术人员投入，通过“自建+整 合”的方式逐步建立统一的技术平台，取得重大进展。现已建成中科私有云平台、码云平台、业务中台</w:t>
      </w:r>
      <w:r>
        <w:rPr>
          <w:color w:val="000000"/>
          <w:spacing w:val="0"/>
          <w:w w:val="100"/>
          <w:position w:val="0"/>
        </w:rPr>
        <w:t xml:space="preserve">VI. </w:t>
      </w:r>
      <w:r>
        <w:rPr>
          <w:color w:val="000000"/>
          <w:spacing w:val="0"/>
          <w:w w:val="100"/>
          <w:position w:val="0"/>
        </w:rPr>
        <w:t>0</w:t>
      </w:r>
      <w:r>
        <w:rPr>
          <w:color w:val="000000"/>
          <w:spacing w:val="0"/>
          <w:w w:val="100"/>
          <w:position w:val="0"/>
        </w:rPr>
        <w:t>、 数据中台</w:t>
      </w:r>
      <w:r>
        <w:rPr>
          <w:color w:val="000000"/>
          <w:spacing w:val="0"/>
          <w:w w:val="100"/>
          <w:position w:val="0"/>
        </w:rPr>
        <w:t>V1.0</w:t>
      </w:r>
      <w:r>
        <w:rPr>
          <w:color w:val="000000"/>
          <w:spacing w:val="0"/>
          <w:w w:val="100"/>
          <w:position w:val="0"/>
        </w:rPr>
        <w:t>等等。</w:t>
      </w:r>
    </w:p>
    <w:p>
      <w:pPr>
        <w:pStyle w:val="Style47"/>
        <w:keepNext w:val="0"/>
        <w:keepLines w:val="0"/>
        <w:widowControl w:val="0"/>
        <w:numPr>
          <w:ilvl w:val="0"/>
          <w:numId w:val="25"/>
        </w:numPr>
        <w:shd w:val="clear" w:color="auto" w:fill="auto"/>
        <w:tabs>
          <w:tab w:pos="962" w:val="left"/>
        </w:tabs>
        <w:bidi w:val="0"/>
        <w:spacing w:before="0" w:after="0" w:line="471" w:lineRule="exact"/>
        <w:ind w:left="0" w:right="0" w:firstLine="440"/>
        <w:jc w:val="both"/>
      </w:pPr>
      <w:bookmarkStart w:id="133" w:name="bookmark133"/>
      <w:bookmarkEnd w:id="133"/>
      <w:r>
        <w:rPr>
          <w:color w:val="000000"/>
          <w:spacing w:val="0"/>
          <w:w w:val="100"/>
          <w:position w:val="0"/>
        </w:rPr>
        <w:t>营销服务网络建设迈出重要步伐。新成立全资子公司北京中科振信有限公司，将逐步打造成为 高端客户服务中心、业务创新中心、资源整合中心；新成立全资子公司香港领立智选科技有限公司，将作 为公司海外业务发展平台；新成立上海分公司、山东办事处等营销服务机构，“营销网络化、服务本地化” 的推进，将为业务发展创造更好的条件。</w:t>
      </w:r>
    </w:p>
    <w:p>
      <w:pPr>
        <w:pStyle w:val="Style47"/>
        <w:keepNext w:val="0"/>
        <w:keepLines w:val="0"/>
        <w:widowControl w:val="0"/>
        <w:numPr>
          <w:ilvl w:val="0"/>
          <w:numId w:val="25"/>
        </w:numPr>
        <w:shd w:val="clear" w:color="auto" w:fill="auto"/>
        <w:tabs>
          <w:tab w:pos="962" w:val="left"/>
        </w:tabs>
        <w:bidi w:val="0"/>
        <w:spacing w:before="0" w:after="0" w:line="471" w:lineRule="exact"/>
        <w:ind w:left="0" w:right="0" w:firstLine="440"/>
        <w:jc w:val="both"/>
      </w:pPr>
      <w:bookmarkStart w:id="134" w:name="bookmark134"/>
      <w:bookmarkEnd w:id="134"/>
      <w:r>
        <w:rPr>
          <w:color w:val="000000"/>
          <w:spacing w:val="0"/>
          <w:w w:val="100"/>
          <w:position w:val="0"/>
        </w:rPr>
        <w:t>大力推行</w:t>
      </w:r>
      <w:r>
        <w:rPr>
          <w:rFonts w:ascii="Times New Roman" w:eastAsia="Times New Roman" w:hAnsi="Times New Roman" w:cs="Times New Roman"/>
          <w:color w:val="000000"/>
          <w:spacing w:val="0"/>
          <w:w w:val="100"/>
          <w:position w:val="0"/>
        </w:rPr>
        <w:t>“</w:t>
      </w:r>
      <w:r>
        <w:rPr>
          <w:color w:val="000000"/>
          <w:spacing w:val="0"/>
          <w:w w:val="100"/>
          <w:position w:val="0"/>
        </w:rPr>
        <w:t>以人为本</w:t>
      </w:r>
      <w:r>
        <w:rPr>
          <w:rFonts w:ascii="Times New Roman" w:eastAsia="Times New Roman" w:hAnsi="Times New Roman" w:cs="Times New Roman"/>
          <w:color w:val="000000"/>
          <w:spacing w:val="0"/>
          <w:w w:val="100"/>
          <w:position w:val="0"/>
        </w:rPr>
        <w:t>”</w:t>
      </w:r>
      <w:r>
        <w:rPr>
          <w:color w:val="000000"/>
          <w:spacing w:val="0"/>
          <w:w w:val="100"/>
          <w:position w:val="0"/>
        </w:rPr>
        <w:t>的战略性人力资源管理。大力加强干部工作和人才工作，全面强化</w:t>
      </w:r>
      <w:r>
        <w:rPr>
          <w:rFonts w:ascii="Times New Roman" w:eastAsia="Times New Roman" w:hAnsi="Times New Roman" w:cs="Times New Roman"/>
          <w:color w:val="000000"/>
          <w:spacing w:val="0"/>
          <w:w w:val="100"/>
          <w:position w:val="0"/>
        </w:rPr>
        <w:t>“</w:t>
      </w:r>
      <w:r>
        <w:rPr>
          <w:color w:val="000000"/>
          <w:spacing w:val="0"/>
          <w:w w:val="100"/>
          <w:position w:val="0"/>
        </w:rPr>
        <w:t>按劳分 配、多劳多得</w:t>
      </w:r>
      <w:r>
        <w:rPr>
          <w:color w:val="000000"/>
          <w:spacing w:val="0"/>
          <w:w w:val="100"/>
          <w:position w:val="0"/>
        </w:rPr>
        <w:t>''</w:t>
      </w:r>
      <w:r>
        <w:rPr>
          <w:color w:val="000000"/>
          <w:spacing w:val="0"/>
          <w:w w:val="100"/>
          <w:position w:val="0"/>
        </w:rPr>
        <w:t>的薪酬制度，创新企业文化工作，发布《</w:t>
      </w:r>
      <w:r>
        <w:rPr>
          <w:rFonts w:ascii="Times New Roman" w:eastAsia="Times New Roman" w:hAnsi="Times New Roman" w:cs="Times New Roman"/>
          <w:color w:val="000000"/>
          <w:spacing w:val="0"/>
          <w:w w:val="100"/>
          <w:position w:val="0"/>
        </w:rPr>
        <w:t>2020</w:t>
      </w:r>
      <w:r>
        <w:rPr>
          <w:color w:val="000000"/>
          <w:spacing w:val="0"/>
          <w:w w:val="100"/>
          <w:position w:val="0"/>
        </w:rPr>
        <w:t>企业文化手册》，通过激励与约束的同步提 升，实现外部人才引进和内部人才培养的明显成效。</w:t>
      </w:r>
    </w:p>
    <w:p>
      <w:pPr>
        <w:pStyle w:val="Style47"/>
        <w:keepNext w:val="0"/>
        <w:keepLines w:val="0"/>
        <w:widowControl w:val="0"/>
        <w:numPr>
          <w:ilvl w:val="0"/>
          <w:numId w:val="25"/>
        </w:numPr>
        <w:shd w:val="clear" w:color="auto" w:fill="auto"/>
        <w:tabs>
          <w:tab w:pos="962" w:val="left"/>
        </w:tabs>
        <w:bidi w:val="0"/>
        <w:spacing w:before="0" w:after="0" w:line="471" w:lineRule="exact"/>
        <w:ind w:left="0" w:right="0" w:firstLine="440"/>
        <w:jc w:val="both"/>
      </w:pPr>
      <w:bookmarkStart w:id="135" w:name="bookmark135"/>
      <w:bookmarkEnd w:id="135"/>
      <w:r>
        <w:rPr>
          <w:color w:val="000000"/>
          <w:spacing w:val="0"/>
          <w:w w:val="100"/>
          <w:position w:val="0"/>
        </w:rPr>
        <w:t>成立智慧医疗事业部，支撑战略业务发展。根据战略规划调整组织架构，正式成立智慧医疗事 业部，着力推进智慧医疗物联网、医疗教学和医疗装备等业务的发展，为下一步智慧医疗业务的拓展，创 造了良好的基础条件。</w:t>
      </w:r>
    </w:p>
    <w:p>
      <w:pPr>
        <w:pStyle w:val="Style47"/>
        <w:keepNext w:val="0"/>
        <w:keepLines w:val="0"/>
        <w:widowControl w:val="0"/>
        <w:numPr>
          <w:ilvl w:val="0"/>
          <w:numId w:val="25"/>
        </w:numPr>
        <w:shd w:val="clear" w:color="auto" w:fill="auto"/>
        <w:tabs>
          <w:tab w:pos="962" w:val="left"/>
        </w:tabs>
        <w:bidi w:val="0"/>
        <w:spacing w:before="0" w:after="200" w:line="471" w:lineRule="exact"/>
        <w:ind w:left="0" w:right="0" w:firstLine="440"/>
        <w:jc w:val="both"/>
      </w:pPr>
      <w:bookmarkStart w:id="136" w:name="bookmark136"/>
      <w:bookmarkEnd w:id="136"/>
      <w:r>
        <w:rPr>
          <w:color w:val="000000"/>
          <w:spacing w:val="0"/>
          <w:w w:val="100"/>
          <w:position w:val="0"/>
        </w:rPr>
        <w:t>新取得</w:t>
      </w:r>
      <w:r>
        <w:rPr>
          <w:rFonts w:ascii="Times New Roman" w:eastAsia="Times New Roman" w:hAnsi="Times New Roman" w:cs="Times New Roman"/>
          <w:color w:val="000000"/>
          <w:spacing w:val="0"/>
          <w:w w:val="100"/>
          <w:position w:val="0"/>
        </w:rPr>
        <w:t>10</w:t>
      </w:r>
      <w:r>
        <w:rPr>
          <w:color w:val="000000"/>
          <w:spacing w:val="0"/>
          <w:w w:val="100"/>
          <w:position w:val="0"/>
        </w:rPr>
        <w:t>项重要资质认证。报告报告期内，公司顺利取得了国家保密局颁发的涉密系统集成(系 统集成/运行维护)甲级资质，成为四川省内少数拥有涉密“三甲</w:t>
      </w:r>
      <w:r>
        <w:rPr>
          <w:color w:val="000000"/>
          <w:spacing w:val="0"/>
          <w:w w:val="100"/>
          <w:position w:val="0"/>
        </w:rPr>
        <w:t>''</w:t>
      </w:r>
      <w:r>
        <w:rPr>
          <w:color w:val="000000"/>
          <w:spacing w:val="0"/>
          <w:w w:val="100"/>
          <w:position w:val="0"/>
        </w:rPr>
        <w:t>资质的企业之一。公司制度体系更加完善， 重量级资质不断丰富，系列资质的取得将促进公司经营发展和管理水平再上新台阶，对增强公司综合竞争 力、拓宽公司业务领域和品牌建设等方面具有重大战略意义。</w:t>
      </w:r>
    </w:p>
    <w:p>
      <w:pPr>
        <w:pStyle w:val="Style47"/>
        <w:keepNext w:val="0"/>
        <w:keepLines w:val="0"/>
        <w:widowControl w:val="0"/>
        <w:shd w:val="clear" w:color="auto" w:fill="auto"/>
        <w:bidi w:val="0"/>
        <w:spacing w:before="0" w:after="0" w:line="492" w:lineRule="auto"/>
        <w:ind w:left="0" w:right="0" w:firstLine="440"/>
        <w:jc w:val="both"/>
      </w:pPr>
      <w:r>
        <w:rPr>
          <w:rFonts w:ascii="Times New Roman" w:eastAsia="Times New Roman" w:hAnsi="Times New Roman" w:cs="Times New Roman"/>
          <w:color w:val="000000"/>
          <w:spacing w:val="0"/>
          <w:w w:val="100"/>
          <w:position w:val="0"/>
        </w:rPr>
        <w:t>2</w:t>
      </w:r>
      <w:r>
        <w:rPr>
          <w:color w:val="000000"/>
          <w:spacing w:val="0"/>
          <w:w w:val="100"/>
          <w:position w:val="0"/>
        </w:rPr>
        <w:t>资本运营迈出实质性步伐</w:t>
      </w:r>
    </w:p>
    <w:p>
      <w:pPr>
        <w:pStyle w:val="Style47"/>
        <w:keepNext w:val="0"/>
        <w:keepLines w:val="0"/>
        <w:widowControl w:val="0"/>
        <w:shd w:val="clear" w:color="auto" w:fill="auto"/>
        <w:bidi w:val="0"/>
        <w:spacing w:before="0" w:after="200" w:line="471" w:lineRule="exact"/>
        <w:ind w:left="0" w:right="0" w:firstLine="440"/>
        <w:jc w:val="both"/>
      </w:pPr>
      <w:r>
        <w:rPr>
          <w:color w:val="000000"/>
          <w:spacing w:val="0"/>
          <w:w w:val="100"/>
          <w:position w:val="0"/>
        </w:rPr>
        <w:t>根据公司在智能制造板块烟草业务的布局，公司于</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年正式启动了并购新三板挂牌企业成都瑞拓科 技股份有限公司的专项工作。此次并购将有利于公司进一步完善在烟草信息化行业的业务链条，提升盈利 </w:t>
      </w:r>
      <w:r>
        <w:rPr>
          <w:color w:val="000000"/>
          <w:spacing w:val="0"/>
          <w:w w:val="100"/>
          <w:position w:val="0"/>
        </w:rPr>
        <w:t>能力和竞争力，助力公司成长为中国烟草信息化领域领军企业；有利于推进国科控股系统内资产与业务的 优化重组，实现国有资产证券化。经过多方努力，并购瑞拓科技项目已向深交所报送申请材料并获得受理, 目前正在审核过程中。</w:t>
      </w:r>
    </w:p>
    <w:p>
      <w:pPr>
        <w:pStyle w:val="Style47"/>
        <w:keepNext w:val="0"/>
        <w:keepLines w:val="0"/>
        <w:widowControl w:val="0"/>
        <w:numPr>
          <w:ilvl w:val="0"/>
          <w:numId w:val="27"/>
        </w:numPr>
        <w:shd w:val="clear" w:color="auto" w:fill="auto"/>
        <w:bidi w:val="0"/>
        <w:spacing w:before="0" w:after="0"/>
        <w:ind w:left="0" w:right="0" w:firstLine="440"/>
        <w:jc w:val="left"/>
      </w:pPr>
      <w:bookmarkStart w:id="137" w:name="bookmark137"/>
      <w:bookmarkEnd w:id="137"/>
      <w:r>
        <w:rPr>
          <w:color w:val="000000"/>
          <w:spacing w:val="0"/>
          <w:w w:val="100"/>
          <w:position w:val="0"/>
        </w:rPr>
        <w:t>精细化运营实现关键突破</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精细化运营是企业降低成本、提高效率、走向规模化的必然要求。公司在</w:t>
      </w:r>
      <w:r>
        <w:rPr>
          <w:rFonts w:ascii="Times New Roman" w:eastAsia="Times New Roman" w:hAnsi="Times New Roman" w:cs="Times New Roman"/>
          <w:color w:val="000000"/>
          <w:spacing w:val="0"/>
          <w:w w:val="100"/>
          <w:position w:val="0"/>
        </w:rPr>
        <w:t>2020</w:t>
      </w:r>
      <w:r>
        <w:rPr>
          <w:color w:val="000000"/>
          <w:spacing w:val="0"/>
          <w:w w:val="100"/>
          <w:position w:val="0"/>
        </w:rPr>
        <w:t>年着力提升运营水平， 推进</w:t>
      </w:r>
      <w:r>
        <w:rPr>
          <w:rFonts w:ascii="Times New Roman" w:eastAsia="Times New Roman" w:hAnsi="Times New Roman" w:cs="Times New Roman"/>
          <w:color w:val="000000"/>
          <w:spacing w:val="0"/>
          <w:w w:val="100"/>
          <w:position w:val="0"/>
        </w:rPr>
        <w:t>“</w:t>
      </w:r>
      <w:r>
        <w:rPr>
          <w:color w:val="000000"/>
          <w:spacing w:val="0"/>
          <w:w w:val="100"/>
          <w:position w:val="0"/>
        </w:rPr>
        <w:t>管理与服务相统一''、</w:t>
      </w:r>
      <w:r>
        <w:rPr>
          <w:rFonts w:ascii="Times New Roman" w:eastAsia="Times New Roman" w:hAnsi="Times New Roman" w:cs="Times New Roman"/>
          <w:color w:val="000000"/>
          <w:spacing w:val="0"/>
          <w:w w:val="100"/>
          <w:position w:val="0"/>
        </w:rPr>
        <w:t>“</w:t>
      </w:r>
      <w:r>
        <w:rPr>
          <w:color w:val="000000"/>
          <w:spacing w:val="0"/>
          <w:w w:val="100"/>
          <w:position w:val="0"/>
        </w:rPr>
        <w:t>放权与监督</w:t>
      </w:r>
      <w:r>
        <w:rPr>
          <w:color w:val="000000"/>
          <w:spacing w:val="0"/>
          <w:w w:val="100"/>
          <w:position w:val="0"/>
        </w:rPr>
        <w:t>''</w:t>
      </w:r>
      <w:r>
        <w:rPr>
          <w:color w:val="000000"/>
          <w:spacing w:val="0"/>
          <w:w w:val="100"/>
          <w:position w:val="0"/>
        </w:rPr>
        <w:t>相统一，为业务部门创造最佳运营和服务平台。成立了公司级采 购服务中心，有效降低采购成本，并与关键的、重要供应商建立了战略合作关系，优化了产业生态；统一 公司差旅采购，每年将为公司节约数百万元的差旅经费开支；优化财务管理，建立了内部融资制度、资金 占用成本核算制度、流动资金申请制度，增强了业务团队的融资意识、成本意识；升级了内部综合信息管 理平台，实现了全流程无纸化报销，优化了合同签订等流程。</w:t>
      </w:r>
    </w:p>
    <w:p>
      <w:pPr>
        <w:pStyle w:val="Style47"/>
        <w:keepNext w:val="0"/>
        <w:keepLines w:val="0"/>
        <w:widowControl w:val="0"/>
        <w:shd w:val="clear" w:color="auto" w:fill="auto"/>
        <w:tabs>
          <w:tab w:pos="994" w:val="left"/>
        </w:tabs>
        <w:bidi w:val="0"/>
        <w:spacing w:before="0" w:after="0" w:line="468" w:lineRule="exact"/>
        <w:ind w:left="0" w:right="0" w:firstLine="440"/>
        <w:jc w:val="left"/>
      </w:pPr>
      <w:bookmarkStart w:id="138" w:name="bookmark138"/>
      <w:r>
        <w:rPr>
          <w:b/>
          <w:bCs/>
          <w:color w:val="000000"/>
          <w:spacing w:val="0"/>
          <w:w w:val="100"/>
          <w:position w:val="0"/>
        </w:rPr>
        <w:t>（</w:t>
      </w:r>
      <w:bookmarkEnd w:id="138"/>
      <w:r>
        <w:rPr>
          <w:b/>
          <w:bCs/>
          <w:color w:val="000000"/>
          <w:spacing w:val="0"/>
          <w:w w:val="100"/>
          <w:position w:val="0"/>
        </w:rPr>
        <w:t>三）</w:t>
        <w:tab/>
        <w:t>展现</w:t>
      </w:r>
      <w:r>
        <w:rPr>
          <w:rFonts w:ascii="Times New Roman" w:eastAsia="Times New Roman" w:hAnsi="Times New Roman" w:cs="Times New Roman"/>
          <w:b/>
          <w:bCs/>
          <w:color w:val="000000"/>
          <w:spacing w:val="0"/>
          <w:w w:val="100"/>
          <w:position w:val="0"/>
        </w:rPr>
        <w:t>“</w:t>
      </w:r>
      <w:r>
        <w:rPr>
          <w:b/>
          <w:bCs/>
          <w:color w:val="000000"/>
          <w:spacing w:val="0"/>
          <w:w w:val="100"/>
          <w:position w:val="0"/>
        </w:rPr>
        <w:t>科技国家队</w:t>
      </w:r>
      <w:r>
        <w:rPr>
          <w:rFonts w:ascii="Times New Roman" w:eastAsia="Times New Roman" w:hAnsi="Times New Roman" w:cs="Times New Roman"/>
          <w:b/>
          <w:bCs/>
          <w:color w:val="000000"/>
          <w:spacing w:val="0"/>
          <w:w w:val="100"/>
          <w:position w:val="0"/>
        </w:rPr>
        <w:t>”</w:t>
      </w:r>
      <w:r>
        <w:rPr>
          <w:b/>
          <w:bCs/>
          <w:color w:val="000000"/>
          <w:spacing w:val="0"/>
          <w:w w:val="100"/>
          <w:position w:val="0"/>
        </w:rPr>
        <w:t>责任担当，服务国家重大需求</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在新冠疫情防控的紧急关头，公司作为中国科学院</w:t>
      </w:r>
      <w:r>
        <w:rPr>
          <w:rFonts w:ascii="Times New Roman" w:eastAsia="Times New Roman" w:hAnsi="Times New Roman" w:cs="Times New Roman"/>
          <w:color w:val="000000"/>
          <w:spacing w:val="0"/>
          <w:w w:val="100"/>
          <w:position w:val="0"/>
        </w:rPr>
        <w:t>“</w:t>
      </w:r>
      <w:r>
        <w:rPr>
          <w:color w:val="000000"/>
          <w:spacing w:val="0"/>
          <w:w w:val="100"/>
          <w:position w:val="0"/>
        </w:rPr>
        <w:t>科技国家队</w:t>
      </w:r>
      <w:r>
        <w:rPr>
          <w:color w:val="000000"/>
          <w:spacing w:val="0"/>
          <w:w w:val="100"/>
          <w:position w:val="0"/>
        </w:rPr>
        <w:t>''</w:t>
      </w:r>
      <w:r>
        <w:rPr>
          <w:color w:val="000000"/>
          <w:spacing w:val="0"/>
          <w:w w:val="100"/>
          <w:position w:val="0"/>
        </w:rPr>
        <w:t xml:space="preserve">的一员，积极落实习近平总书记关于 </w:t>
      </w:r>
      <w:r>
        <w:rPr>
          <w:rFonts w:ascii="Times New Roman" w:eastAsia="Times New Roman" w:hAnsi="Times New Roman" w:cs="Times New Roman"/>
          <w:color w:val="000000"/>
          <w:spacing w:val="0"/>
          <w:w w:val="100"/>
          <w:position w:val="0"/>
        </w:rPr>
        <w:t>“</w:t>
      </w:r>
      <w:r>
        <w:rPr>
          <w:color w:val="000000"/>
          <w:spacing w:val="0"/>
          <w:w w:val="100"/>
          <w:position w:val="0"/>
        </w:rPr>
        <w:t>充分运用大数据分析等方法支撑疫情防控工作</w:t>
      </w:r>
      <w:r>
        <w:rPr>
          <w:color w:val="000000"/>
          <w:spacing w:val="0"/>
          <w:w w:val="100"/>
          <w:position w:val="0"/>
        </w:rPr>
        <w:t>''</w:t>
      </w:r>
      <w:r>
        <w:rPr>
          <w:color w:val="000000"/>
          <w:spacing w:val="0"/>
          <w:w w:val="100"/>
          <w:position w:val="0"/>
        </w:rPr>
        <w:t>的重要指示精神，运用大数据统计、人工智能深度挖掘与 分析等技术，先后为地方政府提供多款大数据管理系统，为加强疫情防控提供了强大的信息化支撑，为社 会经济的快速恢复作出了积极贡献。公司响应全国人大、武汉市人大需求，紧急开发出国内首套远程表决 系统，为相关重大会议的顺利召开提供了技术保障。而后又保障了</w:t>
      </w:r>
      <w:r>
        <w:rPr>
          <w:rFonts w:ascii="Times New Roman" w:eastAsia="Times New Roman" w:hAnsi="Times New Roman" w:cs="Times New Roman"/>
          <w:color w:val="000000"/>
          <w:spacing w:val="0"/>
          <w:w w:val="100"/>
          <w:position w:val="0"/>
        </w:rPr>
        <w:t>2020</w:t>
      </w:r>
      <w:r>
        <w:rPr>
          <w:color w:val="000000"/>
          <w:spacing w:val="0"/>
          <w:w w:val="100"/>
          <w:position w:val="0"/>
        </w:rPr>
        <w:t>年全国两会以及全年十余次全国人 大常委会的圆满成功。</w:t>
      </w:r>
    </w:p>
    <w:p>
      <w:pPr>
        <w:pStyle w:val="Style47"/>
        <w:keepNext w:val="0"/>
        <w:keepLines w:val="0"/>
        <w:widowControl w:val="0"/>
        <w:shd w:val="clear" w:color="auto" w:fill="auto"/>
        <w:tabs>
          <w:tab w:pos="994" w:val="left"/>
        </w:tabs>
        <w:bidi w:val="0"/>
        <w:spacing w:before="0" w:after="0" w:line="468" w:lineRule="exact"/>
        <w:ind w:left="0" w:right="0" w:firstLine="440"/>
        <w:jc w:val="both"/>
      </w:pPr>
      <w:bookmarkStart w:id="139" w:name="bookmark139"/>
      <w:r>
        <w:rPr>
          <w:b/>
          <w:bCs/>
          <w:color w:val="000000"/>
          <w:spacing w:val="0"/>
          <w:w w:val="100"/>
          <w:position w:val="0"/>
        </w:rPr>
        <w:t>（</w:t>
      </w:r>
      <w:bookmarkEnd w:id="139"/>
      <w:r>
        <w:rPr>
          <w:b/>
          <w:bCs/>
          <w:color w:val="000000"/>
          <w:spacing w:val="0"/>
          <w:w w:val="100"/>
          <w:position w:val="0"/>
        </w:rPr>
        <w:t>四）</w:t>
        <w:tab/>
        <w:t>信心笃定抓经营，主营业务实现稳健发展</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为积极克服新冠疫情对公司经营的影响，公司组织</w:t>
      </w:r>
      <w:r>
        <w:rPr>
          <w:rFonts w:ascii="Times New Roman" w:eastAsia="Times New Roman" w:hAnsi="Times New Roman" w:cs="Times New Roman"/>
          <w:color w:val="000000"/>
          <w:spacing w:val="0"/>
          <w:w w:val="100"/>
          <w:position w:val="0"/>
        </w:rPr>
        <w:t>“</w:t>
      </w:r>
      <w:r>
        <w:rPr>
          <w:color w:val="000000"/>
          <w:spacing w:val="0"/>
          <w:w w:val="100"/>
          <w:position w:val="0"/>
        </w:rPr>
        <w:t>疫情防控与经营管理都过硬''战时经营工作会，号 召全体干部员工在做好自身防护的同时积极复工复产。根据公司总体部署，紧抓人工智能产业机遇，践行 全心全意为客户创造价值的理念，着力抓好主营业务市场深耕、重大项目实施及新行业拓展，主营业务板 块均取得良好发展。</w:t>
      </w:r>
    </w:p>
    <w:p>
      <w:pPr>
        <w:pStyle w:val="Style47"/>
        <w:keepNext w:val="0"/>
        <w:keepLines w:val="0"/>
        <w:widowControl w:val="0"/>
        <w:shd w:val="clear" w:color="auto" w:fill="auto"/>
        <w:tabs>
          <w:tab w:pos="907" w:val="left"/>
        </w:tabs>
        <w:bidi w:val="0"/>
        <w:spacing w:before="0" w:after="0" w:line="468" w:lineRule="exact"/>
        <w:ind w:left="0" w:right="0" w:firstLine="440"/>
        <w:jc w:val="left"/>
      </w:pPr>
      <w:bookmarkStart w:id="140" w:name="bookmark140"/>
      <w:r>
        <w:rPr>
          <w:color w:val="000000"/>
          <w:spacing w:val="0"/>
          <w:w w:val="100"/>
          <w:position w:val="0"/>
        </w:rPr>
        <w:t>（</w:t>
      </w:r>
      <w:bookmarkEnd w:id="140"/>
      <w:r>
        <w:rPr>
          <w:rFonts w:ascii="Times New Roman" w:eastAsia="Times New Roman" w:hAnsi="Times New Roman" w:cs="Times New Roman"/>
          <w:color w:val="000000"/>
          <w:spacing w:val="0"/>
          <w:w w:val="100"/>
          <w:position w:val="0"/>
        </w:rPr>
        <w:t>1</w:t>
      </w:r>
      <w:r>
        <w:rPr>
          <w:color w:val="000000"/>
          <w:spacing w:val="0"/>
          <w:w w:val="100"/>
          <w:position w:val="0"/>
        </w:rPr>
        <w:t>）</w:t>
        <w:tab/>
        <w:t>数字会议领域</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核心业务规模持续扩大，市场占有率持续攀升，计票通新兴业务、音视频种子业务蓬勃发展。在政务 大数据业务领域，实现了成都市本土市场的绝对领先，品牌影响力继续提升，省外市场拓展加快推进。受 新冠肺炎疫情影响，年初现场会议订单量暂时下降，报告期内数字会议领域业务实现营业收入</w:t>
      </w:r>
      <w:r>
        <w:rPr>
          <w:rFonts w:ascii="Times New Roman" w:eastAsia="Times New Roman" w:hAnsi="Times New Roman" w:cs="Times New Roman"/>
          <w:color w:val="000000"/>
          <w:spacing w:val="0"/>
          <w:w w:val="100"/>
          <w:position w:val="0"/>
        </w:rPr>
        <w:t>6,375.65</w:t>
      </w:r>
      <w:r>
        <w:rPr>
          <w:color w:val="000000"/>
          <w:spacing w:val="0"/>
          <w:w w:val="100"/>
          <w:position w:val="0"/>
        </w:rPr>
        <w:t>万 元，较去年同期减少</w:t>
      </w:r>
      <w:r>
        <w:rPr>
          <w:rFonts w:ascii="Times New Roman" w:eastAsia="Times New Roman" w:hAnsi="Times New Roman" w:cs="Times New Roman"/>
          <w:color w:val="000000"/>
          <w:spacing w:val="0"/>
          <w:w w:val="100"/>
          <w:position w:val="0"/>
        </w:rPr>
        <w:t>19.19%</w:t>
      </w:r>
      <w:r>
        <w:rPr>
          <w:color w:val="000000"/>
          <w:spacing w:val="0"/>
          <w:w w:val="100"/>
          <w:position w:val="0"/>
        </w:rPr>
        <w:t>,实现毛利</w:t>
      </w:r>
      <w:r>
        <w:rPr>
          <w:rFonts w:ascii="Times New Roman" w:eastAsia="Times New Roman" w:hAnsi="Times New Roman" w:cs="Times New Roman"/>
          <w:color w:val="000000"/>
          <w:spacing w:val="0"/>
          <w:w w:val="100"/>
          <w:position w:val="0"/>
        </w:rPr>
        <w:t>3,127.04</w:t>
      </w:r>
      <w:r>
        <w:rPr>
          <w:color w:val="000000"/>
          <w:spacing w:val="0"/>
          <w:w w:val="100"/>
          <w:position w:val="0"/>
        </w:rPr>
        <w:t>万元。</w:t>
      </w:r>
    </w:p>
    <w:p>
      <w:pPr>
        <w:pStyle w:val="Style47"/>
        <w:keepNext w:val="0"/>
        <w:keepLines w:val="0"/>
        <w:widowControl w:val="0"/>
        <w:shd w:val="clear" w:color="auto" w:fill="auto"/>
        <w:tabs>
          <w:tab w:pos="907" w:val="left"/>
        </w:tabs>
        <w:bidi w:val="0"/>
        <w:spacing w:before="0" w:after="0" w:line="468" w:lineRule="exact"/>
        <w:ind w:left="0" w:right="0" w:firstLine="440"/>
        <w:jc w:val="left"/>
      </w:pPr>
      <w:bookmarkStart w:id="141" w:name="bookmark141"/>
      <w:r>
        <w:rPr>
          <w:color w:val="000000"/>
          <w:spacing w:val="0"/>
          <w:w w:val="100"/>
          <w:position w:val="0"/>
        </w:rPr>
        <w:t>（</w:t>
      </w:r>
      <w:bookmarkEnd w:id="141"/>
      <w:r>
        <w:rPr>
          <w:rFonts w:ascii="Times New Roman" w:eastAsia="Times New Roman" w:hAnsi="Times New Roman" w:cs="Times New Roman"/>
          <w:color w:val="000000"/>
          <w:spacing w:val="0"/>
          <w:w w:val="100"/>
          <w:position w:val="0"/>
        </w:rPr>
        <w:t>2</w:t>
      </w:r>
      <w:r>
        <w:rPr>
          <w:color w:val="000000"/>
          <w:spacing w:val="0"/>
          <w:w w:val="100"/>
          <w:position w:val="0"/>
        </w:rPr>
        <w:t>）</w:t>
        <w:tab/>
        <w:t>政府及事业单位领域</w:t>
      </w:r>
    </w:p>
    <w:p>
      <w:pPr>
        <w:pStyle w:val="Style47"/>
        <w:keepNext w:val="0"/>
        <w:keepLines w:val="0"/>
        <w:widowControl w:val="0"/>
        <w:shd w:val="clear" w:color="auto" w:fill="auto"/>
        <w:bidi w:val="0"/>
        <w:spacing w:before="0" w:after="0" w:line="468" w:lineRule="exact"/>
        <w:ind w:left="0" w:right="0" w:firstLine="440"/>
        <w:jc w:val="both"/>
        <w:sectPr>
          <w:headerReference w:type="default" r:id="rId65"/>
          <w:footerReference w:type="default" r:id="rId66"/>
          <w:headerReference w:type="even" r:id="rId67"/>
          <w:footerReference w:type="even" r:id="rId68"/>
          <w:footnotePr>
            <w:pos w:val="pageBottom"/>
            <w:numFmt w:val="decimal"/>
            <w:numRestart w:val="continuous"/>
          </w:footnotePr>
          <w:pgSz w:w="11900" w:h="16840"/>
          <w:pgMar w:top="1316" w:right="524" w:bottom="1450" w:left="604" w:header="0" w:footer="3" w:gutter="0"/>
          <w:cols w:space="720"/>
          <w:noEndnote/>
          <w:rtlGutter w:val="0"/>
          <w:docGrid w:linePitch="360"/>
        </w:sectPr>
      </w:pPr>
      <w:r>
        <w:rPr>
          <w:color w:val="000000"/>
          <w:spacing w:val="0"/>
          <w:w w:val="100"/>
          <w:position w:val="0"/>
        </w:rPr>
        <w:t>公司在人工智能、大数据等技术领域的深厚积累，在智慧统计、智慧民生和区域经济大数据分析等多 个领域着力拓展，面向政府统计信息化、区域经济管理、楼宇园区管理的市场开拓工作取得成效，相继获</w:t>
      </w:r>
    </w:p>
    <w:p>
      <w:pPr>
        <w:pStyle w:val="Style47"/>
        <w:keepNext w:val="0"/>
        <w:keepLines w:val="0"/>
        <w:widowControl w:val="0"/>
        <w:shd w:val="clear" w:color="auto" w:fill="auto"/>
        <w:bidi w:val="0"/>
        <w:spacing w:before="0" w:after="0" w:line="464" w:lineRule="exact"/>
        <w:ind w:left="0" w:right="0" w:firstLine="0"/>
        <w:jc w:val="both"/>
      </w:pPr>
      <w:r>
        <w:rPr>
          <w:color w:val="000000"/>
          <w:spacing w:val="0"/>
          <w:w w:val="100"/>
          <w:position w:val="0"/>
        </w:rPr>
        <w:t>得多个统计行业内客户订单，行业影响力不断扩大。继服务第四次全国经济普查工作后，公司又积极为地 方政府开展全国第七次人口普查工作提供技术支撑，充分利用大数据及统计方面的技术优势，创新性利用 疫情防控排查数据，高效搭建七人普数据处理支撑平台切实提高普查工作效率和数据质量平台建设，成效 得到国家、省、市各级统计部门领导的充分肯定。报告期内，政府及事业单位领域业务（含相关信息化基 础设施建设）实现营业收入</w:t>
      </w:r>
      <w:r>
        <w:rPr>
          <w:rFonts w:ascii="Times New Roman" w:eastAsia="Times New Roman" w:hAnsi="Times New Roman" w:cs="Times New Roman"/>
          <w:color w:val="000000"/>
          <w:spacing w:val="0"/>
          <w:w w:val="100"/>
          <w:position w:val="0"/>
        </w:rPr>
        <w:t>15,843.54</w:t>
      </w:r>
      <w:r>
        <w:rPr>
          <w:color w:val="000000"/>
          <w:spacing w:val="0"/>
          <w:w w:val="100"/>
          <w:position w:val="0"/>
        </w:rPr>
        <w:t>万元，较去年同期增长</w:t>
      </w:r>
      <w:r>
        <w:rPr>
          <w:rFonts w:ascii="Times New Roman" w:eastAsia="Times New Roman" w:hAnsi="Times New Roman" w:cs="Times New Roman"/>
          <w:color w:val="000000"/>
          <w:spacing w:val="0"/>
          <w:w w:val="100"/>
          <w:position w:val="0"/>
        </w:rPr>
        <w:t>52.59%</w:t>
      </w:r>
      <w:r>
        <w:rPr>
          <w:color w:val="000000"/>
          <w:spacing w:val="0"/>
          <w:w w:val="100"/>
          <w:position w:val="0"/>
        </w:rPr>
        <w:t>,实现毛利</w:t>
      </w:r>
      <w:r>
        <w:rPr>
          <w:rFonts w:ascii="Times New Roman" w:eastAsia="Times New Roman" w:hAnsi="Times New Roman" w:cs="Times New Roman"/>
          <w:color w:val="000000"/>
          <w:spacing w:val="0"/>
          <w:w w:val="100"/>
          <w:position w:val="0"/>
        </w:rPr>
        <w:t>2</w:t>
      </w:r>
      <w:r>
        <w:rPr>
          <w:rFonts w:ascii="Times New Roman" w:eastAsia="Times New Roman" w:hAnsi="Times New Roman" w:cs="Times New Roman"/>
          <w:color w:val="000000"/>
          <w:spacing w:val="0"/>
          <w:w w:val="100"/>
          <w:position w:val="0"/>
        </w:rPr>
        <w:t>,065.57</w:t>
      </w:r>
      <w:r>
        <w:rPr>
          <w:color w:val="000000"/>
          <w:spacing w:val="0"/>
          <w:w w:val="100"/>
          <w:position w:val="0"/>
        </w:rPr>
        <w:t>万元。</w:t>
      </w:r>
    </w:p>
    <w:p>
      <w:pPr>
        <w:pStyle w:val="Style47"/>
        <w:keepNext w:val="0"/>
        <w:keepLines w:val="0"/>
        <w:widowControl w:val="0"/>
        <w:shd w:val="clear" w:color="auto" w:fill="auto"/>
        <w:tabs>
          <w:tab w:pos="919" w:val="left"/>
        </w:tabs>
        <w:bidi w:val="0"/>
        <w:spacing w:before="0" w:after="0" w:line="464" w:lineRule="exact"/>
        <w:ind w:left="0" w:right="0" w:firstLine="440"/>
        <w:jc w:val="both"/>
      </w:pPr>
      <w:bookmarkStart w:id="142" w:name="bookmark142"/>
      <w:r>
        <w:rPr>
          <w:color w:val="000000"/>
          <w:spacing w:val="0"/>
          <w:w w:val="100"/>
          <w:position w:val="0"/>
        </w:rPr>
        <w:t>（</w:t>
      </w:r>
      <w:bookmarkEnd w:id="142"/>
      <w:r>
        <w:rPr>
          <w:rFonts w:ascii="Times New Roman" w:eastAsia="Times New Roman" w:hAnsi="Times New Roman" w:cs="Times New Roman"/>
          <w:color w:val="000000"/>
          <w:spacing w:val="0"/>
          <w:w w:val="100"/>
          <w:position w:val="0"/>
        </w:rPr>
        <w:t>3</w:t>
      </w:r>
      <w:r>
        <w:rPr>
          <w:color w:val="000000"/>
          <w:spacing w:val="0"/>
          <w:w w:val="100"/>
          <w:position w:val="0"/>
        </w:rPr>
        <w:t>）</w:t>
        <w:tab/>
        <w:t>烟草领域</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努力拓展省级市场，在湖北、云南、重庆市场取得突破，战略性新业务进入湖北、云南市场。持续做 好复烤管控一体、科学监管、烟草生产系统、二维码应用改造等重要项目的实施与推广，顺利获得行业内 多个核心业务项目。以合作共赢的理念做好合作生态圈的建设，合作伙伴不断增加，为未来的市场开拓创 造了良好条件。但受疫情影响，部分项目启动时间延迟，报告期内，烟草领域业务实现营业收入</w:t>
      </w:r>
      <w:r>
        <w:rPr>
          <w:rFonts w:ascii="Times New Roman" w:eastAsia="Times New Roman" w:hAnsi="Times New Roman" w:cs="Times New Roman"/>
          <w:color w:val="000000"/>
          <w:spacing w:val="0"/>
          <w:w w:val="100"/>
          <w:position w:val="0"/>
        </w:rPr>
        <w:t xml:space="preserve">6,016.61 </w:t>
      </w:r>
      <w:r>
        <w:rPr>
          <w:color w:val="000000"/>
          <w:spacing w:val="0"/>
          <w:w w:val="100"/>
          <w:position w:val="0"/>
        </w:rPr>
        <w:t>万元，较去年同期减少</w:t>
      </w:r>
      <w:r>
        <w:rPr>
          <w:rFonts w:ascii="Times New Roman" w:eastAsia="Times New Roman" w:hAnsi="Times New Roman" w:cs="Times New Roman"/>
          <w:color w:val="000000"/>
          <w:spacing w:val="0"/>
          <w:w w:val="100"/>
          <w:position w:val="0"/>
        </w:rPr>
        <w:t>26.05%</w:t>
      </w:r>
      <w:r>
        <w:rPr>
          <w:color w:val="000000"/>
          <w:spacing w:val="0"/>
          <w:w w:val="100"/>
          <w:position w:val="0"/>
        </w:rPr>
        <w:t>，实现毛利</w:t>
      </w:r>
      <w:r>
        <w:rPr>
          <w:rFonts w:ascii="Times New Roman" w:eastAsia="Times New Roman" w:hAnsi="Times New Roman" w:cs="Times New Roman"/>
          <w:color w:val="000000"/>
          <w:spacing w:val="0"/>
          <w:w w:val="100"/>
          <w:position w:val="0"/>
        </w:rPr>
        <w:t>1,743.46</w:t>
      </w:r>
      <w:r>
        <w:rPr>
          <w:color w:val="000000"/>
          <w:spacing w:val="0"/>
          <w:w w:val="100"/>
          <w:position w:val="0"/>
        </w:rPr>
        <w:t>万元。</w:t>
      </w:r>
    </w:p>
    <w:p>
      <w:pPr>
        <w:pStyle w:val="Style47"/>
        <w:keepNext w:val="0"/>
        <w:keepLines w:val="0"/>
        <w:widowControl w:val="0"/>
        <w:shd w:val="clear" w:color="auto" w:fill="auto"/>
        <w:tabs>
          <w:tab w:pos="919" w:val="left"/>
        </w:tabs>
        <w:bidi w:val="0"/>
        <w:spacing w:before="0" w:after="0" w:line="464" w:lineRule="exact"/>
        <w:ind w:left="0" w:right="0" w:firstLine="440"/>
        <w:jc w:val="both"/>
      </w:pPr>
      <w:bookmarkStart w:id="143" w:name="bookmark143"/>
      <w:r>
        <w:rPr>
          <w:color w:val="000000"/>
          <w:spacing w:val="0"/>
          <w:w w:val="100"/>
          <w:position w:val="0"/>
        </w:rPr>
        <w:t>（</w:t>
      </w:r>
      <w:bookmarkEnd w:id="143"/>
      <w:r>
        <w:rPr>
          <w:rFonts w:ascii="Times New Roman" w:eastAsia="Times New Roman" w:hAnsi="Times New Roman" w:cs="Times New Roman"/>
          <w:color w:val="000000"/>
          <w:spacing w:val="0"/>
          <w:w w:val="100"/>
          <w:position w:val="0"/>
        </w:rPr>
        <w:t>4</w:t>
      </w:r>
      <w:r>
        <w:rPr>
          <w:color w:val="000000"/>
          <w:spacing w:val="0"/>
          <w:w w:val="100"/>
          <w:position w:val="0"/>
        </w:rPr>
        <w:t>）</w:t>
        <w:tab/>
        <w:t>印钞检测领域</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推出一系列覆盖全产业链的新一代人工智能机检装备，进一步巩固了行业市场，同时一批新业态项目 陆续落地各地印钞企业，全年探索发展新行业客户</w:t>
      </w:r>
      <w:r>
        <w:rPr>
          <w:rFonts w:ascii="Times New Roman" w:eastAsia="Times New Roman" w:hAnsi="Times New Roman" w:cs="Times New Roman"/>
          <w:color w:val="000000"/>
          <w:spacing w:val="0"/>
          <w:w w:val="100"/>
          <w:position w:val="0"/>
        </w:rPr>
        <w:t>11</w:t>
      </w:r>
      <w:r>
        <w:rPr>
          <w:color w:val="000000"/>
          <w:spacing w:val="0"/>
          <w:w w:val="100"/>
          <w:position w:val="0"/>
        </w:rPr>
        <w:t>个。报告期内，中钞科信印钞检测领域业务实现营业 收入</w:t>
      </w:r>
      <w:r>
        <w:rPr>
          <w:rFonts w:ascii="Times New Roman" w:eastAsia="Times New Roman" w:hAnsi="Times New Roman" w:cs="Times New Roman"/>
          <w:color w:val="000000"/>
          <w:spacing w:val="0"/>
          <w:w w:val="100"/>
          <w:position w:val="0"/>
        </w:rPr>
        <w:t>13,607.52</w:t>
      </w:r>
      <w:r>
        <w:rPr>
          <w:color w:val="000000"/>
          <w:spacing w:val="0"/>
          <w:w w:val="100"/>
          <w:position w:val="0"/>
        </w:rPr>
        <w:t>万元，净利润</w:t>
      </w:r>
      <w:r>
        <w:rPr>
          <w:rFonts w:ascii="Times New Roman" w:eastAsia="Times New Roman" w:hAnsi="Times New Roman" w:cs="Times New Roman"/>
          <w:color w:val="000000"/>
          <w:spacing w:val="0"/>
          <w:w w:val="100"/>
          <w:position w:val="0"/>
        </w:rPr>
        <w:t>2,639.48</w:t>
      </w:r>
      <w:r>
        <w:rPr>
          <w:color w:val="000000"/>
          <w:spacing w:val="0"/>
          <w:w w:val="100"/>
          <w:position w:val="0"/>
        </w:rPr>
        <w:t>万元。</w:t>
      </w:r>
    </w:p>
    <w:p>
      <w:pPr>
        <w:pStyle w:val="Style47"/>
        <w:keepNext w:val="0"/>
        <w:keepLines w:val="0"/>
        <w:widowControl w:val="0"/>
        <w:shd w:val="clear" w:color="auto" w:fill="auto"/>
        <w:tabs>
          <w:tab w:pos="919" w:val="left"/>
        </w:tabs>
        <w:bidi w:val="0"/>
        <w:spacing w:before="0" w:after="0" w:line="464" w:lineRule="exact"/>
        <w:ind w:left="0" w:right="0" w:firstLine="440"/>
        <w:jc w:val="both"/>
      </w:pPr>
      <w:bookmarkStart w:id="144" w:name="bookmark144"/>
      <w:r>
        <w:rPr>
          <w:color w:val="000000"/>
          <w:spacing w:val="0"/>
          <w:w w:val="100"/>
          <w:position w:val="0"/>
        </w:rPr>
        <w:t>（</w:t>
      </w:r>
      <w:bookmarkEnd w:id="144"/>
      <w:r>
        <w:rPr>
          <w:rFonts w:ascii="Times New Roman" w:eastAsia="Times New Roman" w:hAnsi="Times New Roman" w:cs="Times New Roman"/>
          <w:color w:val="000000"/>
          <w:spacing w:val="0"/>
          <w:w w:val="100"/>
          <w:position w:val="0"/>
        </w:rPr>
        <w:t>5</w:t>
      </w:r>
      <w:r>
        <w:rPr>
          <w:color w:val="000000"/>
          <w:spacing w:val="0"/>
          <w:w w:val="100"/>
          <w:position w:val="0"/>
        </w:rPr>
        <w:t>）</w:t>
        <w:tab/>
        <w:t>油气领域</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以塔里木油田为核心的市场基础进一步稳固，交付投产的目前公司最大体量的项目</w:t>
      </w:r>
      <w:r>
        <w:rPr>
          <w:rFonts w:ascii="Times New Roman" w:eastAsia="Times New Roman" w:hAnsi="Times New Roman" w:cs="Times New Roman"/>
          <w:color w:val="000000"/>
          <w:spacing w:val="0"/>
          <w:w w:val="100"/>
          <w:position w:val="0"/>
        </w:rPr>
        <w:t>“</w:t>
      </w:r>
      <w:r>
        <w:rPr>
          <w:color w:val="000000"/>
          <w:spacing w:val="0"/>
          <w:w w:val="100"/>
          <w:position w:val="0"/>
        </w:rPr>
        <w:t>阿克莫木气田总 体开发工程''自控通信系统获得中石油总部充分肯定和高度评价。受益于</w:t>
      </w:r>
      <w:r>
        <w:rPr>
          <w:rFonts w:ascii="Times New Roman" w:eastAsia="Times New Roman" w:hAnsi="Times New Roman" w:cs="Times New Roman"/>
          <w:color w:val="000000"/>
          <w:spacing w:val="0"/>
          <w:w w:val="100"/>
          <w:position w:val="0"/>
        </w:rPr>
        <w:t>2019</w:t>
      </w:r>
      <w:r>
        <w:rPr>
          <w:color w:val="000000"/>
          <w:spacing w:val="0"/>
          <w:w w:val="100"/>
          <w:position w:val="0"/>
        </w:rPr>
        <w:t>年度在手项目的实施推进， 报告期内，油气领域业务实现营业收入</w:t>
      </w:r>
      <w:r>
        <w:rPr>
          <w:rFonts w:ascii="Times New Roman" w:eastAsia="Times New Roman" w:hAnsi="Times New Roman" w:cs="Times New Roman"/>
          <w:color w:val="000000"/>
          <w:spacing w:val="0"/>
          <w:w w:val="100"/>
          <w:position w:val="0"/>
        </w:rPr>
        <w:t>9</w:t>
      </w:r>
      <w:r>
        <w:rPr>
          <w:rFonts w:ascii="Times New Roman" w:eastAsia="Times New Roman" w:hAnsi="Times New Roman" w:cs="Times New Roman"/>
          <w:color w:val="000000"/>
          <w:spacing w:val="0"/>
          <w:w w:val="100"/>
          <w:position w:val="0"/>
        </w:rPr>
        <w:t>,319.7</w:t>
      </w:r>
      <w:r>
        <w:rPr>
          <w:rFonts w:ascii="Times New Roman" w:eastAsia="Times New Roman" w:hAnsi="Times New Roman" w:cs="Times New Roman"/>
          <w:color w:val="000000"/>
          <w:spacing w:val="0"/>
          <w:w w:val="100"/>
          <w:position w:val="0"/>
        </w:rPr>
        <w:t>0</w:t>
      </w:r>
      <w:r>
        <w:rPr>
          <w:color w:val="000000"/>
          <w:spacing w:val="0"/>
          <w:w w:val="100"/>
          <w:position w:val="0"/>
        </w:rPr>
        <w:t>万元，较去年同期增长</w:t>
      </w:r>
      <w:r>
        <w:rPr>
          <w:rFonts w:ascii="Times New Roman" w:eastAsia="Times New Roman" w:hAnsi="Times New Roman" w:cs="Times New Roman"/>
          <w:color w:val="000000"/>
          <w:spacing w:val="0"/>
          <w:w w:val="100"/>
          <w:position w:val="0"/>
        </w:rPr>
        <w:t>43.59%</w:t>
      </w:r>
      <w:r>
        <w:rPr>
          <w:color w:val="000000"/>
          <w:spacing w:val="0"/>
          <w:w w:val="100"/>
          <w:position w:val="0"/>
        </w:rPr>
        <w:t>，实现毛利</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,300.27</w:t>
      </w:r>
      <w:r>
        <w:rPr>
          <w:color w:val="000000"/>
          <w:spacing w:val="0"/>
          <w:w w:val="100"/>
          <w:position w:val="0"/>
        </w:rPr>
        <w:t>万元。</w:t>
      </w:r>
    </w:p>
    <w:p>
      <w:pPr>
        <w:pStyle w:val="Style47"/>
        <w:keepNext w:val="0"/>
        <w:keepLines w:val="0"/>
        <w:widowControl w:val="0"/>
        <w:shd w:val="clear" w:color="auto" w:fill="auto"/>
        <w:tabs>
          <w:tab w:pos="919" w:val="left"/>
        </w:tabs>
        <w:bidi w:val="0"/>
        <w:spacing w:before="0" w:after="0" w:line="464" w:lineRule="exact"/>
        <w:ind w:left="0" w:right="0" w:firstLine="440"/>
        <w:jc w:val="both"/>
      </w:pPr>
      <w:bookmarkStart w:id="145" w:name="bookmark145"/>
      <w:r>
        <w:rPr>
          <w:color w:val="000000"/>
          <w:spacing w:val="0"/>
          <w:w w:val="100"/>
          <w:position w:val="0"/>
        </w:rPr>
        <w:t>（</w:t>
      </w:r>
      <w:bookmarkEnd w:id="145"/>
      <w:r>
        <w:rPr>
          <w:rFonts w:ascii="Times New Roman" w:eastAsia="Times New Roman" w:hAnsi="Times New Roman" w:cs="Times New Roman"/>
          <w:color w:val="000000"/>
          <w:spacing w:val="0"/>
          <w:w w:val="100"/>
          <w:position w:val="0"/>
        </w:rPr>
        <w:t>6</w:t>
      </w:r>
      <w:r>
        <w:rPr>
          <w:color w:val="000000"/>
          <w:spacing w:val="0"/>
          <w:w w:val="100"/>
          <w:position w:val="0"/>
        </w:rPr>
        <w:t>）</w:t>
        <w:tab/>
        <w:t>其他行业领域</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公司继续深度参与</w:t>
      </w:r>
      <w:r>
        <w:rPr>
          <w:rFonts w:ascii="Times New Roman" w:eastAsia="Times New Roman" w:hAnsi="Times New Roman" w:cs="Times New Roman"/>
          <w:color w:val="000000"/>
          <w:spacing w:val="0"/>
          <w:w w:val="100"/>
          <w:position w:val="0"/>
        </w:rPr>
        <w:t>“</w:t>
      </w:r>
      <w:r>
        <w:rPr>
          <w:color w:val="000000"/>
          <w:spacing w:val="0"/>
          <w:w w:val="100"/>
          <w:position w:val="0"/>
        </w:rPr>
        <w:t>数字中国</w:t>
      </w:r>
      <w:r>
        <w:rPr>
          <w:color w:val="000000"/>
          <w:spacing w:val="0"/>
          <w:w w:val="100"/>
          <w:position w:val="0"/>
        </w:rPr>
        <w:t>''</w:t>
      </w:r>
      <w:r>
        <w:rPr>
          <w:color w:val="000000"/>
          <w:spacing w:val="0"/>
          <w:w w:val="100"/>
          <w:position w:val="0"/>
        </w:rPr>
        <w:t>建设，积极推进智慧城市业务拓展，年度新签合同额不断增长。教育、 交通、司法、环保、部队等领域业务取得快速增长，业务规模不断扩大。报告期内，在其他行业领域实现 营业收入</w:t>
      </w:r>
      <w:r>
        <w:rPr>
          <w:rFonts w:ascii="Times New Roman" w:eastAsia="Times New Roman" w:hAnsi="Times New Roman" w:cs="Times New Roman"/>
          <w:color w:val="000000"/>
          <w:spacing w:val="0"/>
          <w:w w:val="100"/>
          <w:position w:val="0"/>
        </w:rPr>
        <w:t>6,118.8</w:t>
      </w:r>
      <w:r>
        <w:rPr>
          <w:rFonts w:ascii="Times New Roman" w:eastAsia="Times New Roman" w:hAnsi="Times New Roman" w:cs="Times New Roman"/>
          <w:color w:val="000000"/>
          <w:spacing w:val="0"/>
          <w:w w:val="100"/>
          <w:position w:val="0"/>
        </w:rPr>
        <w:t>1</w:t>
      </w:r>
      <w:r>
        <w:rPr>
          <w:color w:val="000000"/>
          <w:spacing w:val="0"/>
          <w:w w:val="100"/>
          <w:position w:val="0"/>
        </w:rPr>
        <w:t>万元，较去年同期增长</w:t>
      </w:r>
      <w:r>
        <w:rPr>
          <w:rFonts w:ascii="Times New Roman" w:eastAsia="Times New Roman" w:hAnsi="Times New Roman" w:cs="Times New Roman"/>
          <w:color w:val="000000"/>
          <w:spacing w:val="0"/>
          <w:w w:val="100"/>
          <w:position w:val="0"/>
        </w:rPr>
        <w:t>72.76%</w:t>
      </w:r>
      <w:r>
        <w:rPr>
          <w:color w:val="000000"/>
          <w:spacing w:val="0"/>
          <w:w w:val="100"/>
          <w:position w:val="0"/>
        </w:rPr>
        <w:t>，实现毛利</w:t>
      </w:r>
      <w:r>
        <w:rPr>
          <w:rFonts w:ascii="Times New Roman" w:eastAsia="Times New Roman" w:hAnsi="Times New Roman" w:cs="Times New Roman"/>
          <w:color w:val="000000"/>
          <w:spacing w:val="0"/>
          <w:w w:val="100"/>
          <w:position w:val="0"/>
        </w:rPr>
        <w:t>1,948.06</w:t>
      </w:r>
      <w:r>
        <w:rPr>
          <w:color w:val="000000"/>
          <w:spacing w:val="0"/>
          <w:w w:val="100"/>
          <w:position w:val="0"/>
        </w:rPr>
        <w:t>万元。</w:t>
      </w:r>
    </w:p>
    <w:p>
      <w:pPr>
        <w:pStyle w:val="Style47"/>
        <w:keepNext w:val="0"/>
        <w:keepLines w:val="0"/>
        <w:widowControl w:val="0"/>
        <w:shd w:val="clear" w:color="auto" w:fill="auto"/>
        <w:tabs>
          <w:tab w:pos="919" w:val="left"/>
        </w:tabs>
        <w:bidi w:val="0"/>
        <w:spacing w:before="0" w:after="0" w:line="464" w:lineRule="exact"/>
        <w:ind w:left="0" w:right="0" w:firstLine="440"/>
        <w:jc w:val="both"/>
      </w:pPr>
      <w:bookmarkStart w:id="146" w:name="bookmark146"/>
      <w:r>
        <w:rPr>
          <w:color w:val="000000"/>
          <w:spacing w:val="0"/>
          <w:w w:val="100"/>
          <w:position w:val="0"/>
        </w:rPr>
        <w:t>（</w:t>
      </w:r>
      <w:bookmarkEnd w:id="146"/>
      <w:r>
        <w:rPr>
          <w:rFonts w:ascii="Times New Roman" w:eastAsia="Times New Roman" w:hAnsi="Times New Roman" w:cs="Times New Roman"/>
          <w:color w:val="000000"/>
          <w:spacing w:val="0"/>
          <w:w w:val="100"/>
          <w:position w:val="0"/>
        </w:rPr>
        <w:t>7</w:t>
      </w:r>
      <w:r>
        <w:rPr>
          <w:color w:val="000000"/>
          <w:spacing w:val="0"/>
          <w:w w:val="100"/>
          <w:position w:val="0"/>
        </w:rPr>
        <w:t>）</w:t>
        <w:tab/>
        <w:t>聚焦智慧医疗培育战略性业务</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公司开发出以自主产品为核心的数字化手术室、智慧病房、临床辅助诊疗与科研平台等面向医院的整 体解决方案，医疗设备智慧物联网产品不断优化升级，基于人工智能的生命体征监测系统因疫情原因导致 动物试验计划延后实施，目前即将完成大动物实验，后续将进入人体临床试验阶段。公司在报告期内已取 得一、二、三类医疗器械销售许可。</w:t>
      </w:r>
    </w:p>
    <w:p>
      <w:pPr>
        <w:pStyle w:val="Style47"/>
        <w:keepNext w:val="0"/>
        <w:keepLines w:val="0"/>
        <w:widowControl w:val="0"/>
        <w:shd w:val="clear" w:color="auto" w:fill="auto"/>
        <w:bidi w:val="0"/>
        <w:spacing w:before="0" w:after="0" w:line="464" w:lineRule="exact"/>
        <w:ind w:left="0" w:right="0" w:firstLine="440"/>
        <w:jc w:val="both"/>
      </w:pPr>
      <w:bookmarkStart w:id="147" w:name="bookmark147"/>
      <w:r>
        <w:rPr>
          <w:b/>
          <w:bCs/>
          <w:color w:val="000000"/>
          <w:spacing w:val="0"/>
          <w:w w:val="100"/>
          <w:position w:val="0"/>
        </w:rPr>
        <w:t>（</w:t>
      </w:r>
      <w:bookmarkEnd w:id="147"/>
      <w:r>
        <w:rPr>
          <w:b/>
          <w:bCs/>
          <w:color w:val="000000"/>
          <w:spacing w:val="0"/>
          <w:w w:val="100"/>
          <w:position w:val="0"/>
        </w:rPr>
        <w:t>五）增强发展新动能，加快创新研发</w:t>
      </w:r>
    </w:p>
    <w:p>
      <w:pPr>
        <w:pStyle w:val="Style47"/>
        <w:keepNext w:val="0"/>
        <w:keepLines w:val="0"/>
        <w:widowControl w:val="0"/>
        <w:shd w:val="clear" w:color="auto" w:fill="auto"/>
        <w:bidi w:val="0"/>
        <w:spacing w:before="0" w:after="720" w:line="464" w:lineRule="exact"/>
        <w:ind w:left="0" w:right="0" w:firstLine="440"/>
        <w:jc w:val="both"/>
      </w:pPr>
      <w:r>
        <w:rPr>
          <w:color w:val="000000"/>
          <w:spacing w:val="0"/>
          <w:w w:val="100"/>
          <w:position w:val="0"/>
        </w:rPr>
        <w:t>公司在新技术与产品研发方面坚持</w:t>
      </w:r>
      <w:r>
        <w:rPr>
          <w:rFonts w:ascii="Times New Roman" w:eastAsia="Times New Roman" w:hAnsi="Times New Roman" w:cs="Times New Roman"/>
          <w:color w:val="000000"/>
          <w:spacing w:val="0"/>
          <w:w w:val="100"/>
          <w:position w:val="0"/>
        </w:rPr>
        <w:t>“</w:t>
      </w:r>
      <w:r>
        <w:rPr>
          <w:color w:val="000000"/>
          <w:spacing w:val="0"/>
          <w:w w:val="100"/>
          <w:position w:val="0"/>
        </w:rPr>
        <w:t>为客户创造价值''的理念，以客户需求为导向，深入研究智能制造、</w:t>
      </w:r>
    </w:p>
    <w:p>
      <w:pPr>
        <w:pStyle w:val="Style2"/>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right"/>
        <w:rPr>
          <w:sz w:val="12"/>
          <w:szCs w:val="12"/>
        </w:rPr>
        <w:sectPr>
          <w:headerReference w:type="default" r:id="rId69"/>
          <w:footerReference w:type="default" r:id="rId70"/>
          <w:headerReference w:type="even" r:id="rId71"/>
          <w:footerReference w:type="even" r:id="rId72"/>
          <w:footnotePr>
            <w:pos w:val="pageBottom"/>
            <w:numFmt w:val="decimal"/>
            <w:numRestart w:val="continuous"/>
          </w:footnotePr>
          <w:pgSz w:w="11900" w:h="16840"/>
          <w:pgMar w:top="1330" w:right="1065" w:bottom="941" w:left="1100" w:header="0" w:footer="3" w:gutter="0"/>
          <w:cols w:space="720"/>
          <w:noEndnote/>
          <w:rtlGutter w:val="0"/>
          <w:docGrid w:linePitch="360"/>
        </w:sectPr>
      </w:pPr>
      <w:r>
        <w:rPr>
          <w:rFonts w:ascii="SimHei" w:eastAsia="SimHei" w:hAnsi="SimHei" w:cs="SimHei"/>
          <w:color w:val="A2A2A2"/>
          <w:spacing w:val="0"/>
          <w:w w:val="100"/>
          <w:position w:val="0"/>
          <w:sz w:val="12"/>
          <w:szCs w:val="12"/>
        </w:rPr>
        <w:t>巨潮资职</w:t>
      </w:r>
    </w:p>
    <w:p>
      <w:pPr>
        <w:pStyle w:val="Style47"/>
        <w:keepNext w:val="0"/>
        <w:keepLines w:val="0"/>
        <w:widowControl w:val="0"/>
        <w:shd w:val="clear" w:color="auto" w:fill="auto"/>
        <w:bidi w:val="0"/>
        <w:spacing w:before="0" w:after="420" w:line="469" w:lineRule="exact"/>
        <w:ind w:left="0" w:right="0" w:firstLine="0"/>
        <w:jc w:val="both"/>
      </w:pPr>
      <w:r>
        <w:rPr>
          <w:color w:val="000000"/>
          <w:spacing w:val="0"/>
          <w:w w:val="100"/>
          <w:position w:val="0"/>
        </w:rPr>
        <w:t>智慧政务、智慧医疗、智慧城市领域的发展趋势，综合运用智能识别与分析技术、软件工程技术、机电一 体化技术等，持续推出创新性的产品和服务，切实帮助行业客户实现精益管理、生产工艺和产品品质升级。 报告期内，公司研发的高速选票阅读一体机和配套软硬件，其指标、参数、应用效果等各方面全面均超越 日本、欧美同类产品；应对疫情而创新研发的</w:t>
      </w:r>
      <w:r>
        <w:rPr>
          <w:rFonts w:ascii="Times New Roman" w:eastAsia="Times New Roman" w:hAnsi="Times New Roman" w:cs="Times New Roman"/>
          <w:color w:val="000000"/>
          <w:spacing w:val="0"/>
          <w:w w:val="100"/>
          <w:position w:val="0"/>
        </w:rPr>
        <w:t>“</w:t>
      </w:r>
      <w:r>
        <w:rPr>
          <w:color w:val="000000"/>
          <w:spacing w:val="0"/>
          <w:w w:val="100"/>
          <w:position w:val="0"/>
        </w:rPr>
        <w:t>国内首套远程表决、升降式智能表决终端、嵌入式智能表 决终端和经济型电子表决''系列产品，新增</w:t>
      </w:r>
      <w:r>
        <w:rPr>
          <w:rFonts w:ascii="Times New Roman" w:eastAsia="Times New Roman" w:hAnsi="Times New Roman" w:cs="Times New Roman"/>
          <w:color w:val="000000"/>
          <w:spacing w:val="0"/>
          <w:w w:val="100"/>
          <w:position w:val="0"/>
        </w:rPr>
        <w:t>10</w:t>
      </w:r>
      <w:r>
        <w:rPr>
          <w:color w:val="000000"/>
          <w:spacing w:val="0"/>
          <w:w w:val="100"/>
          <w:position w:val="0"/>
        </w:rPr>
        <w:t>个省级客户案例。持续推进</w:t>
      </w:r>
      <w:r>
        <w:rPr>
          <w:rFonts w:ascii="Times New Roman" w:eastAsia="Times New Roman" w:hAnsi="Times New Roman" w:cs="Times New Roman"/>
          <w:color w:val="000000"/>
          <w:spacing w:val="0"/>
          <w:w w:val="100"/>
          <w:position w:val="0"/>
        </w:rPr>
        <w:t>“</w:t>
      </w:r>
      <w:r>
        <w:rPr>
          <w:color w:val="000000"/>
          <w:spacing w:val="0"/>
          <w:w w:val="100"/>
          <w:position w:val="0"/>
        </w:rPr>
        <w:t>灵洞</w:t>
      </w:r>
      <w:r>
        <w:rPr>
          <w:color w:val="000000"/>
          <w:spacing w:val="0"/>
          <w:w w:val="100"/>
          <w:position w:val="0"/>
        </w:rPr>
        <w:t>''</w:t>
      </w:r>
      <w:r>
        <w:rPr>
          <w:color w:val="000000"/>
          <w:spacing w:val="0"/>
          <w:w w:val="100"/>
          <w:position w:val="0"/>
        </w:rPr>
        <w:t>智能制造平台建设，推出了 工业物联网整体解决方案，发布包含</w:t>
      </w:r>
      <w:r>
        <w:rPr>
          <w:rFonts w:ascii="Times New Roman" w:eastAsia="Times New Roman" w:hAnsi="Times New Roman" w:cs="Times New Roman"/>
          <w:color w:val="000000"/>
          <w:spacing w:val="0"/>
          <w:w w:val="100"/>
          <w:position w:val="0"/>
        </w:rPr>
        <w:t>5G</w:t>
      </w:r>
      <w:r>
        <w:rPr>
          <w:color w:val="000000"/>
          <w:spacing w:val="0"/>
          <w:w w:val="100"/>
          <w:position w:val="0"/>
        </w:rPr>
        <w:t>在内的多款边缘网关硬件、边缘计算平台及云端物联网平台等软硬 件产品。“电信控一体化撬”在塔里木油田成功应用，运用智能视频分析技术、面向油气高危作业场所 的</w:t>
      </w:r>
      <w:r>
        <w:rPr>
          <w:rFonts w:ascii="Times New Roman" w:eastAsia="Times New Roman" w:hAnsi="Times New Roman" w:cs="Times New Roman"/>
          <w:color w:val="000000"/>
          <w:spacing w:val="0"/>
          <w:w w:val="100"/>
          <w:position w:val="0"/>
        </w:rPr>
        <w:t>“</w:t>
      </w:r>
      <w:r>
        <w:rPr>
          <w:color w:val="000000"/>
          <w:spacing w:val="0"/>
          <w:w w:val="100"/>
          <w:position w:val="0"/>
        </w:rPr>
        <w:t>智能分析管控平台</w:t>
      </w:r>
      <w:r>
        <w:rPr>
          <w:color w:val="000000"/>
          <w:spacing w:val="0"/>
          <w:w w:val="100"/>
          <w:position w:val="0"/>
        </w:rPr>
        <w:t>''</w:t>
      </w:r>
      <w:r>
        <w:rPr>
          <w:color w:val="000000"/>
          <w:spacing w:val="0"/>
          <w:w w:val="100"/>
          <w:position w:val="0"/>
        </w:rPr>
        <w:t>项目顺利通过验收，将为未来油气业务更好发展带来新的动力。光度立体算法、智 能相机软件平台、</w:t>
      </w:r>
      <w:r>
        <w:rPr>
          <w:rFonts w:ascii="Times New Roman" w:eastAsia="Times New Roman" w:hAnsi="Times New Roman" w:cs="Times New Roman"/>
          <w:color w:val="000000"/>
          <w:spacing w:val="0"/>
          <w:w w:val="100"/>
          <w:position w:val="0"/>
        </w:rPr>
        <w:t>ARM</w:t>
      </w:r>
      <w:r>
        <w:rPr>
          <w:color w:val="000000"/>
          <w:spacing w:val="0"/>
          <w:w w:val="100"/>
          <w:position w:val="0"/>
        </w:rPr>
        <w:t>架构硬件平台、特种光源等基础技术研发迭代将有效促进印钞检测业务未来快速发 展。</w:t>
      </w:r>
    </w:p>
    <w:p>
      <w:pPr>
        <w:pStyle w:val="Style33"/>
        <w:keepNext/>
        <w:keepLines/>
        <w:widowControl w:val="0"/>
        <w:shd w:val="clear" w:color="auto" w:fill="auto"/>
        <w:bidi w:val="0"/>
        <w:spacing w:before="0" w:after="360" w:line="240" w:lineRule="auto"/>
        <w:ind w:left="0" w:right="0" w:firstLine="0"/>
        <w:jc w:val="both"/>
      </w:pPr>
      <w:bookmarkStart w:id="148" w:name="bookmark148"/>
      <w:bookmarkStart w:id="149" w:name="bookmark149"/>
      <w:bookmarkStart w:id="150" w:name="bookmark150"/>
      <w:bookmarkStart w:id="151" w:name="bookmark151"/>
      <w:r>
        <w:rPr>
          <w:color w:val="000000"/>
          <w:spacing w:val="0"/>
          <w:w w:val="100"/>
          <w:position w:val="0"/>
          <w:sz w:val="24"/>
          <w:szCs w:val="24"/>
        </w:rPr>
        <w:t>二</w:t>
      </w:r>
      <w:bookmarkEnd w:id="150"/>
      <w:r>
        <w:rPr>
          <w:color w:val="000000"/>
          <w:spacing w:val="0"/>
          <w:w w:val="100"/>
          <w:position w:val="0"/>
          <w:sz w:val="24"/>
          <w:szCs w:val="24"/>
        </w:rPr>
        <w:t>、主营业务分析</w:t>
      </w:r>
      <w:bookmarkEnd w:id="148"/>
      <w:bookmarkEnd w:id="149"/>
      <w:bookmarkEnd w:id="151"/>
    </w:p>
    <w:p>
      <w:pPr>
        <w:pStyle w:val="Style44"/>
        <w:keepNext/>
        <w:keepLines/>
        <w:widowControl w:val="0"/>
        <w:shd w:val="clear" w:color="auto" w:fill="auto"/>
        <w:tabs>
          <w:tab w:pos="365" w:val="left"/>
        </w:tabs>
        <w:bidi w:val="0"/>
        <w:spacing w:before="0" w:after="140" w:line="480" w:lineRule="auto"/>
        <w:ind w:left="0" w:right="0" w:firstLine="0"/>
        <w:jc w:val="both"/>
      </w:pPr>
      <w:bookmarkStart w:id="152" w:name="bookmark152"/>
      <w:bookmarkStart w:id="153" w:name="bookmark153"/>
      <w:bookmarkStart w:id="154" w:name="bookmark154"/>
      <w:bookmarkStart w:id="155" w:name="bookmark155"/>
      <w:r>
        <w:rPr>
          <w:rFonts w:ascii="Times New Roman" w:eastAsia="Times New Roman" w:hAnsi="Times New Roman" w:cs="Times New Roman"/>
          <w:color w:val="000000"/>
          <w:spacing w:val="0"/>
          <w:w w:val="100"/>
          <w:position w:val="0"/>
        </w:rPr>
        <w:t>1</w:t>
      </w:r>
      <w:bookmarkEnd w:id="154"/>
      <w:r>
        <w:rPr>
          <w:color w:val="000000"/>
          <w:spacing w:val="0"/>
          <w:w w:val="100"/>
          <w:position w:val="0"/>
        </w:rPr>
        <w:t>、</w:t>
        <w:tab/>
        <w:t>概述</w:t>
      </w:r>
      <w:bookmarkEnd w:id="152"/>
      <w:bookmarkEnd w:id="153"/>
      <w:bookmarkEnd w:id="155"/>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参见</w:t>
      </w:r>
      <w:r>
        <w:rPr>
          <w:rFonts w:ascii="Times New Roman" w:eastAsia="Times New Roman" w:hAnsi="Times New Roman" w:cs="Times New Roman"/>
          <w:color w:val="000000"/>
          <w:spacing w:val="0"/>
          <w:w w:val="100"/>
          <w:position w:val="0"/>
        </w:rPr>
        <w:t>“</w:t>
      </w:r>
      <w:r>
        <w:rPr>
          <w:color w:val="000000"/>
          <w:spacing w:val="0"/>
          <w:w w:val="100"/>
          <w:position w:val="0"/>
        </w:rPr>
        <w:t>经营情况讨论与分析</w:t>
      </w:r>
      <w:r>
        <w:rPr>
          <w:rFonts w:ascii="Times New Roman" w:eastAsia="Times New Roman" w:hAnsi="Times New Roman" w:cs="Times New Roman"/>
          <w:color w:val="000000"/>
          <w:spacing w:val="0"/>
          <w:w w:val="100"/>
          <w:position w:val="0"/>
        </w:rPr>
        <w:t>”</w:t>
      </w:r>
      <w:r>
        <w:rPr>
          <w:color w:val="000000"/>
          <w:spacing w:val="0"/>
          <w:w w:val="100"/>
          <w:position w:val="0"/>
        </w:rPr>
        <w:t>中的</w:t>
      </w:r>
      <w:r>
        <w:rPr>
          <w:rFonts w:ascii="Times New Roman" w:eastAsia="Times New Roman" w:hAnsi="Times New Roman" w:cs="Times New Roman"/>
          <w:color w:val="000000"/>
          <w:spacing w:val="0"/>
          <w:w w:val="100"/>
          <w:position w:val="0"/>
        </w:rPr>
        <w:t>“</w:t>
      </w:r>
      <w:r>
        <w:rPr>
          <w:color w:val="000000"/>
          <w:spacing w:val="0"/>
          <w:w w:val="100"/>
          <w:position w:val="0"/>
        </w:rPr>
        <w:t>一、概述</w:t>
      </w:r>
      <w:r>
        <w:rPr>
          <w:rFonts w:ascii="Times New Roman" w:eastAsia="Times New Roman" w:hAnsi="Times New Roman" w:cs="Times New Roman"/>
          <w:color w:val="000000"/>
          <w:spacing w:val="0"/>
          <w:w w:val="100"/>
          <w:position w:val="0"/>
        </w:rPr>
        <w:t>”</w:t>
      </w:r>
      <w:r>
        <w:rPr>
          <w:color w:val="000000"/>
          <w:spacing w:val="0"/>
          <w:w w:val="100"/>
          <w:position w:val="0"/>
        </w:rPr>
        <w:t>相关内容。</w:t>
      </w:r>
    </w:p>
    <w:p>
      <w:pPr>
        <w:pStyle w:val="Style44"/>
        <w:keepNext/>
        <w:keepLines/>
        <w:widowControl w:val="0"/>
        <w:shd w:val="clear" w:color="auto" w:fill="auto"/>
        <w:tabs>
          <w:tab w:pos="374" w:val="left"/>
        </w:tabs>
        <w:bidi w:val="0"/>
        <w:spacing w:before="0" w:after="0" w:line="480" w:lineRule="auto"/>
        <w:ind w:left="0" w:right="0" w:firstLine="0"/>
        <w:jc w:val="both"/>
      </w:pPr>
      <w:bookmarkStart w:id="156" w:name="bookmark156"/>
      <w:bookmarkStart w:id="157" w:name="bookmark157"/>
      <w:bookmarkStart w:id="158" w:name="bookmark158"/>
      <w:bookmarkStart w:id="159" w:name="bookmark159"/>
      <w:r>
        <w:rPr>
          <w:rFonts w:ascii="Times New Roman" w:eastAsia="Times New Roman" w:hAnsi="Times New Roman" w:cs="Times New Roman"/>
          <w:color w:val="000000"/>
          <w:spacing w:val="0"/>
          <w:w w:val="100"/>
          <w:position w:val="0"/>
        </w:rPr>
        <w:t>2</w:t>
      </w:r>
      <w:bookmarkEnd w:id="158"/>
      <w:r>
        <w:rPr>
          <w:color w:val="000000"/>
          <w:spacing w:val="0"/>
          <w:w w:val="100"/>
          <w:position w:val="0"/>
        </w:rPr>
        <w:t>、</w:t>
        <w:tab/>
        <w:t>收入与成本</w:t>
      </w:r>
      <w:bookmarkEnd w:id="156"/>
      <w:bookmarkEnd w:id="157"/>
      <w:bookmarkEnd w:id="159"/>
    </w:p>
    <w:p>
      <w:pPr>
        <w:pStyle w:val="Style60"/>
        <w:keepNext/>
        <w:keepLines/>
        <w:widowControl w:val="0"/>
        <w:shd w:val="clear" w:color="auto" w:fill="auto"/>
        <w:bidi w:val="0"/>
        <w:spacing w:before="0" w:line="469" w:lineRule="exact"/>
        <w:ind w:left="0" w:right="0" w:firstLine="0"/>
        <w:jc w:val="both"/>
      </w:pPr>
      <w:bookmarkStart w:id="160" w:name="bookmark160"/>
      <w:bookmarkStart w:id="161" w:name="bookmark161"/>
      <w:bookmarkStart w:id="162" w:name="bookmark162"/>
      <w:bookmarkStart w:id="163" w:name="bookmark163"/>
      <w:r>
        <w:rPr>
          <w:color w:val="000000"/>
          <w:spacing w:val="0"/>
          <w:w w:val="100"/>
          <w:position w:val="0"/>
        </w:rPr>
        <w:t>（</w:t>
      </w:r>
      <w:bookmarkEnd w:id="162"/>
      <w:r>
        <w:rPr>
          <w:rFonts w:ascii="Times New Roman" w:eastAsia="Times New Roman" w:hAnsi="Times New Roman" w:cs="Times New Roman"/>
          <w:color w:val="000000"/>
          <w:spacing w:val="0"/>
          <w:w w:val="100"/>
          <w:position w:val="0"/>
        </w:rPr>
        <w:t>1</w:t>
      </w:r>
      <w:r>
        <w:rPr>
          <w:color w:val="000000"/>
          <w:spacing w:val="0"/>
          <w:w w:val="100"/>
          <w:position w:val="0"/>
        </w:rPr>
        <w:t>）营业收入构成</w:t>
      </w:r>
      <w:bookmarkEnd w:id="160"/>
      <w:bookmarkEnd w:id="161"/>
      <w:bookmarkEnd w:id="163"/>
    </w:p>
    <w:p>
      <w:pPr>
        <w:pStyle w:val="Style35"/>
        <w:keepNext w:val="0"/>
        <w:keepLines w:val="0"/>
        <w:widowControl w:val="0"/>
        <w:shd w:val="clear" w:color="auto" w:fill="auto"/>
        <w:bidi w:val="0"/>
        <w:spacing w:before="0" w:after="140" w:line="240" w:lineRule="auto"/>
        <w:ind w:left="0" w:right="0" w:firstLine="0"/>
        <w:jc w:val="both"/>
      </w:pPr>
      <w:r>
        <w:rPr>
          <w:color w:val="000000"/>
          <w:spacing w:val="0"/>
          <w:w w:val="100"/>
          <w:position w:val="0"/>
        </w:rPr>
        <w:t>营业收入整体情况</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594"/>
        <w:gridCol w:w="1594"/>
        <w:gridCol w:w="1594"/>
        <w:gridCol w:w="1594"/>
        <w:gridCol w:w="1608"/>
      </w:tblGrid>
      <w:tr>
        <w:trPr>
          <w:trHeight w:val="408" w:hRule="exact"/>
        </w:trPr>
        <w:tc>
          <w:tcPr>
            <w:vMerge w:val="restart"/>
            <w:tcBorders>
              <w:top w:val="single" w:sz="4"/>
              <w:left w:val="single" w:sz="4"/>
            </w:tcBorders>
            <w:shd w:val="clear" w:color="auto" w:fill="D4D4D4"/>
            <w:vAlign w:val="top"/>
          </w:tcPr>
          <w:p>
            <w:pPr>
              <w:widowControl w:val="0"/>
              <w:rPr>
                <w:sz w:val="10"/>
                <w:szCs w:val="10"/>
              </w:rPr>
            </w:pP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同比增减</w:t>
            </w:r>
          </w:p>
        </w:tc>
      </w:tr>
      <w:tr>
        <w:trPr>
          <w:trHeight w:val="403" w:hRule="exact"/>
        </w:trPr>
        <w:tc>
          <w:tcPr>
            <w:vMerge/>
            <w:tcBorders>
              <w:left w:val="single" w:sz="4"/>
            </w:tcBorders>
            <w:shd w:val="clear" w:color="auto" w:fill="D4D4D4"/>
            <w:vAlign w:val="top"/>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160" w:firstLine="0"/>
              <w:jc w:val="right"/>
              <w:rPr>
                <w:sz w:val="18"/>
                <w:szCs w:val="18"/>
              </w:rPr>
            </w:pPr>
            <w:r>
              <w:rPr>
                <w:color w:val="000000"/>
                <w:spacing w:val="0"/>
                <w:w w:val="100"/>
                <w:position w:val="0"/>
                <w:sz w:val="18"/>
                <w:szCs w:val="18"/>
              </w:rPr>
              <w:t>占营业收入比重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占营业收入比重</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营业收入合计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364,413,271.82</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19.85%</w:t>
            </w:r>
          </w:p>
        </w:tc>
      </w:tr>
      <w:tr>
        <w:trPr>
          <w:trHeight w:val="398" w:hRule="exact"/>
        </w:trPr>
        <w:tc>
          <w:tcPr>
            <w:gridSpan w:val="6"/>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分行业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数字会议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63,756,475.10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14.60%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78,900,471.69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21.65%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-7.05%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烟草行业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60,166,104.46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13.78%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81,358,145.56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22.33%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-8.55%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油气行业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93,196,981.04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21.34%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64,905,063.01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17.81%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3.53%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政府及事业单位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158,435,373.90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36.28%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103,832,212.55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28.49%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7.79%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61,188,056.87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14.01%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35,417,379.01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4.29%</w:t>
            </w:r>
          </w:p>
        </w:tc>
      </w:tr>
      <w:tr>
        <w:trPr>
          <w:trHeight w:val="403" w:hRule="exact"/>
        </w:trPr>
        <w:tc>
          <w:tcPr>
            <w:gridSpan w:val="6"/>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分产品</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信息化解决方案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351,784,324.56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80.55%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265,760,703.57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72.93%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7.62%</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技术服务与开发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82,050,428.74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18.79%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94,829,261.09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26.02%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-7.23%</w:t>
            </w:r>
          </w:p>
        </w:tc>
      </w:tr>
    </w:tbl>
    <w:p>
      <w:pPr>
        <w:spacing w:lineRule="exact" w:line="1"/>
        <w:rPr>
          <w:sz w:val="2"/>
          <w:szCs w:val="2"/>
        </w:rPr>
      </w:pPr>
      <w:r>
        <w:br w:type="page"/>
      </w:r>
    </w:p>
    <w:tbl>
      <w:tblPr>
        <w:tblOverlap w:val="never"/>
        <w:jc w:val="center"/>
        <w:tblLayout w:type="fixed"/>
      </w:tblPr>
      <w:tblGrid>
        <w:gridCol w:w="1603"/>
        <w:gridCol w:w="1594"/>
        <w:gridCol w:w="1594"/>
        <w:gridCol w:w="1594"/>
        <w:gridCol w:w="1594"/>
        <w:gridCol w:w="1608"/>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2,908,238.07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0.67%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3,823,307.16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-0.38%</w:t>
            </w:r>
          </w:p>
        </w:tc>
      </w:tr>
      <w:tr>
        <w:trPr>
          <w:trHeight w:val="403" w:hRule="exact"/>
        </w:trPr>
        <w:tc>
          <w:tcPr>
            <w:gridSpan w:val="6"/>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分地区</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东北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1,357,263.78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0.31%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2,938,938.11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0.81%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23,867,658.02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5.46%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32,656,833.33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8.96%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27,842,049.36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6.37%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35,588,920.29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9.77%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5,072,351.96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13,492,297.98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3.70%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6,352,892.37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41,580,989.80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84,616,494.86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49,404,571.60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5.81%</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287,634,281.02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65.86%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188,750,720.71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51.80%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14.06%</w:t>
            </w:r>
          </w:p>
        </w:tc>
      </w:tr>
    </w:tbl>
    <w:p>
      <w:pPr>
        <w:pStyle w:val="Style41"/>
        <w:keepNext w:val="0"/>
        <w:keepLines w:val="0"/>
        <w:widowControl w:val="0"/>
        <w:shd w:val="clear" w:color="auto" w:fill="auto"/>
        <w:bidi w:val="0"/>
        <w:spacing w:before="0" w:after="0" w:line="240" w:lineRule="auto"/>
        <w:ind w:left="0" w:right="0" w:firstLine="0"/>
        <w:jc w:val="center"/>
        <w:rPr>
          <w:sz w:val="18"/>
          <w:szCs w:val="18"/>
        </w:rPr>
      </w:pPr>
      <w:r>
        <w:rPr>
          <w:b w:val="0"/>
          <w:bCs w:val="0"/>
          <w:color w:val="000000"/>
          <w:spacing w:val="0"/>
          <w:w w:val="100"/>
          <w:position w:val="0"/>
          <w:sz w:val="18"/>
          <w:szCs w:val="18"/>
        </w:rPr>
        <w:t>公司需遵守《深圳证券交易所行业信息披露指引第</w:t>
      </w:r>
      <w:r>
        <w:rPr>
          <w:rFonts w:ascii="Times New Roman" w:eastAsia="Times New Roman" w:hAnsi="Times New Roman" w:cs="Times New Roman"/>
          <w:b w:val="0"/>
          <w:bCs w:val="0"/>
          <w:color w:val="000000"/>
          <w:spacing w:val="0"/>
          <w:w w:val="100"/>
          <w:position w:val="0"/>
          <w:sz w:val="18"/>
          <w:szCs w:val="18"/>
        </w:rPr>
        <w:t>12</w:t>
      </w:r>
      <w:r>
        <w:rPr>
          <w:b w:val="0"/>
          <w:bCs w:val="0"/>
          <w:color w:val="000000"/>
          <w:spacing w:val="0"/>
          <w:w w:val="100"/>
          <w:position w:val="0"/>
          <w:sz w:val="18"/>
          <w:szCs w:val="18"/>
        </w:rPr>
        <w:t>号——上市公司从事软件与信息技术服务业务》的披露要求</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526"/>
        <w:gridCol w:w="1008"/>
        <w:gridCol w:w="1008"/>
        <w:gridCol w:w="1013"/>
        <w:gridCol w:w="1008"/>
        <w:gridCol w:w="1003"/>
        <w:gridCol w:w="1008"/>
        <w:gridCol w:w="998"/>
        <w:gridCol w:w="1013"/>
      </w:tblGrid>
      <w:tr>
        <w:trPr>
          <w:trHeight w:val="403" w:hRule="exact"/>
        </w:trPr>
        <w:tc>
          <w:tcPr>
            <w:vMerge w:val="restart"/>
            <w:tcBorders>
              <w:top w:val="single" w:sz="4"/>
              <w:left w:val="single" w:sz="4"/>
            </w:tcBorders>
            <w:shd w:val="clear" w:color="auto" w:fill="D4D4D4"/>
            <w:vAlign w:val="top"/>
          </w:tcPr>
          <w:p>
            <w:pPr>
              <w:widowControl w:val="0"/>
              <w:rPr>
                <w:sz w:val="10"/>
                <w:szCs w:val="10"/>
              </w:rPr>
            </w:pP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c>
          <w:tcPr>
            <w:gridSpan w:val="4"/>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r>
        <w:trPr>
          <w:trHeight w:val="403" w:hRule="exact"/>
        </w:trPr>
        <w:tc>
          <w:tcPr>
            <w:vMerge/>
            <w:tcBorders>
              <w:left w:val="single" w:sz="4"/>
            </w:tcBorders>
            <w:shd w:val="clear" w:color="auto" w:fill="D4D4D4"/>
            <w:vAlign w:val="top"/>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第一季度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第二季度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第三季度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第四季度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第一季度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color w:val="000000"/>
                <w:spacing w:val="0"/>
                <w:w w:val="100"/>
                <w:position w:val="0"/>
                <w:sz w:val="18"/>
                <w:szCs w:val="18"/>
              </w:rPr>
              <w:t>第二季度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第三季度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color w:val="000000"/>
                <w:spacing w:val="0"/>
                <w:w w:val="100"/>
                <w:position w:val="0"/>
                <w:sz w:val="18"/>
                <w:szCs w:val="18"/>
              </w:rPr>
              <w:t>第四季度</w:t>
            </w:r>
          </w:p>
        </w:tc>
      </w:tr>
      <w:tr>
        <w:trPr>
          <w:trHeight w:val="374"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59,347,228.6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52,042,134.0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54,954,345.0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270,399,283.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36,244,312.3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64,180,833.0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47,680,464.0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216,307,662.</w:t>
            </w:r>
          </w:p>
        </w:tc>
      </w:tr>
      <w:tr>
        <w:trPr>
          <w:trHeight w:val="336" w:hRule="exact"/>
        </w:trPr>
        <w:tc>
          <w:tcPr>
            <w:vMerge/>
            <w:tcBorders>
              <w:left w:val="single" w:sz="4"/>
            </w:tcBorders>
            <w:shd w:val="clear" w:color="auto" w:fill="D4D4D4"/>
            <w:vAlign w:val="center"/>
          </w:tcPr>
          <w:p>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9</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w:t>
            </w:r>
          </w:p>
        </w:tc>
      </w:tr>
      <w:tr>
        <w:trPr>
          <w:trHeight w:val="451"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归属于上市公司股</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东的净利润</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973,210.54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11,081,961.9</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2,097,012.88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18,407,832.1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615,940.92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10,447,283.7</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1,201,507.40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23,024,235.1</w:t>
            </w:r>
          </w:p>
        </w:tc>
      </w:tr>
      <w:tr>
        <w:trPr>
          <w:trHeight w:val="274" w:hRule="exact"/>
        </w:trPr>
        <w:tc>
          <w:tcPr>
            <w:vMerge/>
            <w:tcBorders>
              <w:left w:val="single" w:sz="4"/>
              <w:bottom w:val="single" w:sz="4"/>
            </w:tcBorders>
            <w:shd w:val="clear" w:color="auto" w:fill="D4D4D4"/>
            <w:vAlign w:val="center"/>
          </w:tcPr>
          <w:p>
            <w:pP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0</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vMerge/>
            <w:tcBorders>
              <w:left w:val="single" w:sz="4"/>
              <w:bottom w:val="single" w:sz="4"/>
            </w:tcBorders>
            <w:shd w:val="clear" w:color="auto" w:fill="FFFFFF"/>
            <w:vAlign w:val="center"/>
          </w:tcPr>
          <w:p>
            <w:pPr/>
          </w:p>
        </w:tc>
        <w:tc>
          <w:tcPr>
            <w:tcBorders>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说明经营季节性(或周期性)发生的原因及波动风险</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公司所处行业具有一定的季节性，下游政府、石油、烟草等行业客户以国家机关或大型国有企事业单 位为主，其信息化采购具有较为规范的采购机制和采购流程，按预算决算体制执行，通常在上半年对全年 具体实施的信息化应用系统进行立项、采购和实施，项目验收和结款一般集中在第四季度，公司收入通常 在一个完整会计年度内存在季节性波动风险。</w:t>
      </w:r>
    </w:p>
    <w:p>
      <w:pPr>
        <w:pStyle w:val="Style60"/>
        <w:keepNext/>
        <w:keepLines/>
        <w:widowControl w:val="0"/>
        <w:numPr>
          <w:ilvl w:val="0"/>
          <w:numId w:val="29"/>
        </w:numPr>
        <w:shd w:val="clear" w:color="auto" w:fill="auto"/>
        <w:bidi w:val="0"/>
        <w:spacing w:before="0" w:after="380" w:line="469" w:lineRule="exact"/>
        <w:ind w:left="0" w:right="0" w:firstLine="0"/>
        <w:jc w:val="left"/>
      </w:pPr>
      <w:bookmarkStart w:id="164" w:name="bookmark164"/>
      <w:bookmarkStart w:id="165" w:name="bookmark165"/>
      <w:bookmarkStart w:id="166" w:name="bookmark166"/>
      <w:bookmarkStart w:id="167" w:name="bookmark167"/>
      <w:bookmarkEnd w:id="166"/>
      <w:r>
        <w:rPr>
          <w:color w:val="000000"/>
          <w:spacing w:val="0"/>
          <w:w w:val="100"/>
          <w:position w:val="0"/>
        </w:rPr>
        <w:t>占公司营业收入或营业利润</w:t>
      </w:r>
      <w:r>
        <w:rPr>
          <w:rFonts w:ascii="Times New Roman" w:eastAsia="Times New Roman" w:hAnsi="Times New Roman" w:cs="Times New Roman"/>
          <w:color w:val="000000"/>
          <w:spacing w:val="0"/>
          <w:w w:val="100"/>
          <w:position w:val="0"/>
        </w:rPr>
        <w:t>10%</w:t>
      </w:r>
      <w:r>
        <w:rPr>
          <w:color w:val="000000"/>
          <w:spacing w:val="0"/>
          <w:w w:val="100"/>
          <w:position w:val="0"/>
        </w:rPr>
        <w:t>以上的行业、产品或地区情况</w:t>
      </w:r>
      <w:bookmarkEnd w:id="164"/>
      <w:bookmarkEnd w:id="165"/>
      <w:bookmarkEnd w:id="167"/>
    </w:p>
    <w:p>
      <w:pPr>
        <w:pStyle w:val="Style35"/>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3"/>
        <w:gridCol w:w="1368"/>
        <w:gridCol w:w="1368"/>
        <w:gridCol w:w="1368"/>
        <w:gridCol w:w="1378"/>
      </w:tblGrid>
      <w:tr>
        <w:trPr>
          <w:trHeight w:val="715"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营业收入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营业成本</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毛利率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营业收入比上年 同期增减</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营业成本比上年 同期增减</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毛利率比上年同 期增减</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分客户所处行业</w:t>
            </w:r>
          </w:p>
        </w:tc>
        <w:tc>
          <w:tcPr>
            <w:tcBorders>
              <w:top w:val="single" w:sz="4"/>
            </w:tcBorders>
            <w:shd w:val="clear" w:color="auto" w:fill="D4D4D4"/>
            <w:vAlign w:val="top"/>
          </w:tcPr>
          <w:p>
            <w:pPr>
              <w:widowControl w:val="0"/>
              <w:rPr>
                <w:sz w:val="10"/>
                <w:szCs w:val="10"/>
              </w:rPr>
            </w:pPr>
          </w:p>
        </w:tc>
        <w:tc>
          <w:tcPr>
            <w:tcBorders>
              <w:top w:val="single" w:sz="4"/>
            </w:tcBorders>
            <w:shd w:val="clear" w:color="auto" w:fill="D4D4D4"/>
            <w:vAlign w:val="top"/>
          </w:tcPr>
          <w:p>
            <w:pPr>
              <w:widowControl w:val="0"/>
              <w:rPr>
                <w:sz w:val="10"/>
                <w:szCs w:val="10"/>
              </w:rPr>
            </w:pPr>
          </w:p>
        </w:tc>
        <w:tc>
          <w:tcPr>
            <w:tcBorders>
              <w:top w:val="single" w:sz="4"/>
            </w:tcBorders>
            <w:shd w:val="clear" w:color="auto" w:fill="D4D4D4"/>
            <w:vAlign w:val="top"/>
          </w:tcPr>
          <w:p>
            <w:pPr>
              <w:widowControl w:val="0"/>
              <w:rPr>
                <w:sz w:val="10"/>
                <w:szCs w:val="10"/>
              </w:rPr>
            </w:pPr>
          </w:p>
        </w:tc>
        <w:tc>
          <w:tcPr>
            <w:tcBorders>
              <w:top w:val="single" w:sz="4"/>
            </w:tcBorders>
            <w:shd w:val="clear" w:color="auto" w:fill="D4D4D4"/>
            <w:vAlign w:val="top"/>
          </w:tcPr>
          <w:p>
            <w:pPr>
              <w:widowControl w:val="0"/>
              <w:rPr>
                <w:sz w:val="10"/>
                <w:szCs w:val="10"/>
              </w:rPr>
            </w:pPr>
          </w:p>
        </w:tc>
        <w:tc>
          <w:tcPr>
            <w:tcBorders>
              <w:top w:val="single" w:sz="4"/>
            </w:tcBorders>
            <w:shd w:val="clear" w:color="auto" w:fill="D4D4D4"/>
            <w:vAlign w:val="top"/>
          </w:tcPr>
          <w:p>
            <w:pPr>
              <w:widowControl w:val="0"/>
              <w:rPr>
                <w:sz w:val="10"/>
                <w:szCs w:val="10"/>
              </w:rPr>
            </w:pPr>
          </w:p>
        </w:tc>
        <w:tc>
          <w:tcPr>
            <w:tcBorders>
              <w:top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数字会议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63,756,475.10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32,486,065.80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49.05%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-19.19%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-34.56%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11.96%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烟草行业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60,166,104.46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42,731,478.19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28.98%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-37.57%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油气行业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93,196,981.04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80,194,276.93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13.95%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43.59%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60.24%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-8.94%</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政府及事业单位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158,435,373.90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137,779,668.00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13.04%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52.59%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59.71%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w:t>
            </w:r>
          </w:p>
        </w:tc>
      </w:tr>
    </w:tbl>
    <w:p>
      <w:pPr>
        <w:spacing w:lineRule="exact" w:line="1"/>
        <w:rPr>
          <w:sz w:val="2"/>
          <w:szCs w:val="2"/>
        </w:rPr>
      </w:pPr>
      <w:r>
        <w:br w:type="page"/>
      </w:r>
    </w:p>
    <w:tbl>
      <w:tblPr>
        <w:tblOverlap w:val="never"/>
        <w:jc w:val="center"/>
        <w:tblLayout w:type="fixed"/>
      </w:tblPr>
      <w:tblGrid>
        <w:gridCol w:w="1373"/>
        <w:gridCol w:w="1368"/>
        <w:gridCol w:w="1363"/>
        <w:gridCol w:w="1368"/>
        <w:gridCol w:w="1368"/>
        <w:gridCol w:w="1368"/>
        <w:gridCol w:w="1378"/>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61,188,056.87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41,707,428.70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10.56%</w:t>
            </w:r>
          </w:p>
        </w:tc>
      </w:tr>
      <w:tr>
        <w:trPr>
          <w:trHeight w:val="403" w:hRule="exact"/>
        </w:trPr>
        <w:tc>
          <w:tcPr>
            <w:gridSpan w:val="7"/>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分产品</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信息化解决方案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351,784,324.56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284,140,497.23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技术服务与开发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82,050,428.74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50,705,683.23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10.51%</w:t>
            </w:r>
          </w:p>
        </w:tc>
      </w:tr>
      <w:tr>
        <w:trPr>
          <w:trHeight w:val="398" w:hRule="exact"/>
        </w:trPr>
        <w:tc>
          <w:tcPr>
            <w:gridSpan w:val="7"/>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分地区</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23,867,658.02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10,358,870.07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27,842,049.36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16,770,626.12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84,616,494.86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73,960,887.16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-7.16%</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284,726,042.95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222,291,195.49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49.63%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0.64%</w:t>
            </w:r>
          </w:p>
        </w:tc>
      </w:tr>
    </w:tbl>
    <w:p>
      <w:pPr>
        <w:pStyle w:val="Style35"/>
        <w:keepNext w:val="0"/>
        <w:keepLines w:val="0"/>
        <w:widowControl w:val="0"/>
        <w:shd w:val="clear" w:color="auto" w:fill="auto"/>
        <w:bidi w:val="0"/>
        <w:spacing w:before="0" w:after="360" w:line="350" w:lineRule="exact"/>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rPr>
        <w:t>1</w:t>
      </w:r>
      <w:r>
        <w:rPr>
          <w:color w:val="000000"/>
          <w:spacing w:val="0"/>
          <w:w w:val="100"/>
          <w:position w:val="0"/>
        </w:rPr>
        <w:t xml:space="preserve">年按报告期末口径调整后的主营业务数据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60"/>
        <w:keepNext/>
        <w:keepLines/>
        <w:widowControl w:val="0"/>
        <w:numPr>
          <w:ilvl w:val="0"/>
          <w:numId w:val="29"/>
        </w:numPr>
        <w:shd w:val="clear" w:color="auto" w:fill="auto"/>
        <w:tabs>
          <w:tab w:pos="493" w:val="left"/>
        </w:tabs>
        <w:bidi w:val="0"/>
        <w:spacing w:before="0" w:line="240" w:lineRule="auto"/>
        <w:ind w:left="0" w:right="0" w:firstLine="0"/>
        <w:jc w:val="left"/>
      </w:pPr>
      <w:bookmarkStart w:id="168" w:name="bookmark168"/>
      <w:bookmarkStart w:id="169" w:name="bookmark169"/>
      <w:bookmarkStart w:id="170" w:name="bookmark170"/>
      <w:bookmarkStart w:id="171" w:name="bookmark171"/>
      <w:bookmarkEnd w:id="170"/>
      <w:r>
        <w:rPr>
          <w:color w:val="000000"/>
          <w:spacing w:val="0"/>
          <w:w w:val="100"/>
          <w:position w:val="0"/>
        </w:rPr>
        <w:t>公司实物销售收入是否大于劳务收入</w:t>
      </w:r>
      <w:bookmarkEnd w:id="168"/>
      <w:bookmarkEnd w:id="169"/>
      <w:bookmarkEnd w:id="171"/>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60"/>
        <w:keepNext/>
        <w:keepLines/>
        <w:widowControl w:val="0"/>
        <w:numPr>
          <w:ilvl w:val="0"/>
          <w:numId w:val="29"/>
        </w:numPr>
        <w:shd w:val="clear" w:color="auto" w:fill="auto"/>
        <w:tabs>
          <w:tab w:pos="493" w:val="left"/>
        </w:tabs>
        <w:bidi w:val="0"/>
        <w:spacing w:before="0" w:line="240" w:lineRule="auto"/>
        <w:ind w:left="0" w:right="0" w:firstLine="0"/>
        <w:jc w:val="left"/>
      </w:pPr>
      <w:bookmarkStart w:id="172" w:name="bookmark172"/>
      <w:bookmarkStart w:id="173" w:name="bookmark173"/>
      <w:bookmarkStart w:id="174" w:name="bookmark174"/>
      <w:bookmarkStart w:id="175" w:name="bookmark175"/>
      <w:bookmarkEnd w:id="174"/>
      <w:r>
        <w:rPr>
          <w:color w:val="000000"/>
          <w:spacing w:val="0"/>
          <w:w w:val="100"/>
          <w:position w:val="0"/>
        </w:rPr>
        <w:t>公司已签订的重大销售合同截至本报告期的履行情况</w:t>
      </w:r>
      <w:bookmarkEnd w:id="172"/>
      <w:bookmarkEnd w:id="173"/>
      <w:bookmarkEnd w:id="175"/>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60"/>
        <w:keepNext/>
        <w:keepLines/>
        <w:widowControl w:val="0"/>
        <w:numPr>
          <w:ilvl w:val="0"/>
          <w:numId w:val="29"/>
        </w:numPr>
        <w:shd w:val="clear" w:color="auto" w:fill="auto"/>
        <w:tabs>
          <w:tab w:pos="493" w:val="left"/>
        </w:tabs>
        <w:bidi w:val="0"/>
        <w:spacing w:before="0" w:line="240" w:lineRule="auto"/>
        <w:ind w:left="0" w:right="0" w:firstLine="0"/>
        <w:jc w:val="left"/>
      </w:pPr>
      <w:bookmarkStart w:id="176" w:name="bookmark176"/>
      <w:bookmarkStart w:id="177" w:name="bookmark177"/>
      <w:bookmarkStart w:id="178" w:name="bookmark178"/>
      <w:bookmarkStart w:id="179" w:name="bookmark179"/>
      <w:bookmarkEnd w:id="178"/>
      <w:r>
        <w:rPr>
          <w:color w:val="000000"/>
          <w:spacing w:val="0"/>
          <w:w w:val="100"/>
          <w:position w:val="0"/>
        </w:rPr>
        <w:t>营业成本构成</w:t>
      </w:r>
      <w:bookmarkEnd w:id="176"/>
      <w:bookmarkEnd w:id="177"/>
      <w:bookmarkEnd w:id="179"/>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产品分类</w:t>
      </w:r>
    </w:p>
    <w:p>
      <w:pPr>
        <w:pStyle w:val="Style35"/>
        <w:keepNext w:val="0"/>
        <w:keepLines w:val="0"/>
        <w:widowControl w:val="0"/>
        <w:shd w:val="clear" w:color="auto" w:fill="auto"/>
        <w:bidi w:val="0"/>
        <w:spacing w:before="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产品分类</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320" w:firstLine="0"/>
              <w:jc w:val="right"/>
              <w:rPr>
                <w:sz w:val="18"/>
                <w:szCs w:val="18"/>
              </w:rPr>
            </w:pPr>
            <w:r>
              <w:rPr>
                <w:color w:val="000000"/>
                <w:spacing w:val="0"/>
                <w:w w:val="100"/>
                <w:position w:val="0"/>
                <w:sz w:val="18"/>
                <w:szCs w:val="18"/>
              </w:rPr>
              <w:t>同比增减</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占营业成本比重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占营业成本比重</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信息化解决方案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19,609,929.00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17,080,409.65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-0.19%</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信息化解决方案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外购材料及服务 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264,530,568.23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196,429,050.37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技术服务与开发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32,138,794.37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22,586,988.66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技术服务与开发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外购材料及服务 成本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18,566,888.86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46,189,977.71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-10.82%</w:t>
            </w:r>
          </w:p>
        </w:tc>
      </w:tr>
    </w:tbl>
    <w:p>
      <w:pPr>
        <w:widowControl w:val="0"/>
        <w:spacing w:after="119" w:line="1" w:lineRule="exact"/>
      </w:pP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说明</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无。</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主营业务成本构成</w:t>
      </w:r>
    </w:p>
    <w:p>
      <w:pPr>
        <w:pStyle w:val="Style35"/>
        <w:keepNext w:val="0"/>
        <w:keepLines w:val="0"/>
        <w:widowControl w:val="0"/>
        <w:shd w:val="clear" w:color="auto" w:fill="auto"/>
        <w:bidi w:val="0"/>
        <w:spacing w:before="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3187"/>
        <w:gridCol w:w="3187"/>
        <w:gridCol w:w="1608"/>
      </w:tblGrid>
      <w:tr>
        <w:trPr>
          <w:trHeight w:val="41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成本构成</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本报告期</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上年同期</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同比增减</w:t>
            </w:r>
          </w:p>
        </w:tc>
      </w:tr>
    </w:tbl>
    <w:p>
      <w:pPr>
        <w:spacing w:lineRule="exact" w:line="1"/>
        <w:rPr>
          <w:sz w:val="2"/>
          <w:szCs w:val="2"/>
        </w:rPr>
      </w:pPr>
      <w:r>
        <w:br w:type="page"/>
      </w:r>
    </w:p>
    <w:tbl>
      <w:tblPr>
        <w:tblOverlap w:val="never"/>
        <w:jc w:val="center"/>
        <w:tblLayout w:type="fixed"/>
      </w:tblPr>
      <w:tblGrid>
        <w:gridCol w:w="1603"/>
        <w:gridCol w:w="1594"/>
        <w:gridCol w:w="1594"/>
        <w:gridCol w:w="1594"/>
        <w:gridCol w:w="1594"/>
        <w:gridCol w:w="1608"/>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占营业成本比重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占营业成本比重</w:t>
            </w: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51,748,723.37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39,667,398.31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外购材料及服务成 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283,150,194.25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242,619,028.08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85.95%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w:t>
            </w:r>
          </w:p>
        </w:tc>
      </w:tr>
    </w:tbl>
    <w:p>
      <w:pPr>
        <w:widowControl w:val="0"/>
        <w:spacing w:after="299" w:line="1" w:lineRule="exact"/>
      </w:pPr>
    </w:p>
    <w:p>
      <w:pPr>
        <w:pStyle w:val="Style60"/>
        <w:keepNext/>
        <w:keepLines/>
        <w:widowControl w:val="0"/>
        <w:shd w:val="clear" w:color="auto" w:fill="auto"/>
        <w:bidi w:val="0"/>
        <w:spacing w:before="0" w:after="960" w:line="240" w:lineRule="auto"/>
        <w:ind w:left="0" w:right="0" w:firstLine="0"/>
        <w:jc w:val="left"/>
      </w:pPr>
      <w:bookmarkStart w:id="180" w:name="bookmark180"/>
      <w:bookmarkStart w:id="181" w:name="bookmark181"/>
      <w:bookmarkStart w:id="182" w:name="bookmark182"/>
      <w:bookmarkStart w:id="183" w:name="bookmark183"/>
      <w:r>
        <w:rPr>
          <w:rFonts w:ascii="Times New Roman" w:eastAsia="Times New Roman" w:hAnsi="Times New Roman" w:cs="Times New Roman"/>
          <w:color w:val="000000"/>
          <w:spacing w:val="0"/>
          <w:w w:val="100"/>
          <w:position w:val="0"/>
        </w:rPr>
        <w:t>（</w:t>
      </w:r>
      <w:bookmarkEnd w:id="182"/>
      <w:r>
        <w:rPr>
          <w:rFonts w:ascii="Times New Roman" w:eastAsia="Times New Roman" w:hAnsi="Times New Roman" w:cs="Times New Roman"/>
          <w:color w:val="000000"/>
          <w:spacing w:val="0"/>
          <w:w w:val="100"/>
          <w:position w:val="0"/>
        </w:rPr>
        <w:t>6</w:t>
      </w:r>
      <w:r>
        <w:rPr>
          <w:color w:val="000000"/>
          <w:spacing w:val="0"/>
          <w:w w:val="100"/>
          <w:position w:val="0"/>
        </w:rPr>
        <w:t>）报告期内合并范围是否发生变动</w:t>
      </w:r>
      <w:bookmarkEnd w:id="180"/>
      <w:bookmarkEnd w:id="181"/>
      <w:bookmarkEnd w:id="183"/>
    </w:p>
    <w:p>
      <w:pPr>
        <w:pStyle w:val="Style60"/>
        <w:keepNext/>
        <w:keepLines/>
        <w:widowControl w:val="0"/>
        <w:shd w:val="clear" w:color="auto" w:fill="auto"/>
        <w:tabs>
          <w:tab w:pos="493" w:val="left"/>
        </w:tabs>
        <w:bidi w:val="0"/>
        <w:spacing w:before="0" w:line="240" w:lineRule="auto"/>
        <w:ind w:left="0" w:right="0" w:firstLine="0"/>
        <w:jc w:val="left"/>
      </w:pPr>
      <w:bookmarkStart w:id="184" w:name="bookmark184"/>
      <w:bookmarkStart w:id="185" w:name="bookmark185"/>
      <w:bookmarkStart w:id="186" w:name="bookmark186"/>
      <w:bookmarkStart w:id="187" w:name="bookmark187"/>
      <w:r>
        <w:rPr>
          <w:color w:val="000000"/>
          <w:spacing w:val="0"/>
          <w:w w:val="100"/>
          <w:position w:val="0"/>
        </w:rPr>
        <w:t>（</w:t>
      </w:r>
      <w:bookmarkEnd w:id="186"/>
      <w:r>
        <w:rPr>
          <w:rFonts w:ascii="Times New Roman" w:eastAsia="Times New Roman" w:hAnsi="Times New Roman" w:cs="Times New Roman"/>
          <w:color w:val="000000"/>
          <w:spacing w:val="0"/>
          <w:w w:val="100"/>
          <w:position w:val="0"/>
        </w:rPr>
        <w:t>7</w:t>
      </w:r>
      <w:r>
        <w:rPr>
          <w:color w:val="000000"/>
          <w:spacing w:val="0"/>
          <w:w w:val="100"/>
          <w:position w:val="0"/>
        </w:rPr>
        <w:t>）</w:t>
        <w:tab/>
        <w:t>公司报告期内业务、产品或服务发生重大变化或调整有关情况</w:t>
      </w:r>
      <w:bookmarkEnd w:id="184"/>
      <w:bookmarkEnd w:id="185"/>
      <w:bookmarkEnd w:id="187"/>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60"/>
        <w:keepNext/>
        <w:keepLines/>
        <w:widowControl w:val="0"/>
        <w:shd w:val="clear" w:color="auto" w:fill="auto"/>
        <w:tabs>
          <w:tab w:pos="493" w:val="left"/>
        </w:tabs>
        <w:bidi w:val="0"/>
        <w:spacing w:before="0" w:line="240" w:lineRule="auto"/>
        <w:ind w:left="0" w:right="0" w:firstLine="0"/>
        <w:jc w:val="left"/>
      </w:pPr>
      <w:bookmarkStart w:id="188" w:name="bookmark188"/>
      <w:bookmarkStart w:id="189" w:name="bookmark189"/>
      <w:bookmarkStart w:id="190" w:name="bookmark190"/>
      <w:bookmarkStart w:id="191" w:name="bookmark191"/>
      <w:r>
        <w:rPr>
          <w:color w:val="000000"/>
          <w:spacing w:val="0"/>
          <w:w w:val="100"/>
          <w:position w:val="0"/>
        </w:rPr>
        <w:t>（</w:t>
      </w:r>
      <w:bookmarkEnd w:id="190"/>
      <w:r>
        <w:rPr>
          <w:rFonts w:ascii="Times New Roman" w:eastAsia="Times New Roman" w:hAnsi="Times New Roman" w:cs="Times New Roman"/>
          <w:color w:val="000000"/>
          <w:spacing w:val="0"/>
          <w:w w:val="100"/>
          <w:position w:val="0"/>
        </w:rPr>
        <w:t>8</w:t>
      </w:r>
      <w:r>
        <w:rPr>
          <w:color w:val="000000"/>
          <w:spacing w:val="0"/>
          <w:w w:val="100"/>
          <w:position w:val="0"/>
        </w:rPr>
        <w:t>）</w:t>
        <w:tab/>
        <w:t>主要销售客户和主要供应商情况</w:t>
      </w:r>
      <w:bookmarkEnd w:id="188"/>
      <w:bookmarkEnd w:id="189"/>
      <w:bookmarkEnd w:id="191"/>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公司主要销售客户情况</w:t>
      </w:r>
    </w:p>
    <w:tbl>
      <w:tblPr>
        <w:tblOverlap w:val="never"/>
        <w:jc w:val="center"/>
        <w:tblLayout w:type="fixed"/>
      </w:tblPr>
      <w:tblGrid>
        <w:gridCol w:w="4262"/>
        <w:gridCol w:w="5323"/>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前五名客户合计销售金额（元）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152,369,563.34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前五名客户合计销售金额占年度销售总额比例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34.89%</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前五名客户销售额中关联方销售额占年度销售总额比 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79" w:line="1" w:lineRule="exact"/>
      </w:pPr>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公司前</w:t>
      </w:r>
      <w:r>
        <w:rPr>
          <w:rFonts w:ascii="Times New Roman" w:eastAsia="Times New Roman" w:hAnsi="Times New Roman" w:cs="Times New Roman"/>
          <w:b w:val="0"/>
          <w:bCs w:val="0"/>
          <w:color w:val="000000"/>
          <w:spacing w:val="0"/>
          <w:w w:val="100"/>
          <w:position w:val="0"/>
          <w:sz w:val="18"/>
          <w:szCs w:val="18"/>
        </w:rPr>
        <w:t>5</w:t>
      </w:r>
      <w:r>
        <w:rPr>
          <w:b w:val="0"/>
          <w:bCs w:val="0"/>
          <w:color w:val="000000"/>
          <w:spacing w:val="0"/>
          <w:w w:val="100"/>
          <w:position w:val="0"/>
          <w:sz w:val="18"/>
          <w:szCs w:val="18"/>
        </w:rPr>
        <w:t>大客户资料</w:t>
      </w:r>
    </w:p>
    <w:tbl>
      <w:tblPr>
        <w:tblOverlap w:val="never"/>
        <w:jc w:val="center"/>
        <w:tblLayout w:type="fixed"/>
      </w:tblPr>
      <w:tblGrid>
        <w:gridCol w:w="806"/>
        <w:gridCol w:w="3302"/>
        <w:gridCol w:w="2323"/>
        <w:gridCol w:w="3154"/>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序号</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客户名称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rPr>
              <w:t>销售额（元）</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占年度销售总额比例</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58,380,798.80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45,170,000.00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20,119,243.57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14,938,053.07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13,761,467.90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152,369,563.34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34.89%</w:t>
            </w:r>
          </w:p>
        </w:tc>
      </w:tr>
    </w:tbl>
    <w:p>
      <w:pPr>
        <w:widowControl w:val="0"/>
        <w:spacing w:after="79" w:line="1" w:lineRule="exact"/>
      </w:pP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主要客户其他情况说明</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80" w:line="240" w:lineRule="auto"/>
        <w:ind w:left="0" w:right="0" w:firstLine="0"/>
        <w:jc w:val="left"/>
      </w:pPr>
      <w:r>
        <w:rPr>
          <w:color w:val="000000"/>
          <w:spacing w:val="0"/>
          <w:w w:val="100"/>
          <w:position w:val="0"/>
        </w:rPr>
        <w:t>公司主要供应商情况</w:t>
      </w:r>
    </w:p>
    <w:tbl>
      <w:tblPr>
        <w:tblOverlap w:val="never"/>
        <w:jc w:val="center"/>
        <w:tblLayout w:type="fixed"/>
      </w:tblPr>
      <w:tblGrid>
        <w:gridCol w:w="4262"/>
        <w:gridCol w:w="532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前五名供应商合计采购金额（元）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31,946,926.45</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前五名供应商合计采购金额占年度采购总额比例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10.38%</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前五名供应商采购额中关联方采购额占年度采购总额 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79" w:line="1" w:lineRule="exact"/>
      </w:pPr>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公司前</w:t>
      </w:r>
      <w:r>
        <w:rPr>
          <w:rFonts w:ascii="Times New Roman" w:eastAsia="Times New Roman" w:hAnsi="Times New Roman" w:cs="Times New Roman"/>
          <w:b w:val="0"/>
          <w:bCs w:val="0"/>
          <w:color w:val="000000"/>
          <w:spacing w:val="0"/>
          <w:w w:val="100"/>
          <w:position w:val="0"/>
          <w:sz w:val="18"/>
          <w:szCs w:val="18"/>
        </w:rPr>
        <w:t>5</w:t>
      </w:r>
      <w:r>
        <w:rPr>
          <w:b w:val="0"/>
          <w:bCs w:val="0"/>
          <w:color w:val="000000"/>
          <w:spacing w:val="0"/>
          <w:w w:val="100"/>
          <w:position w:val="0"/>
          <w:sz w:val="18"/>
          <w:szCs w:val="18"/>
        </w:rPr>
        <w:t>名供应商资料</w:t>
      </w:r>
    </w:p>
    <w:tbl>
      <w:tblPr>
        <w:tblOverlap w:val="never"/>
        <w:jc w:val="center"/>
        <w:tblLayout w:type="fixed"/>
      </w:tblPr>
      <w:tblGrid>
        <w:gridCol w:w="941"/>
        <w:gridCol w:w="3168"/>
        <w:gridCol w:w="2323"/>
        <w:gridCol w:w="3154"/>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序号</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供应商名称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采购额（元）</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占年度采购总额比例</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供应商</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7,166,017.72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40" w:right="0" w:firstLine="0"/>
              <w:jc w:val="left"/>
              <w:rPr>
                <w:sz w:val="18"/>
                <w:szCs w:val="18"/>
              </w:rPr>
            </w:pPr>
            <w:r>
              <w:rPr>
                <w:rFonts w:ascii="Times New Roman" w:eastAsia="Times New Roman" w:hAnsi="Times New Roman" w:cs="Times New Roman"/>
                <w:color w:val="000000"/>
                <w:spacing w:val="0"/>
                <w:w w:val="100"/>
                <w:position w:val="0"/>
                <w:sz w:val="18"/>
                <w:szCs w:val="18"/>
              </w:rPr>
              <w:t>2.33%</w:t>
            </w:r>
          </w:p>
        </w:tc>
      </w:tr>
    </w:tbl>
    <w:p>
      <w:pPr>
        <w:sectPr>
          <w:headerReference w:type="default" r:id="rId73"/>
          <w:footerReference w:type="default" r:id="rId74"/>
          <w:headerReference w:type="even" r:id="rId75"/>
          <w:footerReference w:type="even" r:id="rId76"/>
          <w:footnotePr>
            <w:pos w:val="pageBottom"/>
            <w:numFmt w:val="decimal"/>
            <w:numRestart w:val="continuous"/>
          </w:footnotePr>
          <w:pgSz w:w="11900" w:h="16840"/>
          <w:pgMar w:top="1321" w:right="577" w:bottom="1427" w:left="551" w:header="0" w:footer="3" w:gutter="0"/>
          <w:cols w:space="720"/>
          <w:noEndnote/>
          <w:rtlGutter w:val="0"/>
          <w:docGrid w:linePitch="360"/>
        </w:sectPr>
      </w:pPr>
    </w:p>
    <w:tbl>
      <w:tblPr>
        <w:tblOverlap w:val="never"/>
        <w:jc w:val="center"/>
        <w:tblLayout w:type="fixed"/>
      </w:tblPr>
      <w:tblGrid>
        <w:gridCol w:w="941"/>
        <w:gridCol w:w="3168"/>
        <w:gridCol w:w="2323"/>
        <w:gridCol w:w="3154"/>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供应商</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6,324,110.66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供应商</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6,259,171.59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供应商</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6,258,865.42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供应商</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5,938,761.06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31,946,926.45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10.38%</w:t>
            </w:r>
          </w:p>
        </w:tc>
      </w:tr>
    </w:tbl>
    <w:p>
      <w:pPr>
        <w:pStyle w:val="Style41"/>
        <w:keepNext w:val="0"/>
        <w:keepLines w:val="0"/>
        <w:widowControl w:val="0"/>
        <w:shd w:val="clear" w:color="auto" w:fill="auto"/>
        <w:bidi w:val="0"/>
        <w:spacing w:before="0" w:after="120" w:line="240" w:lineRule="auto"/>
        <w:ind w:left="0" w:right="0" w:firstLine="0"/>
        <w:jc w:val="left"/>
        <w:rPr>
          <w:sz w:val="18"/>
          <w:szCs w:val="18"/>
        </w:rPr>
      </w:pPr>
      <w:r>
        <w:rPr>
          <w:b w:val="0"/>
          <w:bCs w:val="0"/>
          <w:color w:val="000000"/>
          <w:spacing w:val="0"/>
          <w:w w:val="100"/>
          <w:position w:val="0"/>
          <w:sz w:val="18"/>
          <w:szCs w:val="18"/>
        </w:rPr>
        <w:t>主要供应商其他情况说明</w:t>
      </w:r>
    </w:p>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w:t>
      </w:r>
      <w:r>
        <w:rPr>
          <w:b w:val="0"/>
          <w:bCs w:val="0"/>
          <w:color w:val="000000"/>
          <w:spacing w:val="0"/>
          <w:w w:val="100"/>
          <w:position w:val="0"/>
          <w:sz w:val="18"/>
          <w:szCs w:val="18"/>
        </w:rPr>
        <w:t>适用</w:t>
      </w: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不适用</w:t>
      </w:r>
    </w:p>
    <w:p>
      <w:pPr>
        <w:widowControl w:val="0"/>
        <w:spacing w:after="319" w:line="1" w:lineRule="exact"/>
      </w:pPr>
    </w:p>
    <w:p>
      <w:pPr>
        <w:pStyle w:val="Style44"/>
        <w:keepNext/>
        <w:keepLines/>
        <w:widowControl w:val="0"/>
        <w:shd w:val="clear" w:color="auto" w:fill="auto"/>
        <w:bidi w:val="0"/>
        <w:spacing w:before="0" w:after="360" w:line="240" w:lineRule="auto"/>
        <w:ind w:left="0" w:right="0" w:firstLine="0"/>
        <w:jc w:val="left"/>
      </w:pPr>
      <w:bookmarkStart w:id="192" w:name="bookmark192"/>
      <w:bookmarkStart w:id="193" w:name="bookmark193"/>
      <w:bookmarkStart w:id="194" w:name="bookmark194"/>
      <w:bookmarkStart w:id="195" w:name="bookmark195"/>
      <w:r>
        <w:rPr>
          <w:rFonts w:ascii="Times New Roman" w:eastAsia="Times New Roman" w:hAnsi="Times New Roman" w:cs="Times New Roman"/>
          <w:color w:val="000000"/>
          <w:spacing w:val="0"/>
          <w:w w:val="100"/>
          <w:position w:val="0"/>
        </w:rPr>
        <w:t>3</w:t>
      </w:r>
      <w:bookmarkEnd w:id="194"/>
      <w:r>
        <w:rPr>
          <w:color w:val="000000"/>
          <w:spacing w:val="0"/>
          <w:w w:val="100"/>
          <w:position w:val="0"/>
        </w:rPr>
        <w:t>、费用</w:t>
      </w:r>
      <w:bookmarkEnd w:id="192"/>
      <w:bookmarkEnd w:id="193"/>
      <w:bookmarkEnd w:id="19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637"/>
        <w:gridCol w:w="1642"/>
        <w:gridCol w:w="1459"/>
        <w:gridCol w:w="2928"/>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同比增减</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重大变动说明</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21,743,109.88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25,911,911.39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21,784,425.88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21,861,958.38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-0.35%</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-1,185,185.37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-2,625,829.40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本期定期存款减少，收到存款利息减 少</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24,020,354.89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14,563,032.78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根据战略规划部署，本期人工智能领 域相关技术投入加大</w:t>
            </w:r>
          </w:p>
        </w:tc>
      </w:tr>
    </w:tbl>
    <w:p>
      <w:pPr>
        <w:pStyle w:val="Style41"/>
        <w:keepNext w:val="0"/>
        <w:keepLines w:val="0"/>
        <w:widowControl w:val="0"/>
        <w:shd w:val="clear" w:color="auto" w:fill="auto"/>
        <w:bidi w:val="0"/>
        <w:spacing w:before="0" w:after="0" w:line="240" w:lineRule="auto"/>
        <w:ind w:left="0" w:right="0" w:firstLine="0"/>
        <w:jc w:val="left"/>
      </w:pPr>
      <w:bookmarkStart w:id="196" w:name="bookmark196"/>
      <w:r>
        <w:rPr>
          <w:rFonts w:ascii="Times New Roman" w:eastAsia="Times New Roman" w:hAnsi="Times New Roman" w:cs="Times New Roman"/>
          <w:color w:val="000000"/>
          <w:spacing w:val="0"/>
          <w:w w:val="100"/>
          <w:position w:val="0"/>
        </w:rPr>
        <w:t>4</w:t>
      </w:r>
      <w:r>
        <w:rPr>
          <w:color w:val="000000"/>
          <w:spacing w:val="0"/>
          <w:w w:val="100"/>
          <w:position w:val="0"/>
        </w:rPr>
        <w:t>、研发投入</w:t>
      </w:r>
      <w:bookmarkEnd w:id="196"/>
    </w:p>
    <w:p>
      <w:pPr>
        <w:widowControl w:val="0"/>
        <w:spacing w:after="319" w:line="1" w:lineRule="exact"/>
      </w:pPr>
    </w:p>
    <w:p>
      <w:pPr>
        <w:pStyle w:val="Style35"/>
        <w:keepNext w:val="0"/>
        <w:keepLines w:val="0"/>
        <w:widowControl w:val="0"/>
        <w:shd w:val="clear" w:color="auto" w:fill="auto"/>
        <w:bidi w:val="0"/>
        <w:spacing w:before="0" w:after="22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220" w:line="240" w:lineRule="auto"/>
        <w:ind w:left="0" w:right="0" w:firstLine="360"/>
        <w:jc w:val="both"/>
      </w:pPr>
      <w:r>
        <w:rPr>
          <w:color w:val="000000"/>
          <w:spacing w:val="0"/>
          <w:w w:val="100"/>
          <w:position w:val="0"/>
        </w:rPr>
        <w:t xml:space="preserve">报告期内，公司投入较大资源开发“中科信息技术平台”，为公司实现低代码、低成本、敏捷开发模 </w:t>
      </w:r>
      <w:r>
        <w:rPr>
          <w:color w:val="000000"/>
          <w:spacing w:val="0"/>
          <w:w w:val="100"/>
          <w:position w:val="0"/>
        </w:rPr>
        <w:t>式奠定基础；持续推进“灵洞”智能制造平台建设，推出了工业物联网整体解决方案，发布包含</w:t>
      </w:r>
      <w:r>
        <w:rPr>
          <w:color w:val="000000"/>
          <w:spacing w:val="0"/>
          <w:w w:val="100"/>
          <w:position w:val="0"/>
        </w:rPr>
        <w:t>5G</w:t>
      </w:r>
      <w:r>
        <w:rPr>
          <w:color w:val="000000"/>
          <w:spacing w:val="0"/>
          <w:w w:val="100"/>
          <w:position w:val="0"/>
        </w:rPr>
        <w:t xml:space="preserve">在内的 </w:t>
      </w:r>
      <w:r>
        <w:rPr>
          <w:color w:val="000000"/>
          <w:spacing w:val="0"/>
          <w:w w:val="100"/>
          <w:position w:val="0"/>
        </w:rPr>
        <w:t xml:space="preserve">多款边缘网关硬件、边缘计算平台及云端物联网平台等软硬件产品；创新研发的“国内首套远程表决系统 </w:t>
      </w:r>
      <w:r>
        <w:rPr>
          <w:color w:val="000000"/>
          <w:spacing w:val="0"/>
          <w:w w:val="100"/>
          <w:position w:val="0"/>
        </w:rPr>
        <w:t xml:space="preserve">不仅成功保障了疫情期间全国人大、武汉市人大的会议需求，并且与升降式智能表决终端、嵌入式智能表 </w:t>
      </w:r>
      <w:r>
        <w:rPr>
          <w:color w:val="000000"/>
          <w:spacing w:val="0"/>
          <w:w w:val="100"/>
          <w:position w:val="0"/>
        </w:rPr>
        <w:t xml:space="preserve">决终端和经济型电子表决等系列产品形成整体解决方案；研发的智能一体化撬，作为单井站建设的标准配 </w:t>
      </w:r>
      <w:r>
        <w:rPr>
          <w:color w:val="000000"/>
          <w:spacing w:val="0"/>
          <w:w w:val="100"/>
          <w:position w:val="0"/>
        </w:rPr>
        <w:t xml:space="preserve">置，进入了市场推广，在多地成功应用；运用智能视频分析技术、面向油气高危作业场所的“智能分析管 </w:t>
      </w:r>
      <w:r>
        <w:rPr>
          <w:color w:val="000000"/>
          <w:spacing w:val="0"/>
          <w:w w:val="100"/>
          <w:position w:val="0"/>
        </w:rPr>
        <w:t>控平台”项目也顺利通过验收；针对新型防伪要素的光学质量检测设备陆续投入研发并保障实验性生产;</w:t>
      </w:r>
    </w:p>
    <w:p>
      <w:pPr>
        <w:pStyle w:val="Style47"/>
        <w:keepNext w:val="0"/>
        <w:keepLines w:val="0"/>
        <w:widowControl w:val="0"/>
        <w:shd w:val="clear" w:color="auto" w:fill="auto"/>
        <w:bidi w:val="0"/>
        <w:spacing w:before="0" w:after="180" w:line="240" w:lineRule="auto"/>
        <w:ind w:left="0" w:right="0" w:firstLine="0"/>
        <w:jc w:val="both"/>
      </w:pPr>
      <w:r>
        <w:rPr>
          <w:color w:val="000000"/>
          <w:spacing w:val="0"/>
          <w:w w:val="100"/>
          <w:position w:val="0"/>
        </w:rPr>
        <w:t xml:space="preserve">全新研发的基于深度学习的智能缺陷判废计废系统正在进行全面测试，将为客户减少人工判废介入，实现 </w:t>
      </w:r>
      <w:r>
        <w:rPr>
          <w:color w:val="000000"/>
          <w:spacing w:val="0"/>
          <w:w w:val="100"/>
          <w:position w:val="0"/>
        </w:rPr>
        <w:t xml:space="preserve">智能机台的计划提供技术手段；质量信息管理与追溯平台向生产工序上游推进，进驻钞票纸与安全线生产 </w:t>
      </w:r>
      <w:r>
        <w:rPr>
          <w:color w:val="000000"/>
          <w:spacing w:val="0"/>
          <w:w w:val="100"/>
          <w:position w:val="0"/>
        </w:rPr>
        <w:t xml:space="preserve">流程，为下研究一步实现印钞整体质量溯源奠定了基础；成功研发的“第七次人口普查智能辅助系统”助 </w:t>
      </w:r>
      <w:r>
        <w:rPr>
          <w:color w:val="000000"/>
          <w:spacing w:val="0"/>
          <w:w w:val="100"/>
          <w:position w:val="0"/>
        </w:rPr>
        <w:t xml:space="preserve">力区域性第七次全国人口普查工作，在数据交叉对比、人员信息核对等质量控制方面发挥了积极作用；数 </w:t>
      </w:r>
      <w:r>
        <w:rPr>
          <w:color w:val="000000"/>
          <w:spacing w:val="0"/>
          <w:w w:val="100"/>
          <w:position w:val="0"/>
        </w:rPr>
        <w:t xml:space="preserve">字化手术室、智慧病房、分布式大数据平台、临床科研平台等众多解决方案不断推出，医疗物联网项目不 </w:t>
      </w:r>
      <w:r>
        <w:rPr>
          <w:color w:val="000000"/>
          <w:spacing w:val="0"/>
          <w:w w:val="100"/>
          <w:position w:val="0"/>
        </w:rPr>
        <w:t xml:space="preserve">断优化升级，基于人工智能的麻醉监测系统正在进行动物试验。这些新产品与技术成果的不断取得，必将 </w:t>
      </w:r>
      <w:r>
        <w:rPr>
          <w:color w:val="000000"/>
          <w:spacing w:val="0"/>
          <w:w w:val="100"/>
          <w:position w:val="0"/>
        </w:rPr>
        <w:t>有力促进行业需求的进一步挖掘与客户粘性的进一步提升，为公司提供了不断的增长驱动力。</w:t>
      </w: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近三年公司研发投入金额及占营业收入的比例</w:t>
      </w: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sz w:val="18"/>
                <w:szCs w:val="18"/>
              </w:rPr>
              <w:t>年</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研发人员数量（人）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研发人员数量占比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29.16%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29.68%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研发投入金额（元）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26,368,411.06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14,563,032.78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17,515,831.67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研发投入占营业收入比例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研发支出资本化的金额（元）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2,348,056.17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资本化研发支出占研发投入 的比例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8.90%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资本化研发支出占当期净利 润的比重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7.16%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研发投入总额占营业收入的比重较上年发生显著变化的原因</w:t>
      </w:r>
    </w:p>
    <w:p>
      <w:pPr>
        <w:pStyle w:val="Style35"/>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研发投入资本化率大幅变动的原因及其合理性说明</w:t>
      </w:r>
    </w:p>
    <w:p>
      <w:pPr>
        <w:pStyle w:val="Style35"/>
        <w:keepNext w:val="0"/>
        <w:keepLines w:val="0"/>
        <w:widowControl w:val="0"/>
        <w:shd w:val="clear" w:color="auto" w:fill="auto"/>
        <w:bidi w:val="0"/>
        <w:spacing w:before="0" w:after="18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为了</w:t>
      </w:r>
      <w:r>
        <w:rPr>
          <w:color w:val="000000"/>
          <w:spacing w:val="0"/>
          <w:w w:val="100"/>
          <w:position w:val="0"/>
        </w:rPr>
        <w:t>2021-2030</w:t>
      </w:r>
      <w:r>
        <w:rPr>
          <w:color w:val="000000"/>
          <w:spacing w:val="0"/>
          <w:w w:val="100"/>
          <w:position w:val="0"/>
        </w:rPr>
        <w:t>年战略规划部署，公司加大研发投入，加快推进研发进程，在报告期内实现部分在研</w:t>
      </w:r>
    </w:p>
    <w:p>
      <w:pPr>
        <w:pStyle w:val="Style47"/>
        <w:keepNext w:val="0"/>
        <w:keepLines w:val="0"/>
        <w:widowControl w:val="0"/>
        <w:shd w:val="clear" w:color="auto" w:fill="auto"/>
        <w:bidi w:val="0"/>
        <w:spacing w:before="0" w:after="180" w:line="240" w:lineRule="auto"/>
        <w:ind w:left="0" w:right="0" w:firstLine="0"/>
        <w:jc w:val="left"/>
      </w:pPr>
      <w:r>
        <w:rPr>
          <w:color w:val="000000"/>
          <w:spacing w:val="0"/>
          <w:w w:val="100"/>
          <w:position w:val="0"/>
        </w:rPr>
        <w:t>项目达到资本化条件，从研究阶段转入开发阶段。</w:t>
      </w:r>
    </w:p>
    <w:p>
      <w:pPr>
        <w:pStyle w:val="Style35"/>
        <w:keepNext w:val="0"/>
        <w:keepLines w:val="0"/>
        <w:widowControl w:val="0"/>
        <w:shd w:val="clear" w:color="auto" w:fill="auto"/>
        <w:bidi w:val="0"/>
        <w:spacing w:before="0" w:after="18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研发资本化金额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相关项目的基本情况</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实施进度</w:t>
            </w: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中科信息技术平台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2,348,056.17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both"/>
              <w:rPr>
                <w:sz w:val="18"/>
                <w:szCs w:val="18"/>
              </w:rPr>
            </w:pPr>
            <w:r>
              <w:rPr>
                <w:color w:val="000000"/>
                <w:spacing w:val="0"/>
                <w:w w:val="100"/>
                <w:position w:val="0"/>
                <w:sz w:val="18"/>
                <w:szCs w:val="18"/>
              </w:rPr>
              <w:t>现已建成中科私有云平台、码 云平台、业务中台</w:t>
            </w:r>
            <w:r>
              <w:rPr>
                <w:rFonts w:ascii="Times New Roman" w:eastAsia="Times New Roman" w:hAnsi="Times New Roman" w:cs="Times New Roman"/>
                <w:color w:val="000000"/>
                <w:spacing w:val="0"/>
                <w:w w:val="100"/>
                <w:position w:val="0"/>
                <w:sz w:val="18"/>
                <w:szCs w:val="18"/>
              </w:rPr>
              <w:t>V1.0</w:t>
            </w:r>
            <w:r>
              <w:rPr>
                <w:color w:val="000000"/>
                <w:spacing w:val="0"/>
                <w:w w:val="100"/>
                <w:position w:val="0"/>
                <w:sz w:val="18"/>
                <w:szCs w:val="18"/>
              </w:rPr>
              <w:t>、</w:t>
            </w:r>
            <w:r>
              <w:rPr>
                <w:color w:val="000000"/>
                <w:spacing w:val="0"/>
                <w:w w:val="100"/>
                <w:position w:val="0"/>
                <w:sz w:val="18"/>
                <w:szCs w:val="18"/>
              </w:rPr>
              <w:t>数据 中台</w:t>
            </w:r>
            <w:r>
              <w:rPr>
                <w:rFonts w:ascii="Times New Roman" w:eastAsia="Times New Roman" w:hAnsi="Times New Roman" w:cs="Times New Roman"/>
                <w:color w:val="000000"/>
                <w:spacing w:val="0"/>
                <w:w w:val="100"/>
                <w:position w:val="0"/>
                <w:sz w:val="18"/>
                <w:szCs w:val="18"/>
              </w:rPr>
              <w:t>V1.0</w:t>
            </w:r>
            <w:r>
              <w:rPr>
                <w:color w:val="000000"/>
                <w:spacing w:val="0"/>
                <w:w w:val="100"/>
                <w:position w:val="0"/>
                <w:sz w:val="18"/>
                <w:szCs w:val="18"/>
              </w:rPr>
              <w:t>等等</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已完工</w:t>
            </w:r>
          </w:p>
        </w:tc>
      </w:tr>
    </w:tbl>
    <w:p>
      <w:pPr>
        <w:pStyle w:val="Style47"/>
        <w:keepNext w:val="0"/>
        <w:keepLines w:val="0"/>
        <w:widowControl w:val="0"/>
        <w:shd w:val="clear" w:color="auto" w:fill="auto"/>
        <w:tabs>
          <w:tab w:pos="483" w:val="left"/>
        </w:tabs>
        <w:bidi w:val="0"/>
        <w:spacing w:before="0" w:after="0" w:line="475" w:lineRule="exact"/>
        <w:ind w:left="0" w:right="0" w:firstLine="0"/>
        <w:jc w:val="left"/>
      </w:pPr>
      <w:bookmarkStart w:id="197" w:name="bookmark197"/>
      <w:r>
        <w:rPr>
          <w:color w:val="000000"/>
          <w:spacing w:val="0"/>
          <w:w w:val="100"/>
          <w:position w:val="0"/>
        </w:rPr>
        <w:t>（</w:t>
      </w:r>
      <w:bookmarkEnd w:id="197"/>
      <w:r>
        <w:rPr>
          <w:color w:val="000000"/>
          <w:spacing w:val="0"/>
          <w:w w:val="100"/>
          <w:position w:val="0"/>
        </w:rPr>
        <w:t>1</w:t>
      </w:r>
      <w:r>
        <w:rPr>
          <w:color w:val="000000"/>
          <w:spacing w:val="0"/>
          <w:w w:val="100"/>
          <w:position w:val="0"/>
        </w:rPr>
        <w:t>）</w:t>
        <w:tab/>
        <w:t>项目采用成熟的开发平台进行开发，技术路线明确，工作基础良好，不存在明显技术障碍。</w:t>
      </w:r>
    </w:p>
    <w:p>
      <w:pPr>
        <w:pStyle w:val="Style47"/>
        <w:keepNext w:val="0"/>
        <w:keepLines w:val="0"/>
        <w:widowControl w:val="0"/>
        <w:shd w:val="clear" w:color="auto" w:fill="auto"/>
        <w:tabs>
          <w:tab w:pos="598" w:val="left"/>
        </w:tabs>
        <w:bidi w:val="0"/>
        <w:spacing w:before="0" w:after="0" w:line="475" w:lineRule="exact"/>
        <w:ind w:left="0" w:right="0" w:firstLine="0"/>
        <w:jc w:val="left"/>
      </w:pPr>
      <w:bookmarkStart w:id="198" w:name="bookmark198"/>
      <w:r>
        <w:rPr>
          <w:color w:val="000000"/>
          <w:spacing w:val="0"/>
          <w:w w:val="100"/>
          <w:position w:val="0"/>
        </w:rPr>
        <w:t>（</w:t>
      </w:r>
      <w:bookmarkEnd w:id="198"/>
      <w:r>
        <w:rPr>
          <w:color w:val="000000"/>
          <w:spacing w:val="0"/>
          <w:w w:val="100"/>
          <w:position w:val="0"/>
        </w:rPr>
        <w:t>2</w:t>
      </w:r>
      <w:r>
        <w:rPr>
          <w:color w:val="000000"/>
          <w:spacing w:val="0"/>
          <w:w w:val="100"/>
          <w:position w:val="0"/>
        </w:rPr>
        <w:t>）</w:t>
        <w:tab/>
        <w:t>研发成果将投入到明确的行业市场进行项目实施，有助于公司项目实施团队借助该平台快速相应客 户定制化需求，促进项目交付。</w:t>
      </w:r>
    </w:p>
    <w:p>
      <w:pPr>
        <w:pStyle w:val="Style47"/>
        <w:keepNext w:val="0"/>
        <w:keepLines w:val="0"/>
        <w:widowControl w:val="0"/>
        <w:shd w:val="clear" w:color="auto" w:fill="auto"/>
        <w:tabs>
          <w:tab w:pos="483" w:val="left"/>
        </w:tabs>
        <w:bidi w:val="0"/>
        <w:spacing w:before="0" w:after="0" w:line="475" w:lineRule="exact"/>
        <w:ind w:left="0" w:right="0" w:firstLine="0"/>
        <w:jc w:val="left"/>
      </w:pPr>
      <w:bookmarkStart w:id="199" w:name="bookmark199"/>
      <w:r>
        <w:rPr>
          <w:color w:val="000000"/>
          <w:spacing w:val="0"/>
          <w:w w:val="100"/>
          <w:position w:val="0"/>
        </w:rPr>
        <w:t>（</w:t>
      </w:r>
      <w:bookmarkEnd w:id="199"/>
      <w:r>
        <w:rPr>
          <w:color w:val="000000"/>
          <w:spacing w:val="0"/>
          <w:w w:val="100"/>
          <w:position w:val="0"/>
        </w:rPr>
        <w:t>3</w:t>
      </w:r>
      <w:r>
        <w:rPr>
          <w:color w:val="000000"/>
          <w:spacing w:val="0"/>
          <w:w w:val="100"/>
          <w:position w:val="0"/>
        </w:rPr>
        <w:t>）</w:t>
        <w:tab/>
        <w:t>公司以自有资金开展研发，拥有该平台的知识产权。</w:t>
      </w:r>
    </w:p>
    <w:p>
      <w:pPr>
        <w:pStyle w:val="Style47"/>
        <w:keepNext w:val="0"/>
        <w:keepLines w:val="0"/>
        <w:widowControl w:val="0"/>
        <w:shd w:val="clear" w:color="auto" w:fill="auto"/>
        <w:tabs>
          <w:tab w:pos="483" w:val="left"/>
        </w:tabs>
        <w:bidi w:val="0"/>
        <w:spacing w:before="0" w:after="0" w:line="475" w:lineRule="exact"/>
        <w:ind w:left="0" w:right="0" w:firstLine="0"/>
        <w:jc w:val="left"/>
      </w:pPr>
      <w:bookmarkStart w:id="200" w:name="bookmark200"/>
      <w:r>
        <w:rPr>
          <w:color w:val="000000"/>
          <w:spacing w:val="0"/>
          <w:w w:val="100"/>
          <w:position w:val="0"/>
        </w:rPr>
        <w:t>（</w:t>
      </w:r>
      <w:bookmarkEnd w:id="200"/>
      <w:r>
        <w:rPr>
          <w:color w:val="000000"/>
          <w:spacing w:val="0"/>
          <w:w w:val="100"/>
          <w:position w:val="0"/>
        </w:rPr>
        <w:t>4</w:t>
      </w:r>
      <w:r>
        <w:rPr>
          <w:color w:val="000000"/>
          <w:spacing w:val="0"/>
          <w:w w:val="100"/>
          <w:position w:val="0"/>
        </w:rPr>
        <w:t>）</w:t>
        <w:tab/>
        <w:t>公司对该研发专门立项，发生的各类费用等支出均单独核算。</w:t>
      </w:r>
    </w:p>
    <w:p>
      <w:pPr>
        <w:pStyle w:val="Style47"/>
        <w:keepNext w:val="0"/>
        <w:keepLines w:val="0"/>
        <w:widowControl w:val="0"/>
        <w:shd w:val="clear" w:color="auto" w:fill="auto"/>
        <w:tabs>
          <w:tab w:pos="483" w:val="left"/>
        </w:tabs>
        <w:bidi w:val="0"/>
        <w:spacing w:before="0" w:after="420" w:line="475" w:lineRule="exact"/>
        <w:ind w:left="0" w:right="0" w:firstLine="0"/>
        <w:jc w:val="left"/>
      </w:pPr>
      <w:bookmarkStart w:id="201" w:name="bookmark201"/>
      <w:r>
        <w:rPr>
          <w:color w:val="000000"/>
          <w:spacing w:val="0"/>
          <w:w w:val="100"/>
          <w:position w:val="0"/>
        </w:rPr>
        <w:t>（</w:t>
      </w:r>
      <w:bookmarkEnd w:id="201"/>
      <w:r>
        <w:rPr>
          <w:color w:val="000000"/>
          <w:spacing w:val="0"/>
          <w:w w:val="100"/>
          <w:position w:val="0"/>
        </w:rPr>
        <w:t>5</w:t>
      </w:r>
      <w:r>
        <w:rPr>
          <w:color w:val="000000"/>
          <w:spacing w:val="0"/>
          <w:w w:val="100"/>
          <w:position w:val="0"/>
        </w:rPr>
        <w:t>）</w:t>
        <w:tab/>
        <w:t>按照公司规定，每季度对研发项目的资本化情况进行评估。</w:t>
      </w:r>
    </w:p>
    <w:p>
      <w:pPr>
        <w:pStyle w:val="Style44"/>
        <w:keepNext/>
        <w:keepLines/>
        <w:widowControl w:val="0"/>
        <w:shd w:val="clear" w:color="auto" w:fill="auto"/>
        <w:bidi w:val="0"/>
        <w:spacing w:before="0" w:after="360" w:line="240" w:lineRule="auto"/>
        <w:ind w:left="0" w:right="0" w:firstLine="0"/>
        <w:jc w:val="left"/>
      </w:pPr>
      <w:bookmarkStart w:id="202" w:name="bookmark202"/>
      <w:bookmarkStart w:id="203" w:name="bookmark203"/>
      <w:bookmarkStart w:id="204" w:name="bookmark204"/>
      <w:r>
        <w:rPr>
          <w:rFonts w:ascii="Times New Roman" w:eastAsia="Times New Roman" w:hAnsi="Times New Roman" w:cs="Times New Roman"/>
          <w:color w:val="000000"/>
          <w:spacing w:val="0"/>
          <w:w w:val="100"/>
          <w:position w:val="0"/>
        </w:rPr>
        <w:t>5</w:t>
      </w:r>
      <w:r>
        <w:rPr>
          <w:color w:val="000000"/>
          <w:spacing w:val="0"/>
          <w:w w:val="100"/>
          <w:position w:val="0"/>
        </w:rPr>
        <w:t>、现金流</w:t>
      </w:r>
      <w:bookmarkEnd w:id="202"/>
      <w:bookmarkEnd w:id="203"/>
      <w:bookmarkEnd w:id="20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400"/>
        <w:gridCol w:w="2390"/>
        <w:gridCol w:w="2395"/>
        <w:gridCol w:w="2400"/>
      </w:tblGrid>
      <w:tr>
        <w:trPr>
          <w:trHeight w:val="41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同比增减</w:t>
            </w:r>
          </w:p>
        </w:tc>
      </w:tr>
    </w:tbl>
    <w:p>
      <w:pPr>
        <w:sectPr>
          <w:headerReference w:type="default" r:id="rId77"/>
          <w:footerReference w:type="default" r:id="rId78"/>
          <w:headerReference w:type="even" r:id="rId79"/>
          <w:footerReference w:type="even" r:id="rId80"/>
          <w:headerReference w:type="first" r:id="rId81"/>
          <w:footerReference w:type="first" r:id="rId82"/>
          <w:footnotePr>
            <w:pos w:val="pageBottom"/>
            <w:numFmt w:val="decimal"/>
            <w:numRestart w:val="continuous"/>
          </w:footnotePr>
          <w:pgSz w:w="11900" w:h="16840"/>
          <w:pgMar w:top="1321" w:right="577" w:bottom="1427" w:left="551" w:header="0" w:footer="3" w:gutter="0"/>
          <w:cols w:space="720"/>
          <w:noEndnote/>
          <w:titlePg/>
          <w:rtlGutter w:val="0"/>
          <w:docGrid w:linePitch="360"/>
        </w:sectPr>
      </w:pP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419,841,171.29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422,741,306.62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438,840,645.19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427,712,908.81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经营活动产生的现金流量净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-18,999,473.90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-4,971,602.19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both"/>
              <w:rPr>
                <w:sz w:val="18"/>
                <w:szCs w:val="18"/>
              </w:rPr>
            </w:pPr>
            <w:r>
              <w:rPr>
                <w:rFonts w:ascii="Times New Roman" w:eastAsia="Times New Roman" w:hAnsi="Times New Roman" w:cs="Times New Roman"/>
                <w:color w:val="000000"/>
                <w:spacing w:val="0"/>
                <w:w w:val="100"/>
                <w:position w:val="0"/>
                <w:sz w:val="18"/>
                <w:szCs w:val="18"/>
              </w:rPr>
              <w:t>282.16%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4,010,000.00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rFonts w:ascii="Times New Roman" w:eastAsia="Times New Roman" w:hAnsi="Times New Roman" w:cs="Times New Roman"/>
                <w:color w:val="000000"/>
                <w:spacing w:val="0"/>
                <w:w w:val="100"/>
                <w:position w:val="0"/>
                <w:sz w:val="18"/>
                <w:szCs w:val="18"/>
              </w:rPr>
              <w:t>155,884,976.05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both"/>
              <w:rPr>
                <w:sz w:val="18"/>
                <w:szCs w:val="18"/>
              </w:rPr>
            </w:pPr>
            <w:r>
              <w:rPr>
                <w:rFonts w:ascii="Times New Roman" w:eastAsia="Times New Roman" w:hAnsi="Times New Roman" w:cs="Times New Roman"/>
                <w:color w:val="000000"/>
                <w:spacing w:val="0"/>
                <w:w w:val="100"/>
                <w:position w:val="0"/>
                <w:sz w:val="18"/>
                <w:szCs w:val="18"/>
              </w:rPr>
              <w:t>-97.43%</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3,422,201.58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5,110,536.90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both"/>
              <w:rPr>
                <w:sz w:val="18"/>
                <w:szCs w:val="18"/>
              </w:rPr>
            </w:pPr>
            <w:r>
              <w:rPr>
                <w:rFonts w:ascii="Times New Roman" w:eastAsia="Times New Roman" w:hAnsi="Times New Roman" w:cs="Times New Roman"/>
                <w:color w:val="000000"/>
                <w:spacing w:val="0"/>
                <w:w w:val="100"/>
                <w:position w:val="0"/>
                <w:sz w:val="18"/>
                <w:szCs w:val="18"/>
              </w:rPr>
              <w:t>-33.04%</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投资活动产生的现金流量净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587,798.42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rFonts w:ascii="Times New Roman" w:eastAsia="Times New Roman" w:hAnsi="Times New Roman" w:cs="Times New Roman"/>
                <w:color w:val="000000"/>
                <w:spacing w:val="0"/>
                <w:w w:val="100"/>
                <w:position w:val="0"/>
                <w:sz w:val="18"/>
                <w:szCs w:val="18"/>
              </w:rPr>
              <w:t>150,774,439.15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both"/>
              <w:rPr>
                <w:sz w:val="18"/>
                <w:szCs w:val="18"/>
              </w:rPr>
            </w:pPr>
            <w:r>
              <w:rPr>
                <w:rFonts w:ascii="Times New Roman" w:eastAsia="Times New Roman" w:hAnsi="Times New Roman" w:cs="Times New Roman"/>
                <w:color w:val="000000"/>
                <w:spacing w:val="0"/>
                <w:w w:val="100"/>
                <w:position w:val="0"/>
                <w:sz w:val="18"/>
                <w:szCs w:val="18"/>
              </w:rPr>
              <w:t>-99.61%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40,486,766.27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9,157,110.91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both"/>
              <w:rPr>
                <w:sz w:val="18"/>
                <w:szCs w:val="18"/>
              </w:rPr>
            </w:pPr>
            <w:r>
              <w:rPr>
                <w:rFonts w:ascii="Times New Roman" w:eastAsia="Times New Roman" w:hAnsi="Times New Roman" w:cs="Times New Roman"/>
                <w:color w:val="000000"/>
                <w:spacing w:val="0"/>
                <w:w w:val="100"/>
                <w:position w:val="0"/>
                <w:sz w:val="18"/>
                <w:szCs w:val="18"/>
              </w:rPr>
              <w:t>342.13%</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筹资活动产生的现金流量净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-10,486,766.27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20,842,889.09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-150.31%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-28,898,441.75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166,645,726.05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-117.34%</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相关数据同比发生重大变动的主要影响因素说明</w:t>
      </w:r>
    </w:p>
    <w:p>
      <w:pPr>
        <w:pStyle w:val="Style3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本报告期内，由于受新冠肺炎疫情影响，随公司订单增加，且大部分新订单需要前期垫付成本实施， 导致经营活动现金流量净额同比降低</w:t>
      </w:r>
      <w:r>
        <w:rPr>
          <w:rFonts w:ascii="Times New Roman" w:eastAsia="Times New Roman" w:hAnsi="Times New Roman" w:cs="Times New Roman"/>
          <w:color w:val="000000"/>
          <w:spacing w:val="0"/>
          <w:w w:val="100"/>
          <w:position w:val="0"/>
        </w:rPr>
        <w:t>282.16%</w:t>
      </w:r>
      <w:r>
        <w:rPr>
          <w:color w:val="000000"/>
          <w:spacing w:val="0"/>
          <w:w w:val="100"/>
          <w:position w:val="0"/>
        </w:rPr>
        <w:t>。</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投资活动现金流入同比减少</w:t>
      </w:r>
      <w:r>
        <w:rPr>
          <w:rFonts w:ascii="Times New Roman" w:eastAsia="Times New Roman" w:hAnsi="Times New Roman" w:cs="Times New Roman"/>
          <w:color w:val="000000"/>
          <w:spacing w:val="0"/>
          <w:w w:val="100"/>
          <w:position w:val="0"/>
        </w:rPr>
        <w:t>97.43%</w:t>
      </w:r>
      <w:r>
        <w:rPr>
          <w:color w:val="000000"/>
          <w:spacing w:val="0"/>
          <w:w w:val="100"/>
          <w:position w:val="0"/>
        </w:rPr>
        <w:t>，系</w:t>
      </w:r>
      <w:r>
        <w:rPr>
          <w:rFonts w:ascii="Times New Roman" w:eastAsia="Times New Roman" w:hAnsi="Times New Roman" w:cs="Times New Roman"/>
          <w:color w:val="000000"/>
          <w:spacing w:val="0"/>
          <w:w w:val="100"/>
          <w:position w:val="0"/>
        </w:rPr>
        <w:t>2019</w:t>
      </w:r>
      <w:r>
        <w:rPr>
          <w:color w:val="000000"/>
          <w:spacing w:val="0"/>
          <w:w w:val="100"/>
          <w:position w:val="0"/>
        </w:rPr>
        <w:t>年收回定期存款较大，本年定期存款额度减少所致；投资 活动现金流出同比减少</w:t>
      </w:r>
      <w:r>
        <w:rPr>
          <w:rFonts w:ascii="Times New Roman" w:eastAsia="Times New Roman" w:hAnsi="Times New Roman" w:cs="Times New Roman"/>
          <w:color w:val="000000"/>
          <w:spacing w:val="0"/>
          <w:w w:val="100"/>
          <w:position w:val="0"/>
        </w:rPr>
        <w:t>33.04%</w:t>
      </w:r>
      <w:r>
        <w:rPr>
          <w:color w:val="000000"/>
          <w:spacing w:val="0"/>
          <w:w w:val="100"/>
          <w:position w:val="0"/>
        </w:rPr>
        <w:t>，系本报告期购置固定资产、无形资产较上期减少所致，从而导致投资活动 现金流量净额同比减少</w:t>
      </w:r>
      <w:r>
        <w:rPr>
          <w:rFonts w:ascii="Times New Roman" w:eastAsia="Times New Roman" w:hAnsi="Times New Roman" w:cs="Times New Roman"/>
          <w:color w:val="000000"/>
          <w:spacing w:val="0"/>
          <w:w w:val="100"/>
          <w:position w:val="0"/>
        </w:rPr>
        <w:t>99.61%</w:t>
      </w:r>
      <w:r>
        <w:rPr>
          <w:color w:val="000000"/>
          <w:spacing w:val="0"/>
          <w:w w:val="100"/>
          <w:position w:val="0"/>
        </w:rPr>
        <w:t>。</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筹资活动现金流出本年同比增加</w:t>
      </w:r>
      <w:r>
        <w:rPr>
          <w:rFonts w:ascii="Times New Roman" w:eastAsia="Times New Roman" w:hAnsi="Times New Roman" w:cs="Times New Roman"/>
          <w:color w:val="000000"/>
          <w:spacing w:val="0"/>
          <w:w w:val="100"/>
          <w:position w:val="0"/>
        </w:rPr>
        <w:t>342.13%</w:t>
      </w:r>
      <w:r>
        <w:rPr>
          <w:color w:val="000000"/>
          <w:spacing w:val="0"/>
          <w:w w:val="100"/>
          <w:position w:val="0"/>
        </w:rPr>
        <w:t>，系向银行贷款本年归还所致。从而导致筹资活动产生的现 金流量净额同比减少</w:t>
      </w:r>
      <w:r>
        <w:rPr>
          <w:rFonts w:ascii="Times New Roman" w:eastAsia="Times New Roman" w:hAnsi="Times New Roman" w:cs="Times New Roman"/>
          <w:color w:val="000000"/>
          <w:spacing w:val="0"/>
          <w:w w:val="100"/>
          <w:position w:val="0"/>
        </w:rPr>
        <w:t>150.31%</w:t>
      </w:r>
      <w:r>
        <w:rPr>
          <w:color w:val="000000"/>
          <w:spacing w:val="0"/>
          <w:w w:val="100"/>
          <w:position w:val="0"/>
        </w:rPr>
        <w:t>。</w:t>
      </w:r>
    </w:p>
    <w:p>
      <w:pPr>
        <w:pStyle w:val="Style47"/>
        <w:keepNext w:val="0"/>
        <w:keepLines w:val="0"/>
        <w:widowControl w:val="0"/>
        <w:shd w:val="clear" w:color="auto" w:fill="auto"/>
        <w:bidi w:val="0"/>
        <w:spacing w:before="0" w:after="200" w:line="467" w:lineRule="exact"/>
        <w:ind w:left="0" w:right="0" w:firstLine="440"/>
        <w:jc w:val="both"/>
      </w:pPr>
      <w:r>
        <w:rPr>
          <w:color w:val="000000"/>
          <w:spacing w:val="0"/>
          <w:w w:val="100"/>
          <w:position w:val="0"/>
        </w:rPr>
        <w:t>基于上述情况，本公司报告期内现金及现金等价物净增加额同比减少</w:t>
      </w:r>
      <w:r>
        <w:rPr>
          <w:rFonts w:ascii="Times New Roman" w:eastAsia="Times New Roman" w:hAnsi="Times New Roman" w:cs="Times New Roman"/>
          <w:color w:val="000000"/>
          <w:spacing w:val="0"/>
          <w:w w:val="100"/>
          <w:position w:val="0"/>
        </w:rPr>
        <w:t>117.34%</w:t>
      </w:r>
      <w:r>
        <w:rPr>
          <w:color w:val="000000"/>
          <w:spacing w:val="0"/>
          <w:w w:val="100"/>
          <w:position w:val="0"/>
        </w:rPr>
        <w:t>。</w:t>
      </w: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报告期内公司经营活动产生的现金净流量与本年度净利润存在重大差异的原因说明</w:t>
      </w:r>
    </w:p>
    <w:p>
      <w:pPr>
        <w:pStyle w:val="Style35"/>
        <w:keepNext w:val="0"/>
        <w:keepLines w:val="0"/>
        <w:widowControl w:val="0"/>
        <w:shd w:val="clear" w:color="auto" w:fill="auto"/>
        <w:bidi w:val="0"/>
        <w:spacing w:before="0" w:after="0" w:line="5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440" w:line="466" w:lineRule="exact"/>
        <w:ind w:left="0" w:right="0" w:firstLine="440"/>
        <w:jc w:val="both"/>
      </w:pPr>
      <w:r>
        <w:rPr>
          <w:color w:val="000000"/>
          <w:spacing w:val="0"/>
          <w:w w:val="100"/>
          <w:position w:val="0"/>
        </w:rPr>
        <w:t>报告期内公司经营活动产生的现金净流量与本年度净利润存在重大差异，是由于受疫情影响导致部分 项目回款情况较差，同时采购原材料及劳务支付的采购成本增加，以及根据公司战略规划进行的研发行为 投入大幅增加所致。</w:t>
      </w:r>
    </w:p>
    <w:p>
      <w:pPr>
        <w:pStyle w:val="Style33"/>
        <w:keepNext/>
        <w:keepLines/>
        <w:widowControl w:val="0"/>
        <w:shd w:val="clear" w:color="auto" w:fill="auto"/>
        <w:bidi w:val="0"/>
        <w:spacing w:before="0" w:after="340" w:line="240" w:lineRule="auto"/>
        <w:ind w:left="0" w:right="0" w:firstLine="0"/>
        <w:jc w:val="left"/>
      </w:pPr>
      <w:bookmarkStart w:id="205" w:name="bookmark205"/>
      <w:bookmarkStart w:id="206" w:name="bookmark206"/>
      <w:bookmarkStart w:id="207" w:name="bookmark207"/>
      <w:bookmarkStart w:id="208" w:name="bookmark208"/>
      <w:r>
        <w:rPr>
          <w:color w:val="000000"/>
          <w:spacing w:val="0"/>
          <w:w w:val="100"/>
          <w:position w:val="0"/>
          <w:sz w:val="24"/>
          <w:szCs w:val="24"/>
        </w:rPr>
        <w:t>三</w:t>
      </w:r>
      <w:bookmarkEnd w:id="207"/>
      <w:r>
        <w:rPr>
          <w:color w:val="000000"/>
          <w:spacing w:val="0"/>
          <w:w w:val="100"/>
          <w:position w:val="0"/>
          <w:sz w:val="24"/>
          <w:szCs w:val="24"/>
        </w:rPr>
        <w:t>、非主营业务情况</w:t>
      </w:r>
      <w:bookmarkEnd w:id="205"/>
      <w:bookmarkEnd w:id="206"/>
      <w:bookmarkEnd w:id="208"/>
    </w:p>
    <w:p>
      <w:pPr>
        <w:pStyle w:val="Style35"/>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531"/>
        <w:gridCol w:w="1915"/>
        <w:gridCol w:w="1622"/>
        <w:gridCol w:w="2165"/>
        <w:gridCol w:w="2352"/>
      </w:tblGrid>
      <w:tr>
        <w:trPr>
          <w:trHeight w:val="418" w:hRule="exact"/>
        </w:trPr>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占利润总额比例</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形成原因说明</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是否具有可持续性</w:t>
            </w:r>
          </w:p>
        </w:tc>
      </w:tr>
    </w:tbl>
    <w:p>
      <w:pPr>
        <w:spacing w:lineRule="exact" w:line="1"/>
        <w:rPr>
          <w:sz w:val="2"/>
          <w:szCs w:val="2"/>
        </w:rPr>
      </w:pPr>
      <w:r>
        <w:br w:type="page"/>
      </w:r>
    </w:p>
    <w:tbl>
      <w:tblPr>
        <w:tblOverlap w:val="never"/>
        <w:jc w:val="center"/>
        <w:tblLayout w:type="fixed"/>
      </w:tblPr>
      <w:tblGrid>
        <w:gridCol w:w="1531"/>
        <w:gridCol w:w="1915"/>
        <w:gridCol w:w="1622"/>
        <w:gridCol w:w="2165"/>
        <w:gridCol w:w="2352"/>
      </w:tblGrid>
      <w:tr>
        <w:trPr>
          <w:trHeight w:val="103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对联营企业中钞科信本期 净利润按照权益法核算的 报表合并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资产减值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存货计提的减值准备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60,800.59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15,102.79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10,462,351.89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由政府补助形成</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bl>
    <w:p>
      <w:pPr>
        <w:widowControl w:val="0"/>
        <w:spacing w:after="339" w:line="1" w:lineRule="exact"/>
      </w:pPr>
    </w:p>
    <w:p>
      <w:pPr>
        <w:pStyle w:val="Style33"/>
        <w:keepNext/>
        <w:keepLines/>
        <w:widowControl w:val="0"/>
        <w:shd w:val="clear" w:color="auto" w:fill="auto"/>
        <w:bidi w:val="0"/>
        <w:spacing w:before="0" w:after="340" w:line="240" w:lineRule="auto"/>
        <w:ind w:left="0" w:right="0" w:firstLine="0"/>
        <w:jc w:val="left"/>
      </w:pPr>
      <w:bookmarkStart w:id="209" w:name="bookmark209"/>
      <w:bookmarkStart w:id="210" w:name="bookmark210"/>
      <w:bookmarkStart w:id="211" w:name="bookmark211"/>
      <w:bookmarkStart w:id="212" w:name="bookmark212"/>
      <w:r>
        <w:rPr>
          <w:color w:val="000000"/>
          <w:spacing w:val="0"/>
          <w:w w:val="100"/>
          <w:position w:val="0"/>
          <w:sz w:val="24"/>
          <w:szCs w:val="24"/>
        </w:rPr>
        <w:t>四</w:t>
      </w:r>
      <w:bookmarkEnd w:id="211"/>
      <w:r>
        <w:rPr>
          <w:color w:val="000000"/>
          <w:spacing w:val="0"/>
          <w:w w:val="100"/>
          <w:position w:val="0"/>
          <w:sz w:val="24"/>
          <w:szCs w:val="24"/>
        </w:rPr>
        <w:t>、资产及负债状况分析</w:t>
      </w:r>
      <w:bookmarkEnd w:id="209"/>
      <w:bookmarkEnd w:id="210"/>
      <w:bookmarkEnd w:id="212"/>
    </w:p>
    <w:p>
      <w:pPr>
        <w:pStyle w:val="Style44"/>
        <w:keepNext/>
        <w:keepLines/>
        <w:widowControl w:val="0"/>
        <w:shd w:val="clear" w:color="auto" w:fill="auto"/>
        <w:bidi w:val="0"/>
        <w:spacing w:before="0" w:line="240" w:lineRule="auto"/>
        <w:ind w:left="0" w:right="0" w:firstLine="0"/>
        <w:jc w:val="left"/>
      </w:pPr>
      <w:bookmarkStart w:id="213" w:name="bookmark213"/>
      <w:bookmarkStart w:id="214" w:name="bookmark214"/>
      <w:bookmarkStart w:id="215" w:name="bookmark215"/>
      <w:bookmarkStart w:id="216" w:name="bookmark216"/>
      <w:r>
        <w:rPr>
          <w:rFonts w:ascii="Times New Roman" w:eastAsia="Times New Roman" w:hAnsi="Times New Roman" w:cs="Times New Roman"/>
          <w:color w:val="000000"/>
          <w:spacing w:val="0"/>
          <w:w w:val="100"/>
          <w:position w:val="0"/>
        </w:rPr>
        <w:t>1</w:t>
      </w:r>
      <w:bookmarkEnd w:id="215"/>
      <w:r>
        <w:rPr>
          <w:color w:val="000000"/>
          <w:spacing w:val="0"/>
          <w:w w:val="100"/>
          <w:position w:val="0"/>
        </w:rPr>
        <w:t>、资产构成重大变动情况</w:t>
      </w:r>
      <w:bookmarkEnd w:id="213"/>
      <w:bookmarkEnd w:id="214"/>
      <w:bookmarkEnd w:id="216"/>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年起首次执行新收入准则或新租赁准则且调整执行当年年初财务报表相关项目</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适用</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166"/>
        <w:gridCol w:w="1061"/>
        <w:gridCol w:w="1200"/>
        <w:gridCol w:w="1061"/>
        <w:gridCol w:w="797"/>
        <w:gridCol w:w="2928"/>
      </w:tblGrid>
      <w:tr>
        <w:trPr>
          <w:trHeight w:val="408" w:hRule="exact"/>
        </w:trPr>
        <w:tc>
          <w:tcPr>
            <w:vMerge w:val="restart"/>
            <w:tcBorders>
              <w:top w:val="single" w:sz="4"/>
              <w:left w:val="single" w:sz="4"/>
            </w:tcBorders>
            <w:shd w:val="clear" w:color="auto" w:fill="D4D4D4"/>
            <w:vAlign w:val="top"/>
          </w:tcPr>
          <w:p>
            <w:pPr>
              <w:widowControl w:val="0"/>
              <w:rPr>
                <w:sz w:val="10"/>
                <w:szCs w:val="10"/>
              </w:rPr>
            </w:pP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年末</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年初</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比重增减</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重大变动说明</w:t>
            </w:r>
          </w:p>
        </w:tc>
      </w:tr>
      <w:tr>
        <w:trPr>
          <w:trHeight w:val="715" w:hRule="exact"/>
        </w:trPr>
        <w:tc>
          <w:tcPr>
            <w:vMerge/>
            <w:tcBorders>
              <w:left w:val="single" w:sz="4"/>
            </w:tcBorders>
            <w:shd w:val="clear" w:color="auto" w:fill="D4D4D4"/>
            <w:vAlign w:val="top"/>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占总资产比 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占总资产比 例</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253,261,079.4</w:t>
            </w:r>
          </w:p>
          <w:p>
            <w:pPr>
              <w:pStyle w:val="Style2"/>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282,924,331.03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32.92%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269,304,389.3</w:t>
            </w:r>
          </w:p>
          <w:p>
            <w:pPr>
              <w:pStyle w:val="Style2"/>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31.05%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234,351,545.52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82,533,222.87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9.52%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115,707,924.01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13.46%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-3.94%</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113,683,562.8</w:t>
            </w:r>
          </w:p>
          <w:p>
            <w:pPr>
              <w:pStyle w:val="Style2"/>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13.11%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107,125,640.14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12.46%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18,653,023.84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19,897,186.21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短期借款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30,040,043.84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3.46%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44"/>
        <w:keepNext/>
        <w:keepLines/>
        <w:widowControl w:val="0"/>
        <w:shd w:val="clear" w:color="auto" w:fill="auto"/>
        <w:bidi w:val="0"/>
        <w:spacing w:before="0" w:line="240" w:lineRule="auto"/>
        <w:ind w:left="0" w:right="0" w:firstLine="0"/>
        <w:jc w:val="left"/>
      </w:pPr>
      <w:bookmarkStart w:id="217" w:name="bookmark217"/>
      <w:bookmarkStart w:id="218" w:name="bookmark218"/>
      <w:bookmarkStart w:id="219" w:name="bookmark219"/>
      <w:bookmarkStart w:id="220" w:name="bookmark220"/>
      <w:r>
        <w:rPr>
          <w:rFonts w:ascii="Times New Roman" w:eastAsia="Times New Roman" w:hAnsi="Times New Roman" w:cs="Times New Roman"/>
          <w:color w:val="000000"/>
          <w:spacing w:val="0"/>
          <w:w w:val="100"/>
          <w:position w:val="0"/>
        </w:rPr>
        <w:t>2</w:t>
      </w:r>
      <w:bookmarkEnd w:id="219"/>
      <w:r>
        <w:rPr>
          <w:color w:val="000000"/>
          <w:spacing w:val="0"/>
          <w:w w:val="100"/>
          <w:position w:val="0"/>
        </w:rPr>
        <w:t>、以公允价值计量的资产和负债</w:t>
      </w:r>
      <w:bookmarkEnd w:id="217"/>
      <w:bookmarkEnd w:id="218"/>
      <w:bookmarkEnd w:id="220"/>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bidi w:val="0"/>
        <w:spacing w:before="0" w:line="240" w:lineRule="auto"/>
        <w:ind w:left="0" w:right="0" w:firstLine="0"/>
        <w:jc w:val="left"/>
      </w:pPr>
      <w:bookmarkStart w:id="221" w:name="bookmark221"/>
      <w:bookmarkStart w:id="222" w:name="bookmark222"/>
      <w:bookmarkStart w:id="223" w:name="bookmark223"/>
      <w:bookmarkStart w:id="224" w:name="bookmark224"/>
      <w:r>
        <w:rPr>
          <w:rFonts w:ascii="Times New Roman" w:eastAsia="Times New Roman" w:hAnsi="Times New Roman" w:cs="Times New Roman"/>
          <w:color w:val="000000"/>
          <w:spacing w:val="0"/>
          <w:w w:val="100"/>
          <w:position w:val="0"/>
        </w:rPr>
        <w:t>3</w:t>
      </w:r>
      <w:bookmarkEnd w:id="223"/>
      <w:r>
        <w:rPr>
          <w:color w:val="000000"/>
          <w:spacing w:val="0"/>
          <w:w w:val="100"/>
          <w:position w:val="0"/>
        </w:rPr>
        <w:t>、截至报告期末的资产权利受限情况</w:t>
      </w:r>
      <w:bookmarkEnd w:id="221"/>
      <w:bookmarkEnd w:id="222"/>
      <w:bookmarkEnd w:id="224"/>
    </w:p>
    <w:p>
      <w:pPr>
        <w:pStyle w:val="Style47"/>
        <w:keepNext w:val="0"/>
        <w:keepLines w:val="0"/>
        <w:widowControl w:val="0"/>
        <w:shd w:val="clear" w:color="auto" w:fill="auto"/>
        <w:bidi w:val="0"/>
        <w:spacing w:before="0" w:after="340" w:line="240" w:lineRule="auto"/>
        <w:ind w:left="0" w:right="0" w:firstLine="180"/>
        <w:jc w:val="left"/>
      </w:pPr>
      <w:r>
        <w:rPr>
          <w:color w:val="000000"/>
          <w:spacing w:val="0"/>
          <w:w w:val="100"/>
          <w:position w:val="0"/>
        </w:rPr>
        <w:t>本公司截至报告期末履约保证金存款</w:t>
      </w:r>
      <w:r>
        <w:rPr>
          <w:rFonts w:ascii="Times New Roman" w:eastAsia="Times New Roman" w:hAnsi="Times New Roman" w:cs="Times New Roman"/>
          <w:color w:val="000000"/>
          <w:spacing w:val="0"/>
          <w:w w:val="100"/>
          <w:position w:val="0"/>
        </w:rPr>
        <w:t>7,147,906.76</w:t>
      </w:r>
      <w:r>
        <w:rPr>
          <w:color w:val="000000"/>
          <w:spacing w:val="0"/>
          <w:w w:val="100"/>
          <w:position w:val="0"/>
        </w:rPr>
        <w:t>元，其使用受到限制。</w:t>
      </w:r>
    </w:p>
    <w:p>
      <w:pPr>
        <w:pStyle w:val="Style33"/>
        <w:keepNext/>
        <w:keepLines/>
        <w:widowControl w:val="0"/>
        <w:shd w:val="clear" w:color="auto" w:fill="auto"/>
        <w:bidi w:val="0"/>
        <w:spacing w:before="0" w:after="340" w:line="240" w:lineRule="auto"/>
        <w:ind w:left="0" w:right="0" w:firstLine="0"/>
        <w:jc w:val="left"/>
      </w:pPr>
      <w:bookmarkStart w:id="225" w:name="bookmark225"/>
      <w:bookmarkStart w:id="226" w:name="bookmark226"/>
      <w:bookmarkStart w:id="227" w:name="bookmark227"/>
      <w:bookmarkStart w:id="228" w:name="bookmark228"/>
      <w:r>
        <w:rPr>
          <w:color w:val="000000"/>
          <w:spacing w:val="0"/>
          <w:w w:val="100"/>
          <w:position w:val="0"/>
          <w:sz w:val="24"/>
          <w:szCs w:val="24"/>
        </w:rPr>
        <w:t>五</w:t>
      </w:r>
      <w:bookmarkEnd w:id="227"/>
      <w:r>
        <w:rPr>
          <w:color w:val="000000"/>
          <w:spacing w:val="0"/>
          <w:w w:val="100"/>
          <w:position w:val="0"/>
          <w:sz w:val="24"/>
          <w:szCs w:val="24"/>
        </w:rPr>
        <w:t>、投资状况分析</w:t>
      </w:r>
      <w:bookmarkEnd w:id="225"/>
      <w:bookmarkEnd w:id="226"/>
      <w:bookmarkEnd w:id="228"/>
    </w:p>
    <w:p>
      <w:pPr>
        <w:pStyle w:val="Style44"/>
        <w:keepNext/>
        <w:keepLines/>
        <w:widowControl w:val="0"/>
        <w:shd w:val="clear" w:color="auto" w:fill="auto"/>
        <w:bidi w:val="0"/>
        <w:spacing w:before="0" w:line="240" w:lineRule="auto"/>
        <w:ind w:left="0" w:right="0" w:firstLine="0"/>
        <w:jc w:val="left"/>
      </w:pPr>
      <w:bookmarkStart w:id="229" w:name="bookmark229"/>
      <w:bookmarkStart w:id="230" w:name="bookmark230"/>
      <w:bookmarkStart w:id="231" w:name="bookmark231"/>
      <w:bookmarkStart w:id="232" w:name="bookmark232"/>
      <w:r>
        <w:rPr>
          <w:rFonts w:ascii="Times New Roman" w:eastAsia="Times New Roman" w:hAnsi="Times New Roman" w:cs="Times New Roman"/>
          <w:color w:val="000000"/>
          <w:spacing w:val="0"/>
          <w:w w:val="100"/>
          <w:position w:val="0"/>
        </w:rPr>
        <w:t>1</w:t>
      </w:r>
      <w:bookmarkEnd w:id="231"/>
      <w:r>
        <w:rPr>
          <w:color w:val="000000"/>
          <w:spacing w:val="0"/>
          <w:w w:val="100"/>
          <w:position w:val="0"/>
        </w:rPr>
        <w:t>、总体情况</w:t>
      </w:r>
      <w:bookmarkEnd w:id="229"/>
      <w:bookmarkEnd w:id="230"/>
      <w:bookmarkEnd w:id="232"/>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tabs>
          <w:tab w:pos="378" w:val="left"/>
        </w:tabs>
        <w:bidi w:val="0"/>
        <w:spacing w:before="0" w:after="360" w:line="240" w:lineRule="auto"/>
        <w:ind w:left="0" w:right="0" w:firstLine="0"/>
        <w:jc w:val="left"/>
      </w:pPr>
      <w:bookmarkStart w:id="233" w:name="bookmark233"/>
      <w:bookmarkStart w:id="234" w:name="bookmark234"/>
      <w:bookmarkStart w:id="235" w:name="bookmark235"/>
      <w:bookmarkStart w:id="236" w:name="bookmark236"/>
      <w:r>
        <w:rPr>
          <w:rFonts w:ascii="Times New Roman" w:eastAsia="Times New Roman" w:hAnsi="Times New Roman" w:cs="Times New Roman"/>
          <w:color w:val="000000"/>
          <w:spacing w:val="0"/>
          <w:w w:val="100"/>
          <w:position w:val="0"/>
        </w:rPr>
        <w:t>2</w:t>
      </w:r>
      <w:bookmarkEnd w:id="235"/>
      <w:r>
        <w:rPr>
          <w:color w:val="000000"/>
          <w:spacing w:val="0"/>
          <w:w w:val="100"/>
          <w:position w:val="0"/>
        </w:rPr>
        <w:t>、</w:t>
        <w:tab/>
        <w:t>报告期内获取的重大的股权投资情况</w:t>
      </w:r>
      <w:bookmarkEnd w:id="233"/>
      <w:bookmarkEnd w:id="234"/>
      <w:bookmarkEnd w:id="236"/>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tabs>
          <w:tab w:pos="378" w:val="left"/>
        </w:tabs>
        <w:bidi w:val="0"/>
        <w:spacing w:before="0" w:after="360" w:line="240" w:lineRule="auto"/>
        <w:ind w:left="0" w:right="0" w:firstLine="0"/>
        <w:jc w:val="left"/>
      </w:pPr>
      <w:bookmarkStart w:id="237" w:name="bookmark237"/>
      <w:bookmarkStart w:id="238" w:name="bookmark238"/>
      <w:bookmarkStart w:id="239" w:name="bookmark239"/>
      <w:bookmarkStart w:id="240" w:name="bookmark240"/>
      <w:r>
        <w:rPr>
          <w:rFonts w:ascii="Times New Roman" w:eastAsia="Times New Roman" w:hAnsi="Times New Roman" w:cs="Times New Roman"/>
          <w:color w:val="000000"/>
          <w:spacing w:val="0"/>
          <w:w w:val="100"/>
          <w:position w:val="0"/>
        </w:rPr>
        <w:t>3</w:t>
      </w:r>
      <w:bookmarkEnd w:id="239"/>
      <w:r>
        <w:rPr>
          <w:color w:val="000000"/>
          <w:spacing w:val="0"/>
          <w:w w:val="100"/>
          <w:position w:val="0"/>
        </w:rPr>
        <w:t>、</w:t>
        <w:tab/>
        <w:t>报告期内正在进行的重大的非股权投资情况</w:t>
      </w:r>
      <w:bookmarkEnd w:id="237"/>
      <w:bookmarkEnd w:id="238"/>
      <w:bookmarkEnd w:id="240"/>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tabs>
          <w:tab w:pos="378" w:val="left"/>
        </w:tabs>
        <w:bidi w:val="0"/>
        <w:spacing w:before="0" w:after="360" w:line="240" w:lineRule="auto"/>
        <w:ind w:left="0" w:right="0" w:firstLine="0"/>
        <w:jc w:val="left"/>
      </w:pPr>
      <w:bookmarkStart w:id="241" w:name="bookmark241"/>
      <w:bookmarkStart w:id="242" w:name="bookmark242"/>
      <w:bookmarkStart w:id="243" w:name="bookmark243"/>
      <w:bookmarkStart w:id="244" w:name="bookmark244"/>
      <w:r>
        <w:rPr>
          <w:rFonts w:ascii="Times New Roman" w:eastAsia="Times New Roman" w:hAnsi="Times New Roman" w:cs="Times New Roman"/>
          <w:color w:val="000000"/>
          <w:spacing w:val="0"/>
          <w:w w:val="100"/>
          <w:position w:val="0"/>
        </w:rPr>
        <w:t>4</w:t>
      </w:r>
      <w:bookmarkEnd w:id="243"/>
      <w:r>
        <w:rPr>
          <w:color w:val="000000"/>
          <w:spacing w:val="0"/>
          <w:w w:val="100"/>
          <w:position w:val="0"/>
        </w:rPr>
        <w:t>、</w:t>
        <w:tab/>
        <w:t>以公允价值计量的金融资产</w:t>
      </w:r>
      <w:bookmarkEnd w:id="241"/>
      <w:bookmarkEnd w:id="242"/>
      <w:bookmarkEnd w:id="244"/>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tabs>
          <w:tab w:pos="378" w:val="left"/>
        </w:tabs>
        <w:bidi w:val="0"/>
        <w:spacing w:before="0" w:after="360" w:line="240" w:lineRule="auto"/>
        <w:ind w:left="0" w:right="0" w:firstLine="0"/>
        <w:jc w:val="left"/>
      </w:pPr>
      <w:bookmarkStart w:id="245" w:name="bookmark245"/>
      <w:bookmarkStart w:id="246" w:name="bookmark246"/>
      <w:bookmarkStart w:id="247" w:name="bookmark247"/>
      <w:bookmarkStart w:id="248" w:name="bookmark248"/>
      <w:r>
        <w:rPr>
          <w:rFonts w:ascii="Times New Roman" w:eastAsia="Times New Roman" w:hAnsi="Times New Roman" w:cs="Times New Roman"/>
          <w:color w:val="000000"/>
          <w:spacing w:val="0"/>
          <w:w w:val="100"/>
          <w:position w:val="0"/>
        </w:rPr>
        <w:t>5</w:t>
      </w:r>
      <w:bookmarkEnd w:id="247"/>
      <w:r>
        <w:rPr>
          <w:color w:val="000000"/>
          <w:spacing w:val="0"/>
          <w:w w:val="100"/>
          <w:position w:val="0"/>
        </w:rPr>
        <w:t>、</w:t>
        <w:tab/>
        <w:t>募集资金使用情况</w:t>
      </w:r>
      <w:bookmarkEnd w:id="245"/>
      <w:bookmarkEnd w:id="246"/>
      <w:bookmarkEnd w:id="248"/>
    </w:p>
    <w:p>
      <w:pPr>
        <w:pStyle w:val="Style35"/>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60"/>
        <w:keepNext/>
        <w:keepLines/>
        <w:widowControl w:val="0"/>
        <w:shd w:val="clear" w:color="auto" w:fill="auto"/>
        <w:bidi w:val="0"/>
        <w:spacing w:before="0" w:line="240" w:lineRule="auto"/>
        <w:ind w:left="0" w:right="0" w:firstLine="0"/>
        <w:jc w:val="both"/>
      </w:pPr>
      <w:bookmarkStart w:id="249" w:name="bookmark249"/>
      <w:bookmarkStart w:id="250" w:name="bookmark250"/>
      <w:bookmarkStart w:id="251" w:name="bookmark251"/>
      <w:bookmarkStart w:id="252" w:name="bookmark252"/>
      <w:r>
        <w:rPr>
          <w:color w:val="000000"/>
          <w:spacing w:val="0"/>
          <w:w w:val="100"/>
          <w:position w:val="0"/>
        </w:rPr>
        <w:t>（</w:t>
      </w:r>
      <w:bookmarkEnd w:id="251"/>
      <w:r>
        <w:rPr>
          <w:rFonts w:ascii="Times New Roman" w:eastAsia="Times New Roman" w:hAnsi="Times New Roman" w:cs="Times New Roman"/>
          <w:color w:val="000000"/>
          <w:spacing w:val="0"/>
          <w:w w:val="100"/>
          <w:position w:val="0"/>
        </w:rPr>
        <w:t>1</w:t>
      </w:r>
      <w:r>
        <w:rPr>
          <w:color w:val="000000"/>
          <w:spacing w:val="0"/>
          <w:w w:val="100"/>
          <w:position w:val="0"/>
        </w:rPr>
        <w:t>）募集资金总体使用情况</w:t>
      </w:r>
      <w:bookmarkEnd w:id="249"/>
      <w:bookmarkEnd w:id="250"/>
      <w:bookmarkEnd w:id="252"/>
    </w:p>
    <w:p>
      <w:pPr>
        <w:pStyle w:val="Style35"/>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单位：万元</w:t>
      </w:r>
    </w:p>
    <w:tbl>
      <w:tblPr>
        <w:tblOverlap w:val="never"/>
        <w:jc w:val="center"/>
        <w:tblLayout w:type="fixed"/>
      </w:tblPr>
      <w:tblGrid>
        <w:gridCol w:w="869"/>
        <w:gridCol w:w="874"/>
        <w:gridCol w:w="869"/>
        <w:gridCol w:w="874"/>
        <w:gridCol w:w="864"/>
        <w:gridCol w:w="874"/>
        <w:gridCol w:w="869"/>
        <w:gridCol w:w="869"/>
        <w:gridCol w:w="874"/>
        <w:gridCol w:w="869"/>
        <w:gridCol w:w="878"/>
      </w:tblGrid>
      <w:tr>
        <w:trPr>
          <w:trHeight w:val="1344"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募集年份</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募集方式</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募集资金 总额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本期已使 用募集资 金总额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已累计使 用募集资 金总额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9" w:lineRule="exact"/>
              <w:ind w:left="0" w:right="0" w:firstLine="0"/>
              <w:jc w:val="center"/>
              <w:rPr>
                <w:sz w:val="18"/>
                <w:szCs w:val="18"/>
              </w:rPr>
            </w:pPr>
            <w:r>
              <w:rPr>
                <w:color w:val="000000"/>
                <w:spacing w:val="0"/>
                <w:w w:val="100"/>
                <w:position w:val="0"/>
                <w:sz w:val="18"/>
                <w:szCs w:val="18"/>
              </w:rPr>
              <w:t>报告期内 变更用途 的募集资 金总额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累计变更 用途的募 集资金总</w:t>
            </w:r>
          </w:p>
          <w:p>
            <w:pPr>
              <w:pStyle w:val="Style2"/>
              <w:keepNext w:val="0"/>
              <w:keepLines w:val="0"/>
              <w:widowControl w:val="0"/>
              <w:shd w:val="clear" w:color="auto" w:fill="auto"/>
              <w:bidi w:val="0"/>
              <w:spacing w:before="0" w:after="0" w:line="307" w:lineRule="exact"/>
              <w:ind w:left="0" w:right="0" w:firstLine="340"/>
              <w:jc w:val="left"/>
              <w:rPr>
                <w:sz w:val="18"/>
                <w:szCs w:val="18"/>
              </w:rPr>
            </w:pPr>
            <w:r>
              <w:rPr>
                <w:color w:val="000000"/>
                <w:spacing w:val="0"/>
                <w:w w:val="100"/>
                <w:position w:val="0"/>
                <w:sz w:val="18"/>
                <w:szCs w:val="18"/>
              </w:rPr>
              <w:t>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累计变更 用途的募 集资金总 额比例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尚未使用 募集资金 总额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尚未使用 募集资金 用途及去</w:t>
            </w:r>
          </w:p>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向</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闲置两年 以上募集 资金金额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公开发行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15,755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1,050.54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10,631.86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5,123.14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银行存款</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15,755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1,050.54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10,631.86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5,123.14</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gridSpan w:val="11"/>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募集资金总体使用情况说明</w:t>
            </w:r>
          </w:p>
        </w:tc>
      </w:tr>
      <w:tr>
        <w:trPr>
          <w:trHeight w:val="4349" w:hRule="exact"/>
        </w:trPr>
        <w:tc>
          <w:tcPr>
            <w:gridSpan w:val="11"/>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468" w:lineRule="exact"/>
              <w:ind w:left="0" w:right="0" w:firstLine="480"/>
              <w:jc w:val="both"/>
              <w:rPr>
                <w:sz w:val="18"/>
                <w:szCs w:val="18"/>
              </w:rPr>
            </w:pP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sz w:val="18"/>
                <w:szCs w:val="18"/>
              </w:rPr>
              <w:t>日经《中国证券监督管理委员会关于核准中科院成都信息技术股份有限公司首次公开发行股票的 批复》（证监许可〔</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949</w:t>
            </w:r>
            <w:r>
              <w:rPr>
                <w:color w:val="000000"/>
                <w:spacing w:val="0"/>
                <w:w w:val="100"/>
                <w:position w:val="0"/>
                <w:sz w:val="18"/>
                <w:szCs w:val="18"/>
              </w:rPr>
              <w:t>号）文核准，中科院成都信息技术股份有限公司（以下简称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中科信息</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）获准向社会公众首 次公开发行人民币普通股</w:t>
            </w:r>
            <w:r>
              <w:rPr>
                <w:rFonts w:ascii="Times New Roman" w:eastAsia="Times New Roman" w:hAnsi="Times New Roman" w:cs="Times New Roman"/>
                <w:color w:val="000000"/>
                <w:spacing w:val="0"/>
                <w:w w:val="100"/>
                <w:position w:val="0"/>
                <w:sz w:val="18"/>
                <w:szCs w:val="18"/>
              </w:rPr>
              <w:t>A</w:t>
            </w:r>
            <w:r>
              <w:rPr>
                <w:color w:val="000000"/>
                <w:spacing w:val="0"/>
                <w:w w:val="100"/>
                <w:position w:val="0"/>
                <w:sz w:val="18"/>
                <w:szCs w:val="18"/>
              </w:rPr>
              <w:t>股</w:t>
            </w:r>
            <w:r>
              <w:rPr>
                <w:rFonts w:ascii="Times New Roman" w:eastAsia="Times New Roman" w:hAnsi="Times New Roman" w:cs="Times New Roman"/>
                <w:color w:val="000000"/>
                <w:spacing w:val="0"/>
                <w:w w:val="100"/>
                <w:position w:val="0"/>
                <w:sz w:val="18"/>
                <w:szCs w:val="18"/>
              </w:rPr>
              <w:t>2,500</w:t>
            </w:r>
            <w:r>
              <w:rPr>
                <w:color w:val="000000"/>
                <w:spacing w:val="0"/>
                <w:w w:val="100"/>
                <w:position w:val="0"/>
                <w:sz w:val="18"/>
                <w:szCs w:val="18"/>
              </w:rPr>
              <w:t>万股，每股发行价格为人民币</w:t>
            </w:r>
            <w:r>
              <w:rPr>
                <w:rFonts w:ascii="Times New Roman" w:eastAsia="Times New Roman" w:hAnsi="Times New Roman" w:cs="Times New Roman"/>
                <w:color w:val="000000"/>
                <w:spacing w:val="0"/>
                <w:w w:val="100"/>
                <w:position w:val="0"/>
                <w:sz w:val="18"/>
                <w:szCs w:val="18"/>
              </w:rPr>
              <w:t>7.85</w:t>
            </w:r>
            <w:r>
              <w:rPr>
                <w:color w:val="000000"/>
                <w:spacing w:val="0"/>
                <w:w w:val="100"/>
                <w:position w:val="0"/>
                <w:sz w:val="18"/>
                <w:szCs w:val="18"/>
              </w:rPr>
              <w:t>元，共募集资金合计</w:t>
            </w:r>
            <w:r>
              <w:rPr>
                <w:rFonts w:ascii="Times New Roman" w:eastAsia="Times New Roman" w:hAnsi="Times New Roman" w:cs="Times New Roman"/>
                <w:color w:val="000000"/>
                <w:spacing w:val="0"/>
                <w:w w:val="100"/>
                <w:position w:val="0"/>
                <w:sz w:val="18"/>
                <w:szCs w:val="18"/>
              </w:rPr>
              <w:t>196,250,000.00</w:t>
            </w:r>
            <w:r>
              <w:rPr>
                <w:color w:val="000000"/>
                <w:spacing w:val="0"/>
                <w:w w:val="100"/>
                <w:position w:val="0"/>
                <w:sz w:val="18"/>
                <w:szCs w:val="18"/>
              </w:rPr>
              <w:t>元，扣除发行 费用人民币</w:t>
            </w:r>
            <w:r>
              <w:rPr>
                <w:rFonts w:ascii="Times New Roman" w:eastAsia="Times New Roman" w:hAnsi="Times New Roman" w:cs="Times New Roman"/>
                <w:color w:val="000000"/>
                <w:spacing w:val="0"/>
                <w:w w:val="100"/>
                <w:position w:val="0"/>
                <w:sz w:val="18"/>
                <w:szCs w:val="18"/>
              </w:rPr>
              <w:t>38,700,000.00</w:t>
            </w:r>
            <w:r>
              <w:rPr>
                <w:color w:val="000000"/>
                <w:spacing w:val="0"/>
                <w:w w:val="100"/>
                <w:position w:val="0"/>
                <w:sz w:val="18"/>
                <w:szCs w:val="18"/>
              </w:rPr>
              <w:t>元，实际募集资金为人民币</w:t>
            </w:r>
            <w:r>
              <w:rPr>
                <w:rFonts w:ascii="Times New Roman" w:eastAsia="Times New Roman" w:hAnsi="Times New Roman" w:cs="Times New Roman"/>
                <w:color w:val="000000"/>
                <w:spacing w:val="0"/>
                <w:w w:val="100"/>
                <w:position w:val="0"/>
                <w:sz w:val="18"/>
                <w:szCs w:val="18"/>
              </w:rPr>
              <w:t>157,550,000.00</w:t>
            </w:r>
            <w:r>
              <w:rPr>
                <w:color w:val="000000"/>
                <w:spacing w:val="0"/>
                <w:w w:val="100"/>
                <w:position w:val="0"/>
                <w:sz w:val="18"/>
                <w:szCs w:val="18"/>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募集资金</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，上述募集资金于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 xml:space="preserve">7 </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sz w:val="18"/>
                <w:szCs w:val="18"/>
              </w:rPr>
              <w:t>日到位，业经信永中和会计师事务所验证并出具</w:t>
            </w:r>
            <w:r>
              <w:rPr>
                <w:rFonts w:ascii="Times New Roman" w:eastAsia="Times New Roman" w:hAnsi="Times New Roman" w:cs="Times New Roman"/>
                <w:color w:val="000000"/>
                <w:spacing w:val="0"/>
                <w:w w:val="100"/>
                <w:position w:val="0"/>
                <w:sz w:val="18"/>
                <w:szCs w:val="18"/>
              </w:rPr>
              <w:t>XYZH/2017CDA10397</w:t>
            </w:r>
            <w:r>
              <w:rPr>
                <w:color w:val="000000"/>
                <w:spacing w:val="0"/>
                <w:w w:val="100"/>
                <w:position w:val="0"/>
                <w:sz w:val="18"/>
                <w:szCs w:val="18"/>
              </w:rPr>
              <w:t>验资报告。</w:t>
            </w:r>
          </w:p>
          <w:p>
            <w:pPr>
              <w:pStyle w:val="Style2"/>
              <w:keepNext w:val="0"/>
              <w:keepLines w:val="0"/>
              <w:widowControl w:val="0"/>
              <w:shd w:val="clear" w:color="auto" w:fill="auto"/>
              <w:bidi w:val="0"/>
              <w:spacing w:before="0" w:after="0" w:line="472" w:lineRule="exact"/>
              <w:ind w:left="0" w:right="0" w:firstLine="380"/>
              <w:jc w:val="both"/>
              <w:rPr>
                <w:sz w:val="18"/>
                <w:szCs w:val="18"/>
              </w:rPr>
            </w:pPr>
            <w:r>
              <w:rPr>
                <w:color w:val="000000"/>
                <w:spacing w:val="0"/>
                <w:w w:val="100"/>
                <w:position w:val="0"/>
                <w:sz w:val="18"/>
                <w:szCs w:val="18"/>
              </w:rPr>
              <w:t>二、截至本报告期末，本公司累计使用募集资金人民币</w:t>
            </w:r>
            <w:r>
              <w:rPr>
                <w:rFonts w:ascii="Times New Roman" w:eastAsia="Times New Roman" w:hAnsi="Times New Roman" w:cs="Times New Roman"/>
                <w:color w:val="000000"/>
                <w:spacing w:val="0"/>
                <w:w w:val="100"/>
                <w:position w:val="0"/>
                <w:sz w:val="18"/>
                <w:szCs w:val="18"/>
              </w:rPr>
              <w:t>106,318,634.54</w:t>
            </w:r>
            <w:r>
              <w:rPr>
                <w:color w:val="000000"/>
                <w:spacing w:val="0"/>
                <w:w w:val="100"/>
                <w:position w:val="0"/>
                <w:sz w:val="18"/>
                <w:szCs w:val="18"/>
              </w:rPr>
              <w:t>元，其中：以前年度使用</w:t>
            </w:r>
            <w:r>
              <w:rPr>
                <w:rFonts w:ascii="Times New Roman" w:eastAsia="Times New Roman" w:hAnsi="Times New Roman" w:cs="Times New Roman"/>
                <w:color w:val="000000"/>
                <w:spacing w:val="0"/>
                <w:w w:val="100"/>
                <w:position w:val="0"/>
                <w:sz w:val="18"/>
                <w:szCs w:val="18"/>
              </w:rPr>
              <w:t>3,943,189.35</w:t>
            </w:r>
            <w:r>
              <w:rPr>
                <w:color w:val="000000"/>
                <w:spacing w:val="0"/>
                <w:w w:val="100"/>
                <w:position w:val="0"/>
                <w:sz w:val="18"/>
                <w:szCs w:val="18"/>
              </w:rPr>
              <w:t>元，本 年度使用</w:t>
            </w:r>
            <w:r>
              <w:rPr>
                <w:rFonts w:ascii="Times New Roman" w:eastAsia="Times New Roman" w:hAnsi="Times New Roman" w:cs="Times New Roman"/>
                <w:color w:val="000000"/>
                <w:spacing w:val="0"/>
                <w:w w:val="100"/>
                <w:position w:val="0"/>
                <w:sz w:val="18"/>
                <w:szCs w:val="18"/>
              </w:rPr>
              <w:t>10,505,445.19</w:t>
            </w:r>
            <w:r>
              <w:rPr>
                <w:color w:val="000000"/>
                <w:spacing w:val="0"/>
                <w:w w:val="100"/>
                <w:position w:val="0"/>
                <w:sz w:val="18"/>
                <w:szCs w:val="18"/>
              </w:rPr>
              <w:t>元投入募集资金项目，另闲置募集资金永久补充流动资金</w:t>
            </w:r>
            <w:r>
              <w:rPr>
                <w:rFonts w:ascii="Times New Roman" w:eastAsia="Times New Roman" w:hAnsi="Times New Roman" w:cs="Times New Roman"/>
                <w:color w:val="000000"/>
                <w:spacing w:val="0"/>
                <w:w w:val="100"/>
                <w:position w:val="0"/>
                <w:sz w:val="18"/>
                <w:szCs w:val="18"/>
              </w:rPr>
              <w:t>91,870,000.00</w:t>
            </w:r>
            <w:r>
              <w:rPr>
                <w:color w:val="000000"/>
                <w:spacing w:val="0"/>
                <w:w w:val="100"/>
                <w:position w:val="0"/>
                <w:sz w:val="18"/>
                <w:szCs w:val="18"/>
              </w:rPr>
              <w:t>元。尚未使用募集资金余 额为人民币</w:t>
            </w:r>
            <w:r>
              <w:rPr>
                <w:rFonts w:ascii="Times New Roman" w:eastAsia="Times New Roman" w:hAnsi="Times New Roman" w:cs="Times New Roman"/>
                <w:color w:val="000000"/>
                <w:spacing w:val="0"/>
                <w:w w:val="100"/>
                <w:position w:val="0"/>
                <w:sz w:val="18"/>
                <w:szCs w:val="18"/>
              </w:rPr>
              <w:t>51,231,365.46</w:t>
            </w:r>
            <w:r>
              <w:rPr>
                <w:color w:val="000000"/>
                <w:spacing w:val="0"/>
                <w:w w:val="100"/>
                <w:position w:val="0"/>
                <w:sz w:val="18"/>
                <w:szCs w:val="18"/>
              </w:rPr>
              <w:t>元，募集资金专户余额为人民币</w:t>
            </w:r>
            <w:r>
              <w:rPr>
                <w:rFonts w:ascii="Times New Roman" w:eastAsia="Times New Roman" w:hAnsi="Times New Roman" w:cs="Times New Roman"/>
                <w:color w:val="000000"/>
                <w:spacing w:val="0"/>
                <w:w w:val="100"/>
                <w:position w:val="0"/>
                <w:sz w:val="18"/>
                <w:szCs w:val="18"/>
              </w:rPr>
              <w:t>61,177,300.08</w:t>
            </w:r>
            <w:r>
              <w:rPr>
                <w:color w:val="000000"/>
                <w:spacing w:val="0"/>
                <w:w w:val="100"/>
                <w:position w:val="0"/>
                <w:sz w:val="18"/>
                <w:szCs w:val="18"/>
              </w:rPr>
              <w:t>元，差异金额为人民币</w:t>
            </w:r>
            <w:r>
              <w:rPr>
                <w:rFonts w:ascii="Times New Roman" w:eastAsia="Times New Roman" w:hAnsi="Times New Roman" w:cs="Times New Roman"/>
                <w:color w:val="000000"/>
                <w:spacing w:val="0"/>
                <w:w w:val="100"/>
                <w:position w:val="0"/>
                <w:sz w:val="18"/>
                <w:szCs w:val="18"/>
              </w:rPr>
              <w:t>9,945,934.62</w:t>
            </w:r>
            <w:r>
              <w:rPr>
                <w:color w:val="000000"/>
                <w:spacing w:val="0"/>
                <w:w w:val="100"/>
                <w:position w:val="0"/>
                <w:sz w:val="18"/>
                <w:szCs w:val="18"/>
              </w:rPr>
              <w:t>元，系募集资 金累计利息收入扣除银行手续费支出后的净额。</w:t>
            </w:r>
          </w:p>
        </w:tc>
      </w:tr>
    </w:tbl>
    <w:p>
      <w:pPr>
        <w:spacing w:lineRule="exact" w:line="1"/>
        <w:rPr>
          <w:sz w:val="2"/>
          <w:szCs w:val="2"/>
        </w:rPr>
      </w:pPr>
      <w:r>
        <w:br w:type="page"/>
      </w:r>
    </w:p>
    <w:p>
      <w:pPr>
        <w:pStyle w:val="Style60"/>
        <w:keepNext/>
        <w:keepLines/>
        <w:widowControl w:val="0"/>
        <w:numPr>
          <w:ilvl w:val="0"/>
          <w:numId w:val="31"/>
        </w:numPr>
        <w:shd w:val="clear" w:color="auto" w:fill="auto"/>
        <w:bidi w:val="0"/>
        <w:spacing w:before="0" w:line="240" w:lineRule="auto"/>
        <w:ind w:left="0" w:right="0" w:firstLine="0"/>
        <w:jc w:val="left"/>
      </w:pPr>
      <w:bookmarkStart w:id="253" w:name="bookmark253"/>
      <w:bookmarkStart w:id="254" w:name="bookmark254"/>
      <w:bookmarkStart w:id="255" w:name="bookmark255"/>
      <w:bookmarkStart w:id="256" w:name="bookmark256"/>
      <w:bookmarkEnd w:id="255"/>
      <w:r>
        <w:rPr>
          <w:color w:val="000000"/>
          <w:spacing w:val="0"/>
          <w:w w:val="100"/>
          <w:position w:val="0"/>
        </w:rPr>
        <w:t>募集资金承诺项目情况</w:t>
      </w:r>
      <w:bookmarkEnd w:id="253"/>
      <w:bookmarkEnd w:id="254"/>
      <w:bookmarkEnd w:id="256"/>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寸</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单位：万元</w:t>
      </w:r>
    </w:p>
    <w:tbl>
      <w:tblPr>
        <w:tblOverlap w:val="never"/>
        <w:jc w:val="center"/>
        <w:tblLayout w:type="fixed"/>
      </w:tblPr>
      <w:tblGrid>
        <w:gridCol w:w="730"/>
        <w:gridCol w:w="725"/>
        <w:gridCol w:w="898"/>
        <w:gridCol w:w="893"/>
        <w:gridCol w:w="730"/>
        <w:gridCol w:w="898"/>
        <w:gridCol w:w="898"/>
        <w:gridCol w:w="725"/>
        <w:gridCol w:w="730"/>
        <w:gridCol w:w="898"/>
        <w:gridCol w:w="725"/>
        <w:gridCol w:w="739"/>
      </w:tblGrid>
      <w:tr>
        <w:trPr>
          <w:trHeight w:val="1651"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承诺投 资项目 和超募 资金投</w:t>
            </w:r>
          </w:p>
          <w:p>
            <w:pPr>
              <w:pStyle w:val="Style2"/>
              <w:keepNext w:val="0"/>
              <w:keepLines w:val="0"/>
              <w:widowControl w:val="0"/>
              <w:shd w:val="clear" w:color="auto" w:fill="auto"/>
              <w:bidi w:val="0"/>
              <w:spacing w:before="0" w:after="0" w:line="312" w:lineRule="exact"/>
              <w:ind w:left="0" w:right="0" w:firstLine="280"/>
              <w:jc w:val="left"/>
              <w:rPr>
                <w:sz w:val="18"/>
                <w:szCs w:val="18"/>
              </w:rPr>
            </w:pPr>
            <w:r>
              <w:rPr>
                <w:color w:val="000000"/>
                <w:spacing w:val="0"/>
                <w:w w:val="100"/>
                <w:position w:val="0"/>
                <w:sz w:val="18"/>
                <w:szCs w:val="18"/>
              </w:rPr>
              <w:t>向</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是否已 变更项 目</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含部 分变更</w:t>
            </w: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募集资金 承诺投资 总额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调整后投 资总额</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本报告 期投入 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截至期末 累计投入 金额</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60" w:line="317" w:lineRule="exact"/>
              <w:ind w:left="0" w:right="0" w:firstLine="0"/>
              <w:jc w:val="center"/>
              <w:rPr>
                <w:sz w:val="18"/>
                <w:szCs w:val="18"/>
              </w:rPr>
            </w:pPr>
            <w:r>
              <w:rPr>
                <w:color w:val="000000"/>
                <w:spacing w:val="0"/>
                <w:w w:val="100"/>
                <w:position w:val="0"/>
                <w:sz w:val="18"/>
                <w:szCs w:val="18"/>
              </w:rPr>
              <w:t>截至期末 投资进度</w:t>
            </w:r>
          </w:p>
          <w:p>
            <w:pPr>
              <w:pStyle w:val="Style2"/>
              <w:keepNext w:val="0"/>
              <w:keepLines w:val="0"/>
              <w:widowControl w:val="0"/>
              <w:shd w:val="clear" w:color="auto" w:fill="auto"/>
              <w:bidi w:val="0"/>
              <w:spacing w:before="0" w:after="0" w:line="36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w:t>
            </w:r>
          </w:p>
          <w:p>
            <w:pPr>
              <w:pStyle w:val="Style2"/>
              <w:keepNext w:val="0"/>
              <w:keepLines w:val="0"/>
              <w:widowControl w:val="0"/>
              <w:shd w:val="clear" w:color="auto" w:fill="auto"/>
              <w:bidi w:val="0"/>
              <w:spacing w:before="0" w:after="0" w:line="36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3" w:lineRule="exact"/>
              <w:ind w:left="0" w:right="0" w:firstLine="0"/>
              <w:jc w:val="center"/>
              <w:rPr>
                <w:sz w:val="18"/>
                <w:szCs w:val="18"/>
              </w:rPr>
            </w:pPr>
            <w:r>
              <w:rPr>
                <w:color w:val="000000"/>
                <w:spacing w:val="0"/>
                <w:w w:val="100"/>
                <w:position w:val="0"/>
                <w:sz w:val="18"/>
                <w:szCs w:val="18"/>
              </w:rPr>
              <w:t>项目达 到预定 可使用 状态日 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本报告 期实现 的效益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截止报告 期末累计 实现的效</w:t>
            </w:r>
          </w:p>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是否达 到预计 效益</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项目可 行性是 否发生 重大变</w:t>
            </w:r>
          </w:p>
          <w:p>
            <w:pPr>
              <w:pStyle w:val="Style2"/>
              <w:keepNext w:val="0"/>
              <w:keepLines w:val="0"/>
              <w:widowControl w:val="0"/>
              <w:shd w:val="clear" w:color="auto" w:fill="auto"/>
              <w:bidi w:val="0"/>
              <w:spacing w:before="0" w:after="0" w:line="314" w:lineRule="exact"/>
              <w:ind w:left="0" w:right="0" w:firstLine="260"/>
              <w:jc w:val="left"/>
              <w:rPr>
                <w:sz w:val="18"/>
                <w:szCs w:val="18"/>
              </w:rPr>
            </w:pPr>
            <w:r>
              <w:rPr>
                <w:color w:val="000000"/>
                <w:spacing w:val="0"/>
                <w:w w:val="100"/>
                <w:position w:val="0"/>
                <w:sz w:val="18"/>
                <w:szCs w:val="18"/>
              </w:rPr>
              <w:t>化</w:t>
            </w:r>
          </w:p>
        </w:tc>
      </w:tr>
      <w:tr>
        <w:trPr>
          <w:trHeight w:val="403" w:hRule="exact"/>
        </w:trPr>
        <w:tc>
          <w:tcPr>
            <w:gridSpan w:val="1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承诺投资项目</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数字会 议系列 产品升 级及产 业化项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5,536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2,888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518.36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不适用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高速机 器视觉 技术研 发中心 升级改 造项目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3,662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347.77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不适用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营销服 务网络 建设项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1,680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460.24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不适用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196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rPr>
                <w:sz w:val="18"/>
                <w:szCs w:val="18"/>
              </w:rPr>
            </w:pPr>
            <w:r>
              <w:rPr>
                <w:color w:val="000000"/>
                <w:spacing w:val="0"/>
                <w:w w:val="100"/>
                <w:position w:val="0"/>
                <w:sz w:val="18"/>
                <w:szCs w:val="18"/>
              </w:rPr>
              <w:t>烟草智 能物流 应用系 统升级 开发及 产业化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4,090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不适用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永久补 充流动 资金的 募集资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9,187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不适用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承诺投 资项目 小计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10,237.5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10,631.86</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8" w:hRule="exact"/>
        </w:trPr>
        <w:tc>
          <w:tcPr>
            <w:gridSpan w:val="12"/>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超募资金投向</w:t>
            </w:r>
          </w:p>
        </w:tc>
      </w:tr>
    </w:tbl>
    <w:p>
      <w:pPr>
        <w:sectPr>
          <w:headerReference w:type="default" r:id="rId83"/>
          <w:footerReference w:type="default" r:id="rId84"/>
          <w:headerReference w:type="even" r:id="rId85"/>
          <w:footerReference w:type="even" r:id="rId86"/>
          <w:headerReference w:type="first" r:id="rId87"/>
          <w:footerReference w:type="first" r:id="rId88"/>
          <w:footnotePr>
            <w:pos w:val="pageBottom"/>
            <w:numFmt w:val="decimal"/>
            <w:numRestart w:val="continuous"/>
          </w:footnotePr>
          <w:pgSz w:w="11900" w:h="16840"/>
          <w:pgMar w:top="1321" w:right="577" w:bottom="1427" w:left="551" w:header="0" w:footer="3" w:gutter="0"/>
          <w:cols w:space="720"/>
          <w:noEndnote/>
          <w:titlePg/>
          <w:rtlGutter w:val="0"/>
          <w:docGrid w:linePitch="360"/>
        </w:sectPr>
      </w:pPr>
    </w:p>
    <w:tbl>
      <w:tblPr>
        <w:tblOverlap w:val="never"/>
        <w:jc w:val="center"/>
        <w:tblLayout w:type="fixed"/>
      </w:tblPr>
      <w:tblGrid>
        <w:gridCol w:w="730"/>
        <w:gridCol w:w="725"/>
        <w:gridCol w:w="898"/>
        <w:gridCol w:w="893"/>
        <w:gridCol w:w="730"/>
        <w:gridCol w:w="898"/>
        <w:gridCol w:w="898"/>
        <w:gridCol w:w="725"/>
        <w:gridCol w:w="730"/>
        <w:gridCol w:w="898"/>
        <w:gridCol w:w="725"/>
        <w:gridCol w:w="739"/>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合计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15,755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15,755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10,237.5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10,631.86</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258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未达到 计划进 度或预 计收益 的情况 和原因</w:t>
            </w:r>
          </w:p>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（分具 体项目）</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196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项目可 行性发 生重大 变化的 情况说 明</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39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超募资 金的金 额、用途 及使用 进展情 况</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不适用</w:t>
            </w:r>
          </w:p>
        </w:tc>
      </w:tr>
      <w:tr>
        <w:trPr>
          <w:trHeight w:val="1560" w:hRule="exact"/>
        </w:trPr>
        <w:tc>
          <w:tcPr>
            <w:vMerge/>
            <w:tcBorders>
              <w:left w:val="single" w:sz="4"/>
            </w:tcBorders>
            <w:shd w:val="clear" w:color="auto" w:fill="D4D4D4"/>
            <w:vAlign w:val="center"/>
          </w:tcPr>
          <w:p>
            <w:pPr/>
          </w:p>
        </w:tc>
        <w:tc>
          <w:tcPr>
            <w:gridSpan w:val="11"/>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募集资 金投资 项目实 施地点 变更情 况</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不适用</w:t>
            </w:r>
          </w:p>
        </w:tc>
      </w:tr>
      <w:tr>
        <w:trPr>
          <w:trHeight w:val="403" w:hRule="exact"/>
        </w:trPr>
        <w:tc>
          <w:tcPr>
            <w:vMerge/>
            <w:tcBorders>
              <w:left w:val="single" w:sz="4"/>
            </w:tcBorders>
            <w:shd w:val="clear" w:color="auto" w:fill="D4D4D4"/>
            <w:vAlign w:val="center"/>
          </w:tcPr>
          <w:p>
            <w:pPr/>
          </w:p>
        </w:tc>
        <w:tc>
          <w:tcPr>
            <w:gridSpan w:val="11"/>
            <w:tcBorders>
              <w:top w:val="single" w:sz="4"/>
              <w:left w:val="single" w:sz="4"/>
              <w:right w:val="single" w:sz="4"/>
            </w:tcBorders>
            <w:shd w:val="clear" w:color="auto" w:fill="FFFFFF"/>
            <w:vAlign w:val="top"/>
          </w:tcPr>
          <w:p>
            <w:pPr>
              <w:widowControl w:val="0"/>
              <w:rPr>
                <w:sz w:val="10"/>
                <w:szCs w:val="10"/>
              </w:rPr>
            </w:pPr>
          </w:p>
        </w:tc>
      </w:tr>
      <w:tr>
        <w:trPr>
          <w:trHeight w:val="1157" w:hRule="exact"/>
        </w:trPr>
        <w:tc>
          <w:tcPr>
            <w:vMerge/>
            <w:tcBorders>
              <w:left w:val="single" w:sz="4"/>
            </w:tcBorders>
            <w:shd w:val="clear" w:color="auto" w:fill="D4D4D4"/>
            <w:vAlign w:val="center"/>
          </w:tcPr>
          <w:p>
            <w:pPr/>
          </w:p>
        </w:tc>
        <w:tc>
          <w:tcPr>
            <w:gridSpan w:val="11"/>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募集资 金投资 项目实 施方式 调整情 况</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适用</w:t>
            </w:r>
          </w:p>
        </w:tc>
      </w:tr>
      <w:tr>
        <w:trPr>
          <w:trHeight w:val="408" w:hRule="exact"/>
        </w:trPr>
        <w:tc>
          <w:tcPr>
            <w:vMerge/>
            <w:tcBorders>
              <w:left w:val="single" w:sz="4"/>
            </w:tcBorders>
            <w:shd w:val="clear" w:color="auto" w:fill="D4D4D4"/>
            <w:vAlign w:val="center"/>
          </w:tcPr>
          <w:p>
            <w:pP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报告期内发生</w:t>
            </w:r>
          </w:p>
        </w:tc>
      </w:tr>
      <w:tr>
        <w:trPr>
          <w:trHeight w:val="1152" w:hRule="exact"/>
        </w:trPr>
        <w:tc>
          <w:tcPr>
            <w:vMerge/>
            <w:tcBorders>
              <w:left w:val="single" w:sz="4"/>
            </w:tcBorders>
            <w:shd w:val="clear" w:color="auto" w:fill="D4D4D4"/>
            <w:vAlign w:val="center"/>
          </w:tcPr>
          <w:p>
            <w:pP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日，召开第三届董事会第十二次会议、第三届监事会第十次会议，分别审议通过了《关于变更部 分募集资金投资项目实施主体的议案》，募集资金投资项目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高速机器视觉技术研发中心升级改造</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的实施主体由 公司变更为全资子公司成都中科信息技术有限公司，不作募集资金用途的变更。</w:t>
            </w:r>
          </w:p>
        </w:tc>
      </w:tr>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募集资 金投资 项目先 期投入 及置换 情况</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不适用</w:t>
            </w:r>
          </w:p>
        </w:tc>
      </w:tr>
      <w:tr>
        <w:trPr>
          <w:trHeight w:val="1565" w:hRule="exact"/>
        </w:trPr>
        <w:tc>
          <w:tcPr>
            <w:vMerge/>
            <w:tcBorders>
              <w:left w:val="single" w:sz="4"/>
            </w:tcBorders>
            <w:shd w:val="clear" w:color="auto" w:fill="D4D4D4"/>
            <w:vAlign w:val="center"/>
          </w:tcPr>
          <w:p>
            <w:pPr/>
          </w:p>
        </w:tc>
        <w:tc>
          <w:tcPr>
            <w:gridSpan w:val="11"/>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用闲置</w:t>
            </w:r>
          </w:p>
        </w:tc>
        <w:tc>
          <w:tcPr>
            <w:gridSpan w:val="11"/>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不适用</w:t>
            </w:r>
          </w:p>
        </w:tc>
      </w:tr>
    </w:tbl>
    <w:p>
      <w:pPr>
        <w:spacing w:lineRule="exact" w:line="1"/>
        <w:rPr>
          <w:sz w:val="2"/>
          <w:szCs w:val="2"/>
        </w:rPr>
      </w:pPr>
      <w:r>
        <w:br w:type="page"/>
      </w:r>
    </w:p>
    <w:tbl>
      <w:tblPr>
        <w:tblOverlap w:val="never"/>
        <w:jc w:val="left"/>
        <w:tblLayout w:type="fixed"/>
      </w:tblPr>
      <w:tblGrid>
        <w:gridCol w:w="730"/>
        <w:gridCol w:w="8856"/>
      </w:tblGrid>
      <w:tr>
        <w:trPr>
          <w:trHeight w:val="161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募集资 金暂时 补充流 动资金 情况</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项目实 施出现 募集资 金结余 的金额 及原因</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不适用</w:t>
            </w:r>
          </w:p>
        </w:tc>
      </w:tr>
      <w:tr>
        <w:trPr>
          <w:trHeight w:val="1555" w:hRule="exact"/>
        </w:trPr>
        <w:tc>
          <w:tcPr>
            <w:vMerge/>
            <w:tcBorders>
              <w:left w:val="single" w:sz="4"/>
            </w:tcBorders>
            <w:shd w:val="clear" w:color="auto" w:fill="D4D4D4"/>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1656"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尚未使 用的募 集资金 用途及 去向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尚未使用的募集资金均存放于公司募集资金专户中。</w:t>
            </w:r>
          </w:p>
        </w:tc>
      </w:tr>
      <w:tr>
        <w:trPr>
          <w:trHeight w:val="228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募集资 金使用 及披露 中存在 的问题 或其他 情况</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bl>
    <w:p>
      <w:pPr>
        <w:widowControl w:val="0"/>
        <w:spacing w:after="339" w:line="1" w:lineRule="exact"/>
      </w:pPr>
    </w:p>
    <w:p>
      <w:pPr>
        <w:pStyle w:val="Style60"/>
        <w:keepNext/>
        <w:keepLines/>
        <w:widowControl w:val="0"/>
        <w:numPr>
          <w:ilvl w:val="0"/>
          <w:numId w:val="31"/>
        </w:numPr>
        <w:shd w:val="clear" w:color="auto" w:fill="auto"/>
        <w:bidi w:val="0"/>
        <w:spacing w:before="0" w:after="340" w:line="240" w:lineRule="auto"/>
        <w:ind w:left="0" w:right="0" w:firstLine="140"/>
        <w:jc w:val="left"/>
      </w:pPr>
      <w:bookmarkStart w:id="257" w:name="bookmark257"/>
      <w:bookmarkStart w:id="258" w:name="bookmark258"/>
      <w:bookmarkStart w:id="259" w:name="bookmark259"/>
      <w:bookmarkStart w:id="260" w:name="bookmark260"/>
      <w:bookmarkEnd w:id="259"/>
      <w:r>
        <w:rPr>
          <w:color w:val="000000"/>
          <w:spacing w:val="0"/>
          <w:w w:val="100"/>
          <w:position w:val="0"/>
        </w:rPr>
        <w:t>募集资金变更项目情况</w:t>
      </w:r>
      <w:bookmarkEnd w:id="257"/>
      <w:bookmarkEnd w:id="258"/>
      <w:bookmarkEnd w:id="260"/>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公司报告期不存在募集资金变更项目情况。</w:t>
      </w:r>
    </w:p>
    <w:p>
      <w:pPr>
        <w:pStyle w:val="Style33"/>
        <w:keepNext/>
        <w:keepLines/>
        <w:widowControl w:val="0"/>
        <w:shd w:val="clear" w:color="auto" w:fill="auto"/>
        <w:tabs>
          <w:tab w:pos="517" w:val="left"/>
        </w:tabs>
        <w:bidi w:val="0"/>
        <w:spacing w:before="0" w:after="340" w:line="240" w:lineRule="auto"/>
        <w:ind w:left="0" w:right="0" w:firstLine="0"/>
        <w:jc w:val="both"/>
      </w:pPr>
      <w:bookmarkStart w:id="261" w:name="bookmark261"/>
      <w:bookmarkStart w:id="262" w:name="bookmark262"/>
      <w:bookmarkStart w:id="263" w:name="bookmark263"/>
      <w:bookmarkStart w:id="264" w:name="bookmark264"/>
      <w:r>
        <w:rPr>
          <w:color w:val="000000"/>
          <w:spacing w:val="0"/>
          <w:w w:val="100"/>
          <w:position w:val="0"/>
          <w:sz w:val="24"/>
          <w:szCs w:val="24"/>
        </w:rPr>
        <w:t>六</w:t>
      </w:r>
      <w:bookmarkEnd w:id="263"/>
      <w:r>
        <w:rPr>
          <w:color w:val="000000"/>
          <w:spacing w:val="0"/>
          <w:w w:val="100"/>
          <w:position w:val="0"/>
          <w:sz w:val="24"/>
          <w:szCs w:val="24"/>
        </w:rPr>
        <w:t>、</w:t>
        <w:tab/>
        <w:t>重大资产和股权出售</w:t>
      </w:r>
      <w:bookmarkEnd w:id="261"/>
      <w:bookmarkEnd w:id="262"/>
      <w:bookmarkEnd w:id="264"/>
    </w:p>
    <w:p>
      <w:pPr>
        <w:pStyle w:val="Style44"/>
        <w:keepNext/>
        <w:keepLines/>
        <w:widowControl w:val="0"/>
        <w:shd w:val="clear" w:color="auto" w:fill="auto"/>
        <w:tabs>
          <w:tab w:pos="407" w:val="left"/>
        </w:tabs>
        <w:bidi w:val="0"/>
        <w:spacing w:before="0" w:line="240" w:lineRule="auto"/>
        <w:ind w:left="0" w:right="0" w:firstLine="0"/>
        <w:jc w:val="both"/>
      </w:pPr>
      <w:bookmarkStart w:id="265" w:name="bookmark265"/>
      <w:bookmarkStart w:id="266" w:name="bookmark266"/>
      <w:bookmarkStart w:id="267" w:name="bookmark267"/>
      <w:bookmarkStart w:id="268" w:name="bookmark268"/>
      <w:r>
        <w:rPr>
          <w:rFonts w:ascii="Times New Roman" w:eastAsia="Times New Roman" w:hAnsi="Times New Roman" w:cs="Times New Roman"/>
          <w:color w:val="000000"/>
          <w:spacing w:val="0"/>
          <w:w w:val="100"/>
          <w:position w:val="0"/>
        </w:rPr>
        <w:t>1</w:t>
      </w:r>
      <w:bookmarkEnd w:id="267"/>
      <w:r>
        <w:rPr>
          <w:color w:val="000000"/>
          <w:spacing w:val="0"/>
          <w:w w:val="100"/>
          <w:position w:val="0"/>
        </w:rPr>
        <w:t>、</w:t>
        <w:tab/>
        <w:t>出售重大资产情况</w:t>
      </w:r>
      <w:bookmarkEnd w:id="265"/>
      <w:bookmarkEnd w:id="266"/>
      <w:bookmarkEnd w:id="268"/>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both"/>
      </w:pPr>
      <w:r>
        <w:rPr>
          <w:color w:val="000000"/>
          <w:spacing w:val="0"/>
          <w:w w:val="100"/>
          <w:position w:val="0"/>
        </w:rPr>
        <w:t>公司报告期未出售重大资产。</w:t>
      </w:r>
    </w:p>
    <w:p>
      <w:pPr>
        <w:pStyle w:val="Style44"/>
        <w:keepNext/>
        <w:keepLines/>
        <w:widowControl w:val="0"/>
        <w:shd w:val="clear" w:color="auto" w:fill="auto"/>
        <w:tabs>
          <w:tab w:pos="407" w:val="left"/>
        </w:tabs>
        <w:bidi w:val="0"/>
        <w:spacing w:before="0" w:line="240" w:lineRule="auto"/>
        <w:ind w:left="0" w:right="0" w:firstLine="0"/>
        <w:jc w:val="both"/>
      </w:pPr>
      <w:bookmarkStart w:id="269" w:name="bookmark269"/>
      <w:bookmarkStart w:id="270" w:name="bookmark270"/>
      <w:bookmarkStart w:id="271" w:name="bookmark271"/>
      <w:bookmarkStart w:id="272" w:name="bookmark272"/>
      <w:r>
        <w:rPr>
          <w:rFonts w:ascii="Times New Roman" w:eastAsia="Times New Roman" w:hAnsi="Times New Roman" w:cs="Times New Roman"/>
          <w:color w:val="000000"/>
          <w:spacing w:val="0"/>
          <w:w w:val="100"/>
          <w:position w:val="0"/>
        </w:rPr>
        <w:t>2</w:t>
      </w:r>
      <w:bookmarkEnd w:id="271"/>
      <w:r>
        <w:rPr>
          <w:color w:val="000000"/>
          <w:spacing w:val="0"/>
          <w:w w:val="100"/>
          <w:position w:val="0"/>
        </w:rPr>
        <w:t>、</w:t>
        <w:tab/>
        <w:t>出售重大股权情况</w:t>
      </w:r>
      <w:bookmarkEnd w:id="269"/>
      <w:bookmarkEnd w:id="270"/>
      <w:bookmarkEnd w:id="272"/>
    </w:p>
    <w:p>
      <w:pPr>
        <w:pStyle w:val="Style35"/>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tabs>
          <w:tab w:pos="522" w:val="left"/>
        </w:tabs>
        <w:bidi w:val="0"/>
        <w:spacing w:before="0" w:after="340" w:line="240" w:lineRule="auto"/>
        <w:ind w:left="0" w:right="0" w:firstLine="0"/>
        <w:jc w:val="both"/>
      </w:pPr>
      <w:bookmarkStart w:id="273" w:name="bookmark273"/>
      <w:bookmarkStart w:id="274" w:name="bookmark274"/>
      <w:bookmarkStart w:id="275" w:name="bookmark275"/>
      <w:bookmarkStart w:id="276" w:name="bookmark276"/>
      <w:r>
        <w:rPr>
          <w:color w:val="000000"/>
          <w:spacing w:val="0"/>
          <w:w w:val="100"/>
          <w:position w:val="0"/>
          <w:sz w:val="24"/>
          <w:szCs w:val="24"/>
        </w:rPr>
        <w:t>七</w:t>
      </w:r>
      <w:bookmarkEnd w:id="275"/>
      <w:r>
        <w:rPr>
          <w:color w:val="000000"/>
          <w:spacing w:val="0"/>
          <w:w w:val="100"/>
          <w:position w:val="0"/>
          <w:sz w:val="24"/>
          <w:szCs w:val="24"/>
        </w:rPr>
        <w:t>、</w:t>
        <w:tab/>
        <w:t>主要控股参股公司分析</w:t>
      </w:r>
      <w:bookmarkEnd w:id="273"/>
      <w:bookmarkEnd w:id="274"/>
      <w:bookmarkEnd w:id="276"/>
    </w:p>
    <w:p>
      <w:pPr>
        <w:pStyle w:val="Style35"/>
        <w:keepNext w:val="0"/>
        <w:keepLines w:val="0"/>
        <w:widowControl w:val="0"/>
        <w:shd w:val="clear" w:color="auto" w:fill="auto"/>
        <w:bidi w:val="0"/>
        <w:spacing w:before="0" w:after="340" w:line="240" w:lineRule="auto"/>
        <w:ind w:left="0" w:right="0" w:firstLine="0"/>
        <w:jc w:val="both"/>
        <w:sectPr>
          <w:headerReference w:type="default" r:id="rId89"/>
          <w:footerReference w:type="default" r:id="rId90"/>
          <w:headerReference w:type="even" r:id="rId91"/>
          <w:footerReference w:type="even" r:id="rId92"/>
          <w:headerReference w:type="first" r:id="rId93"/>
          <w:footerReference w:type="first" r:id="rId94"/>
          <w:footnotePr>
            <w:pos w:val="pageBottom"/>
            <w:numFmt w:val="decimal"/>
            <w:numRestart w:val="continuous"/>
          </w:footnotePr>
          <w:pgSz w:w="11900" w:h="16840"/>
          <w:pgMar w:top="1321" w:right="577" w:bottom="1427" w:left="551"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主要子公司及对公司净利润影响达</w:t>
      </w:r>
      <w:r>
        <w:rPr>
          <w:rFonts w:ascii="Times New Roman" w:eastAsia="Times New Roman" w:hAnsi="Times New Roman" w:cs="Times New Roman"/>
          <w:b w:val="0"/>
          <w:bCs w:val="0"/>
          <w:color w:val="000000"/>
          <w:spacing w:val="0"/>
          <w:w w:val="100"/>
          <w:position w:val="0"/>
          <w:sz w:val="18"/>
          <w:szCs w:val="18"/>
        </w:rPr>
        <w:t>10%</w:t>
      </w:r>
      <w:r>
        <w:rPr>
          <w:b w:val="0"/>
          <w:bCs w:val="0"/>
          <w:color w:val="000000"/>
          <w:spacing w:val="0"/>
          <w:w w:val="100"/>
          <w:position w:val="0"/>
          <w:sz w:val="18"/>
          <w:szCs w:val="18"/>
        </w:rPr>
        <w:t>以上的参股公司情况</w:t>
      </w:r>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061"/>
        <w:gridCol w:w="1200"/>
        <w:gridCol w:w="1042"/>
        <w:gridCol w:w="1046"/>
        <w:gridCol w:w="1042"/>
        <w:gridCol w:w="1046"/>
        <w:gridCol w:w="1046"/>
        <w:gridCol w:w="1042"/>
        <w:gridCol w:w="1061"/>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公司名称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公司类型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主要业务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注册资本</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总资产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净资产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140" w:firstLine="0"/>
              <w:jc w:val="right"/>
              <w:rPr>
                <w:sz w:val="18"/>
                <w:szCs w:val="18"/>
              </w:rPr>
            </w:pPr>
            <w:r>
              <w:rPr>
                <w:color w:val="000000"/>
                <w:spacing w:val="0"/>
                <w:w w:val="100"/>
                <w:position w:val="0"/>
                <w:sz w:val="18"/>
                <w:szCs w:val="18"/>
              </w:rPr>
              <w:t>营业收入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营业利润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净利润</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成都中科信 息技术有限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left"/>
              <w:rPr>
                <w:sz w:val="18"/>
                <w:szCs w:val="18"/>
              </w:rPr>
            </w:pPr>
            <w:r>
              <w:rPr>
                <w:color w:val="000000"/>
                <w:spacing w:val="0"/>
                <w:w w:val="100"/>
                <w:position w:val="0"/>
                <w:sz w:val="18"/>
                <w:szCs w:val="18"/>
              </w:rPr>
              <w:t>信息系统集 成，技术开 发及技术服 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60,000,000.0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138,639,505.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98,890,924.3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100,199,410.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11,474,475.5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10,605,271.5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r>
      <w:tr>
        <w:trPr>
          <w:trHeight w:val="165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深圳市中钞</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科信金融科</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参股公司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金融领域信 息系统集 成，技术开 发及技术服 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50,000,000.0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437,158,326.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284,208,907.</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136,075,184.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29,827,928.2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26,394,806.8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bl>
    <w:p>
      <w:pPr>
        <w:pStyle w:val="Style41"/>
        <w:keepNext w:val="0"/>
        <w:keepLines w:val="0"/>
        <w:widowControl w:val="0"/>
        <w:shd w:val="clear" w:color="auto" w:fill="auto"/>
        <w:bidi w:val="0"/>
        <w:spacing w:before="0" w:after="120" w:line="240" w:lineRule="auto"/>
        <w:ind w:left="0" w:right="0" w:firstLine="0"/>
        <w:jc w:val="left"/>
        <w:rPr>
          <w:sz w:val="18"/>
          <w:szCs w:val="18"/>
        </w:rPr>
      </w:pPr>
      <w:r>
        <w:rPr>
          <w:b w:val="0"/>
          <w:bCs w:val="0"/>
          <w:color w:val="000000"/>
          <w:spacing w:val="0"/>
          <w:w w:val="100"/>
          <w:position w:val="0"/>
          <w:sz w:val="18"/>
          <w:szCs w:val="18"/>
        </w:rPr>
        <w:t>报告期内取得和处置子公司的情况</w:t>
      </w:r>
    </w:p>
    <w:p>
      <w:pPr>
        <w:pStyle w:val="Style41"/>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w:t>
      </w:r>
      <w:r>
        <w:rPr>
          <w:b w:val="0"/>
          <w:bCs w:val="0"/>
          <w:color w:val="000000"/>
          <w:spacing w:val="0"/>
          <w:w w:val="100"/>
          <w:position w:val="0"/>
          <w:sz w:val="18"/>
          <w:szCs w:val="18"/>
        </w:rPr>
        <w:t>适用</w:t>
      </w: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不适用</w:t>
      </w:r>
    </w:p>
    <w:p>
      <w:pPr>
        <w:pStyle w:val="Style41"/>
        <w:keepNext w:val="0"/>
        <w:keepLines w:val="0"/>
        <w:widowControl w:val="0"/>
        <w:shd w:val="clear" w:color="auto" w:fill="auto"/>
        <w:bidi w:val="0"/>
        <w:spacing w:before="0" w:after="120" w:line="240" w:lineRule="auto"/>
        <w:ind w:left="0" w:right="0" w:firstLine="0"/>
        <w:jc w:val="left"/>
        <w:rPr>
          <w:sz w:val="18"/>
          <w:szCs w:val="18"/>
        </w:rPr>
      </w:pPr>
      <w:r>
        <w:rPr>
          <w:b w:val="0"/>
          <w:bCs w:val="0"/>
          <w:color w:val="000000"/>
          <w:spacing w:val="0"/>
          <w:w w:val="100"/>
          <w:position w:val="0"/>
          <w:sz w:val="18"/>
          <w:szCs w:val="18"/>
        </w:rPr>
        <w:t>主要控股参股公司情况说明</w:t>
      </w:r>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成都中科信息技术有限公司成立于</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月，主要目的是承接母公司剥离的涉密类行业信息化解决 方案业务。报告期内，随着国家涉密信息化业务的投入持续加大，公司也实现了营业收入的高速增长，营 业收入较上年同期增长</w:t>
      </w:r>
      <w:r>
        <w:rPr>
          <w:rFonts w:ascii="Times New Roman" w:eastAsia="Times New Roman" w:hAnsi="Times New Roman" w:cs="Times New Roman"/>
          <w:color w:val="000000"/>
          <w:spacing w:val="0"/>
          <w:w w:val="100"/>
          <w:position w:val="0"/>
        </w:rPr>
        <w:t>102.12%</w:t>
      </w:r>
      <w:r>
        <w:rPr>
          <w:color w:val="000000"/>
          <w:spacing w:val="0"/>
          <w:w w:val="100"/>
          <w:position w:val="0"/>
        </w:rPr>
        <w:t>，净利润较上年同期减少</w:t>
      </w:r>
      <w:r>
        <w:rPr>
          <w:rFonts w:ascii="Times New Roman" w:eastAsia="Times New Roman" w:hAnsi="Times New Roman" w:cs="Times New Roman"/>
          <w:color w:val="000000"/>
          <w:spacing w:val="0"/>
          <w:w w:val="100"/>
          <w:position w:val="0"/>
        </w:rPr>
        <w:t>11.45%</w:t>
      </w:r>
      <w:r>
        <w:rPr>
          <w:color w:val="000000"/>
          <w:spacing w:val="0"/>
          <w:w w:val="100"/>
          <w:position w:val="0"/>
        </w:rPr>
        <w:t>。</w:t>
      </w:r>
    </w:p>
    <w:p>
      <w:pPr>
        <w:pStyle w:val="Style47"/>
        <w:keepNext w:val="0"/>
        <w:keepLines w:val="0"/>
        <w:widowControl w:val="0"/>
        <w:shd w:val="clear" w:color="auto" w:fill="auto"/>
        <w:bidi w:val="0"/>
        <w:spacing w:before="0" w:after="420" w:line="466" w:lineRule="exact"/>
        <w:ind w:left="0" w:right="0" w:firstLine="440"/>
        <w:jc w:val="both"/>
      </w:pPr>
      <w:r>
        <w:rPr>
          <w:color w:val="000000"/>
          <w:spacing w:val="0"/>
          <w:w w:val="100"/>
          <w:position w:val="0"/>
        </w:rPr>
        <w:t>深圳市中钞科信金融科技有限公司成立于</w:t>
      </w:r>
      <w:r>
        <w:rPr>
          <w:rFonts w:ascii="Times New Roman" w:eastAsia="Times New Roman" w:hAnsi="Times New Roman" w:cs="Times New Roman"/>
          <w:color w:val="000000"/>
          <w:spacing w:val="0"/>
          <w:w w:val="100"/>
          <w:position w:val="0"/>
        </w:rPr>
        <w:t>2007</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月。主要承揽各大印钞厂印钞检测业务，报告期内， 中钞科信净利润较上期增长</w:t>
      </w:r>
      <w:r>
        <w:rPr>
          <w:rFonts w:ascii="Times New Roman" w:eastAsia="Times New Roman" w:hAnsi="Times New Roman" w:cs="Times New Roman"/>
          <w:color w:val="000000"/>
          <w:spacing w:val="0"/>
          <w:w w:val="100"/>
          <w:position w:val="0"/>
        </w:rPr>
        <w:t>19.31%</w:t>
      </w:r>
      <w:r>
        <w:rPr>
          <w:color w:val="000000"/>
          <w:spacing w:val="0"/>
          <w:w w:val="100"/>
          <w:position w:val="0"/>
        </w:rPr>
        <w:t>,公司对中钞科信投资收益占当期利润总额的比例为</w:t>
      </w:r>
      <w:r>
        <w:rPr>
          <w:rFonts w:ascii="Times New Roman" w:eastAsia="Times New Roman" w:hAnsi="Times New Roman" w:cs="Times New Roman"/>
          <w:color w:val="000000"/>
          <w:spacing w:val="0"/>
          <w:w w:val="100"/>
          <w:position w:val="0"/>
        </w:rPr>
        <w:t>30.23%</w:t>
      </w:r>
      <w:r>
        <w:rPr>
          <w:color w:val="000000"/>
          <w:spacing w:val="0"/>
          <w:w w:val="100"/>
          <w:position w:val="0"/>
        </w:rPr>
        <w:t>。</w:t>
      </w:r>
    </w:p>
    <w:p>
      <w:pPr>
        <w:pStyle w:val="Style33"/>
        <w:keepNext/>
        <w:keepLines/>
        <w:widowControl w:val="0"/>
        <w:shd w:val="clear" w:color="auto" w:fill="auto"/>
        <w:tabs>
          <w:tab w:pos="517" w:val="left"/>
        </w:tabs>
        <w:bidi w:val="0"/>
        <w:spacing w:before="0" w:after="340" w:line="240" w:lineRule="auto"/>
        <w:ind w:left="0" w:right="0" w:firstLine="0"/>
        <w:jc w:val="both"/>
      </w:pPr>
      <w:bookmarkStart w:id="277" w:name="bookmark277"/>
      <w:bookmarkStart w:id="278" w:name="bookmark278"/>
      <w:bookmarkStart w:id="279" w:name="bookmark279"/>
      <w:bookmarkStart w:id="280" w:name="bookmark280"/>
      <w:r>
        <w:rPr>
          <w:color w:val="000000"/>
          <w:spacing w:val="0"/>
          <w:w w:val="100"/>
          <w:position w:val="0"/>
          <w:sz w:val="24"/>
          <w:szCs w:val="24"/>
        </w:rPr>
        <w:t>八</w:t>
      </w:r>
      <w:bookmarkEnd w:id="279"/>
      <w:r>
        <w:rPr>
          <w:color w:val="000000"/>
          <w:spacing w:val="0"/>
          <w:w w:val="100"/>
          <w:position w:val="0"/>
          <w:sz w:val="24"/>
          <w:szCs w:val="24"/>
        </w:rPr>
        <w:t>、</w:t>
        <w:tab/>
        <w:t>公司控制的结构化主体情况</w:t>
      </w:r>
      <w:bookmarkEnd w:id="277"/>
      <w:bookmarkEnd w:id="278"/>
      <w:bookmarkEnd w:id="280"/>
    </w:p>
    <w:p>
      <w:pPr>
        <w:pStyle w:val="Style35"/>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tabs>
          <w:tab w:pos="517" w:val="left"/>
        </w:tabs>
        <w:bidi w:val="0"/>
        <w:spacing w:before="0" w:after="200" w:line="240" w:lineRule="auto"/>
        <w:ind w:left="0" w:right="0" w:firstLine="0"/>
        <w:jc w:val="both"/>
      </w:pPr>
      <w:bookmarkStart w:id="281" w:name="bookmark281"/>
      <w:bookmarkStart w:id="282" w:name="bookmark282"/>
      <w:bookmarkStart w:id="283" w:name="bookmark283"/>
      <w:bookmarkStart w:id="284" w:name="bookmark284"/>
      <w:r>
        <w:rPr>
          <w:color w:val="000000"/>
          <w:spacing w:val="0"/>
          <w:w w:val="100"/>
          <w:position w:val="0"/>
          <w:sz w:val="24"/>
          <w:szCs w:val="24"/>
        </w:rPr>
        <w:t>九</w:t>
      </w:r>
      <w:bookmarkEnd w:id="283"/>
      <w:r>
        <w:rPr>
          <w:color w:val="000000"/>
          <w:spacing w:val="0"/>
          <w:w w:val="100"/>
          <w:position w:val="0"/>
          <w:sz w:val="24"/>
          <w:szCs w:val="24"/>
        </w:rPr>
        <w:t>、</w:t>
        <w:tab/>
        <w:t>公司未来发展的展望</w:t>
      </w:r>
      <w:bookmarkEnd w:id="281"/>
      <w:bookmarkEnd w:id="282"/>
      <w:bookmarkEnd w:id="284"/>
    </w:p>
    <w:p>
      <w:pPr>
        <w:pStyle w:val="Style47"/>
        <w:keepNext w:val="0"/>
        <w:keepLines w:val="0"/>
        <w:widowControl w:val="0"/>
        <w:shd w:val="clear" w:color="auto" w:fill="auto"/>
        <w:bidi w:val="0"/>
        <w:spacing w:before="0" w:after="0" w:line="471" w:lineRule="exact"/>
        <w:ind w:left="0" w:right="0" w:firstLine="420"/>
        <w:jc w:val="left"/>
      </w:pPr>
      <w:bookmarkStart w:id="285" w:name="bookmark285"/>
      <w:r>
        <w:rPr>
          <w:color w:val="000000"/>
          <w:spacing w:val="0"/>
          <w:w w:val="100"/>
          <w:position w:val="0"/>
        </w:rPr>
        <w:t>（</w:t>
      </w:r>
      <w:bookmarkEnd w:id="285"/>
      <w:r>
        <w:rPr>
          <w:color w:val="000000"/>
          <w:spacing w:val="0"/>
          <w:w w:val="100"/>
          <w:position w:val="0"/>
        </w:rPr>
        <w:t>一）公司所处行业竞争格局和趋势</w:t>
      </w:r>
    </w:p>
    <w:p>
      <w:pPr>
        <w:pStyle w:val="Style47"/>
        <w:keepNext w:val="0"/>
        <w:keepLines w:val="0"/>
        <w:widowControl w:val="0"/>
        <w:shd w:val="clear" w:color="auto" w:fill="auto"/>
        <w:bidi w:val="0"/>
        <w:spacing w:before="0" w:after="200" w:line="471" w:lineRule="exact"/>
        <w:ind w:left="0" w:right="0" w:firstLine="440"/>
        <w:jc w:val="both"/>
      </w:pPr>
      <w:r>
        <w:rPr>
          <w:color w:val="000000"/>
          <w:spacing w:val="0"/>
          <w:w w:val="100"/>
          <w:position w:val="0"/>
        </w:rPr>
        <w:t>根据中国证监会发布的《上市公司行业分类指引（</w:t>
      </w:r>
      <w:r>
        <w:rPr>
          <w:rFonts w:ascii="Times New Roman" w:eastAsia="Times New Roman" w:hAnsi="Times New Roman" w:cs="Times New Roman"/>
          <w:color w:val="000000"/>
          <w:spacing w:val="0"/>
          <w:w w:val="100"/>
          <w:position w:val="0"/>
        </w:rPr>
        <w:t>2012</w:t>
      </w:r>
      <w:r>
        <w:rPr>
          <w:color w:val="000000"/>
          <w:spacing w:val="0"/>
          <w:w w:val="100"/>
          <w:position w:val="0"/>
        </w:rPr>
        <w:t>年修订）》，公司主营业务属于</w:t>
      </w:r>
      <w:r>
        <w:rPr>
          <w:rFonts w:ascii="Times New Roman" w:eastAsia="Times New Roman" w:hAnsi="Times New Roman" w:cs="Times New Roman"/>
          <w:color w:val="000000"/>
          <w:spacing w:val="0"/>
          <w:w w:val="100"/>
          <w:position w:val="0"/>
        </w:rPr>
        <w:t>“</w:t>
      </w:r>
      <w:r>
        <w:rPr>
          <w:color w:val="000000"/>
          <w:spacing w:val="0"/>
          <w:w w:val="100"/>
          <w:position w:val="0"/>
        </w:rPr>
        <w:t>软件与信息 技术服务业（分类代码：</w:t>
      </w:r>
      <w:r>
        <w:rPr>
          <w:rFonts w:ascii="Times New Roman" w:eastAsia="Times New Roman" w:hAnsi="Times New Roman" w:cs="Times New Roman"/>
          <w:color w:val="000000"/>
          <w:spacing w:val="0"/>
          <w:w w:val="100"/>
          <w:position w:val="0"/>
        </w:rPr>
        <w:t>I65</w:t>
      </w:r>
      <w:r>
        <w:rPr>
          <w:color w:val="000000"/>
          <w:spacing w:val="0"/>
          <w:w w:val="100"/>
          <w:position w:val="0"/>
        </w:rPr>
        <w:t>）</w:t>
      </w:r>
      <w:r>
        <w:rPr>
          <w:color w:val="000000"/>
          <w:spacing w:val="0"/>
          <w:w w:val="100"/>
          <w:position w:val="0"/>
        </w:rPr>
        <w:t>，面向智慧政务、智能制造、智慧城市、智慧健康四大业务板块，为现场 会议领域、烟草领域、印钞检测领域、油气领域、政府及其他领域的行业客户提供信息化解决方案（包括 软件及硬件）及相关服务。</w:t>
      </w:r>
    </w:p>
    <w:p>
      <w:pPr>
        <w:pStyle w:val="Style47"/>
        <w:keepNext w:val="0"/>
        <w:keepLines w:val="0"/>
        <w:widowControl w:val="0"/>
        <w:numPr>
          <w:ilvl w:val="0"/>
          <w:numId w:val="33"/>
        </w:numPr>
        <w:shd w:val="clear" w:color="auto" w:fill="auto"/>
        <w:bidi w:val="0"/>
        <w:spacing w:before="0" w:after="0" w:line="492" w:lineRule="auto"/>
        <w:ind w:left="0" w:right="0" w:firstLine="440"/>
        <w:jc w:val="both"/>
      </w:pPr>
      <w:bookmarkStart w:id="286" w:name="bookmark286"/>
      <w:bookmarkEnd w:id="286"/>
      <w:r>
        <w:rPr>
          <w:color w:val="000000"/>
          <w:spacing w:val="0"/>
          <w:w w:val="100"/>
          <w:position w:val="0"/>
        </w:rPr>
        <w:t>行业整体竞争状况</w:t>
      </w:r>
    </w:p>
    <w:p>
      <w:pPr>
        <w:pStyle w:val="Style47"/>
        <w:keepNext w:val="0"/>
        <w:keepLines w:val="0"/>
        <w:widowControl w:val="0"/>
        <w:shd w:val="clear" w:color="auto" w:fill="auto"/>
        <w:bidi w:val="0"/>
        <w:spacing w:before="0" w:after="940" w:line="471" w:lineRule="exact"/>
        <w:ind w:left="0" w:right="0" w:firstLine="440"/>
        <w:jc w:val="both"/>
      </w:pPr>
      <w:r>
        <w:rPr>
          <w:color w:val="000000"/>
          <w:spacing w:val="0"/>
          <w:w w:val="100"/>
          <w:position w:val="0"/>
        </w:rPr>
        <w:t>根据国家工信部发布的《</w:t>
      </w:r>
      <w:r>
        <w:rPr>
          <w:rFonts w:ascii="Times New Roman" w:eastAsia="Times New Roman" w:hAnsi="Times New Roman" w:cs="Times New Roman"/>
          <w:color w:val="000000"/>
          <w:spacing w:val="0"/>
          <w:w w:val="100"/>
          <w:position w:val="0"/>
        </w:rPr>
        <w:t>2020</w:t>
      </w:r>
      <w:r>
        <w:rPr>
          <w:color w:val="000000"/>
          <w:spacing w:val="0"/>
          <w:w w:val="100"/>
          <w:position w:val="0"/>
        </w:rPr>
        <w:t>年软件和信息技术服务业统计公报》，我国软件和信息技术服务业持续 恢复，逐步摆脱新冠肺炎疫情负面影响，呈现平稳发展态势。收入和利润均保持较快增长，从业人数稳步 增加</w:t>
      </w:r>
      <w:r>
        <w:rPr>
          <w:rFonts w:ascii="Times New Roman" w:eastAsia="Times New Roman" w:hAnsi="Times New Roman" w:cs="Times New Roman"/>
          <w:color w:val="000000"/>
          <w:spacing w:val="0"/>
          <w:w w:val="100"/>
          <w:position w:val="0"/>
        </w:rPr>
        <w:t>;</w:t>
      </w:r>
      <w:r>
        <w:rPr>
          <w:color w:val="000000"/>
          <w:spacing w:val="0"/>
          <w:w w:val="100"/>
          <w:position w:val="0"/>
        </w:rPr>
        <w:t>信息技术服务加快云化发展，软件应用服务化、平台化趋势明显</w:t>
      </w:r>
      <w:r>
        <w:rPr>
          <w:rFonts w:ascii="Times New Roman" w:eastAsia="Times New Roman" w:hAnsi="Times New Roman" w:cs="Times New Roman"/>
          <w:color w:val="000000"/>
          <w:spacing w:val="0"/>
          <w:w w:val="100"/>
          <w:position w:val="0"/>
        </w:rPr>
        <w:t>;</w:t>
      </w:r>
      <w:r>
        <w:rPr>
          <w:color w:val="000000"/>
          <w:spacing w:val="0"/>
          <w:w w:val="100"/>
          <w:position w:val="0"/>
        </w:rPr>
        <w:t>西部地区软件业增速较快，东部地</w:t>
      </w:r>
    </w:p>
    <w:p>
      <w:pPr>
        <w:pStyle w:val="Style2"/>
        <w:keepNext w:val="0"/>
        <w:keepLines w:val="0"/>
        <w:widowControl w:val="0"/>
        <w:shd w:val="clear" w:color="auto" w:fill="auto"/>
        <w:bidi w:val="0"/>
        <w:spacing w:before="0" w:after="0" w:line="240" w:lineRule="auto"/>
        <w:ind w:left="0" w:right="0" w:firstLine="0"/>
        <w:jc w:val="right"/>
      </w:pPr>
      <w:r>
        <w:rPr>
          <w:rFonts w:ascii="Arial" w:eastAsia="Arial" w:hAnsi="Arial" w:cs="Arial"/>
          <w:b/>
          <w:bCs/>
          <w:color w:val="A2A2A2"/>
          <w:spacing w:val="0"/>
          <w:w w:val="100"/>
          <w:position w:val="0"/>
          <w:sz w:val="20"/>
          <w:szCs w:val="20"/>
        </w:rPr>
        <w:t>cninf^</w:t>
      </w:r>
    </w:p>
    <w:p>
      <w:pPr>
        <w:pStyle w:val="Style2"/>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A2A2A2"/>
          <w:spacing w:val="0"/>
          <w:w w:val="100"/>
          <w:position w:val="0"/>
          <w:sz w:val="12"/>
          <w:szCs w:val="12"/>
        </w:rPr>
        <w:t>巨潮窒讯</w:t>
      </w:r>
    </w:p>
    <w:p>
      <w:pPr>
        <w:pStyle w:val="Style2"/>
        <w:keepNext w:val="0"/>
        <w:keepLines w:val="0"/>
        <w:widowControl w:val="0"/>
        <w:shd w:val="clear" w:color="auto" w:fill="auto"/>
        <w:bidi w:val="0"/>
        <w:spacing w:before="0" w:after="280" w:line="240" w:lineRule="auto"/>
        <w:ind w:left="0" w:right="0" w:firstLine="0"/>
        <w:jc w:val="right"/>
        <w:rPr>
          <w:sz w:val="11"/>
          <w:szCs w:val="11"/>
        </w:rPr>
        <w:sectPr>
          <w:headerReference w:type="default" r:id="rId95"/>
          <w:footerReference w:type="default" r:id="rId96"/>
          <w:headerReference w:type="even" r:id="rId97"/>
          <w:footerReference w:type="even" r:id="rId98"/>
          <w:footnotePr>
            <w:pos w:val="pageBottom"/>
            <w:numFmt w:val="decimal"/>
            <w:numRestart w:val="continuous"/>
          </w:footnotePr>
          <w:pgSz w:w="11900" w:h="16840"/>
          <w:pgMar w:top="1474" w:right="24" w:bottom="168" w:left="1105" w:header="0" w:footer="3" w:gutter="0"/>
          <w:cols w:space="720"/>
          <w:noEndnote/>
          <w:rtlGutter w:val="0"/>
          <w:docGrid w:linePitch="360"/>
        </w:sectPr>
      </w:pPr>
      <w:r>
        <w:fldChar w:fldCharType="begin"/>
      </w:r>
      <w:r>
        <w:rPr/>
        <w:instrText> HYPERLINK "http://www.cnlnTo.com.cn" </w:instrText>
      </w:r>
      <w:r>
        <w:fldChar w:fldCharType="separate"/>
      </w:r>
      <w:r>
        <w:rPr>
          <w:rFonts w:ascii="Arial" w:eastAsia="Arial" w:hAnsi="Arial" w:cs="Arial"/>
          <w:b/>
          <w:bCs/>
          <w:color w:val="A2A2A2"/>
          <w:spacing w:val="0"/>
          <w:w w:val="100"/>
          <w:position w:val="0"/>
          <w:sz w:val="11"/>
          <w:szCs w:val="11"/>
        </w:rPr>
        <w:t>www.cnlnTo.com.cn</w:t>
      </w:r>
      <w:r>
        <w:fldChar w:fldCharType="end"/>
      </w:r>
    </w:p>
    <w:p>
      <w:pPr>
        <w:pStyle w:val="Style47"/>
        <w:keepNext w:val="0"/>
        <w:keepLines w:val="0"/>
        <w:widowControl w:val="0"/>
        <w:shd w:val="clear" w:color="auto" w:fill="auto"/>
        <w:bidi w:val="0"/>
        <w:spacing w:before="0" w:after="0" w:line="468" w:lineRule="exact"/>
        <w:ind w:left="0" w:right="0" w:firstLine="0"/>
        <w:jc w:val="left"/>
      </w:pPr>
      <w:r>
        <w:rPr>
          <w:color w:val="000000"/>
          <w:spacing w:val="0"/>
          <w:w w:val="100"/>
          <w:position w:val="0"/>
        </w:rPr>
        <w:t>区保持集聚和领先发展态势。</w:t>
      </w:r>
    </w:p>
    <w:p>
      <w:pPr>
        <w:pStyle w:val="Style47"/>
        <w:keepNext w:val="0"/>
        <w:keepLines w:val="0"/>
        <w:widowControl w:val="0"/>
        <w:shd w:val="clear" w:color="auto" w:fill="auto"/>
        <w:tabs>
          <w:tab w:pos="863" w:val="left"/>
        </w:tabs>
        <w:bidi w:val="0"/>
        <w:spacing w:before="0" w:after="0" w:line="468" w:lineRule="exact"/>
        <w:ind w:left="0" w:right="0" w:firstLine="440"/>
        <w:jc w:val="left"/>
      </w:pPr>
      <w:bookmarkStart w:id="287" w:name="bookmark287"/>
      <w:r>
        <w:rPr>
          <w:color w:val="000000"/>
          <w:spacing w:val="0"/>
          <w:w w:val="100"/>
          <w:position w:val="0"/>
        </w:rPr>
        <w:t>（</w:t>
      </w:r>
      <w:bookmarkEnd w:id="287"/>
      <w:r>
        <w:rPr>
          <w:rFonts w:ascii="Times New Roman" w:eastAsia="Times New Roman" w:hAnsi="Times New Roman" w:cs="Times New Roman"/>
          <w:color w:val="000000"/>
          <w:spacing w:val="0"/>
          <w:w w:val="100"/>
          <w:position w:val="0"/>
        </w:rPr>
        <w:t>1</w:t>
      </w:r>
      <w:r>
        <w:rPr>
          <w:color w:val="000000"/>
          <w:spacing w:val="0"/>
          <w:w w:val="100"/>
          <w:position w:val="0"/>
        </w:rPr>
        <w:t>）</w:t>
        <w:tab/>
        <w:t>从各细分领域看</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软件产品收入实现较快增长。</w:t>
      </w:r>
      <w:r>
        <w:rPr>
          <w:rFonts w:ascii="Times New Roman" w:eastAsia="Times New Roman" w:hAnsi="Times New Roman" w:cs="Times New Roman"/>
          <w:color w:val="000000"/>
          <w:spacing w:val="0"/>
          <w:w w:val="100"/>
          <w:position w:val="0"/>
        </w:rPr>
        <w:t>2020</w:t>
      </w:r>
      <w:r>
        <w:rPr>
          <w:color w:val="000000"/>
          <w:spacing w:val="0"/>
          <w:w w:val="100"/>
          <w:position w:val="0"/>
        </w:rPr>
        <w:t>年，软件产品实现收入</w:t>
      </w:r>
      <w:r>
        <w:rPr>
          <w:rFonts w:ascii="Times New Roman" w:eastAsia="Times New Roman" w:hAnsi="Times New Roman" w:cs="Times New Roman"/>
          <w:color w:val="000000"/>
          <w:spacing w:val="0"/>
          <w:w w:val="100"/>
          <w:position w:val="0"/>
        </w:rPr>
        <w:t>22758</w:t>
      </w:r>
      <w:r>
        <w:rPr>
          <w:color w:val="000000"/>
          <w:spacing w:val="0"/>
          <w:w w:val="100"/>
          <w:position w:val="0"/>
        </w:rPr>
        <w:t>亿元，同比增长</w:t>
      </w:r>
      <w:r>
        <w:rPr>
          <w:rFonts w:ascii="Times New Roman" w:eastAsia="Times New Roman" w:hAnsi="Times New Roman" w:cs="Times New Roman"/>
          <w:color w:val="000000"/>
          <w:spacing w:val="0"/>
          <w:w w:val="100"/>
          <w:position w:val="0"/>
        </w:rPr>
        <w:t>10.1%</w:t>
      </w:r>
      <w:r>
        <w:rPr>
          <w:color w:val="000000"/>
          <w:spacing w:val="0"/>
          <w:w w:val="100"/>
          <w:position w:val="0"/>
        </w:rPr>
        <w:t>,占全行业比重 为</w:t>
      </w:r>
      <w:r>
        <w:rPr>
          <w:rFonts w:ascii="Times New Roman" w:eastAsia="Times New Roman" w:hAnsi="Times New Roman" w:cs="Times New Roman"/>
          <w:color w:val="000000"/>
          <w:spacing w:val="0"/>
          <w:w w:val="100"/>
          <w:position w:val="0"/>
        </w:rPr>
        <w:t>27.9%</w:t>
      </w:r>
      <w:r>
        <w:rPr>
          <w:color w:val="000000"/>
          <w:spacing w:val="0"/>
          <w:w w:val="100"/>
          <w:position w:val="0"/>
        </w:rPr>
        <w:t>。其中，工业软件产品实现收入</w:t>
      </w:r>
      <w:r>
        <w:rPr>
          <w:rFonts w:ascii="Times New Roman" w:eastAsia="Times New Roman" w:hAnsi="Times New Roman" w:cs="Times New Roman"/>
          <w:color w:val="000000"/>
          <w:spacing w:val="0"/>
          <w:w w:val="100"/>
          <w:position w:val="0"/>
        </w:rPr>
        <w:t>1974</w:t>
      </w:r>
      <w:r>
        <w:rPr>
          <w:color w:val="000000"/>
          <w:spacing w:val="0"/>
          <w:w w:val="100"/>
          <w:position w:val="0"/>
        </w:rPr>
        <w:t>亿元，增长</w:t>
      </w:r>
      <w:r>
        <w:rPr>
          <w:rFonts w:ascii="Times New Roman" w:eastAsia="Times New Roman" w:hAnsi="Times New Roman" w:cs="Times New Roman"/>
          <w:color w:val="000000"/>
          <w:spacing w:val="0"/>
          <w:w w:val="100"/>
          <w:position w:val="0"/>
        </w:rPr>
        <w:t>11.2%</w:t>
      </w:r>
      <w:r>
        <w:rPr>
          <w:color w:val="000000"/>
          <w:spacing w:val="0"/>
          <w:w w:val="100"/>
          <w:position w:val="0"/>
        </w:rPr>
        <w:t>,为支撑工业领域的自主可控发展发挥重要 作用。信息技术服务加快云化发展。</w:t>
      </w:r>
      <w:r>
        <w:rPr>
          <w:rFonts w:ascii="Times New Roman" w:eastAsia="Times New Roman" w:hAnsi="Times New Roman" w:cs="Times New Roman"/>
          <w:color w:val="000000"/>
          <w:spacing w:val="0"/>
          <w:w w:val="100"/>
          <w:position w:val="0"/>
        </w:rPr>
        <w:t>2020</w:t>
      </w:r>
      <w:r>
        <w:rPr>
          <w:color w:val="000000"/>
          <w:spacing w:val="0"/>
          <w:w w:val="100"/>
          <w:position w:val="0"/>
        </w:rPr>
        <w:t>年，信息技术服务实现收入</w:t>
      </w:r>
      <w:r>
        <w:rPr>
          <w:rFonts w:ascii="Times New Roman" w:eastAsia="Times New Roman" w:hAnsi="Times New Roman" w:cs="Times New Roman"/>
          <w:color w:val="000000"/>
          <w:spacing w:val="0"/>
          <w:w w:val="100"/>
          <w:position w:val="0"/>
        </w:rPr>
        <w:t>49868</w:t>
      </w:r>
      <w:r>
        <w:rPr>
          <w:color w:val="000000"/>
          <w:spacing w:val="0"/>
          <w:w w:val="100"/>
          <w:position w:val="0"/>
        </w:rPr>
        <w:t>亿元，同比增长</w:t>
      </w:r>
      <w:r>
        <w:rPr>
          <w:rFonts w:ascii="Times New Roman" w:eastAsia="Times New Roman" w:hAnsi="Times New Roman" w:cs="Times New Roman"/>
          <w:color w:val="000000"/>
          <w:spacing w:val="0"/>
          <w:w w:val="100"/>
          <w:position w:val="0"/>
        </w:rPr>
        <w:t>15.2%</w:t>
      </w:r>
      <w:r>
        <w:rPr>
          <w:color w:val="000000"/>
          <w:spacing w:val="0"/>
          <w:w w:val="100"/>
          <w:position w:val="0"/>
        </w:rPr>
        <w:t>,增速高 出全行业平均水平</w:t>
      </w:r>
      <w:r>
        <w:rPr>
          <w:rFonts w:ascii="Times New Roman" w:eastAsia="Times New Roman" w:hAnsi="Times New Roman" w:cs="Times New Roman"/>
          <w:color w:val="000000"/>
          <w:spacing w:val="0"/>
          <w:w w:val="100"/>
          <w:position w:val="0"/>
        </w:rPr>
        <w:t>1.9</w:t>
      </w:r>
      <w:r>
        <w:rPr>
          <w:color w:val="000000"/>
          <w:spacing w:val="0"/>
          <w:w w:val="100"/>
          <w:position w:val="0"/>
        </w:rPr>
        <w:t>个百分点，占全行业收入比重为</w:t>
      </w:r>
      <w:r>
        <w:rPr>
          <w:rFonts w:ascii="Times New Roman" w:eastAsia="Times New Roman" w:hAnsi="Times New Roman" w:cs="Times New Roman"/>
          <w:color w:val="000000"/>
          <w:spacing w:val="0"/>
          <w:w w:val="100"/>
          <w:position w:val="0"/>
        </w:rPr>
        <w:t>61.1%</w:t>
      </w:r>
      <w:r>
        <w:rPr>
          <w:color w:val="000000"/>
          <w:spacing w:val="0"/>
          <w:w w:val="100"/>
          <w:position w:val="0"/>
        </w:rPr>
        <w:t>。其中，电子商务平台技术服务收入</w:t>
      </w:r>
      <w:r>
        <w:rPr>
          <w:rFonts w:ascii="Times New Roman" w:eastAsia="Times New Roman" w:hAnsi="Times New Roman" w:cs="Times New Roman"/>
          <w:color w:val="000000"/>
          <w:spacing w:val="0"/>
          <w:w w:val="100"/>
          <w:position w:val="0"/>
        </w:rPr>
        <w:t>9095</w:t>
      </w:r>
      <w:r>
        <w:rPr>
          <w:color w:val="000000"/>
          <w:spacing w:val="0"/>
          <w:w w:val="100"/>
          <w:position w:val="0"/>
        </w:rPr>
        <w:t>亿元, 同比增长</w:t>
      </w:r>
      <w:r>
        <w:rPr>
          <w:rFonts w:ascii="Times New Roman" w:eastAsia="Times New Roman" w:hAnsi="Times New Roman" w:cs="Times New Roman"/>
          <w:color w:val="000000"/>
          <w:spacing w:val="0"/>
          <w:w w:val="100"/>
          <w:position w:val="0"/>
        </w:rPr>
        <w:t>10.5%;</w:t>
      </w:r>
      <w:r>
        <w:rPr>
          <w:color w:val="000000"/>
          <w:spacing w:val="0"/>
          <w:w w:val="100"/>
          <w:position w:val="0"/>
        </w:rPr>
        <w:t>云服务、大数据服务共实现收入</w:t>
      </w:r>
      <w:r>
        <w:rPr>
          <w:rFonts w:ascii="Times New Roman" w:eastAsia="Times New Roman" w:hAnsi="Times New Roman" w:cs="Times New Roman"/>
          <w:color w:val="000000"/>
          <w:spacing w:val="0"/>
          <w:w w:val="100"/>
          <w:position w:val="0"/>
        </w:rPr>
        <w:t>4116</w:t>
      </w:r>
      <w:r>
        <w:rPr>
          <w:color w:val="000000"/>
          <w:spacing w:val="0"/>
          <w:w w:val="100"/>
          <w:position w:val="0"/>
        </w:rPr>
        <w:t>亿元，同比增长</w:t>
      </w:r>
      <w:r>
        <w:rPr>
          <w:rFonts w:ascii="Times New Roman" w:eastAsia="Times New Roman" w:hAnsi="Times New Roman" w:cs="Times New Roman"/>
          <w:color w:val="000000"/>
          <w:spacing w:val="0"/>
          <w:w w:val="100"/>
          <w:position w:val="0"/>
        </w:rPr>
        <w:t>11.1%</w:t>
      </w:r>
      <w:r>
        <w:rPr>
          <w:color w:val="000000"/>
          <w:spacing w:val="0"/>
          <w:w w:val="100"/>
          <w:position w:val="0"/>
        </w:rPr>
        <w:t>。信息安全产品和服务收入增 速略有回落。</w:t>
      </w:r>
      <w:r>
        <w:rPr>
          <w:rFonts w:ascii="Times New Roman" w:eastAsia="Times New Roman" w:hAnsi="Times New Roman" w:cs="Times New Roman"/>
          <w:color w:val="000000"/>
          <w:spacing w:val="0"/>
          <w:w w:val="100"/>
          <w:position w:val="0"/>
        </w:rPr>
        <w:t>2020</w:t>
      </w:r>
      <w:r>
        <w:rPr>
          <w:color w:val="000000"/>
          <w:spacing w:val="0"/>
          <w:w w:val="100"/>
          <w:position w:val="0"/>
        </w:rPr>
        <w:t>年，信息安全产品和服务实现收入</w:t>
      </w:r>
      <w:r>
        <w:rPr>
          <w:rFonts w:ascii="Times New Roman" w:eastAsia="Times New Roman" w:hAnsi="Times New Roman" w:cs="Times New Roman"/>
          <w:color w:val="000000"/>
          <w:spacing w:val="0"/>
          <w:w w:val="100"/>
          <w:position w:val="0"/>
        </w:rPr>
        <w:t>1498</w:t>
      </w:r>
      <w:r>
        <w:rPr>
          <w:color w:val="000000"/>
          <w:spacing w:val="0"/>
          <w:w w:val="100"/>
          <w:position w:val="0"/>
        </w:rPr>
        <w:t>亿元，同比增长</w:t>
      </w:r>
      <w:r>
        <w:rPr>
          <w:rFonts w:ascii="Times New Roman" w:eastAsia="Times New Roman" w:hAnsi="Times New Roman" w:cs="Times New Roman"/>
          <w:color w:val="000000"/>
          <w:spacing w:val="0"/>
          <w:w w:val="100"/>
          <w:position w:val="0"/>
        </w:rPr>
        <w:t>10.0%</w:t>
      </w:r>
      <w:r>
        <w:rPr>
          <w:color w:val="000000"/>
          <w:spacing w:val="0"/>
          <w:w w:val="100"/>
          <w:position w:val="0"/>
        </w:rPr>
        <w:t>，增速较上年回落</w:t>
      </w:r>
      <w:r>
        <w:rPr>
          <w:rFonts w:ascii="Times New Roman" w:eastAsia="Times New Roman" w:hAnsi="Times New Roman" w:cs="Times New Roman"/>
          <w:color w:val="000000"/>
          <w:spacing w:val="0"/>
          <w:w w:val="100"/>
          <w:position w:val="0"/>
        </w:rPr>
        <w:t>2.4</w:t>
      </w:r>
      <w:r>
        <w:rPr>
          <w:color w:val="000000"/>
          <w:spacing w:val="0"/>
          <w:w w:val="100"/>
          <w:position w:val="0"/>
        </w:rPr>
        <w:t>个百 分点。嵌入式系统软件收入增长加快。</w:t>
      </w:r>
      <w:r>
        <w:rPr>
          <w:rFonts w:ascii="Times New Roman" w:eastAsia="Times New Roman" w:hAnsi="Times New Roman" w:cs="Times New Roman"/>
          <w:color w:val="000000"/>
          <w:spacing w:val="0"/>
          <w:w w:val="100"/>
          <w:position w:val="0"/>
        </w:rPr>
        <w:t>2020</w:t>
      </w:r>
      <w:r>
        <w:rPr>
          <w:color w:val="000000"/>
          <w:spacing w:val="0"/>
          <w:w w:val="100"/>
          <w:position w:val="0"/>
        </w:rPr>
        <w:t>年嵌入式系统软件实现收入</w:t>
      </w:r>
      <w:r>
        <w:rPr>
          <w:rFonts w:ascii="Times New Roman" w:eastAsia="Times New Roman" w:hAnsi="Times New Roman" w:cs="Times New Roman"/>
          <w:color w:val="000000"/>
          <w:spacing w:val="0"/>
          <w:w w:val="100"/>
          <w:position w:val="0"/>
        </w:rPr>
        <w:t>7492</w:t>
      </w:r>
      <w:r>
        <w:rPr>
          <w:color w:val="000000"/>
          <w:spacing w:val="0"/>
          <w:w w:val="100"/>
          <w:position w:val="0"/>
        </w:rPr>
        <w:t>亿元，同比增长</w:t>
      </w:r>
      <w:r>
        <w:rPr>
          <w:rFonts w:ascii="Times New Roman" w:eastAsia="Times New Roman" w:hAnsi="Times New Roman" w:cs="Times New Roman"/>
          <w:color w:val="000000"/>
          <w:spacing w:val="0"/>
          <w:w w:val="100"/>
          <w:position w:val="0"/>
        </w:rPr>
        <w:t>12.0%</w:t>
      </w:r>
      <w:r>
        <w:rPr>
          <w:color w:val="000000"/>
          <w:spacing w:val="0"/>
          <w:w w:val="100"/>
          <w:position w:val="0"/>
        </w:rPr>
        <w:t>，增速 较上年提高</w:t>
      </w:r>
      <w:r>
        <w:rPr>
          <w:rFonts w:ascii="Times New Roman" w:eastAsia="Times New Roman" w:hAnsi="Times New Roman" w:cs="Times New Roman"/>
          <w:color w:val="000000"/>
          <w:spacing w:val="0"/>
          <w:w w:val="100"/>
          <w:position w:val="0"/>
        </w:rPr>
        <w:t>4.2</w:t>
      </w:r>
      <w:r>
        <w:rPr>
          <w:color w:val="000000"/>
          <w:spacing w:val="0"/>
          <w:w w:val="100"/>
          <w:position w:val="0"/>
        </w:rPr>
        <w:t>个百分点，占全行业收入比重为</w:t>
      </w:r>
      <w:r>
        <w:rPr>
          <w:rFonts w:ascii="Times New Roman" w:eastAsia="Times New Roman" w:hAnsi="Times New Roman" w:cs="Times New Roman"/>
          <w:color w:val="000000"/>
          <w:spacing w:val="0"/>
          <w:w w:val="100"/>
          <w:position w:val="0"/>
        </w:rPr>
        <w:t>9.2%</w:t>
      </w:r>
      <w:r>
        <w:rPr>
          <w:color w:val="000000"/>
          <w:spacing w:val="0"/>
          <w:w w:val="100"/>
          <w:position w:val="0"/>
        </w:rPr>
        <w:t>。嵌入式系统软件已成为产品和装备数字化改造、各领 域智能化增值的关键性带动技术。（备注：数据来源于东方财富登载的《</w:t>
      </w:r>
      <w:r>
        <w:rPr>
          <w:rFonts w:ascii="Times New Roman" w:eastAsia="Times New Roman" w:hAnsi="Times New Roman" w:cs="Times New Roman"/>
          <w:color w:val="000000"/>
          <w:spacing w:val="0"/>
          <w:w w:val="100"/>
          <w:position w:val="0"/>
        </w:rPr>
        <w:t>2020</w:t>
      </w:r>
      <w:r>
        <w:rPr>
          <w:color w:val="000000"/>
          <w:spacing w:val="0"/>
          <w:w w:val="100"/>
          <w:position w:val="0"/>
        </w:rPr>
        <w:t>年全国软件业务收入</w:t>
      </w:r>
      <w:r>
        <w:rPr>
          <w:rFonts w:ascii="Times New Roman" w:eastAsia="Times New Roman" w:hAnsi="Times New Roman" w:cs="Times New Roman"/>
          <w:color w:val="000000"/>
          <w:spacing w:val="0"/>
          <w:w w:val="100"/>
          <w:position w:val="0"/>
        </w:rPr>
        <w:t xml:space="preserve">81616 </w:t>
      </w:r>
      <w:r>
        <w:rPr>
          <w:color w:val="000000"/>
          <w:spacing w:val="0"/>
          <w:w w:val="100"/>
          <w:position w:val="0"/>
        </w:rPr>
        <w:t>亿元，同比增长</w:t>
      </w:r>
      <w:r>
        <w:rPr>
          <w:rFonts w:ascii="Times New Roman" w:eastAsia="Times New Roman" w:hAnsi="Times New Roman" w:cs="Times New Roman"/>
          <w:color w:val="000000"/>
          <w:spacing w:val="0"/>
          <w:w w:val="100"/>
          <w:position w:val="0"/>
        </w:rPr>
        <w:t>13.3%</w:t>
      </w:r>
      <w:r>
        <w:rPr>
          <w:color w:val="000000"/>
          <w:spacing w:val="0"/>
          <w:w w:val="100"/>
          <w:position w:val="0"/>
        </w:rPr>
        <w:t>》文中引用的工信部发布</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年软件业务发展相关数据，链接： </w:t>
      </w:r>
      <w:r>
        <w:fldChar w:fldCharType="begin"/>
      </w:r>
      <w:r>
        <w:rPr/>
        <w:instrText> HYPERLINK "http://finance.eastmoney.eom/a/202101271792165451.html%ef%bc%89" </w:instrText>
      </w:r>
      <w:r>
        <w:fldChar w:fldCharType="separate"/>
      </w:r>
      <w:r>
        <w:rPr>
          <w:rFonts w:ascii="Times New Roman" w:eastAsia="Times New Roman" w:hAnsi="Times New Roman" w:cs="Times New Roman"/>
          <w:color w:val="000000"/>
          <w:spacing w:val="0"/>
          <w:w w:val="100"/>
          <w:position w:val="0"/>
        </w:rPr>
        <w:t>http://finance.eastmoney.eom/a/202101271792165451.html</w:t>
      </w:r>
      <w:r>
        <w:rPr>
          <w:color w:val="000000"/>
          <w:spacing w:val="0"/>
          <w:w w:val="100"/>
          <w:position w:val="0"/>
        </w:rPr>
        <w:t>）</w:t>
      </w:r>
      <w:r>
        <w:fldChar w:fldCharType="end"/>
      </w:r>
    </w:p>
    <w:p>
      <w:pPr>
        <w:pStyle w:val="Style47"/>
        <w:keepNext w:val="0"/>
        <w:keepLines w:val="0"/>
        <w:widowControl w:val="0"/>
        <w:shd w:val="clear" w:color="auto" w:fill="auto"/>
        <w:tabs>
          <w:tab w:pos="863" w:val="left"/>
        </w:tabs>
        <w:bidi w:val="0"/>
        <w:spacing w:before="0" w:after="0" w:line="468" w:lineRule="exact"/>
        <w:ind w:left="0" w:right="0" w:firstLine="440"/>
        <w:jc w:val="both"/>
      </w:pPr>
      <w:bookmarkStart w:id="288" w:name="bookmark288"/>
      <w:r>
        <w:rPr>
          <w:color w:val="000000"/>
          <w:spacing w:val="0"/>
          <w:w w:val="100"/>
          <w:position w:val="0"/>
        </w:rPr>
        <w:t>（</w:t>
      </w:r>
      <w:bookmarkEnd w:id="288"/>
      <w:r>
        <w:rPr>
          <w:rFonts w:ascii="Times New Roman" w:eastAsia="Times New Roman" w:hAnsi="Times New Roman" w:cs="Times New Roman"/>
          <w:color w:val="000000"/>
          <w:spacing w:val="0"/>
          <w:w w:val="100"/>
          <w:position w:val="0"/>
        </w:rPr>
        <w:t>2</w:t>
      </w:r>
      <w:r>
        <w:rPr>
          <w:color w:val="000000"/>
          <w:spacing w:val="0"/>
          <w:w w:val="100"/>
          <w:position w:val="0"/>
        </w:rPr>
        <w:t>）</w:t>
        <w:tab/>
        <w:t>从地区分布看</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东、西部地区软件业增长较快。</w:t>
      </w:r>
      <w:r>
        <w:rPr>
          <w:rFonts w:ascii="Times New Roman" w:eastAsia="Times New Roman" w:hAnsi="Times New Roman" w:cs="Times New Roman"/>
          <w:color w:val="000000"/>
          <w:spacing w:val="0"/>
          <w:w w:val="100"/>
          <w:position w:val="0"/>
        </w:rPr>
        <w:t>2020</w:t>
      </w:r>
      <w:r>
        <w:rPr>
          <w:color w:val="000000"/>
          <w:spacing w:val="0"/>
          <w:w w:val="100"/>
          <w:position w:val="0"/>
        </w:rPr>
        <w:t>年，东部地区完成软件业务收入</w:t>
      </w:r>
      <w:r>
        <w:rPr>
          <w:rFonts w:ascii="Times New Roman" w:eastAsia="Times New Roman" w:hAnsi="Times New Roman" w:cs="Times New Roman"/>
          <w:color w:val="000000"/>
          <w:spacing w:val="0"/>
          <w:w w:val="100"/>
          <w:position w:val="0"/>
        </w:rPr>
        <w:t>65561</w:t>
      </w:r>
      <w:r>
        <w:rPr>
          <w:color w:val="000000"/>
          <w:spacing w:val="0"/>
          <w:w w:val="100"/>
          <w:position w:val="0"/>
        </w:rPr>
        <w:t>亿元，同比增长</w:t>
      </w:r>
      <w:r>
        <w:rPr>
          <w:rFonts w:ascii="Times New Roman" w:eastAsia="Times New Roman" w:hAnsi="Times New Roman" w:cs="Times New Roman"/>
          <w:color w:val="000000"/>
          <w:spacing w:val="0"/>
          <w:w w:val="100"/>
          <w:position w:val="0"/>
        </w:rPr>
        <w:t>14.2%</w:t>
      </w:r>
      <w:r>
        <w:rPr>
          <w:color w:val="000000"/>
          <w:spacing w:val="0"/>
          <w:w w:val="100"/>
          <w:position w:val="0"/>
        </w:rPr>
        <w:t>,占 全国软件业的比重为</w:t>
      </w:r>
      <w:r>
        <w:rPr>
          <w:rFonts w:ascii="Times New Roman" w:eastAsia="Times New Roman" w:hAnsi="Times New Roman" w:cs="Times New Roman"/>
          <w:color w:val="000000"/>
          <w:spacing w:val="0"/>
          <w:w w:val="100"/>
          <w:position w:val="0"/>
        </w:rPr>
        <w:t>80.0%</w:t>
      </w:r>
      <w:r>
        <w:rPr>
          <w:color w:val="000000"/>
          <w:spacing w:val="0"/>
          <w:w w:val="100"/>
          <w:position w:val="0"/>
        </w:rPr>
        <w:t>。中部和西部地区完成软件业务收入分别为</w:t>
      </w:r>
      <w:r>
        <w:rPr>
          <w:rFonts w:ascii="Times New Roman" w:eastAsia="Times New Roman" w:hAnsi="Times New Roman" w:cs="Times New Roman"/>
          <w:color w:val="000000"/>
          <w:spacing w:val="0"/>
          <w:w w:val="100"/>
          <w:position w:val="0"/>
        </w:rPr>
        <w:t>3726</w:t>
      </w:r>
      <w:r>
        <w:rPr>
          <w:color w:val="000000"/>
          <w:spacing w:val="0"/>
          <w:w w:val="100"/>
          <w:position w:val="0"/>
        </w:rPr>
        <w:t>亿元和</w:t>
      </w:r>
      <w:r>
        <w:rPr>
          <w:i/>
          <w:iCs/>
          <w:color w:val="000000"/>
          <w:spacing w:val="0"/>
          <w:w w:val="100"/>
          <w:position w:val="0"/>
        </w:rPr>
        <w:t>9999</w:t>
      </w:r>
      <w:r>
        <w:rPr>
          <w:color w:val="000000"/>
          <w:spacing w:val="0"/>
          <w:w w:val="100"/>
          <w:position w:val="0"/>
        </w:rPr>
        <w:t>亿元，同比增长</w:t>
      </w:r>
      <w:r>
        <w:rPr>
          <w:rFonts w:ascii="Times New Roman" w:eastAsia="Times New Roman" w:hAnsi="Times New Roman" w:cs="Times New Roman"/>
          <w:color w:val="000000"/>
          <w:spacing w:val="0"/>
          <w:w w:val="100"/>
          <w:position w:val="0"/>
        </w:rPr>
        <w:t xml:space="preserve">3.9% </w:t>
      </w:r>
      <w:r>
        <w:rPr>
          <w:color w:val="000000"/>
          <w:spacing w:val="0"/>
          <w:w w:val="100"/>
          <w:position w:val="0"/>
        </w:rPr>
        <w:t>和</w:t>
      </w:r>
      <w:r>
        <w:rPr>
          <w:rFonts w:ascii="Times New Roman" w:eastAsia="Times New Roman" w:hAnsi="Times New Roman" w:cs="Times New Roman"/>
          <w:color w:val="000000"/>
          <w:spacing w:val="0"/>
          <w:w w:val="100"/>
          <w:position w:val="0"/>
        </w:rPr>
        <w:t>14.6%;</w:t>
      </w:r>
      <w:r>
        <w:rPr>
          <w:color w:val="000000"/>
          <w:spacing w:val="0"/>
          <w:w w:val="100"/>
          <w:position w:val="0"/>
        </w:rPr>
        <w:t>占全国软件业的比重为</w:t>
      </w:r>
      <w:r>
        <w:rPr>
          <w:rFonts w:ascii="Times New Roman" w:eastAsia="Times New Roman" w:hAnsi="Times New Roman" w:cs="Times New Roman"/>
          <w:color w:val="000000"/>
          <w:spacing w:val="0"/>
          <w:w w:val="100"/>
          <w:position w:val="0"/>
        </w:rPr>
        <w:t>5.0%</w:t>
      </w:r>
      <w:r>
        <w:rPr>
          <w:color w:val="000000"/>
          <w:spacing w:val="0"/>
          <w:w w:val="100"/>
          <w:position w:val="0"/>
        </w:rPr>
        <w:t>和</w:t>
      </w:r>
      <w:r>
        <w:rPr>
          <w:rFonts w:ascii="Times New Roman" w:eastAsia="Times New Roman" w:hAnsi="Times New Roman" w:cs="Times New Roman"/>
          <w:color w:val="000000"/>
          <w:spacing w:val="0"/>
          <w:w w:val="100"/>
          <w:position w:val="0"/>
        </w:rPr>
        <w:t>12.0%</w:t>
      </w:r>
      <w:r>
        <w:rPr>
          <w:color w:val="000000"/>
          <w:spacing w:val="0"/>
          <w:w w:val="100"/>
          <w:position w:val="0"/>
        </w:rPr>
        <w:t>。东北地区完成软件业务收入</w:t>
      </w:r>
      <w:r>
        <w:rPr>
          <w:rFonts w:ascii="Times New Roman" w:eastAsia="Times New Roman" w:hAnsi="Times New Roman" w:cs="Times New Roman"/>
          <w:color w:val="000000"/>
          <w:spacing w:val="0"/>
          <w:w w:val="100"/>
          <w:position w:val="0"/>
        </w:rPr>
        <w:t>2330</w:t>
      </w:r>
      <w:r>
        <w:rPr>
          <w:color w:val="000000"/>
          <w:spacing w:val="0"/>
          <w:w w:val="100"/>
          <w:position w:val="0"/>
        </w:rPr>
        <w:t>亿元，同比增长</w:t>
      </w:r>
      <w:r>
        <w:rPr>
          <w:rFonts w:ascii="Times New Roman" w:eastAsia="Times New Roman" w:hAnsi="Times New Roman" w:cs="Times New Roman"/>
          <w:color w:val="000000"/>
          <w:spacing w:val="0"/>
          <w:w w:val="100"/>
          <w:position w:val="0"/>
        </w:rPr>
        <w:t>1.9%</w:t>
      </w:r>
      <w:r>
        <w:rPr>
          <w:color w:val="000000"/>
          <w:spacing w:val="0"/>
          <w:w w:val="100"/>
          <w:position w:val="0"/>
        </w:rPr>
        <w:t>，占 全国软件业的比重为</w:t>
      </w:r>
      <w:r>
        <w:rPr>
          <w:rFonts w:ascii="Times New Roman" w:eastAsia="Times New Roman" w:hAnsi="Times New Roman" w:cs="Times New Roman"/>
          <w:color w:val="000000"/>
          <w:spacing w:val="0"/>
          <w:w w:val="100"/>
          <w:position w:val="0"/>
        </w:rPr>
        <w:t>3.0%</w:t>
      </w:r>
      <w:r>
        <w:rPr>
          <w:color w:val="000000"/>
          <w:spacing w:val="0"/>
          <w:w w:val="100"/>
          <w:position w:val="0"/>
        </w:rPr>
        <w:t>。主要软件大省保持稳中向好态势，部分中西部省市快速增长。软件业务收入居 前</w:t>
      </w:r>
      <w:r>
        <w:rPr>
          <w:rFonts w:ascii="Times New Roman" w:eastAsia="Times New Roman" w:hAnsi="Times New Roman" w:cs="Times New Roman"/>
          <w:color w:val="000000"/>
          <w:spacing w:val="0"/>
          <w:w w:val="100"/>
          <w:position w:val="0"/>
        </w:rPr>
        <w:t>5</w:t>
      </w:r>
      <w:r>
        <w:rPr>
          <w:color w:val="000000"/>
          <w:spacing w:val="0"/>
          <w:w w:val="100"/>
          <w:position w:val="0"/>
        </w:rPr>
        <w:t>名的北京、广东、江苏、浙江、上海共完成收入</w:t>
      </w:r>
      <w:r>
        <w:rPr>
          <w:rFonts w:ascii="Times New Roman" w:eastAsia="Times New Roman" w:hAnsi="Times New Roman" w:cs="Times New Roman"/>
          <w:color w:val="000000"/>
          <w:spacing w:val="0"/>
          <w:w w:val="100"/>
          <w:position w:val="0"/>
        </w:rPr>
        <w:t>53516</w:t>
      </w:r>
      <w:r>
        <w:rPr>
          <w:color w:val="000000"/>
          <w:spacing w:val="0"/>
          <w:w w:val="100"/>
          <w:position w:val="0"/>
        </w:rPr>
        <w:t>亿元，占全国软件业比重的</w:t>
      </w:r>
      <w:r>
        <w:rPr>
          <w:rFonts w:ascii="Times New Roman" w:eastAsia="Times New Roman" w:hAnsi="Times New Roman" w:cs="Times New Roman"/>
          <w:color w:val="000000"/>
          <w:spacing w:val="0"/>
          <w:w w:val="100"/>
          <w:position w:val="0"/>
        </w:rPr>
        <w:t>65.6%</w:t>
      </w:r>
      <w:r>
        <w:rPr>
          <w:color w:val="000000"/>
          <w:spacing w:val="0"/>
          <w:w w:val="100"/>
          <w:position w:val="0"/>
        </w:rPr>
        <w:t>，占比较上年 提高</w:t>
      </w:r>
      <w:r>
        <w:rPr>
          <w:rFonts w:ascii="Times New Roman" w:eastAsia="Times New Roman" w:hAnsi="Times New Roman" w:cs="Times New Roman"/>
          <w:color w:val="000000"/>
          <w:spacing w:val="0"/>
          <w:w w:val="100"/>
          <w:position w:val="0"/>
        </w:rPr>
        <w:t>2.0</w:t>
      </w:r>
      <w:r>
        <w:rPr>
          <w:color w:val="000000"/>
          <w:spacing w:val="0"/>
          <w:w w:val="100"/>
          <w:position w:val="0"/>
        </w:rPr>
        <w:t>个百分点。软件业务收入增速高于全国平均水平的省市有</w:t>
      </w:r>
      <w:r>
        <w:rPr>
          <w:rFonts w:ascii="Times New Roman" w:eastAsia="Times New Roman" w:hAnsi="Times New Roman" w:cs="Times New Roman"/>
          <w:color w:val="000000"/>
          <w:spacing w:val="0"/>
          <w:w w:val="100"/>
          <w:position w:val="0"/>
        </w:rPr>
        <w:t>15</w:t>
      </w:r>
      <w:r>
        <w:rPr>
          <w:color w:val="000000"/>
          <w:spacing w:val="0"/>
          <w:w w:val="100"/>
          <w:position w:val="0"/>
        </w:rPr>
        <w:t>个，其中增速高于</w:t>
      </w:r>
      <w:r>
        <w:rPr>
          <w:rFonts w:ascii="Times New Roman" w:eastAsia="Times New Roman" w:hAnsi="Times New Roman" w:cs="Times New Roman"/>
          <w:color w:val="000000"/>
          <w:spacing w:val="0"/>
          <w:w w:val="100"/>
          <w:position w:val="0"/>
        </w:rPr>
        <w:t>20%</w:t>
      </w:r>
      <w:r>
        <w:rPr>
          <w:color w:val="000000"/>
          <w:spacing w:val="0"/>
          <w:w w:val="100"/>
          <w:position w:val="0"/>
        </w:rPr>
        <w:t>的省份集中在中 西部地区，包括青海、海南、贵州、宁夏、广西等省份。重点城市软件业集聚发展态势更加明显。</w:t>
      </w:r>
      <w:r>
        <w:rPr>
          <w:rFonts w:ascii="Times New Roman" w:eastAsia="Times New Roman" w:hAnsi="Times New Roman" w:cs="Times New Roman"/>
          <w:color w:val="000000"/>
          <w:spacing w:val="0"/>
          <w:w w:val="100"/>
          <w:position w:val="0"/>
        </w:rPr>
        <w:t>2020</w:t>
      </w:r>
      <w:r>
        <w:rPr>
          <w:color w:val="000000"/>
          <w:spacing w:val="0"/>
          <w:w w:val="100"/>
          <w:position w:val="0"/>
        </w:rPr>
        <w:t>年， 全国</w:t>
      </w:r>
      <w:r>
        <w:rPr>
          <w:rFonts w:ascii="Times New Roman" w:eastAsia="Times New Roman" w:hAnsi="Times New Roman" w:cs="Times New Roman"/>
          <w:color w:val="000000"/>
          <w:spacing w:val="0"/>
          <w:w w:val="100"/>
          <w:position w:val="0"/>
        </w:rPr>
        <w:t>4</w:t>
      </w:r>
      <w:r>
        <w:rPr>
          <w:color w:val="000000"/>
          <w:spacing w:val="0"/>
          <w:w w:val="100"/>
          <w:position w:val="0"/>
        </w:rPr>
        <w:t>个直辖市和</w:t>
      </w:r>
      <w:r>
        <w:rPr>
          <w:rFonts w:ascii="Times New Roman" w:eastAsia="Times New Roman" w:hAnsi="Times New Roman" w:cs="Times New Roman"/>
          <w:color w:val="000000"/>
          <w:spacing w:val="0"/>
          <w:w w:val="100"/>
          <w:position w:val="0"/>
        </w:rPr>
        <w:t>15</w:t>
      </w:r>
      <w:r>
        <w:rPr>
          <w:color w:val="000000"/>
          <w:spacing w:val="0"/>
          <w:w w:val="100"/>
          <w:position w:val="0"/>
        </w:rPr>
        <w:t>个副省级中心城市实现软件业务收入</w:t>
      </w:r>
      <w:r>
        <w:rPr>
          <w:rFonts w:ascii="Times New Roman" w:eastAsia="Times New Roman" w:hAnsi="Times New Roman" w:cs="Times New Roman"/>
          <w:color w:val="000000"/>
          <w:spacing w:val="0"/>
          <w:w w:val="100"/>
          <w:position w:val="0"/>
        </w:rPr>
        <w:t>59636</w:t>
      </w:r>
      <w:r>
        <w:rPr>
          <w:color w:val="000000"/>
          <w:spacing w:val="0"/>
          <w:w w:val="100"/>
          <w:position w:val="0"/>
        </w:rPr>
        <w:t>亿元，同比增长</w:t>
      </w:r>
      <w:r>
        <w:rPr>
          <w:rFonts w:ascii="Times New Roman" w:eastAsia="Times New Roman" w:hAnsi="Times New Roman" w:cs="Times New Roman"/>
          <w:color w:val="000000"/>
          <w:spacing w:val="0"/>
          <w:w w:val="100"/>
          <w:position w:val="0"/>
        </w:rPr>
        <w:t>16.4%</w:t>
      </w:r>
      <w:r>
        <w:rPr>
          <w:color w:val="000000"/>
          <w:spacing w:val="0"/>
          <w:w w:val="100"/>
          <w:position w:val="0"/>
        </w:rPr>
        <w:t>，占全国软件业的比 重为</w:t>
      </w:r>
      <w:r>
        <w:rPr>
          <w:rFonts w:ascii="Times New Roman" w:eastAsia="Times New Roman" w:hAnsi="Times New Roman" w:cs="Times New Roman"/>
          <w:color w:val="000000"/>
          <w:spacing w:val="0"/>
          <w:w w:val="100"/>
          <w:position w:val="0"/>
        </w:rPr>
        <w:t>85.9%</w:t>
      </w:r>
      <w:r>
        <w:rPr>
          <w:color w:val="000000"/>
          <w:spacing w:val="0"/>
          <w:w w:val="100"/>
          <w:position w:val="0"/>
        </w:rPr>
        <w:t>,占比较上年提高</w:t>
      </w:r>
      <w:r>
        <w:rPr>
          <w:rFonts w:ascii="Times New Roman" w:eastAsia="Times New Roman" w:hAnsi="Times New Roman" w:cs="Times New Roman"/>
          <w:color w:val="000000"/>
          <w:spacing w:val="0"/>
          <w:w w:val="100"/>
          <w:position w:val="0"/>
        </w:rPr>
        <w:t>2.8</w:t>
      </w:r>
      <w:r>
        <w:rPr>
          <w:color w:val="000000"/>
          <w:spacing w:val="0"/>
          <w:w w:val="100"/>
          <w:position w:val="0"/>
        </w:rPr>
        <w:t>个百分点。其中，副省级城市实现软件业务收入</w:t>
      </w:r>
      <w:r>
        <w:rPr>
          <w:rFonts w:ascii="Times New Roman" w:eastAsia="Times New Roman" w:hAnsi="Times New Roman" w:cs="Times New Roman"/>
          <w:color w:val="000000"/>
          <w:spacing w:val="0"/>
          <w:w w:val="100"/>
          <w:position w:val="0"/>
        </w:rPr>
        <w:t>43682</w:t>
      </w:r>
      <w:r>
        <w:rPr>
          <w:color w:val="000000"/>
          <w:spacing w:val="0"/>
          <w:w w:val="100"/>
          <w:position w:val="0"/>
        </w:rPr>
        <w:t>亿元，同比增长</w:t>
      </w:r>
      <w:r>
        <w:rPr>
          <w:rFonts w:ascii="Times New Roman" w:eastAsia="Times New Roman" w:hAnsi="Times New Roman" w:cs="Times New Roman"/>
          <w:color w:val="000000"/>
          <w:spacing w:val="0"/>
          <w:w w:val="100"/>
          <w:position w:val="0"/>
        </w:rPr>
        <w:t>13.0%</w:t>
      </w:r>
      <w:r>
        <w:rPr>
          <w:color w:val="000000"/>
          <w:spacing w:val="0"/>
          <w:w w:val="100"/>
          <w:position w:val="0"/>
        </w:rPr>
        <w:t>, 占全国软件业的比重为</w:t>
      </w:r>
      <w:r>
        <w:rPr>
          <w:rFonts w:ascii="Times New Roman" w:eastAsia="Times New Roman" w:hAnsi="Times New Roman" w:cs="Times New Roman"/>
          <w:color w:val="000000"/>
          <w:spacing w:val="0"/>
          <w:w w:val="100"/>
          <w:position w:val="0"/>
        </w:rPr>
        <w:t>53.5%</w:t>
      </w:r>
      <w:r>
        <w:rPr>
          <w:color w:val="000000"/>
          <w:spacing w:val="0"/>
          <w:w w:val="100"/>
          <w:position w:val="0"/>
        </w:rPr>
        <w:t>。（备注：数据来源于东方财富登载的《</w:t>
      </w:r>
      <w:r>
        <w:rPr>
          <w:rFonts w:ascii="Times New Roman" w:eastAsia="Times New Roman" w:hAnsi="Times New Roman" w:cs="Times New Roman"/>
          <w:color w:val="000000"/>
          <w:spacing w:val="0"/>
          <w:w w:val="100"/>
          <w:position w:val="0"/>
        </w:rPr>
        <w:t>2020</w:t>
      </w:r>
      <w:r>
        <w:rPr>
          <w:color w:val="000000"/>
          <w:spacing w:val="0"/>
          <w:w w:val="100"/>
          <w:position w:val="0"/>
        </w:rPr>
        <w:t>年全国软件业务收入</w:t>
      </w:r>
      <w:r>
        <w:rPr>
          <w:rFonts w:ascii="Times New Roman" w:eastAsia="Times New Roman" w:hAnsi="Times New Roman" w:cs="Times New Roman"/>
          <w:color w:val="000000"/>
          <w:spacing w:val="0"/>
          <w:w w:val="100"/>
          <w:position w:val="0"/>
        </w:rPr>
        <w:t>81616</w:t>
      </w:r>
      <w:r>
        <w:rPr>
          <w:color w:val="000000"/>
          <w:spacing w:val="0"/>
          <w:w w:val="100"/>
          <w:position w:val="0"/>
        </w:rPr>
        <w:t>亿元， 同比增长</w:t>
      </w:r>
      <w:r>
        <w:rPr>
          <w:rFonts w:ascii="Times New Roman" w:eastAsia="Times New Roman" w:hAnsi="Times New Roman" w:cs="Times New Roman"/>
          <w:color w:val="000000"/>
          <w:spacing w:val="0"/>
          <w:w w:val="100"/>
          <w:position w:val="0"/>
        </w:rPr>
        <w:t>13.3%</w:t>
      </w:r>
      <w:r>
        <w:rPr>
          <w:color w:val="000000"/>
          <w:spacing w:val="0"/>
          <w:w w:val="100"/>
          <w:position w:val="0"/>
        </w:rPr>
        <w:t>》文中引用的工信部发布</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年软件业务发展相关数据，链接： </w:t>
      </w:r>
      <w:r>
        <w:fldChar w:fldCharType="begin"/>
      </w:r>
      <w:r>
        <w:rPr/>
        <w:instrText> HYPERLINK "http://finanee.eastmoney.eom/a/202101271792165451" </w:instrText>
      </w:r>
      <w:r>
        <w:fldChar w:fldCharType="separate"/>
      </w:r>
      <w:r>
        <w:rPr>
          <w:rFonts w:ascii="Times New Roman" w:eastAsia="Times New Roman" w:hAnsi="Times New Roman" w:cs="Times New Roman"/>
          <w:color w:val="000000"/>
          <w:spacing w:val="0"/>
          <w:w w:val="100"/>
          <w:position w:val="0"/>
        </w:rPr>
        <w:t>http://finanee.eastmoney.eom/a/202101271792165451</w:t>
      </w:r>
      <w:r>
        <w:fldChar w:fldCharType="end"/>
      </w:r>
      <w:r>
        <w:rPr>
          <w:rFonts w:ascii="Times New Roman" w:eastAsia="Times New Roman" w:hAnsi="Times New Roman" w:cs="Times New Roman"/>
          <w:color w:val="000000"/>
          <w:spacing w:val="0"/>
          <w:w w:val="100"/>
          <w:position w:val="0"/>
        </w:rPr>
        <w:t xml:space="preserve"> .html</w:t>
      </w:r>
      <w:r>
        <w:rPr>
          <w:color w:val="000000"/>
          <w:spacing w:val="0"/>
          <w:w w:val="100"/>
          <w:position w:val="0"/>
        </w:rPr>
        <w:t>）</w:t>
      </w:r>
    </w:p>
    <w:p>
      <w:pPr>
        <w:pStyle w:val="Style47"/>
        <w:keepNext w:val="0"/>
        <w:keepLines w:val="0"/>
        <w:widowControl w:val="0"/>
        <w:numPr>
          <w:ilvl w:val="0"/>
          <w:numId w:val="33"/>
        </w:numPr>
        <w:shd w:val="clear" w:color="auto" w:fill="auto"/>
        <w:bidi w:val="0"/>
        <w:spacing w:before="0" w:after="0"/>
        <w:ind w:left="0" w:right="0" w:firstLine="440"/>
        <w:jc w:val="both"/>
      </w:pPr>
      <w:bookmarkStart w:id="289" w:name="bookmark289"/>
      <w:bookmarkEnd w:id="289"/>
      <w:r>
        <w:rPr>
          <w:color w:val="000000"/>
          <w:spacing w:val="0"/>
          <w:w w:val="100"/>
          <w:position w:val="0"/>
        </w:rPr>
        <w:t>行业整体运行情况</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 xml:space="preserve">我国政府高度重视软件和信息技术服务业的发展，相继出台了一系列鼓励、支持软件和信息技术服务 业发展的法律法规和政策，从制度层面为软件和信息技术服务业创造了良好的发展环境。软件和信息技术 服务产业作为国家的基础性、战略性、先导性产业，逐渐成为推动国民经济发展和促进全社会生产效率提 </w:t>
      </w:r>
      <w:r>
        <w:rPr>
          <w:color w:val="000000"/>
          <w:spacing w:val="0"/>
          <w:w w:val="100"/>
          <w:position w:val="0"/>
        </w:rPr>
        <w:t>升的强大动力。近年来，我国软件和信息技术服务产业规模迅速扩大，技术水平显著提升，己发展成为 战略新兴产业的重要组成部份。</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1-10</w:t>
      </w:r>
      <w:r>
        <w:rPr>
          <w:color w:val="000000"/>
          <w:spacing w:val="0"/>
          <w:w w:val="100"/>
          <w:position w:val="0"/>
        </w:rPr>
        <w:t>月中国软件业务收入为</w:t>
      </w:r>
      <w:r>
        <w:rPr>
          <w:rFonts w:ascii="Times New Roman" w:eastAsia="Times New Roman" w:hAnsi="Times New Roman" w:cs="Times New Roman"/>
          <w:color w:val="000000"/>
          <w:spacing w:val="0"/>
          <w:w w:val="100"/>
          <w:position w:val="0"/>
        </w:rPr>
        <w:t>65542</w:t>
      </w:r>
      <w:r>
        <w:rPr>
          <w:color w:val="000000"/>
          <w:spacing w:val="0"/>
          <w:w w:val="100"/>
          <w:position w:val="0"/>
        </w:rPr>
        <w:t>亿元，同比增长</w:t>
      </w:r>
      <w:r>
        <w:rPr>
          <w:rFonts w:ascii="Times New Roman" w:eastAsia="Times New Roman" w:hAnsi="Times New Roman" w:cs="Times New Roman"/>
          <w:color w:val="000000"/>
          <w:spacing w:val="0"/>
          <w:w w:val="100"/>
          <w:position w:val="0"/>
        </w:rPr>
        <w:t>11.7%</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 xml:space="preserve">1-10 </w:t>
      </w:r>
      <w:r>
        <w:rPr>
          <w:color w:val="000000"/>
          <w:spacing w:val="0"/>
          <w:w w:val="100"/>
          <w:position w:val="0"/>
        </w:rPr>
        <w:t>月中国信息技术服务收入为</w:t>
      </w:r>
      <w:r>
        <w:rPr>
          <w:rFonts w:ascii="Times New Roman" w:eastAsia="Times New Roman" w:hAnsi="Times New Roman" w:cs="Times New Roman"/>
          <w:color w:val="000000"/>
          <w:spacing w:val="0"/>
          <w:w w:val="100"/>
          <w:position w:val="0"/>
        </w:rPr>
        <w:t>39449</w:t>
      </w:r>
      <w:r>
        <w:rPr>
          <w:color w:val="000000"/>
          <w:spacing w:val="0"/>
          <w:w w:val="100"/>
          <w:position w:val="0"/>
        </w:rPr>
        <w:t>亿元，占软件业务收入的</w:t>
      </w:r>
      <w:r>
        <w:rPr>
          <w:rFonts w:ascii="Times New Roman" w:eastAsia="Times New Roman" w:hAnsi="Times New Roman" w:cs="Times New Roman"/>
          <w:color w:val="000000"/>
          <w:spacing w:val="0"/>
          <w:w w:val="100"/>
          <w:position w:val="0"/>
        </w:rPr>
        <w:t>60.19%</w:t>
      </w:r>
      <w:r>
        <w:rPr>
          <w:color w:val="000000"/>
          <w:spacing w:val="0"/>
          <w:w w:val="100"/>
          <w:position w:val="0"/>
        </w:rPr>
        <w:t>；软件产品收入为</w:t>
      </w:r>
      <w:r>
        <w:rPr>
          <w:rFonts w:ascii="Times New Roman" w:eastAsia="Times New Roman" w:hAnsi="Times New Roman" w:cs="Times New Roman"/>
          <w:color w:val="000000"/>
          <w:spacing w:val="0"/>
          <w:w w:val="100"/>
          <w:position w:val="0"/>
        </w:rPr>
        <w:t>18068</w:t>
      </w:r>
      <w:r>
        <w:rPr>
          <w:color w:val="000000"/>
          <w:spacing w:val="0"/>
          <w:w w:val="100"/>
          <w:position w:val="0"/>
        </w:rPr>
        <w:t>亿元，占软件业 务收入的</w:t>
      </w:r>
      <w:r>
        <w:rPr>
          <w:rFonts w:ascii="Times New Roman" w:eastAsia="Times New Roman" w:hAnsi="Times New Roman" w:cs="Times New Roman"/>
          <w:color w:val="000000"/>
          <w:spacing w:val="0"/>
          <w:w w:val="100"/>
          <w:position w:val="0"/>
        </w:rPr>
        <w:t>27.57%</w:t>
      </w:r>
      <w:r>
        <w:rPr>
          <w:color w:val="000000"/>
          <w:spacing w:val="0"/>
          <w:w w:val="100"/>
          <w:position w:val="0"/>
        </w:rPr>
        <w:t>；嵌入式系统软件收入为</w:t>
      </w:r>
      <w:r>
        <w:rPr>
          <w:rFonts w:ascii="Times New Roman" w:eastAsia="Times New Roman" w:hAnsi="Times New Roman" w:cs="Times New Roman"/>
          <w:color w:val="000000"/>
          <w:spacing w:val="0"/>
          <w:w w:val="100"/>
          <w:position w:val="0"/>
        </w:rPr>
        <w:t>6856</w:t>
      </w:r>
      <w:r>
        <w:rPr>
          <w:color w:val="000000"/>
          <w:spacing w:val="0"/>
          <w:w w:val="100"/>
          <w:position w:val="0"/>
        </w:rPr>
        <w:t>亿元，占软件业务收入的</w:t>
      </w:r>
      <w:r>
        <w:rPr>
          <w:rFonts w:ascii="Times New Roman" w:eastAsia="Times New Roman" w:hAnsi="Times New Roman" w:cs="Times New Roman"/>
          <w:color w:val="000000"/>
          <w:spacing w:val="0"/>
          <w:w w:val="100"/>
          <w:position w:val="0"/>
        </w:rPr>
        <w:t>10.46%</w:t>
      </w:r>
      <w:r>
        <w:rPr>
          <w:color w:val="000000"/>
          <w:spacing w:val="0"/>
          <w:w w:val="100"/>
          <w:position w:val="0"/>
        </w:rPr>
        <w:t>；信息安全收入为</w:t>
      </w:r>
      <w:r>
        <w:rPr>
          <w:rFonts w:ascii="Times New Roman" w:eastAsia="Times New Roman" w:hAnsi="Times New Roman" w:cs="Times New Roman"/>
          <w:color w:val="000000"/>
          <w:spacing w:val="0"/>
          <w:w w:val="100"/>
          <w:position w:val="0"/>
        </w:rPr>
        <w:t>1168</w:t>
      </w:r>
      <w:r>
        <w:rPr>
          <w:color w:val="000000"/>
          <w:spacing w:val="0"/>
          <w:w w:val="100"/>
          <w:position w:val="0"/>
        </w:rPr>
        <w:t>亿元, 占软件业务收入的</w:t>
      </w:r>
      <w:r>
        <w:rPr>
          <w:rFonts w:ascii="Times New Roman" w:eastAsia="Times New Roman" w:hAnsi="Times New Roman" w:cs="Times New Roman"/>
          <w:color w:val="000000"/>
          <w:spacing w:val="0"/>
          <w:w w:val="100"/>
          <w:position w:val="0"/>
        </w:rPr>
        <w:t>1.78%</w:t>
      </w:r>
      <w:r>
        <w:rPr>
          <w:color w:val="000000"/>
          <w:spacing w:val="0"/>
          <w:w w:val="100"/>
          <w:position w:val="0"/>
        </w:rPr>
        <w:t>。我国东部和西部地区软件和信息技术服务业快速发展。</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1-10</w:t>
      </w:r>
      <w:r>
        <w:rPr>
          <w:color w:val="000000"/>
          <w:spacing w:val="0"/>
          <w:w w:val="100"/>
          <w:position w:val="0"/>
        </w:rPr>
        <w:t>月中国软件 和信息技术服务业东部地区企业个数为</w:t>
      </w:r>
      <w:r>
        <w:rPr>
          <w:rFonts w:ascii="Times New Roman" w:eastAsia="Times New Roman" w:hAnsi="Times New Roman" w:cs="Times New Roman"/>
          <w:color w:val="000000"/>
          <w:spacing w:val="0"/>
          <w:w w:val="100"/>
          <w:position w:val="0"/>
        </w:rPr>
        <w:t>28158</w:t>
      </w:r>
      <w:r>
        <w:rPr>
          <w:color w:val="000000"/>
          <w:spacing w:val="0"/>
          <w:w w:val="100"/>
          <w:position w:val="0"/>
        </w:rPr>
        <w:t>个，西部地区企业个数为</w:t>
      </w:r>
      <w:r>
        <w:rPr>
          <w:rFonts w:ascii="Times New Roman" w:eastAsia="Times New Roman" w:hAnsi="Times New Roman" w:cs="Times New Roman"/>
          <w:color w:val="000000"/>
          <w:spacing w:val="0"/>
          <w:w w:val="100"/>
          <w:position w:val="0"/>
        </w:rPr>
        <w:t>5179</w:t>
      </w:r>
      <w:r>
        <w:rPr>
          <w:color w:val="000000"/>
          <w:spacing w:val="0"/>
          <w:w w:val="100"/>
          <w:position w:val="0"/>
        </w:rPr>
        <w:t>个，中部地区企业个数为</w:t>
      </w:r>
      <w:r>
        <w:rPr>
          <w:rFonts w:ascii="Times New Roman" w:eastAsia="Times New Roman" w:hAnsi="Times New Roman" w:cs="Times New Roman"/>
          <w:color w:val="000000"/>
          <w:spacing w:val="0"/>
          <w:w w:val="100"/>
          <w:position w:val="0"/>
        </w:rPr>
        <w:t xml:space="preserve">4643 </w:t>
      </w:r>
      <w:r>
        <w:rPr>
          <w:color w:val="000000"/>
          <w:spacing w:val="0"/>
          <w:w w:val="100"/>
          <w:position w:val="0"/>
        </w:rPr>
        <w:t>个，东北地区企业个数为</w:t>
      </w:r>
      <w:r>
        <w:rPr>
          <w:rFonts w:ascii="Times New Roman" w:eastAsia="Times New Roman" w:hAnsi="Times New Roman" w:cs="Times New Roman"/>
          <w:color w:val="000000"/>
          <w:spacing w:val="0"/>
          <w:w w:val="100"/>
          <w:position w:val="0"/>
        </w:rPr>
        <w:t>2207</w:t>
      </w:r>
      <w:r>
        <w:rPr>
          <w:color w:val="000000"/>
          <w:spacing w:val="0"/>
          <w:w w:val="100"/>
          <w:position w:val="0"/>
        </w:rPr>
        <w:t>个。伴随信息通信技术的迅速发展和应用的不断深化，软件与网络深度耦合, 软件与硬件、应用和服务紧密融合，软件和信息技术服务业加快向网络化、服务化、体系化和融合化方向 演进。产业技术创新加速，商业模式变革方兴未艾，新兴应用层出不穷，将推动产业融合发展和转型升级。</w:t>
      </w:r>
    </w:p>
    <w:p>
      <w:pPr>
        <w:pStyle w:val="Style2"/>
        <w:keepNext w:val="0"/>
        <w:keepLines w:val="0"/>
        <w:widowControl w:val="0"/>
        <w:shd w:val="clear" w:color="auto" w:fill="auto"/>
        <w:bidi w:val="0"/>
        <w:spacing w:before="0" w:after="0" w:line="467" w:lineRule="exact"/>
        <w:ind w:left="0" w:right="0" w:firstLine="0"/>
        <w:jc w:val="both"/>
      </w:pPr>
      <w:r>
        <w:rPr>
          <w:color w:val="000000"/>
          <w:spacing w:val="0"/>
          <w:w w:val="100"/>
          <w:position w:val="0"/>
        </w:rPr>
        <w:t>（备注：数据来源于工信部、智研咨询整理《</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年中国软件和信息技术服务业发展现状及发展趋势分析》， 链接 </w:t>
      </w:r>
      <w:r>
        <w:fldChar w:fldCharType="begin"/>
      </w:r>
      <w:r>
        <w:rPr/>
        <w:instrText> HYPERLINK "https://www.chyxx.com/industry/202012/917115.html%ef%bc%89" </w:instrText>
      </w:r>
      <w:r>
        <w:fldChar w:fldCharType="separate"/>
      </w:r>
      <w:r>
        <w:rPr>
          <w:rFonts w:ascii="Times New Roman" w:eastAsia="Times New Roman" w:hAnsi="Times New Roman" w:cs="Times New Roman"/>
          <w:color w:val="000000"/>
          <w:spacing w:val="0"/>
          <w:w w:val="100"/>
          <w:position w:val="0"/>
        </w:rPr>
        <w:t>https://www.chyxx.com/industry/202012/917115.html</w:t>
      </w:r>
      <w:r>
        <w:rPr>
          <w:color w:val="000000"/>
          <w:spacing w:val="0"/>
          <w:w w:val="100"/>
          <w:position w:val="0"/>
        </w:rPr>
        <w:t>）</w:t>
      </w:r>
      <w:r>
        <w:fldChar w:fldCharType="end"/>
      </w:r>
    </w:p>
    <w:p>
      <w:pPr>
        <w:pStyle w:val="Style47"/>
        <w:keepNext w:val="0"/>
        <w:keepLines w:val="0"/>
        <w:widowControl w:val="0"/>
        <w:numPr>
          <w:ilvl w:val="0"/>
          <w:numId w:val="33"/>
        </w:numPr>
        <w:shd w:val="clear" w:color="auto" w:fill="auto"/>
        <w:bidi w:val="0"/>
        <w:spacing w:before="0" w:after="0" w:line="467" w:lineRule="exact"/>
        <w:ind w:left="0" w:right="0" w:firstLine="440"/>
        <w:jc w:val="both"/>
      </w:pPr>
      <w:bookmarkStart w:id="290" w:name="bookmark290"/>
      <w:bookmarkEnd w:id="290"/>
      <w:r>
        <w:rPr>
          <w:color w:val="000000"/>
          <w:spacing w:val="0"/>
          <w:w w:val="100"/>
          <w:position w:val="0"/>
        </w:rPr>
        <w:t>行业发展趋势</w:t>
      </w:r>
    </w:p>
    <w:p>
      <w:pPr>
        <w:pStyle w:val="Style47"/>
        <w:keepNext w:val="0"/>
        <w:keepLines w:val="0"/>
        <w:widowControl w:val="0"/>
        <w:shd w:val="clear" w:color="auto" w:fill="auto"/>
        <w:bidi w:val="0"/>
        <w:spacing w:before="0" w:after="0" w:line="467" w:lineRule="exact"/>
        <w:ind w:left="0" w:right="0" w:firstLine="440"/>
        <w:jc w:val="both"/>
      </w:pPr>
      <w:r>
        <w:rPr>
          <w:rFonts w:ascii="Times New Roman" w:eastAsia="Times New Roman" w:hAnsi="Times New Roman" w:cs="Times New Roman"/>
          <w:color w:val="000000"/>
          <w:spacing w:val="0"/>
          <w:w w:val="100"/>
          <w:position w:val="0"/>
        </w:rPr>
        <w:t>“</w:t>
      </w:r>
      <w:r>
        <w:rPr>
          <w:color w:val="000000"/>
          <w:spacing w:val="0"/>
          <w:w w:val="100"/>
          <w:position w:val="0"/>
        </w:rPr>
        <w:t>十三五期间，我国软件与信息服务业发展呈现出软件产业规模及利润稳步快速增长，应用软件特别 是工业软件与网络信息安全产品增速加快，云计算、人工智能、大数据等新技术驱动行业信息化向数字化 转型，中西部软件行业快速发展等特点。受</w:t>
      </w:r>
      <w:r>
        <w:rPr>
          <w:rFonts w:ascii="Times New Roman" w:eastAsia="Times New Roman" w:hAnsi="Times New Roman" w:cs="Times New Roman"/>
          <w:color w:val="000000"/>
          <w:spacing w:val="0"/>
          <w:w w:val="100"/>
          <w:position w:val="0"/>
        </w:rPr>
        <w:t>“</w:t>
      </w:r>
      <w:r>
        <w:rPr>
          <w:color w:val="000000"/>
          <w:spacing w:val="0"/>
          <w:w w:val="100"/>
          <w:position w:val="0"/>
        </w:rPr>
        <w:t>逆全球化''趋势加剧，全球数字化进程加快，我国数字</w:t>
      </w:r>
      <w:r>
        <w:rPr>
          <w:rFonts w:ascii="Times New Roman" w:eastAsia="Times New Roman" w:hAnsi="Times New Roman" w:cs="Times New Roman"/>
          <w:color w:val="000000"/>
          <w:spacing w:val="0"/>
          <w:w w:val="100"/>
          <w:position w:val="0"/>
        </w:rPr>
        <w:t>“</w:t>
      </w:r>
      <w:r>
        <w:rPr>
          <w:color w:val="000000"/>
          <w:spacing w:val="0"/>
          <w:w w:val="100"/>
          <w:position w:val="0"/>
        </w:rPr>
        <w:t>新基建</w:t>
      </w:r>
      <w:r>
        <w:rPr>
          <w:color w:val="000000"/>
          <w:spacing w:val="0"/>
          <w:w w:val="100"/>
          <w:position w:val="0"/>
        </w:rPr>
        <w:t xml:space="preserve">'' </w:t>
      </w:r>
      <w:r>
        <w:rPr>
          <w:color w:val="000000"/>
          <w:spacing w:val="0"/>
          <w:w w:val="100"/>
          <w:position w:val="0"/>
        </w:rPr>
        <w:t>战略落地等因素影响，预计</w:t>
      </w:r>
      <w:r>
        <w:rPr>
          <w:rFonts w:ascii="Times New Roman" w:eastAsia="Times New Roman" w:hAnsi="Times New Roman" w:cs="Times New Roman"/>
          <w:color w:val="000000"/>
          <w:spacing w:val="0"/>
          <w:w w:val="100"/>
          <w:position w:val="0"/>
        </w:rPr>
        <w:t>“</w:t>
      </w:r>
      <w:r>
        <w:rPr>
          <w:color w:val="000000"/>
          <w:spacing w:val="0"/>
          <w:w w:val="100"/>
          <w:position w:val="0"/>
        </w:rPr>
        <w:t>十四五''期间，我国软件与信息服务业将呈现以下特点：</w:t>
      </w:r>
    </w:p>
    <w:p>
      <w:pPr>
        <w:pStyle w:val="Style47"/>
        <w:keepNext w:val="0"/>
        <w:keepLines w:val="0"/>
        <w:widowControl w:val="0"/>
        <w:shd w:val="clear" w:color="auto" w:fill="auto"/>
        <w:tabs>
          <w:tab w:pos="863" w:val="left"/>
        </w:tabs>
        <w:bidi w:val="0"/>
        <w:spacing w:before="0" w:after="0" w:line="467" w:lineRule="exact"/>
        <w:ind w:left="0" w:right="0" w:firstLine="440"/>
        <w:jc w:val="left"/>
      </w:pPr>
      <w:bookmarkStart w:id="291" w:name="bookmark291"/>
      <w:r>
        <w:rPr>
          <w:color w:val="000000"/>
          <w:spacing w:val="0"/>
          <w:w w:val="100"/>
          <w:position w:val="0"/>
        </w:rPr>
        <w:t>（</w:t>
      </w:r>
      <w:bookmarkEnd w:id="291"/>
      <w:r>
        <w:rPr>
          <w:rFonts w:ascii="Times New Roman" w:eastAsia="Times New Roman" w:hAnsi="Times New Roman" w:cs="Times New Roman"/>
          <w:color w:val="000000"/>
          <w:spacing w:val="0"/>
          <w:w w:val="100"/>
          <w:position w:val="0"/>
        </w:rPr>
        <w:t>1</w:t>
      </w:r>
      <w:r>
        <w:rPr>
          <w:color w:val="000000"/>
          <w:spacing w:val="0"/>
          <w:w w:val="100"/>
          <w:position w:val="0"/>
        </w:rPr>
        <w:t>）</w:t>
        <w:tab/>
        <w:t>软件产业规模和利润呈现稳步快速增长态势，软件产业全球占比不断加强</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截至</w:t>
      </w:r>
      <w:r>
        <w:rPr>
          <w:rFonts w:ascii="Times New Roman" w:eastAsia="Times New Roman" w:hAnsi="Times New Roman" w:cs="Times New Roman"/>
          <w:color w:val="000000"/>
          <w:spacing w:val="0"/>
          <w:w w:val="100"/>
          <w:position w:val="0"/>
        </w:rPr>
        <w:t>2019</w:t>
      </w:r>
      <w:r>
        <w:rPr>
          <w:color w:val="000000"/>
          <w:spacing w:val="0"/>
          <w:w w:val="100"/>
          <w:position w:val="0"/>
        </w:rPr>
        <w:t>年底，我国软件产业累计完成业务收入</w:t>
      </w:r>
      <w:r>
        <w:rPr>
          <w:rFonts w:ascii="Times New Roman" w:eastAsia="Times New Roman" w:hAnsi="Times New Roman" w:cs="Times New Roman"/>
          <w:color w:val="000000"/>
          <w:spacing w:val="0"/>
          <w:w w:val="100"/>
          <w:position w:val="0"/>
        </w:rPr>
        <w:t>71768</w:t>
      </w:r>
      <w:r>
        <w:rPr>
          <w:color w:val="000000"/>
          <w:spacing w:val="0"/>
          <w:w w:val="100"/>
          <w:position w:val="0"/>
        </w:rPr>
        <w:t>亿元，是</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.67</w:t>
      </w:r>
      <w:r>
        <w:rPr>
          <w:color w:val="000000"/>
          <w:spacing w:val="0"/>
          <w:w w:val="100"/>
          <w:position w:val="0"/>
        </w:rPr>
        <w:t>倍，</w:t>
      </w:r>
      <w:r>
        <w:rPr>
          <w:rFonts w:ascii="Times New Roman" w:eastAsia="Times New Roman" w:hAnsi="Times New Roman" w:cs="Times New Roman"/>
          <w:color w:val="000000"/>
          <w:spacing w:val="0"/>
          <w:w w:val="100"/>
          <w:position w:val="0"/>
        </w:rPr>
        <w:t>2016-2019</w:t>
      </w:r>
      <w:r>
        <w:rPr>
          <w:color w:val="000000"/>
          <w:spacing w:val="0"/>
          <w:w w:val="100"/>
          <w:position w:val="0"/>
        </w:rPr>
        <w:t>年年均增速 达到</w:t>
      </w:r>
      <w:r>
        <w:rPr>
          <w:rFonts w:ascii="Times New Roman" w:eastAsia="Times New Roman" w:hAnsi="Times New Roman" w:cs="Times New Roman"/>
          <w:color w:val="000000"/>
          <w:spacing w:val="0"/>
          <w:w w:val="100"/>
          <w:position w:val="0"/>
        </w:rPr>
        <w:t>13.4%</w:t>
      </w:r>
      <w:r>
        <w:rPr>
          <w:color w:val="000000"/>
          <w:spacing w:val="0"/>
          <w:w w:val="100"/>
          <w:position w:val="0"/>
        </w:rPr>
        <w:t>；软件和信息技术服务业实现利润总额</w:t>
      </w:r>
      <w:r>
        <w:rPr>
          <w:rFonts w:ascii="Times New Roman" w:eastAsia="Times New Roman" w:hAnsi="Times New Roman" w:cs="Times New Roman"/>
          <w:color w:val="000000"/>
          <w:spacing w:val="0"/>
          <w:w w:val="100"/>
          <w:position w:val="0"/>
        </w:rPr>
        <w:t>9362</w:t>
      </w:r>
      <w:r>
        <w:rPr>
          <w:color w:val="000000"/>
          <w:spacing w:val="0"/>
          <w:w w:val="100"/>
          <w:position w:val="0"/>
        </w:rPr>
        <w:t>亿元，是</w:t>
      </w:r>
      <w:r>
        <w:rPr>
          <w:rFonts w:ascii="Times New Roman" w:eastAsia="Times New Roman" w:hAnsi="Times New Roman" w:cs="Times New Roman"/>
          <w:color w:val="000000"/>
          <w:spacing w:val="0"/>
          <w:w w:val="100"/>
          <w:position w:val="0"/>
        </w:rPr>
        <w:t>2015</w:t>
      </w:r>
      <w:r>
        <w:rPr>
          <w:color w:val="000000"/>
          <w:spacing w:val="0"/>
          <w:w w:val="100"/>
          <w:position w:val="0"/>
        </w:rPr>
        <w:t>年的</w:t>
      </w:r>
      <w:r>
        <w:rPr>
          <w:rFonts w:ascii="Times New Roman" w:eastAsia="Times New Roman" w:hAnsi="Times New Roman" w:cs="Times New Roman"/>
          <w:color w:val="000000"/>
          <w:spacing w:val="0"/>
          <w:w w:val="100"/>
          <w:position w:val="0"/>
        </w:rPr>
        <w:t>2</w:t>
      </w:r>
      <w:r>
        <w:rPr>
          <w:color w:val="000000"/>
          <w:spacing w:val="0"/>
          <w:w w:val="100"/>
          <w:position w:val="0"/>
        </w:rPr>
        <w:t>倍以上；在全球软件产业占比超 过</w:t>
      </w:r>
      <w:r>
        <w:rPr>
          <w:rFonts w:ascii="Times New Roman" w:eastAsia="Times New Roman" w:hAnsi="Times New Roman" w:cs="Times New Roman"/>
          <w:color w:val="000000"/>
          <w:spacing w:val="0"/>
          <w:w w:val="100"/>
          <w:position w:val="0"/>
        </w:rPr>
        <w:t>15%</w:t>
      </w:r>
      <w:r>
        <w:rPr>
          <w:color w:val="000000"/>
          <w:spacing w:val="0"/>
          <w:w w:val="100"/>
          <w:position w:val="0"/>
        </w:rPr>
        <w:t>。随着我国软件产业的不断发展，以及数字化、智能化升级需求的不断增加，</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rFonts w:ascii="Times New Roman" w:eastAsia="Times New Roman" w:hAnsi="Times New Roman" w:cs="Times New Roman"/>
          <w:color w:val="000000"/>
          <w:spacing w:val="0"/>
          <w:w w:val="100"/>
          <w:position w:val="0"/>
        </w:rPr>
        <w:t>”</w:t>
      </w:r>
      <w:r>
        <w:rPr>
          <w:color w:val="000000"/>
          <w:spacing w:val="0"/>
          <w:w w:val="100"/>
          <w:position w:val="0"/>
        </w:rPr>
        <w:t>期间，我国 软件产业规模仍将以</w:t>
      </w:r>
      <w:r>
        <w:rPr>
          <w:rFonts w:ascii="Times New Roman" w:eastAsia="Times New Roman" w:hAnsi="Times New Roman" w:cs="Times New Roman"/>
          <w:color w:val="000000"/>
          <w:spacing w:val="0"/>
          <w:w w:val="100"/>
          <w:position w:val="0"/>
        </w:rPr>
        <w:t>14%</w:t>
      </w:r>
      <w:r>
        <w:rPr>
          <w:color w:val="000000"/>
          <w:spacing w:val="0"/>
          <w:w w:val="100"/>
          <w:position w:val="0"/>
        </w:rPr>
        <w:t>增速继续保持高速增长，到</w:t>
      </w:r>
      <w:r>
        <w:rPr>
          <w:rFonts w:ascii="Times New Roman" w:eastAsia="Times New Roman" w:hAnsi="Times New Roman" w:cs="Times New Roman"/>
          <w:color w:val="000000"/>
          <w:spacing w:val="0"/>
          <w:w w:val="100"/>
          <w:position w:val="0"/>
        </w:rPr>
        <w:t>2025</w:t>
      </w:r>
      <w:r>
        <w:rPr>
          <w:color w:val="000000"/>
          <w:spacing w:val="0"/>
          <w:w w:val="100"/>
          <w:position w:val="0"/>
        </w:rPr>
        <w:t>年软件产业累计完成收入将超过</w:t>
      </w:r>
      <w:r>
        <w:rPr>
          <w:rFonts w:ascii="Times New Roman" w:eastAsia="Times New Roman" w:hAnsi="Times New Roman" w:cs="Times New Roman"/>
          <w:color w:val="000000"/>
          <w:spacing w:val="0"/>
          <w:w w:val="100"/>
          <w:position w:val="0"/>
        </w:rPr>
        <w:t>1.5</w:t>
      </w:r>
      <w:r>
        <w:rPr>
          <w:color w:val="000000"/>
          <w:spacing w:val="0"/>
          <w:w w:val="100"/>
          <w:position w:val="0"/>
        </w:rPr>
        <w:t>万亿元。（备 注:数据来源于赛迪顾问软件与信息服务业研究中心《</w:t>
      </w:r>
      <w:r>
        <w:rPr>
          <w:rFonts w:ascii="Times New Roman" w:eastAsia="Times New Roman" w:hAnsi="Times New Roman" w:cs="Times New Roman"/>
          <w:color w:val="000000"/>
          <w:spacing w:val="0"/>
          <w:w w:val="100"/>
          <w:position w:val="0"/>
        </w:rPr>
        <w:t>“</w:t>
      </w:r>
      <w:r>
        <w:rPr>
          <w:color w:val="000000"/>
          <w:spacing w:val="0"/>
          <w:w w:val="100"/>
          <w:position w:val="0"/>
        </w:rPr>
        <w:t>十四五''期间我国软件与信息服务业趋势特征分析》, 链接：</w:t>
      </w:r>
      <w:r>
        <w:fldChar w:fldCharType="begin"/>
      </w:r>
      <w:r>
        <w:rPr/>
        <w:instrText> HYPERLINK "https://www.ccidgroup.com/info/1105/32501.htm%ef%bc%89" </w:instrText>
      </w:r>
      <w:r>
        <w:fldChar w:fldCharType="separate"/>
      </w:r>
      <w:r>
        <w:rPr>
          <w:rFonts w:ascii="Times New Roman" w:eastAsia="Times New Roman" w:hAnsi="Times New Roman" w:cs="Times New Roman"/>
          <w:color w:val="000000"/>
          <w:spacing w:val="0"/>
          <w:w w:val="100"/>
          <w:position w:val="0"/>
        </w:rPr>
        <w:t>https://www.ccidgroup.com/info/1105/32501.htm</w:t>
      </w:r>
      <w:r>
        <w:rPr>
          <w:color w:val="000000"/>
          <w:spacing w:val="0"/>
          <w:w w:val="100"/>
          <w:position w:val="0"/>
        </w:rPr>
        <w:t>）</w:t>
      </w:r>
      <w:r>
        <w:fldChar w:fldCharType="end"/>
      </w:r>
    </w:p>
    <w:p>
      <w:pPr>
        <w:pStyle w:val="Style47"/>
        <w:keepNext w:val="0"/>
        <w:keepLines w:val="0"/>
        <w:widowControl w:val="0"/>
        <w:shd w:val="clear" w:color="auto" w:fill="auto"/>
        <w:tabs>
          <w:tab w:pos="863" w:val="left"/>
        </w:tabs>
        <w:bidi w:val="0"/>
        <w:spacing w:before="0" w:after="0" w:line="467" w:lineRule="exact"/>
        <w:ind w:left="0" w:right="0" w:firstLine="440"/>
        <w:jc w:val="left"/>
      </w:pPr>
      <w:bookmarkStart w:id="292" w:name="bookmark292"/>
      <w:r>
        <w:rPr>
          <w:color w:val="000000"/>
          <w:spacing w:val="0"/>
          <w:w w:val="100"/>
          <w:position w:val="0"/>
        </w:rPr>
        <w:t>（</w:t>
      </w:r>
      <w:bookmarkEnd w:id="292"/>
      <w:r>
        <w:rPr>
          <w:rFonts w:ascii="Times New Roman" w:eastAsia="Times New Roman" w:hAnsi="Times New Roman" w:cs="Times New Roman"/>
          <w:color w:val="000000"/>
          <w:spacing w:val="0"/>
          <w:w w:val="100"/>
          <w:position w:val="0"/>
        </w:rPr>
        <w:t>2</w:t>
      </w:r>
      <w:r>
        <w:rPr>
          <w:color w:val="000000"/>
          <w:spacing w:val="0"/>
          <w:w w:val="100"/>
          <w:position w:val="0"/>
        </w:rPr>
        <w:t>）</w:t>
        <w:tab/>
        <w:t>基础软件、工业软件和网络安全加速发展，信息服务业高速增长</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经过多年发展，我国基础软件和工业软件产品及技术与先进国家差距逐步缩小，</w:t>
      </w:r>
      <w:r>
        <w:rPr>
          <w:rFonts w:ascii="Times New Roman" w:eastAsia="Times New Roman" w:hAnsi="Times New Roman" w:cs="Times New Roman"/>
          <w:color w:val="000000"/>
          <w:spacing w:val="0"/>
          <w:w w:val="100"/>
          <w:position w:val="0"/>
        </w:rPr>
        <w:t>“</w:t>
      </w:r>
      <w:r>
        <w:rPr>
          <w:color w:val="000000"/>
          <w:spacing w:val="0"/>
          <w:w w:val="100"/>
          <w:position w:val="0"/>
        </w:rPr>
        <w:t>十三五''末期不稳定 的国际贸易关系也不断倒逼国内加大对基础软件和工业软件发展的支持力度。</w:t>
      </w:r>
      <w:r>
        <w:rPr>
          <w:rFonts w:ascii="Times New Roman" w:eastAsia="Times New Roman" w:hAnsi="Times New Roman" w:cs="Times New Roman"/>
          <w:color w:val="000000"/>
          <w:spacing w:val="0"/>
          <w:w w:val="100"/>
          <w:position w:val="0"/>
        </w:rPr>
        <w:t>“</w:t>
      </w:r>
      <w:r>
        <w:rPr>
          <w:color w:val="000000"/>
          <w:spacing w:val="0"/>
          <w:w w:val="100"/>
          <w:position w:val="0"/>
        </w:rPr>
        <w:t>十四五''期间，我国基础软 件和工业软件产业将呈现出快于</w:t>
      </w:r>
      <w:r>
        <w:rPr>
          <w:rFonts w:ascii="Times New Roman" w:eastAsia="Times New Roman" w:hAnsi="Times New Roman" w:cs="Times New Roman"/>
          <w:color w:val="000000"/>
          <w:spacing w:val="0"/>
          <w:w w:val="100"/>
          <w:position w:val="0"/>
        </w:rPr>
        <w:t>“</w:t>
      </w:r>
      <w:r>
        <w:rPr>
          <w:color w:val="000000"/>
          <w:spacing w:val="0"/>
          <w:w w:val="100"/>
          <w:position w:val="0"/>
        </w:rPr>
        <w:t>十三五''的增速发展。在事件驱动和政策驱动的</w:t>
      </w:r>
      <w:r>
        <w:rPr>
          <w:rFonts w:ascii="Times New Roman" w:eastAsia="Times New Roman" w:hAnsi="Times New Roman" w:cs="Times New Roman"/>
          <w:color w:val="000000"/>
          <w:spacing w:val="0"/>
          <w:w w:val="100"/>
          <w:position w:val="0"/>
        </w:rPr>
        <w:t>“</w:t>
      </w:r>
      <w:r>
        <w:rPr>
          <w:color w:val="000000"/>
          <w:spacing w:val="0"/>
          <w:w w:val="100"/>
          <w:position w:val="0"/>
        </w:rPr>
        <w:t>双重</w:t>
      </w:r>
      <w:r>
        <w:rPr>
          <w:color w:val="000000"/>
          <w:spacing w:val="0"/>
          <w:w w:val="100"/>
          <w:position w:val="0"/>
        </w:rPr>
        <w:t>''</w:t>
      </w:r>
      <w:r>
        <w:rPr>
          <w:color w:val="000000"/>
          <w:spacing w:val="0"/>
          <w:w w:val="100"/>
          <w:position w:val="0"/>
        </w:rPr>
        <w:t>激励下，</w:t>
      </w:r>
      <w:r>
        <w:rPr>
          <w:rFonts w:ascii="Times New Roman" w:eastAsia="Times New Roman" w:hAnsi="Times New Roman" w:cs="Times New Roman"/>
          <w:color w:val="000000"/>
          <w:spacing w:val="0"/>
          <w:w w:val="100"/>
          <w:position w:val="0"/>
        </w:rPr>
        <w:t>“</w:t>
      </w:r>
      <w:r>
        <w:rPr>
          <w:color w:val="000000"/>
          <w:spacing w:val="0"/>
          <w:w w:val="100"/>
          <w:position w:val="0"/>
        </w:rPr>
        <w:t>十三五</w:t>
      </w:r>
      <w:r>
        <w:rPr>
          <w:color w:val="000000"/>
          <w:spacing w:val="0"/>
          <w:w w:val="100"/>
          <w:position w:val="0"/>
        </w:rPr>
        <w:t xml:space="preserve">'' </w:t>
      </w:r>
      <w:r>
        <w:rPr>
          <w:color w:val="000000"/>
          <w:spacing w:val="0"/>
          <w:w w:val="100"/>
          <w:position w:val="0"/>
        </w:rPr>
        <w:t>期间我国网络安全产业已经呈现快速增长态势，我们研判，在《信息安全技术网络安全等级保护基本要求》 《信息安全技术网络安全等级保护测评要求》《信息安全技术网络安全等级保护安全设计技术要求》《中 华人民共和国密码法》等一系列政策法律落地实施和数字</w:t>
      </w:r>
      <w:r>
        <w:rPr>
          <w:rFonts w:ascii="Times New Roman" w:eastAsia="Times New Roman" w:hAnsi="Times New Roman" w:cs="Times New Roman"/>
          <w:color w:val="000000"/>
          <w:spacing w:val="0"/>
          <w:w w:val="100"/>
          <w:position w:val="0"/>
        </w:rPr>
        <w:t>“</w:t>
      </w:r>
      <w:r>
        <w:rPr>
          <w:color w:val="000000"/>
          <w:spacing w:val="0"/>
          <w:w w:val="100"/>
          <w:position w:val="0"/>
        </w:rPr>
        <w:t>新基建''加速建设等积极因素带动下，</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color w:val="000000"/>
          <w:spacing w:val="0"/>
          <w:w w:val="100"/>
          <w:position w:val="0"/>
        </w:rPr>
        <w:t xml:space="preserve">'' </w:t>
      </w:r>
      <w:r>
        <w:rPr>
          <w:color w:val="000000"/>
          <w:spacing w:val="0"/>
          <w:w w:val="100"/>
          <w:position w:val="0"/>
        </w:rPr>
        <w:t>期间，我国网络安全产业将爆发式增长。截至</w:t>
      </w:r>
      <w:r>
        <w:rPr>
          <w:rFonts w:ascii="Times New Roman" w:eastAsia="Times New Roman" w:hAnsi="Times New Roman" w:cs="Times New Roman"/>
          <w:color w:val="000000"/>
          <w:spacing w:val="0"/>
          <w:w w:val="100"/>
          <w:position w:val="0"/>
        </w:rPr>
        <w:t>2019</w:t>
      </w:r>
      <w:r>
        <w:rPr>
          <w:color w:val="000000"/>
          <w:spacing w:val="0"/>
          <w:w w:val="100"/>
          <w:position w:val="0"/>
        </w:rPr>
        <w:t>年末，我国信息服务业占全部软件与信息服务业规模占 比超过</w:t>
      </w:r>
      <w:r>
        <w:rPr>
          <w:rFonts w:ascii="Times New Roman" w:eastAsia="Times New Roman" w:hAnsi="Times New Roman" w:cs="Times New Roman"/>
          <w:color w:val="000000"/>
          <w:spacing w:val="0"/>
          <w:w w:val="100"/>
          <w:position w:val="0"/>
        </w:rPr>
        <w:t>58%</w:t>
      </w:r>
      <w:r>
        <w:rPr>
          <w:color w:val="000000"/>
          <w:spacing w:val="0"/>
          <w:w w:val="100"/>
          <w:position w:val="0"/>
        </w:rPr>
        <w:t>，连续三年我国信息服务业占比以每年</w:t>
      </w:r>
      <w:r>
        <w:rPr>
          <w:rFonts w:ascii="Times New Roman" w:eastAsia="Times New Roman" w:hAnsi="Times New Roman" w:cs="Times New Roman"/>
          <w:color w:val="000000"/>
          <w:spacing w:val="0"/>
          <w:w w:val="100"/>
          <w:position w:val="0"/>
        </w:rPr>
        <w:t>2-3</w:t>
      </w:r>
      <w:r>
        <w:rPr>
          <w:color w:val="000000"/>
          <w:spacing w:val="0"/>
          <w:w w:val="100"/>
          <w:position w:val="0"/>
        </w:rPr>
        <w:t>个百分点的增速增加。</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color w:val="000000"/>
          <w:spacing w:val="0"/>
          <w:w w:val="100"/>
          <w:position w:val="0"/>
        </w:rPr>
        <w:t>''</w:t>
      </w:r>
      <w:r>
        <w:rPr>
          <w:color w:val="000000"/>
          <w:spacing w:val="0"/>
          <w:w w:val="100"/>
          <w:position w:val="0"/>
        </w:rPr>
        <w:t>是我国数字化战略实 施的关键时期，也是我国数字</w:t>
      </w:r>
      <w:r>
        <w:rPr>
          <w:rFonts w:ascii="Times New Roman" w:eastAsia="Times New Roman" w:hAnsi="Times New Roman" w:cs="Times New Roman"/>
          <w:color w:val="000000"/>
          <w:spacing w:val="0"/>
          <w:w w:val="100"/>
          <w:position w:val="0"/>
        </w:rPr>
        <w:t>“</w:t>
      </w:r>
      <w:r>
        <w:rPr>
          <w:color w:val="000000"/>
          <w:spacing w:val="0"/>
          <w:w w:val="100"/>
          <w:position w:val="0"/>
        </w:rPr>
        <w:t>新基建''建设落地的五年，我国行业数字化必将在智慧城市、制造业、金融、 能源等各行业全面开花，我国信息服务业将呈现高速增长态势。（备注：数据来源于赛迪顾问软件与信息 服务业研究中心《</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color w:val="000000"/>
          <w:spacing w:val="0"/>
          <w:w w:val="100"/>
          <w:position w:val="0"/>
        </w:rPr>
        <w:t>''</w:t>
      </w:r>
      <w:r>
        <w:rPr>
          <w:color w:val="000000"/>
          <w:spacing w:val="0"/>
          <w:w w:val="100"/>
          <w:position w:val="0"/>
        </w:rPr>
        <w:t xml:space="preserve">期间我国软件与信息服务业趋势特征分析》，链接： </w:t>
      </w:r>
      <w:r>
        <w:fldChar w:fldCharType="begin"/>
      </w:r>
      <w:r>
        <w:rPr/>
        <w:instrText> HYPERLINK "https://www.ccidgroup.com/info/1105/32501.htm%ef%bc%89" </w:instrText>
      </w:r>
      <w:r>
        <w:fldChar w:fldCharType="separate"/>
      </w:r>
      <w:r>
        <w:rPr>
          <w:rFonts w:ascii="Times New Roman" w:eastAsia="Times New Roman" w:hAnsi="Times New Roman" w:cs="Times New Roman"/>
          <w:color w:val="000000"/>
          <w:spacing w:val="0"/>
          <w:w w:val="100"/>
          <w:position w:val="0"/>
        </w:rPr>
        <w:t>https://www.ccidgroup.com/info/1105/32501.htm</w:t>
      </w:r>
      <w:r>
        <w:rPr>
          <w:color w:val="000000"/>
          <w:spacing w:val="0"/>
          <w:w w:val="100"/>
          <w:position w:val="0"/>
        </w:rPr>
        <w:t>）</w:t>
      </w:r>
      <w:r>
        <w:fldChar w:fldCharType="end"/>
      </w:r>
    </w:p>
    <w:p>
      <w:pPr>
        <w:pStyle w:val="Style47"/>
        <w:keepNext w:val="0"/>
        <w:keepLines w:val="0"/>
        <w:widowControl w:val="0"/>
        <w:shd w:val="clear" w:color="auto" w:fill="auto"/>
        <w:tabs>
          <w:tab w:pos="863" w:val="left"/>
        </w:tabs>
        <w:bidi w:val="0"/>
        <w:spacing w:before="0" w:after="0" w:line="468" w:lineRule="exact"/>
        <w:ind w:left="0" w:right="0" w:firstLine="440"/>
        <w:jc w:val="left"/>
      </w:pPr>
      <w:bookmarkStart w:id="293" w:name="bookmark293"/>
      <w:r>
        <w:rPr>
          <w:color w:val="000000"/>
          <w:spacing w:val="0"/>
          <w:w w:val="100"/>
          <w:position w:val="0"/>
        </w:rPr>
        <w:t>（</w:t>
      </w:r>
      <w:bookmarkEnd w:id="293"/>
      <w:r>
        <w:rPr>
          <w:rFonts w:ascii="Times New Roman" w:eastAsia="Times New Roman" w:hAnsi="Times New Roman" w:cs="Times New Roman"/>
          <w:color w:val="000000"/>
          <w:spacing w:val="0"/>
          <w:w w:val="100"/>
          <w:position w:val="0"/>
        </w:rPr>
        <w:t>3</w:t>
      </w:r>
      <w:r>
        <w:rPr>
          <w:color w:val="000000"/>
          <w:spacing w:val="0"/>
          <w:w w:val="100"/>
          <w:position w:val="0"/>
        </w:rPr>
        <w:t>）</w:t>
        <w:tab/>
        <w:t>我国软件企业加速成长，软件全生态竞争力加强</w:t>
      </w:r>
    </w:p>
    <w:p>
      <w:pPr>
        <w:pStyle w:val="Style47"/>
        <w:keepNext w:val="0"/>
        <w:keepLines w:val="0"/>
        <w:widowControl w:val="0"/>
        <w:shd w:val="clear" w:color="auto" w:fill="auto"/>
        <w:bidi w:val="0"/>
        <w:spacing w:before="0" w:after="0" w:line="468" w:lineRule="exact"/>
        <w:ind w:left="0" w:right="0" w:firstLine="440"/>
        <w:jc w:val="both"/>
      </w:pPr>
      <w:r>
        <w:rPr>
          <w:rFonts w:ascii="Times New Roman" w:eastAsia="Times New Roman" w:hAnsi="Times New Roman" w:cs="Times New Roman"/>
          <w:color w:val="000000"/>
          <w:spacing w:val="0"/>
          <w:w w:val="100"/>
          <w:position w:val="0"/>
        </w:rPr>
        <w:t>“</w:t>
      </w:r>
      <w:r>
        <w:rPr>
          <w:color w:val="000000"/>
          <w:spacing w:val="0"/>
          <w:w w:val="100"/>
          <w:position w:val="0"/>
        </w:rPr>
        <w:t>十三五</w:t>
      </w:r>
      <w:r>
        <w:rPr>
          <w:color w:val="000000"/>
          <w:spacing w:val="0"/>
          <w:w w:val="100"/>
          <w:position w:val="0"/>
        </w:rPr>
        <w:t>''</w:t>
      </w:r>
      <w:r>
        <w:rPr>
          <w:color w:val="000000"/>
          <w:spacing w:val="0"/>
          <w:w w:val="100"/>
          <w:position w:val="0"/>
        </w:rPr>
        <w:t>期间，我国软件企业已具备一定的技术、市场及规模实力。在</w:t>
      </w:r>
      <w:r>
        <w:rPr>
          <w:rFonts w:ascii="Times New Roman" w:eastAsia="Times New Roman" w:hAnsi="Times New Roman" w:cs="Times New Roman"/>
          <w:color w:val="000000"/>
          <w:spacing w:val="0"/>
          <w:w w:val="100"/>
          <w:position w:val="0"/>
        </w:rPr>
        <w:t>“</w:t>
      </w:r>
      <w:r>
        <w:rPr>
          <w:color w:val="000000"/>
          <w:spacing w:val="0"/>
          <w:w w:val="100"/>
          <w:position w:val="0"/>
        </w:rPr>
        <w:t>数字中国''的战略指引下，数 字化全生态发展加速，企业联合全生态发展是未来的必然趋势。</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color w:val="000000"/>
          <w:spacing w:val="0"/>
          <w:w w:val="100"/>
          <w:position w:val="0"/>
        </w:rPr>
        <w:t>''</w:t>
      </w:r>
      <w:r>
        <w:rPr>
          <w:color w:val="000000"/>
          <w:spacing w:val="0"/>
          <w:w w:val="100"/>
          <w:position w:val="0"/>
        </w:rPr>
        <w:t>期间，我国软件企业会加速研发, 缩小并追赶与国际知名企业的差距，提升行业竞争力；从生态维度分析，从基础软件的数据库、操作系统， 到应用软件，再到</w:t>
      </w:r>
      <w:r>
        <w:rPr>
          <w:rFonts w:ascii="Times New Roman" w:eastAsia="Times New Roman" w:hAnsi="Times New Roman" w:cs="Times New Roman"/>
          <w:color w:val="000000"/>
          <w:spacing w:val="0"/>
          <w:w w:val="100"/>
          <w:position w:val="0"/>
        </w:rPr>
        <w:t>IT</w:t>
      </w:r>
      <w:r>
        <w:rPr>
          <w:color w:val="000000"/>
          <w:spacing w:val="0"/>
          <w:w w:val="100"/>
          <w:position w:val="0"/>
        </w:rPr>
        <w:t>硬件及平台等建立国内的</w:t>
      </w:r>
      <w:r>
        <w:rPr>
          <w:rFonts w:ascii="Times New Roman" w:eastAsia="Times New Roman" w:hAnsi="Times New Roman" w:cs="Times New Roman"/>
          <w:color w:val="000000"/>
          <w:spacing w:val="0"/>
          <w:w w:val="100"/>
          <w:position w:val="0"/>
        </w:rPr>
        <w:t>IT</w:t>
      </w:r>
      <w:r>
        <w:rPr>
          <w:color w:val="000000"/>
          <w:spacing w:val="0"/>
          <w:w w:val="100"/>
          <w:position w:val="0"/>
        </w:rPr>
        <w:t>产业新生态，驱动全产业生态链的发展。</w:t>
      </w:r>
    </w:p>
    <w:p>
      <w:pPr>
        <w:pStyle w:val="Style47"/>
        <w:keepNext w:val="0"/>
        <w:keepLines w:val="0"/>
        <w:widowControl w:val="0"/>
        <w:shd w:val="clear" w:color="auto" w:fill="auto"/>
        <w:tabs>
          <w:tab w:pos="863" w:val="left"/>
        </w:tabs>
        <w:bidi w:val="0"/>
        <w:spacing w:before="0" w:after="0" w:line="468" w:lineRule="exact"/>
        <w:ind w:left="0" w:right="0" w:firstLine="440"/>
        <w:jc w:val="both"/>
      </w:pPr>
      <w:bookmarkStart w:id="294" w:name="bookmark294"/>
      <w:r>
        <w:rPr>
          <w:color w:val="000000"/>
          <w:spacing w:val="0"/>
          <w:w w:val="100"/>
          <w:position w:val="0"/>
        </w:rPr>
        <w:t>（</w:t>
      </w:r>
      <w:bookmarkEnd w:id="294"/>
      <w:r>
        <w:rPr>
          <w:rFonts w:ascii="Times New Roman" w:eastAsia="Times New Roman" w:hAnsi="Times New Roman" w:cs="Times New Roman"/>
          <w:color w:val="000000"/>
          <w:spacing w:val="0"/>
          <w:w w:val="100"/>
          <w:position w:val="0"/>
        </w:rPr>
        <w:t>4</w:t>
      </w:r>
      <w:r>
        <w:rPr>
          <w:color w:val="000000"/>
          <w:spacing w:val="0"/>
          <w:w w:val="100"/>
          <w:position w:val="0"/>
        </w:rPr>
        <w:t>）</w:t>
        <w:tab/>
        <w:t>信息数字化规则加快建立，智能化软件成为行业未来趋势</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当前，</w:t>
      </w:r>
      <w:r>
        <w:rPr>
          <w:rFonts w:ascii="Times New Roman" w:eastAsia="Times New Roman" w:hAnsi="Times New Roman" w:cs="Times New Roman"/>
          <w:color w:val="000000"/>
          <w:spacing w:val="0"/>
          <w:w w:val="100"/>
          <w:position w:val="0"/>
        </w:rPr>
        <w:t>5G</w:t>
      </w:r>
      <w:r>
        <w:rPr>
          <w:color w:val="000000"/>
          <w:spacing w:val="0"/>
          <w:w w:val="100"/>
          <w:position w:val="0"/>
        </w:rPr>
        <w:t>低延时、高速率、广连接的特点为数字化发展打通了渠道，大数据、云计算等行业的加速发 展为数字化提供了平台。</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color w:val="000000"/>
          <w:spacing w:val="0"/>
          <w:w w:val="100"/>
          <w:position w:val="0"/>
        </w:rPr>
        <w:t>''</w:t>
      </w:r>
      <w:r>
        <w:rPr>
          <w:color w:val="000000"/>
          <w:spacing w:val="0"/>
          <w:w w:val="100"/>
          <w:position w:val="0"/>
        </w:rPr>
        <w:t>期间，我国数字化转型步伐加快，有关数据隐私保护、</w:t>
      </w:r>
      <w:r>
        <w:rPr>
          <w:rFonts w:ascii="Times New Roman" w:eastAsia="Times New Roman" w:hAnsi="Times New Roman" w:cs="Times New Roman"/>
          <w:color w:val="000000"/>
          <w:spacing w:val="0"/>
          <w:w w:val="100"/>
          <w:position w:val="0"/>
        </w:rPr>
        <w:t>5G</w:t>
      </w:r>
      <w:r>
        <w:rPr>
          <w:color w:val="000000"/>
          <w:spacing w:val="0"/>
          <w:w w:val="100"/>
          <w:position w:val="0"/>
        </w:rPr>
        <w:t>使用规则、数 据交易规范等市场规则将更加明确、市场环境更加完善。在数字化得到规范的同时，软件智能化发展是大 势所趋。在感知层，依托于大数据基础的大数据感知、采集、分析和边缘计算软件加速发展；在传输层， 高速移动、海量连接和低时延的移动通信软件成为关键；在计算层，通过分布式计算集群、内存计算、流 计算等处理海量大数据的各类计算软件潜力无限；在分析层，有实现计算机视觉、语音识别、自然语言理 解、认知计算、深度学习的各类软件迎来新的市场机遇；在应用层，面向行业的智能制造、智能金融、智 能医疗、自动驾驶等智能应用软件将进一步推动行业智能化水平。</w:t>
      </w:r>
    </w:p>
    <w:p>
      <w:pPr>
        <w:pStyle w:val="Style47"/>
        <w:keepNext w:val="0"/>
        <w:keepLines w:val="0"/>
        <w:widowControl w:val="0"/>
        <w:shd w:val="clear" w:color="auto" w:fill="auto"/>
        <w:tabs>
          <w:tab w:pos="863" w:val="left"/>
        </w:tabs>
        <w:bidi w:val="0"/>
        <w:spacing w:before="0" w:after="0" w:line="468" w:lineRule="exact"/>
        <w:ind w:left="0" w:right="0" w:firstLine="440"/>
        <w:jc w:val="left"/>
      </w:pPr>
      <w:bookmarkStart w:id="295" w:name="bookmark295"/>
      <w:r>
        <w:rPr>
          <w:color w:val="000000"/>
          <w:spacing w:val="0"/>
          <w:w w:val="100"/>
          <w:position w:val="0"/>
        </w:rPr>
        <w:t>（</w:t>
      </w:r>
      <w:bookmarkEnd w:id="295"/>
      <w:r>
        <w:rPr>
          <w:rFonts w:ascii="Times New Roman" w:eastAsia="Times New Roman" w:hAnsi="Times New Roman" w:cs="Times New Roman"/>
          <w:color w:val="000000"/>
          <w:spacing w:val="0"/>
          <w:w w:val="100"/>
          <w:position w:val="0"/>
        </w:rPr>
        <w:t>5</w:t>
      </w:r>
      <w:r>
        <w:rPr>
          <w:color w:val="000000"/>
          <w:spacing w:val="0"/>
          <w:w w:val="100"/>
          <w:position w:val="0"/>
        </w:rPr>
        <w:t>）</w:t>
        <w:tab/>
        <w:t>软件产业区域性竞争逐步加剧，城市推动软件产业发展将呈现鲜明特色</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从</w:t>
      </w:r>
      <w:r>
        <w:rPr>
          <w:rFonts w:ascii="Times New Roman" w:eastAsia="Times New Roman" w:hAnsi="Times New Roman" w:cs="Times New Roman"/>
          <w:color w:val="000000"/>
          <w:spacing w:val="0"/>
          <w:w w:val="100"/>
          <w:position w:val="0"/>
        </w:rPr>
        <w:t>IT</w:t>
      </w:r>
      <w:r>
        <w:rPr>
          <w:color w:val="000000"/>
          <w:spacing w:val="0"/>
          <w:w w:val="100"/>
          <w:position w:val="0"/>
        </w:rPr>
        <w:t>产业区域态势分析，我国城市特别是增速较快的中西部城市，如成都、合肥、武汉等在产业培育 及招商过程中更加注重对</w:t>
      </w:r>
      <w:r>
        <w:rPr>
          <w:rFonts w:ascii="Times New Roman" w:eastAsia="Times New Roman" w:hAnsi="Times New Roman" w:cs="Times New Roman"/>
          <w:color w:val="000000"/>
          <w:spacing w:val="0"/>
          <w:w w:val="100"/>
          <w:position w:val="0"/>
        </w:rPr>
        <w:t>IT</w:t>
      </w:r>
      <w:r>
        <w:rPr>
          <w:color w:val="000000"/>
          <w:spacing w:val="0"/>
          <w:w w:val="100"/>
          <w:position w:val="0"/>
        </w:rPr>
        <w:t>制造企业的培育和招引，但从国内</w:t>
      </w:r>
      <w:r>
        <w:rPr>
          <w:rFonts w:ascii="Times New Roman" w:eastAsia="Times New Roman" w:hAnsi="Times New Roman" w:cs="Times New Roman"/>
          <w:color w:val="000000"/>
          <w:spacing w:val="0"/>
          <w:w w:val="100"/>
          <w:position w:val="0"/>
        </w:rPr>
        <w:t>IT</w:t>
      </w:r>
      <w:r>
        <w:rPr>
          <w:color w:val="000000"/>
          <w:spacing w:val="0"/>
          <w:w w:val="100"/>
          <w:position w:val="0"/>
        </w:rPr>
        <w:t>龙头企业发展态势来看，阿里、腾讯等互 联网相关的软件与信息服务业企业迅速成长为行业龙头企业，带动杭州等城市产业快速发展，城市影响力 不断提升。</w:t>
      </w:r>
      <w:r>
        <w:rPr>
          <w:rFonts w:ascii="Times New Roman" w:eastAsia="Times New Roman" w:hAnsi="Times New Roman" w:cs="Times New Roman"/>
          <w:color w:val="000000"/>
          <w:spacing w:val="0"/>
          <w:w w:val="100"/>
          <w:position w:val="0"/>
        </w:rPr>
        <w:t>“</w:t>
      </w:r>
      <w:r>
        <w:rPr>
          <w:color w:val="000000"/>
          <w:spacing w:val="0"/>
          <w:w w:val="100"/>
          <w:position w:val="0"/>
        </w:rPr>
        <w:t>十四五''期间，数字化、智能化将成为</w:t>
      </w:r>
      <w:r>
        <w:rPr>
          <w:rFonts w:ascii="Times New Roman" w:eastAsia="Times New Roman" w:hAnsi="Times New Roman" w:cs="Times New Roman"/>
          <w:color w:val="000000"/>
          <w:spacing w:val="0"/>
          <w:w w:val="100"/>
          <w:position w:val="0"/>
        </w:rPr>
        <w:t>IT</w:t>
      </w:r>
      <w:r>
        <w:rPr>
          <w:color w:val="000000"/>
          <w:spacing w:val="0"/>
          <w:w w:val="100"/>
          <w:position w:val="0"/>
        </w:rPr>
        <w:t>发展的内核，软件产业将成为未来各城市大力推动发 展的热点产业，但软件与信息服务业的发展与城市的人才水平、产业基础具有较强的关联性，城市在软件 产业培育过程中，更加注重结合城市产业及资源特色，规避与在某些软件领域已先期布局并取得较好成效 的城市开展同质化竞争。</w:t>
      </w:r>
    </w:p>
    <w:p>
      <w:pPr>
        <w:pStyle w:val="Style47"/>
        <w:keepNext w:val="0"/>
        <w:keepLines w:val="0"/>
        <w:widowControl w:val="0"/>
        <w:shd w:val="clear" w:color="auto" w:fill="auto"/>
        <w:bidi w:val="0"/>
        <w:spacing w:before="0" w:after="0"/>
        <w:ind w:left="0" w:right="0" w:firstLine="440"/>
        <w:jc w:val="both"/>
      </w:pPr>
      <w:bookmarkStart w:id="296" w:name="bookmark296"/>
      <w:r>
        <w:rPr>
          <w:rFonts w:ascii="Times New Roman" w:eastAsia="Times New Roman" w:hAnsi="Times New Roman" w:cs="Times New Roman"/>
          <w:color w:val="000000"/>
          <w:spacing w:val="0"/>
          <w:w w:val="100"/>
          <w:position w:val="0"/>
        </w:rPr>
        <w:t>4</w:t>
      </w:r>
      <w:bookmarkEnd w:id="296"/>
      <w:r>
        <w:rPr>
          <w:color w:val="000000"/>
          <w:spacing w:val="0"/>
          <w:w w:val="100"/>
          <w:position w:val="0"/>
        </w:rPr>
        <w:t>、公司行业地位</w:t>
      </w:r>
    </w:p>
    <w:p>
      <w:pPr>
        <w:pStyle w:val="Style47"/>
        <w:keepNext w:val="0"/>
        <w:keepLines w:val="0"/>
        <w:widowControl w:val="0"/>
        <w:shd w:val="clear" w:color="auto" w:fill="auto"/>
        <w:bidi w:val="0"/>
        <w:spacing w:before="0" w:after="0" w:line="468" w:lineRule="exact"/>
        <w:ind w:left="0" w:right="0" w:firstLine="440"/>
        <w:jc w:val="both"/>
        <w:sectPr>
          <w:headerReference w:type="default" r:id="rId99"/>
          <w:footerReference w:type="default" r:id="rId100"/>
          <w:headerReference w:type="even" r:id="rId101"/>
          <w:footerReference w:type="even" r:id="rId102"/>
          <w:footnotePr>
            <w:pos w:val="pageBottom"/>
            <w:numFmt w:val="decimal"/>
            <w:numRestart w:val="continuous"/>
          </w:footnotePr>
          <w:pgSz w:w="11900" w:h="16840"/>
          <w:pgMar w:top="1321" w:right="33" w:bottom="1494" w:left="1095" w:header="0" w:footer="3" w:gutter="0"/>
          <w:cols w:space="720"/>
          <w:noEndnote/>
          <w:rtlGutter w:val="0"/>
          <w:docGrid w:linePitch="360"/>
        </w:sectPr>
      </w:pPr>
      <w:r>
        <w:rPr>
          <w:color w:val="000000"/>
          <w:spacing w:val="0"/>
          <w:w w:val="100"/>
          <w:position w:val="0"/>
        </w:rPr>
        <w:t>详见本报告第三节《公司业务概要》</w:t>
      </w:r>
      <w:r>
        <w:rPr>
          <w:rFonts w:ascii="Times New Roman" w:eastAsia="Times New Roman" w:hAnsi="Times New Roman" w:cs="Times New Roman"/>
          <w:color w:val="000000"/>
          <w:spacing w:val="0"/>
          <w:w w:val="100"/>
          <w:position w:val="0"/>
        </w:rPr>
        <w:t>“</w:t>
      </w:r>
      <w:r>
        <w:rPr>
          <w:color w:val="000000"/>
          <w:spacing w:val="0"/>
          <w:w w:val="100"/>
          <w:position w:val="0"/>
        </w:rPr>
        <w:t>一、报告期内公司从事的主要业务''之第（六）项</w:t>
      </w:r>
      <w:r>
        <w:rPr>
          <w:rFonts w:ascii="Times New Roman" w:eastAsia="Times New Roman" w:hAnsi="Times New Roman" w:cs="Times New Roman"/>
          <w:color w:val="000000"/>
          <w:spacing w:val="0"/>
          <w:w w:val="100"/>
          <w:position w:val="0"/>
        </w:rPr>
        <w:t>“</w:t>
      </w:r>
      <w:r>
        <w:rPr>
          <w:color w:val="000000"/>
          <w:spacing w:val="0"/>
          <w:w w:val="100"/>
          <w:position w:val="0"/>
        </w:rPr>
        <w:t xml:space="preserve">公司所处行业 </w:t>
      </w:r>
    </w:p>
    <w:p>
      <w:pPr>
        <w:pStyle w:val="Style47"/>
        <w:keepNext w:val="0"/>
        <w:keepLines w:val="0"/>
        <w:widowControl w:val="0"/>
        <w:shd w:val="clear" w:color="auto" w:fill="auto"/>
        <w:bidi w:val="0"/>
        <w:spacing w:before="0" w:after="0" w:line="468" w:lineRule="exact"/>
        <w:ind w:left="0" w:right="0" w:firstLine="0"/>
        <w:jc w:val="both"/>
      </w:pPr>
      <w:r>
        <w:rPr>
          <w:color w:val="000000"/>
          <w:spacing w:val="0"/>
          <w:w w:val="100"/>
          <w:position w:val="0"/>
        </w:rPr>
        <w:t>发展阶段、周期性特点以及行业地位</w:t>
      </w:r>
    </w:p>
    <w:p>
      <w:pPr>
        <w:pStyle w:val="Style47"/>
        <w:keepNext w:val="0"/>
        <w:keepLines w:val="0"/>
        <w:widowControl w:val="0"/>
        <w:shd w:val="clear" w:color="auto" w:fill="auto"/>
        <w:tabs>
          <w:tab w:pos="969" w:val="left"/>
        </w:tabs>
        <w:bidi w:val="0"/>
        <w:spacing w:before="0" w:after="0" w:line="469" w:lineRule="exact"/>
        <w:ind w:left="0" w:right="0" w:firstLine="440"/>
        <w:jc w:val="both"/>
      </w:pPr>
      <w:bookmarkStart w:id="297" w:name="bookmark297"/>
      <w:r>
        <w:rPr>
          <w:color w:val="000000"/>
          <w:spacing w:val="0"/>
          <w:w w:val="100"/>
          <w:position w:val="0"/>
        </w:rPr>
        <w:t>（</w:t>
      </w:r>
      <w:bookmarkEnd w:id="297"/>
      <w:r>
        <w:rPr>
          <w:color w:val="000000"/>
          <w:spacing w:val="0"/>
          <w:w w:val="100"/>
          <w:position w:val="0"/>
        </w:rPr>
        <w:t>二）</w:t>
        <w:tab/>
        <w:t>公司发展战略</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公司以</w:t>
      </w:r>
      <w:r>
        <w:rPr>
          <w:rFonts w:ascii="Times New Roman" w:eastAsia="Times New Roman" w:hAnsi="Times New Roman" w:cs="Times New Roman"/>
          <w:color w:val="000000"/>
          <w:spacing w:val="0"/>
          <w:w w:val="100"/>
          <w:position w:val="0"/>
        </w:rPr>
        <w:t>“</w:t>
      </w:r>
      <w:r>
        <w:rPr>
          <w:color w:val="000000"/>
          <w:spacing w:val="0"/>
          <w:w w:val="100"/>
          <w:position w:val="0"/>
        </w:rPr>
        <w:t>服务客户、成就员工、回报股东、贡献社会</w:t>
      </w:r>
      <w:r>
        <w:rPr>
          <w:color w:val="000000"/>
          <w:spacing w:val="0"/>
          <w:w w:val="100"/>
          <w:position w:val="0"/>
        </w:rPr>
        <w:t>''</w:t>
      </w:r>
      <w:r>
        <w:rPr>
          <w:color w:val="000000"/>
          <w:spacing w:val="0"/>
          <w:w w:val="100"/>
          <w:position w:val="0"/>
        </w:rPr>
        <w:t>为使命，定位于做国内领先的基于人工智能的行 业信息化整体解决方案提供商。以提升客户价值为导向，坚持面向行业，做大主业，努力保持公司在会议 选举与表决、工业机器视觉、行业大数据分析、数据中心平台领域标杆或领先，以高速机器视觉、大数据 为核心的人工智能技术引领公司在智慧政务、智能制造、智慧城市、智慧健康的产业化，为行业提供信息 技术整体解决方案、智能化工程及相关产品与服务，通过资本经营和实业发展使公司快速成为一家既有独 特优势又有鲜明特色的上市公司、值得广大投资者信赖和受人尊敬的高科技企业、具有人才吸引力的技术 创新平台。</w:t>
      </w:r>
    </w:p>
    <w:p>
      <w:pPr>
        <w:pStyle w:val="Style47"/>
        <w:keepNext w:val="0"/>
        <w:keepLines w:val="0"/>
        <w:widowControl w:val="0"/>
        <w:shd w:val="clear" w:color="auto" w:fill="auto"/>
        <w:tabs>
          <w:tab w:pos="969" w:val="left"/>
        </w:tabs>
        <w:bidi w:val="0"/>
        <w:spacing w:before="0" w:after="0" w:line="469" w:lineRule="exact"/>
        <w:ind w:left="0" w:right="0" w:firstLine="440"/>
        <w:jc w:val="both"/>
      </w:pPr>
      <w:bookmarkStart w:id="298" w:name="bookmark298"/>
      <w:r>
        <w:rPr>
          <w:color w:val="000000"/>
          <w:spacing w:val="0"/>
          <w:w w:val="100"/>
          <w:position w:val="0"/>
        </w:rPr>
        <w:t>（</w:t>
      </w:r>
      <w:bookmarkEnd w:id="298"/>
      <w:r>
        <w:rPr>
          <w:color w:val="000000"/>
          <w:spacing w:val="0"/>
          <w:w w:val="100"/>
          <w:position w:val="0"/>
        </w:rPr>
        <w:t>三）</w:t>
        <w:tab/>
        <w:t>业务发展规划</w:t>
      </w:r>
    </w:p>
    <w:p>
      <w:pPr>
        <w:pStyle w:val="Style47"/>
        <w:keepNext w:val="0"/>
        <w:keepLines w:val="0"/>
        <w:widowControl w:val="0"/>
        <w:shd w:val="clear" w:color="auto" w:fill="auto"/>
        <w:bidi w:val="0"/>
        <w:spacing w:before="0" w:after="0" w:line="469" w:lineRule="exact"/>
        <w:ind w:left="0" w:right="0" w:firstLine="440"/>
        <w:jc w:val="both"/>
      </w:pPr>
      <w:r>
        <w:rPr>
          <w:rFonts w:ascii="Times New Roman" w:eastAsia="Times New Roman" w:hAnsi="Times New Roman" w:cs="Times New Roman"/>
          <w:color w:val="000000"/>
          <w:spacing w:val="0"/>
          <w:w w:val="100"/>
          <w:position w:val="0"/>
        </w:rPr>
        <w:t>2021</w:t>
      </w:r>
      <w:r>
        <w:rPr>
          <w:color w:val="000000"/>
          <w:spacing w:val="0"/>
          <w:w w:val="100"/>
          <w:position w:val="0"/>
        </w:rPr>
        <w:t>年，公司将充分发挥品牌优势，整合资源，做精做强战略性业务。在智慧政务领域，不断提升以 智能识别与分析技术为核心的人工智能技术水平，继续保持和加强在数字会议领域细分市场的领先地位， 通过营销服务网络建设加快规模化发展，加大国际选举业务的项目争取力度，壮大信创业务的规模；持续 提升政务大数据业务品牌影响力，面向全国地方统计部门加快推进市场拓展。在智能制造领域，力争在烟 草、油气等更多细分市场实现龙头领先地位。积极拓展新的省级烟草市场，以新技术、新产品实现新应用， 确保烟草业务营收、利润双增长。将智能化技术不断引入油气田自控、通信、作业现场监测监控等产能建 设领域，纵深挖掘油田客户需求，持续拓展新区域市场。抓住印钞行业高质量发展要求，探索行业关键设 备智能化改造，并积极满足行业在智能制造、智能安防及大数据应用方面的新需求。在智慧城市领域，响 应国家大力发展信创产业的需求，加速新产品与技术的研发和应用，积极拓展涉密信息化业务，整合产业 领域的技术及市场，打造合作伙伴生态圈，强化自身核心优势。在智慧医疗领域，以数字化手术室、术中 人工智能麻醉辅助维持系统、医疗物联网、生命体征监测等为切入点，集成医疗信息化资源，深耕行业需 求，加速产品创新，做大业务规模。</w:t>
      </w:r>
    </w:p>
    <w:p>
      <w:pPr>
        <w:pStyle w:val="Style47"/>
        <w:keepNext w:val="0"/>
        <w:keepLines w:val="0"/>
        <w:widowControl w:val="0"/>
        <w:shd w:val="clear" w:color="auto" w:fill="auto"/>
        <w:tabs>
          <w:tab w:pos="969" w:val="left"/>
        </w:tabs>
        <w:bidi w:val="0"/>
        <w:spacing w:before="0" w:after="0" w:line="469" w:lineRule="exact"/>
        <w:ind w:left="0" w:right="0" w:firstLine="440"/>
        <w:jc w:val="left"/>
      </w:pPr>
      <w:bookmarkStart w:id="299" w:name="bookmark299"/>
      <w:r>
        <w:rPr>
          <w:color w:val="000000"/>
          <w:spacing w:val="0"/>
          <w:w w:val="100"/>
          <w:position w:val="0"/>
        </w:rPr>
        <w:t>（</w:t>
      </w:r>
      <w:bookmarkEnd w:id="299"/>
      <w:r>
        <w:rPr>
          <w:color w:val="000000"/>
          <w:spacing w:val="0"/>
          <w:w w:val="100"/>
          <w:position w:val="0"/>
        </w:rPr>
        <w:t>四）</w:t>
        <w:tab/>
      </w:r>
      <w:r>
        <w:rPr>
          <w:rFonts w:ascii="Times New Roman" w:eastAsia="Times New Roman" w:hAnsi="Times New Roman" w:cs="Times New Roman"/>
          <w:color w:val="000000"/>
          <w:spacing w:val="0"/>
          <w:w w:val="100"/>
          <w:position w:val="0"/>
        </w:rPr>
        <w:t>2021</w:t>
      </w:r>
      <w:r>
        <w:rPr>
          <w:color w:val="000000"/>
          <w:spacing w:val="0"/>
          <w:w w:val="100"/>
          <w:position w:val="0"/>
        </w:rPr>
        <w:t>年经营计划</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总体经营思路：深入贯彻新发展理念，以</w:t>
      </w:r>
      <w:r>
        <w:rPr>
          <w:rFonts w:ascii="Times New Roman" w:eastAsia="Times New Roman" w:hAnsi="Times New Roman" w:cs="Times New Roman"/>
          <w:color w:val="000000"/>
          <w:spacing w:val="0"/>
          <w:w w:val="100"/>
          <w:position w:val="0"/>
        </w:rPr>
        <w:t>“</w:t>
      </w:r>
      <w:r>
        <w:rPr>
          <w:color w:val="000000"/>
          <w:spacing w:val="0"/>
          <w:w w:val="100"/>
          <w:position w:val="0"/>
        </w:rPr>
        <w:t>改革创新''为统领，坚持</w:t>
      </w:r>
      <w:r>
        <w:rPr>
          <w:rFonts w:ascii="Times New Roman" w:eastAsia="Times New Roman" w:hAnsi="Times New Roman" w:cs="Times New Roman"/>
          <w:color w:val="000000"/>
          <w:spacing w:val="0"/>
          <w:w w:val="100"/>
          <w:position w:val="0"/>
        </w:rPr>
        <w:t>“</w:t>
      </w:r>
      <w:r>
        <w:rPr>
          <w:color w:val="000000"/>
          <w:spacing w:val="0"/>
          <w:w w:val="100"/>
          <w:position w:val="0"/>
        </w:rPr>
        <w:t>国内领先的基于人工智能的行业信 息化整体解决方案提供商</w:t>
      </w:r>
      <w:r>
        <w:rPr>
          <w:color w:val="000000"/>
          <w:spacing w:val="0"/>
          <w:w w:val="100"/>
          <w:position w:val="0"/>
        </w:rPr>
        <w:t>''</w:t>
      </w:r>
      <w:r>
        <w:rPr>
          <w:color w:val="000000"/>
          <w:spacing w:val="0"/>
          <w:w w:val="100"/>
          <w:position w:val="0"/>
        </w:rPr>
        <w:t>的定位，以客户为中心，坚持客户需求和技术创新并重，做不可替代的价值创 造者，以行业化产品化规模化为路径，推动战略规划总体部署快速落地，推动战略目标早日实现。</w:t>
      </w:r>
    </w:p>
    <w:p>
      <w:pPr>
        <w:pStyle w:val="Style47"/>
        <w:keepNext w:val="0"/>
        <w:keepLines w:val="0"/>
        <w:widowControl w:val="0"/>
        <w:numPr>
          <w:ilvl w:val="0"/>
          <w:numId w:val="35"/>
        </w:numPr>
        <w:shd w:val="clear" w:color="auto" w:fill="auto"/>
        <w:bidi w:val="0"/>
        <w:spacing w:before="0" w:after="0"/>
        <w:ind w:left="0" w:right="0" w:firstLine="440"/>
        <w:jc w:val="both"/>
      </w:pPr>
      <w:bookmarkStart w:id="300" w:name="bookmark300"/>
      <w:bookmarkEnd w:id="300"/>
      <w:r>
        <w:rPr>
          <w:color w:val="000000"/>
          <w:spacing w:val="0"/>
          <w:w w:val="100"/>
          <w:position w:val="0"/>
        </w:rPr>
        <w:t>以新时期发展战略规划为指引，确保战略落地</w:t>
      </w:r>
    </w:p>
    <w:p>
      <w:pPr>
        <w:pStyle w:val="Style47"/>
        <w:keepNext w:val="0"/>
        <w:keepLines w:val="0"/>
        <w:widowControl w:val="0"/>
        <w:shd w:val="clear" w:color="auto" w:fill="auto"/>
        <w:bidi w:val="0"/>
        <w:spacing w:before="0" w:after="0" w:line="469" w:lineRule="exact"/>
        <w:ind w:left="0" w:right="0" w:firstLine="440"/>
        <w:jc w:val="both"/>
      </w:pPr>
      <w:r>
        <w:rPr>
          <w:rFonts w:ascii="Times New Roman" w:eastAsia="Times New Roman" w:hAnsi="Times New Roman" w:cs="Times New Roman"/>
          <w:color w:val="000000"/>
          <w:spacing w:val="0"/>
          <w:w w:val="100"/>
          <w:position w:val="0"/>
        </w:rPr>
        <w:t>2021</w:t>
      </w:r>
      <w:r>
        <w:rPr>
          <w:color w:val="000000"/>
          <w:spacing w:val="0"/>
          <w:w w:val="100"/>
          <w:position w:val="0"/>
        </w:rPr>
        <w:t>年是公司正式实施新时期战略规划的第一年，公司要高度重视战略规划的实施，充分发挥董事会 战略委员会及其工作小组的作用，切实做好战略规划的实施与推进。进一步细化阶段目标的分解计划，完 善与阶段目标相匹配的绩效考核机制，沿着</w:t>
      </w:r>
      <w:r>
        <w:rPr>
          <w:rFonts w:ascii="Times New Roman" w:eastAsia="Times New Roman" w:hAnsi="Times New Roman" w:cs="Times New Roman"/>
          <w:color w:val="000000"/>
          <w:spacing w:val="0"/>
          <w:w w:val="100"/>
          <w:position w:val="0"/>
        </w:rPr>
        <w:t>“</w:t>
      </w:r>
      <w:r>
        <w:rPr>
          <w:color w:val="000000"/>
          <w:spacing w:val="0"/>
          <w:w w:val="100"/>
          <w:position w:val="0"/>
        </w:rPr>
        <w:t>行业化</w:t>
      </w:r>
      <w:r>
        <w:rPr>
          <w:color w:val="000000"/>
          <w:spacing w:val="0"/>
          <w:w w:val="100"/>
          <w:position w:val="0"/>
        </w:rPr>
        <w:t>一</w:t>
      </w:r>
      <w:r>
        <w:rPr>
          <w:color w:val="000000"/>
          <w:spacing w:val="0"/>
          <w:w w:val="100"/>
          <w:position w:val="0"/>
        </w:rPr>
        <w:t>产品化</w:t>
      </w:r>
      <w:r>
        <w:rPr>
          <w:color w:val="000000"/>
          <w:spacing w:val="0"/>
          <w:w w:val="100"/>
          <w:position w:val="0"/>
        </w:rPr>
        <w:t>一</w:t>
      </w:r>
      <w:r>
        <w:rPr>
          <w:color w:val="000000"/>
          <w:spacing w:val="0"/>
          <w:w w:val="100"/>
          <w:position w:val="0"/>
        </w:rPr>
        <w:t>规模化</w:t>
      </w:r>
      <w:r>
        <w:rPr>
          <w:color w:val="000000"/>
          <w:spacing w:val="0"/>
          <w:w w:val="100"/>
          <w:position w:val="0"/>
        </w:rPr>
        <w:t>''</w:t>
      </w:r>
      <w:r>
        <w:rPr>
          <w:color w:val="000000"/>
          <w:spacing w:val="0"/>
          <w:w w:val="100"/>
          <w:position w:val="0"/>
        </w:rPr>
        <w:t xml:space="preserve">的路径，继续推动公司全面市场化 </w:t>
      </w:r>
      <w:r>
        <w:rPr>
          <w:color w:val="000000"/>
          <w:spacing w:val="0"/>
          <w:w w:val="100"/>
          <w:position w:val="0"/>
        </w:rPr>
        <w:t>进程，加快构建</w:t>
      </w:r>
      <w:r>
        <w:rPr>
          <w:rFonts w:ascii="Times New Roman" w:eastAsia="Times New Roman" w:hAnsi="Times New Roman" w:cs="Times New Roman"/>
          <w:color w:val="000000"/>
          <w:spacing w:val="0"/>
          <w:w w:val="100"/>
          <w:position w:val="0"/>
        </w:rPr>
        <w:t>“</w:t>
      </w:r>
      <w:r>
        <w:rPr>
          <w:color w:val="000000"/>
          <w:spacing w:val="0"/>
          <w:w w:val="100"/>
          <w:position w:val="0"/>
        </w:rPr>
        <w:t>高科技企业集团''能力基础。</w:t>
      </w:r>
    </w:p>
    <w:p>
      <w:pPr>
        <w:pStyle w:val="Style47"/>
        <w:keepNext w:val="0"/>
        <w:keepLines w:val="0"/>
        <w:widowControl w:val="0"/>
        <w:numPr>
          <w:ilvl w:val="0"/>
          <w:numId w:val="35"/>
        </w:numPr>
        <w:shd w:val="clear" w:color="auto" w:fill="auto"/>
        <w:tabs>
          <w:tab w:pos="775" w:val="left"/>
        </w:tabs>
        <w:bidi w:val="0"/>
        <w:spacing w:before="0" w:after="0" w:line="465" w:lineRule="exact"/>
        <w:ind w:left="0" w:right="0" w:firstLine="420"/>
        <w:jc w:val="left"/>
      </w:pPr>
      <w:bookmarkStart w:id="301" w:name="bookmark301"/>
      <w:bookmarkEnd w:id="301"/>
      <w:r>
        <w:rPr>
          <w:color w:val="000000"/>
          <w:spacing w:val="0"/>
          <w:w w:val="100"/>
          <w:position w:val="0"/>
        </w:rPr>
        <w:t>加快技术平台以及管理共性业务平台建设，全方位提升运营质量</w:t>
      </w:r>
    </w:p>
    <w:p>
      <w:pPr>
        <w:pStyle w:val="Style47"/>
        <w:keepNext w:val="0"/>
        <w:keepLines w:val="0"/>
        <w:widowControl w:val="0"/>
        <w:shd w:val="clear" w:color="auto" w:fill="auto"/>
        <w:bidi w:val="0"/>
        <w:spacing w:before="0" w:after="0" w:line="465" w:lineRule="exact"/>
        <w:ind w:left="0" w:right="0" w:firstLine="440"/>
        <w:jc w:val="both"/>
      </w:pPr>
      <w:r>
        <w:rPr>
          <w:color w:val="000000"/>
          <w:spacing w:val="0"/>
          <w:w w:val="100"/>
          <w:position w:val="0"/>
        </w:rPr>
        <w:t>在技术平台建设方面，以建设</w:t>
      </w:r>
      <w:r>
        <w:rPr>
          <w:rFonts w:ascii="Times New Roman" w:eastAsia="Times New Roman" w:hAnsi="Times New Roman" w:cs="Times New Roman"/>
          <w:color w:val="000000"/>
          <w:spacing w:val="0"/>
          <w:w w:val="100"/>
          <w:position w:val="0"/>
        </w:rPr>
        <w:t>“</w:t>
      </w:r>
      <w:r>
        <w:rPr>
          <w:color w:val="000000"/>
          <w:spacing w:val="0"/>
          <w:w w:val="100"/>
          <w:position w:val="0"/>
        </w:rPr>
        <w:t>国家企业技术中心</w:t>
      </w:r>
      <w:r>
        <w:rPr>
          <w:color w:val="000000"/>
          <w:spacing w:val="0"/>
          <w:w w:val="100"/>
          <w:position w:val="0"/>
        </w:rPr>
        <w:t>''</w:t>
      </w:r>
      <w:r>
        <w:rPr>
          <w:color w:val="000000"/>
          <w:spacing w:val="0"/>
          <w:w w:val="100"/>
          <w:position w:val="0"/>
        </w:rPr>
        <w:t>为目标，将</w:t>
      </w:r>
      <w:r>
        <w:rPr>
          <w:rFonts w:ascii="Times New Roman" w:eastAsia="Times New Roman" w:hAnsi="Times New Roman" w:cs="Times New Roman"/>
          <w:color w:val="000000"/>
          <w:spacing w:val="0"/>
          <w:w w:val="100"/>
          <w:position w:val="0"/>
        </w:rPr>
        <w:t>“</w:t>
      </w:r>
      <w:r>
        <w:rPr>
          <w:color w:val="000000"/>
          <w:spacing w:val="0"/>
          <w:w w:val="100"/>
          <w:position w:val="0"/>
        </w:rPr>
        <w:t>研发中心</w:t>
      </w:r>
      <w:r>
        <w:rPr>
          <w:color w:val="000000"/>
          <w:spacing w:val="0"/>
          <w:w w:val="100"/>
          <w:position w:val="0"/>
        </w:rPr>
        <w:t>''</w:t>
      </w:r>
      <w:r>
        <w:rPr>
          <w:color w:val="000000"/>
          <w:spacing w:val="0"/>
          <w:w w:val="100"/>
          <w:position w:val="0"/>
        </w:rPr>
        <w:t>建设成为面向公司主营业务 的技术中心，致力于规模化业务或战略业务急需的共性技术研究，发挥技术中心在技术战略、政策、管理、 服务等方面的作用。技术中心将下设若干实验室，支持与业务紧密联系的重点新产品、新技术研发。公司 将持续加大研发费用投入，建立技术转移转化机，确保技术落地和创新团队孵化，为人才提供更好的舞台。</w:t>
      </w:r>
    </w:p>
    <w:p>
      <w:pPr>
        <w:pStyle w:val="Style47"/>
        <w:keepNext w:val="0"/>
        <w:keepLines w:val="0"/>
        <w:widowControl w:val="0"/>
        <w:shd w:val="clear" w:color="auto" w:fill="auto"/>
        <w:bidi w:val="0"/>
        <w:spacing w:before="0" w:after="0" w:line="465" w:lineRule="exact"/>
        <w:ind w:left="0" w:right="0" w:firstLine="440"/>
        <w:jc w:val="both"/>
      </w:pPr>
      <w:r>
        <w:rPr>
          <w:color w:val="000000"/>
          <w:spacing w:val="0"/>
          <w:w w:val="100"/>
          <w:position w:val="0"/>
        </w:rPr>
        <w:t>在人力资源方面，积极推进人力资源管理转型，进一步改进招聘工作，优化薪酬制度和体系，施行人 才薪酬市场化，提升薪酬竞争力。改进绩效考核。加快打造</w:t>
      </w:r>
      <w:r>
        <w:rPr>
          <w:rFonts w:ascii="Times New Roman" w:eastAsia="Times New Roman" w:hAnsi="Times New Roman" w:cs="Times New Roman"/>
          <w:color w:val="000000"/>
          <w:spacing w:val="0"/>
          <w:w w:val="100"/>
          <w:position w:val="0"/>
        </w:rPr>
        <w:t>“</w:t>
      </w:r>
      <w:r>
        <w:rPr>
          <w:color w:val="000000"/>
          <w:spacing w:val="0"/>
          <w:w w:val="100"/>
          <w:position w:val="0"/>
        </w:rPr>
        <w:t>年轻化、专业化''的干部队伍，优化领军人才 引进绿色通道，加强后备干部管理。</w:t>
      </w:r>
    </w:p>
    <w:p>
      <w:pPr>
        <w:pStyle w:val="Style47"/>
        <w:keepNext w:val="0"/>
        <w:keepLines w:val="0"/>
        <w:widowControl w:val="0"/>
        <w:shd w:val="clear" w:color="auto" w:fill="auto"/>
        <w:bidi w:val="0"/>
        <w:spacing w:before="0" w:after="0" w:line="465" w:lineRule="exact"/>
        <w:ind w:left="0" w:right="0" w:firstLine="440"/>
        <w:jc w:val="both"/>
      </w:pPr>
      <w:r>
        <w:rPr>
          <w:color w:val="000000"/>
          <w:spacing w:val="0"/>
          <w:w w:val="100"/>
          <w:position w:val="0"/>
        </w:rPr>
        <w:t>在财务管理方面将加强战略支撑能力建设和业务的支撑能力建设，循序渐进推进全面预算管理，改进 项目预算管理和项目核算工作，持续运用信息化手段推进成本控制平台建设。</w:t>
      </w:r>
    </w:p>
    <w:p>
      <w:pPr>
        <w:pStyle w:val="Style47"/>
        <w:keepNext w:val="0"/>
        <w:keepLines w:val="0"/>
        <w:widowControl w:val="0"/>
        <w:numPr>
          <w:ilvl w:val="0"/>
          <w:numId w:val="35"/>
        </w:numPr>
        <w:shd w:val="clear" w:color="auto" w:fill="auto"/>
        <w:tabs>
          <w:tab w:pos="775" w:val="left"/>
        </w:tabs>
        <w:bidi w:val="0"/>
        <w:spacing w:before="0" w:after="0" w:line="465" w:lineRule="exact"/>
        <w:ind w:left="0" w:right="0" w:firstLine="420"/>
        <w:jc w:val="left"/>
      </w:pPr>
      <w:bookmarkStart w:id="302" w:name="bookmark302"/>
      <w:bookmarkEnd w:id="302"/>
      <w:r>
        <w:rPr>
          <w:color w:val="000000"/>
          <w:spacing w:val="0"/>
          <w:w w:val="100"/>
          <w:position w:val="0"/>
        </w:rPr>
        <w:t>市场营销计划</w:t>
      </w:r>
    </w:p>
    <w:p>
      <w:pPr>
        <w:pStyle w:val="Style47"/>
        <w:keepNext w:val="0"/>
        <w:keepLines w:val="0"/>
        <w:widowControl w:val="0"/>
        <w:shd w:val="clear" w:color="auto" w:fill="auto"/>
        <w:bidi w:val="0"/>
        <w:spacing w:before="0" w:after="0" w:line="465" w:lineRule="exact"/>
        <w:ind w:left="0" w:right="0" w:firstLine="440"/>
        <w:jc w:val="both"/>
      </w:pPr>
      <w:r>
        <w:rPr>
          <w:color w:val="000000"/>
          <w:spacing w:val="0"/>
          <w:w w:val="100"/>
          <w:position w:val="0"/>
        </w:rPr>
        <w:t>以客户为中心，做好公司在全国重点区域的营销服务网络建设，实现公司业务在更大范围内的布局及 拓展。继续优化完善公司信息化服务平台建设，建立能支撑各区域营销服务网点业务管理的营销信息管理 系统、客户服务管理系统、客户信用管理系统，提升公司销售触角和客户满意度。加强与政府、产业基金、 社会企业的合作，融入业务发展生态圈，整合上下游产业合作伙伴，扩大影响力。基于在全国范围内拥有 的良好的行业口碑，公司将加大品牌宣传和推广的资源投入，在国内重点区域，特别是重点客户群体中进 一步提高品牌影响力，努力提升包括港、澳地区在内的全国区域市场。</w:t>
      </w:r>
    </w:p>
    <w:p>
      <w:pPr>
        <w:pStyle w:val="Style47"/>
        <w:keepNext w:val="0"/>
        <w:keepLines w:val="0"/>
        <w:widowControl w:val="0"/>
        <w:numPr>
          <w:ilvl w:val="0"/>
          <w:numId w:val="35"/>
        </w:numPr>
        <w:shd w:val="clear" w:color="auto" w:fill="auto"/>
        <w:tabs>
          <w:tab w:pos="795" w:val="left"/>
        </w:tabs>
        <w:bidi w:val="0"/>
        <w:spacing w:before="0" w:after="0" w:line="465" w:lineRule="exact"/>
        <w:ind w:left="0" w:right="0" w:firstLine="440"/>
        <w:jc w:val="both"/>
      </w:pPr>
      <w:bookmarkStart w:id="303" w:name="bookmark303"/>
      <w:bookmarkEnd w:id="303"/>
      <w:r>
        <w:rPr>
          <w:color w:val="000000"/>
          <w:spacing w:val="0"/>
          <w:w w:val="100"/>
          <w:position w:val="0"/>
        </w:rPr>
        <w:t>加强对外合作、持续品牌建设，支撑公司规模化发展</w:t>
      </w:r>
    </w:p>
    <w:p>
      <w:pPr>
        <w:pStyle w:val="Style47"/>
        <w:keepNext w:val="0"/>
        <w:keepLines w:val="0"/>
        <w:widowControl w:val="0"/>
        <w:shd w:val="clear" w:color="auto" w:fill="auto"/>
        <w:bidi w:val="0"/>
        <w:spacing w:before="0" w:after="0" w:line="465" w:lineRule="exact"/>
        <w:ind w:left="0" w:right="0" w:firstLine="440"/>
        <w:jc w:val="both"/>
      </w:pPr>
      <w:r>
        <w:rPr>
          <w:color w:val="000000"/>
          <w:spacing w:val="0"/>
          <w:w w:val="100"/>
          <w:position w:val="0"/>
        </w:rPr>
        <w:t>以开放、共享的心态加强对外合作，积极与重点供应商、重点行业生态伙伴、重大行业客户建立战略 合作关系，打造产业链生态圈，运用更多资源为客户创造更多价值空间的同时实现共享共生。进一步做好 品牌建设，积极履行社会责任，升级中科信息展厅和企业</w:t>
      </w:r>
      <w:r>
        <w:rPr>
          <w:rFonts w:ascii="Times New Roman" w:eastAsia="Times New Roman" w:hAnsi="Times New Roman" w:cs="Times New Roman"/>
          <w:color w:val="000000"/>
          <w:spacing w:val="0"/>
          <w:w w:val="100"/>
          <w:position w:val="0"/>
        </w:rPr>
        <w:t>VI</w:t>
      </w:r>
      <w:r>
        <w:rPr>
          <w:color w:val="000000"/>
          <w:spacing w:val="0"/>
          <w:w w:val="100"/>
          <w:position w:val="0"/>
        </w:rPr>
        <w:t>系统，主动参与行业奖项评比以及各类论坛、 展会，让社会公众更了解公司实力，提升公司品牌形象和品牌价值。</w:t>
      </w:r>
    </w:p>
    <w:p>
      <w:pPr>
        <w:pStyle w:val="Style47"/>
        <w:keepNext w:val="0"/>
        <w:keepLines w:val="0"/>
        <w:widowControl w:val="0"/>
        <w:shd w:val="clear" w:color="auto" w:fill="auto"/>
        <w:bidi w:val="0"/>
        <w:spacing w:before="0" w:after="0" w:line="465" w:lineRule="exact"/>
        <w:ind w:left="0" w:right="0" w:firstLine="440"/>
        <w:jc w:val="both"/>
      </w:pPr>
      <w:r>
        <w:rPr>
          <w:rFonts w:ascii="Times New Roman" w:eastAsia="Times New Roman" w:hAnsi="Times New Roman" w:cs="Times New Roman"/>
          <w:color w:val="000000"/>
          <w:spacing w:val="0"/>
          <w:w w:val="100"/>
          <w:position w:val="0"/>
        </w:rPr>
        <w:t xml:space="preserve">5 </w:t>
      </w:r>
      <w:r>
        <w:rPr>
          <w:color w:val="000000"/>
          <w:spacing w:val="0"/>
          <w:w w:val="100"/>
          <w:position w:val="0"/>
        </w:rPr>
        <w:t>.开展资本经营强化主业，保障全体股东权益</w:t>
      </w:r>
    </w:p>
    <w:p>
      <w:pPr>
        <w:pStyle w:val="Style47"/>
        <w:keepNext w:val="0"/>
        <w:keepLines w:val="0"/>
        <w:widowControl w:val="0"/>
        <w:shd w:val="clear" w:color="auto" w:fill="auto"/>
        <w:bidi w:val="0"/>
        <w:spacing w:before="0" w:after="0" w:line="465" w:lineRule="exact"/>
        <w:ind w:left="0" w:right="0" w:firstLine="440"/>
        <w:jc w:val="both"/>
      </w:pPr>
      <w:r>
        <w:rPr>
          <w:color w:val="000000"/>
          <w:spacing w:val="0"/>
          <w:w w:val="100"/>
          <w:position w:val="0"/>
        </w:rPr>
        <w:t>以增强核心业务经营能力为目的，整合更多社会发展资源，围绕主业实施战略性产业并购，探索更多 形式的资本经营活动。适时开展战略性投资，为公司长远发展培育战略性资源。通过规范治理、高效运营、 主业与资本双轮驱动实现公司高质量发展，为股东创造长期、稳定的红利回报。</w:t>
      </w:r>
    </w:p>
    <w:p>
      <w:pPr>
        <w:pStyle w:val="Style47"/>
        <w:keepNext w:val="0"/>
        <w:keepLines w:val="0"/>
        <w:widowControl w:val="0"/>
        <w:shd w:val="clear" w:color="auto" w:fill="auto"/>
        <w:bidi w:val="0"/>
        <w:spacing w:before="0" w:after="0" w:line="465" w:lineRule="exact"/>
        <w:ind w:left="0" w:right="0" w:firstLine="280"/>
        <w:jc w:val="left"/>
      </w:pPr>
      <w:bookmarkStart w:id="304" w:name="bookmark304"/>
      <w:r>
        <w:rPr>
          <w:color w:val="000000"/>
          <w:spacing w:val="0"/>
          <w:w w:val="100"/>
          <w:position w:val="0"/>
        </w:rPr>
        <w:t>（</w:t>
      </w:r>
      <w:bookmarkEnd w:id="304"/>
      <w:r>
        <w:rPr>
          <w:color w:val="000000"/>
          <w:spacing w:val="0"/>
          <w:w w:val="100"/>
          <w:position w:val="0"/>
        </w:rPr>
        <w:t>五）公司面临的风险和应对措施</w:t>
      </w:r>
    </w:p>
    <w:p>
      <w:pPr>
        <w:pStyle w:val="Style47"/>
        <w:keepNext w:val="0"/>
        <w:keepLines w:val="0"/>
        <w:widowControl w:val="0"/>
        <w:numPr>
          <w:ilvl w:val="0"/>
          <w:numId w:val="37"/>
        </w:numPr>
        <w:shd w:val="clear" w:color="auto" w:fill="auto"/>
        <w:bidi w:val="0"/>
        <w:spacing w:before="0" w:after="0" w:line="465" w:lineRule="exact"/>
        <w:ind w:left="0" w:right="0" w:firstLine="420"/>
        <w:jc w:val="left"/>
      </w:pPr>
      <w:bookmarkStart w:id="305" w:name="bookmark305"/>
      <w:bookmarkEnd w:id="305"/>
      <w:r>
        <w:rPr>
          <w:color w:val="000000"/>
          <w:spacing w:val="0"/>
          <w:w w:val="100"/>
          <w:position w:val="0"/>
        </w:rPr>
        <w:t>营业收入季节性波动风险</w:t>
      </w:r>
    </w:p>
    <w:p>
      <w:pPr>
        <w:pStyle w:val="Style47"/>
        <w:keepNext w:val="0"/>
        <w:keepLines w:val="0"/>
        <w:widowControl w:val="0"/>
        <w:shd w:val="clear" w:color="auto" w:fill="auto"/>
        <w:bidi w:val="0"/>
        <w:spacing w:before="0" w:after="0" w:line="465" w:lineRule="exact"/>
        <w:ind w:left="0" w:right="0" w:firstLine="420"/>
        <w:jc w:val="both"/>
      </w:pPr>
      <w:r>
        <w:rPr>
          <w:color w:val="000000"/>
          <w:spacing w:val="0"/>
          <w:w w:val="100"/>
          <w:position w:val="0"/>
        </w:rPr>
        <w:t xml:space="preserve">公司所处行业具有一定的季节性，下游政府、石油、烟草等行业客户以国家机关或大型国有企事业单 </w:t>
      </w:r>
      <w:r>
        <w:rPr>
          <w:color w:val="000000"/>
          <w:spacing w:val="0"/>
          <w:w w:val="100"/>
          <w:position w:val="0"/>
        </w:rPr>
        <w:t>位为主，其信息化采购具有较为规范的采购机制和采购流程，按预算决算体制执行，通常在上半年对全年 具体实施的信息化应用系统进行立项、采购和实施，项目验收和结款一般集中在第四季度，公司收入存在 季节性波动风险。公司主要客户属于政府或大型国企，其本身受国际国内形势变化和政策变动影响较大， 进而影响公司订单的获得。</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公司将凭借自身核心技术优势和良好的市场口碑继续深耕现有行业客户市场，发现新需求，提升产品 与服务质量；积极拓宽智慧政务、做深智慧城市、做精智能制造等业务市场，壮大智慧医疗业务规模。</w:t>
      </w:r>
    </w:p>
    <w:p>
      <w:pPr>
        <w:pStyle w:val="Style47"/>
        <w:keepNext w:val="0"/>
        <w:keepLines w:val="0"/>
        <w:widowControl w:val="0"/>
        <w:numPr>
          <w:ilvl w:val="0"/>
          <w:numId w:val="37"/>
        </w:numPr>
        <w:shd w:val="clear" w:color="auto" w:fill="auto"/>
        <w:tabs>
          <w:tab w:pos="723" w:val="left"/>
        </w:tabs>
        <w:bidi w:val="0"/>
        <w:spacing w:before="0" w:after="0"/>
        <w:ind w:left="0" w:right="0" w:firstLine="420"/>
        <w:jc w:val="left"/>
      </w:pPr>
      <w:bookmarkStart w:id="306" w:name="bookmark306"/>
      <w:bookmarkEnd w:id="306"/>
      <w:r>
        <w:rPr>
          <w:color w:val="000000"/>
          <w:spacing w:val="0"/>
          <w:w w:val="100"/>
          <w:position w:val="0"/>
        </w:rPr>
        <w:t>市场竞争加剧的风险</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国内的行业信息化市场是充分竞争市场，参与主体本就众多，加上</w:t>
      </w:r>
      <w:r>
        <w:rPr>
          <w:rFonts w:ascii="Times New Roman" w:eastAsia="Times New Roman" w:hAnsi="Times New Roman" w:cs="Times New Roman"/>
          <w:color w:val="000000"/>
          <w:spacing w:val="0"/>
          <w:w w:val="100"/>
          <w:position w:val="0"/>
        </w:rPr>
        <w:t>“</w:t>
      </w:r>
      <w:r>
        <w:rPr>
          <w:color w:val="000000"/>
          <w:spacing w:val="0"/>
          <w:w w:val="100"/>
          <w:position w:val="0"/>
        </w:rPr>
        <w:t>十四五''规划将人工智能列为前沿 科技领域发展的</w:t>
      </w:r>
      <w:r>
        <w:rPr>
          <w:rFonts w:ascii="Times New Roman" w:eastAsia="Times New Roman" w:hAnsi="Times New Roman" w:cs="Times New Roman"/>
          <w:color w:val="000000"/>
          <w:spacing w:val="0"/>
          <w:w w:val="100"/>
          <w:position w:val="0"/>
        </w:rPr>
        <w:t>“</w:t>
      </w:r>
      <w:r>
        <w:rPr>
          <w:color w:val="000000"/>
          <w:spacing w:val="0"/>
          <w:w w:val="100"/>
          <w:position w:val="0"/>
        </w:rPr>
        <w:t>最高优先级</w:t>
      </w:r>
      <w:r>
        <w:rPr>
          <w:color w:val="000000"/>
          <w:spacing w:val="0"/>
          <w:w w:val="100"/>
          <w:position w:val="0"/>
        </w:rPr>
        <w:t>''，</w:t>
      </w:r>
      <w:r>
        <w:rPr>
          <w:color w:val="000000"/>
          <w:spacing w:val="0"/>
          <w:w w:val="100"/>
          <w:position w:val="0"/>
        </w:rPr>
        <w:t>必将推动我国的人工智能产业迎来新一轮的大发展，吸引着越来越多的新 兴企业进入行业。在国家政策的持续支持下，人工智能产业创业热情高涨，市场发展潜力巨大，预计</w:t>
      </w:r>
      <w:r>
        <w:rPr>
          <w:rFonts w:ascii="Times New Roman" w:eastAsia="Times New Roman" w:hAnsi="Times New Roman" w:cs="Times New Roman"/>
          <w:color w:val="000000"/>
          <w:spacing w:val="0"/>
          <w:w w:val="100"/>
          <w:position w:val="0"/>
        </w:rPr>
        <w:t xml:space="preserve">2025 </w:t>
      </w:r>
      <w:r>
        <w:rPr>
          <w:color w:val="000000"/>
          <w:spacing w:val="0"/>
          <w:w w:val="100"/>
          <w:position w:val="0"/>
        </w:rPr>
        <w:t>年人工智能核心产业规模将达到</w:t>
      </w:r>
      <w:r>
        <w:rPr>
          <w:rFonts w:ascii="Times New Roman" w:eastAsia="Times New Roman" w:hAnsi="Times New Roman" w:cs="Times New Roman"/>
          <w:color w:val="000000"/>
          <w:spacing w:val="0"/>
          <w:w w:val="100"/>
          <w:position w:val="0"/>
        </w:rPr>
        <w:t>4000</w:t>
      </w:r>
      <w:r>
        <w:rPr>
          <w:color w:val="000000"/>
          <w:spacing w:val="0"/>
          <w:w w:val="100"/>
          <w:position w:val="0"/>
        </w:rPr>
        <w:t>亿元。市场竞争呈现白热化，独角兽企业大量涌现，大量新兴企业不 断涌入，公司面临市场竞争加剧、毛利率和整体业绩下降的风险。（备注：数据来源于艾媒数据中心《人 工智能行业数据分析</w:t>
      </w:r>
      <w:r>
        <w:rPr>
          <w:rFonts w:ascii="Times New Roman" w:eastAsia="Times New Roman" w:hAnsi="Times New Roman" w:cs="Times New Roman"/>
          <w:color w:val="000000"/>
          <w:spacing w:val="0"/>
          <w:w w:val="100"/>
          <w:position w:val="0"/>
        </w:rPr>
        <w:t>:2025</w:t>
      </w:r>
      <w:r>
        <w:rPr>
          <w:color w:val="000000"/>
          <w:spacing w:val="0"/>
          <w:w w:val="100"/>
          <w:position w:val="0"/>
        </w:rPr>
        <w:t>年中国人工智能核心产业规模规划将达</w:t>
      </w:r>
      <w:r>
        <w:rPr>
          <w:rFonts w:ascii="Times New Roman" w:eastAsia="Times New Roman" w:hAnsi="Times New Roman" w:cs="Times New Roman"/>
          <w:color w:val="000000"/>
          <w:spacing w:val="0"/>
          <w:w w:val="100"/>
          <w:position w:val="0"/>
        </w:rPr>
        <w:t>4000</w:t>
      </w:r>
      <w:r>
        <w:rPr>
          <w:color w:val="000000"/>
          <w:spacing w:val="0"/>
          <w:w w:val="100"/>
          <w:position w:val="0"/>
        </w:rPr>
        <w:t xml:space="preserve">亿元》，链接： </w:t>
      </w:r>
      <w:r>
        <w:fldChar w:fldCharType="begin"/>
      </w:r>
      <w:r>
        <w:rPr/>
        <w:instrText> HYPERLINK "https://www.iimedia.cn/c1061/68911.html%ef%bc%89" </w:instrText>
      </w:r>
      <w:r>
        <w:fldChar w:fldCharType="separate"/>
      </w:r>
      <w:r>
        <w:rPr>
          <w:rFonts w:ascii="Times New Roman" w:eastAsia="Times New Roman" w:hAnsi="Times New Roman" w:cs="Times New Roman"/>
          <w:color w:val="000000"/>
          <w:spacing w:val="0"/>
          <w:w w:val="100"/>
          <w:position w:val="0"/>
        </w:rPr>
        <w:t>https://www.iimedia.cn/c1061/68911.html</w:t>
      </w:r>
      <w:r>
        <w:rPr>
          <w:color w:val="000000"/>
          <w:spacing w:val="0"/>
          <w:w w:val="100"/>
          <w:position w:val="0"/>
        </w:rPr>
        <w:t>）</w:t>
      </w:r>
      <w:r>
        <w:fldChar w:fldCharType="end"/>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公司将努力发挥技术创新优势，夯实在数字会议、烟草、印钞检测、石油、政府及其他行业长期建立 起的地位，强化在智慧政务、智慧城市、智能制造、智慧医疗领域的核心技术研发，完善营销推广体系， 扩大品牌影响力，提升市场综合竞争能力，努开拓新业务领域，抵抗竞争加剧的风险。</w:t>
      </w:r>
    </w:p>
    <w:p>
      <w:pPr>
        <w:pStyle w:val="Style47"/>
        <w:keepNext w:val="0"/>
        <w:keepLines w:val="0"/>
        <w:widowControl w:val="0"/>
        <w:numPr>
          <w:ilvl w:val="0"/>
          <w:numId w:val="37"/>
        </w:numPr>
        <w:shd w:val="clear" w:color="auto" w:fill="auto"/>
        <w:tabs>
          <w:tab w:pos="723" w:val="left"/>
        </w:tabs>
        <w:bidi w:val="0"/>
        <w:spacing w:before="0" w:after="0"/>
        <w:ind w:left="0" w:right="0" w:firstLine="420"/>
        <w:jc w:val="both"/>
      </w:pPr>
      <w:bookmarkStart w:id="307" w:name="bookmark307"/>
      <w:bookmarkEnd w:id="307"/>
      <w:r>
        <w:rPr>
          <w:color w:val="000000"/>
          <w:spacing w:val="0"/>
          <w:w w:val="100"/>
          <w:position w:val="0"/>
        </w:rPr>
        <w:t>应收账款发生坏账的风险</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截至本报告期，公司应收账款金额为</w:t>
      </w:r>
      <w:r>
        <w:rPr>
          <w:rFonts w:ascii="Times New Roman" w:eastAsia="Times New Roman" w:hAnsi="Times New Roman" w:cs="Times New Roman"/>
          <w:color w:val="000000"/>
          <w:spacing w:val="0"/>
          <w:w w:val="100"/>
          <w:position w:val="0"/>
        </w:rPr>
        <w:t>26930.44</w:t>
      </w:r>
      <w:r>
        <w:rPr>
          <w:color w:val="000000"/>
          <w:spacing w:val="0"/>
          <w:w w:val="100"/>
          <w:position w:val="0"/>
        </w:rPr>
        <w:t>万元，较上年同期增长</w:t>
      </w:r>
      <w:r>
        <w:rPr>
          <w:rFonts w:ascii="Times New Roman" w:eastAsia="Times New Roman" w:hAnsi="Times New Roman" w:cs="Times New Roman"/>
          <w:color w:val="000000"/>
          <w:spacing w:val="0"/>
          <w:w w:val="100"/>
          <w:position w:val="0"/>
        </w:rPr>
        <w:t>14.91%</w:t>
      </w:r>
      <w:r>
        <w:rPr>
          <w:color w:val="000000"/>
          <w:spacing w:val="0"/>
          <w:w w:val="100"/>
          <w:position w:val="0"/>
        </w:rPr>
        <w:t>，如果客户出现信用降低 或现金流支付困难，应收款发生坏账的可能性将增加。公司将在</w:t>
      </w:r>
      <w:r>
        <w:rPr>
          <w:rFonts w:ascii="Times New Roman" w:eastAsia="Times New Roman" w:hAnsi="Times New Roman" w:cs="Times New Roman"/>
          <w:color w:val="000000"/>
          <w:spacing w:val="0"/>
          <w:w w:val="100"/>
          <w:position w:val="0"/>
        </w:rPr>
        <w:t>2021</w:t>
      </w:r>
      <w:r>
        <w:rPr>
          <w:color w:val="000000"/>
          <w:spacing w:val="0"/>
          <w:w w:val="100"/>
          <w:position w:val="0"/>
        </w:rPr>
        <w:t>年继续加大应收账款催收力度，将项 目回款率与市场人员绩效考核紧密持钩，把应收账款总规模控制在合理范围，以进一步减少因应收账款不 能及时收回或出现损失对公司经营业绩产生的不利影响。</w:t>
      </w:r>
    </w:p>
    <w:p>
      <w:pPr>
        <w:pStyle w:val="Style47"/>
        <w:keepNext w:val="0"/>
        <w:keepLines w:val="0"/>
        <w:widowControl w:val="0"/>
        <w:numPr>
          <w:ilvl w:val="0"/>
          <w:numId w:val="37"/>
        </w:numPr>
        <w:shd w:val="clear" w:color="auto" w:fill="auto"/>
        <w:tabs>
          <w:tab w:pos="723" w:val="left"/>
        </w:tabs>
        <w:bidi w:val="0"/>
        <w:spacing w:before="0" w:after="0"/>
        <w:ind w:left="0" w:right="0" w:firstLine="420"/>
        <w:jc w:val="both"/>
      </w:pPr>
      <w:bookmarkStart w:id="308" w:name="bookmark308"/>
      <w:bookmarkEnd w:id="308"/>
      <w:r>
        <w:rPr>
          <w:color w:val="000000"/>
          <w:spacing w:val="0"/>
          <w:w w:val="100"/>
          <w:position w:val="0"/>
        </w:rPr>
        <w:t>政府补助减少的风险</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报告期内，报告期内，公司获得的政府补贴收入金额为</w:t>
      </w:r>
      <w:r>
        <w:rPr>
          <w:rFonts w:ascii="Times New Roman" w:eastAsia="Times New Roman" w:hAnsi="Times New Roman" w:cs="Times New Roman"/>
          <w:color w:val="000000"/>
          <w:spacing w:val="0"/>
          <w:w w:val="100"/>
          <w:position w:val="0"/>
        </w:rPr>
        <w:t>1046.24</w:t>
      </w:r>
      <w:r>
        <w:rPr>
          <w:color w:val="000000"/>
          <w:spacing w:val="0"/>
          <w:w w:val="100"/>
          <w:position w:val="0"/>
        </w:rPr>
        <w:t>万元，占当期利润总额的比例为</w:t>
      </w:r>
      <w:r>
        <w:rPr>
          <w:rFonts w:ascii="Times New Roman" w:eastAsia="Times New Roman" w:hAnsi="Times New Roman" w:cs="Times New Roman"/>
          <w:color w:val="000000"/>
          <w:spacing w:val="0"/>
          <w:w w:val="100"/>
          <w:position w:val="0"/>
        </w:rPr>
        <w:t xml:space="preserve">29.95 </w:t>
      </w:r>
      <w:r>
        <w:rPr>
          <w:rFonts w:ascii="Times New Roman" w:eastAsia="Times New Roman" w:hAnsi="Times New Roman" w:cs="Times New Roman"/>
          <w:color w:val="000000"/>
          <w:spacing w:val="0"/>
          <w:w w:val="100"/>
          <w:position w:val="0"/>
        </w:rPr>
        <w:t>%</w:t>
      </w:r>
      <w:r>
        <w:rPr>
          <w:color w:val="000000"/>
          <w:spacing w:val="0"/>
          <w:w w:val="100"/>
          <w:position w:val="0"/>
        </w:rPr>
        <w:t>。 如果公司未来取得的政府补助减少，将对公司经营业绩产生不利影响。</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公司一方面将通过</w:t>
      </w:r>
      <w:r>
        <w:rPr>
          <w:rFonts w:ascii="Times New Roman" w:eastAsia="Times New Roman" w:hAnsi="Times New Roman" w:cs="Times New Roman"/>
          <w:color w:val="000000"/>
          <w:spacing w:val="0"/>
          <w:w w:val="100"/>
          <w:position w:val="0"/>
        </w:rPr>
        <w:t>“</w:t>
      </w:r>
      <w:r>
        <w:rPr>
          <w:color w:val="000000"/>
          <w:spacing w:val="0"/>
          <w:w w:val="100"/>
          <w:position w:val="0"/>
        </w:rPr>
        <w:t>加强研发、开拓市场、提升运营效率、控制成本''等经营措施持续提升公司主营业 务的盈利能力和盈利规模，有效控制政府补助对公司经营业绩的影响；另一方面将继续加强国家、省市级 重点科研项目的争取力度，积极争取政府支持的科研经费和各种产业政策的支持。</w:t>
      </w:r>
    </w:p>
    <w:p>
      <w:pPr>
        <w:pStyle w:val="Style47"/>
        <w:keepNext w:val="0"/>
        <w:keepLines w:val="0"/>
        <w:widowControl w:val="0"/>
        <w:numPr>
          <w:ilvl w:val="0"/>
          <w:numId w:val="37"/>
        </w:numPr>
        <w:shd w:val="clear" w:color="auto" w:fill="auto"/>
        <w:tabs>
          <w:tab w:pos="723" w:val="left"/>
        </w:tabs>
        <w:bidi w:val="0"/>
        <w:spacing w:before="0" w:after="0"/>
        <w:ind w:left="0" w:right="0" w:firstLine="420"/>
        <w:jc w:val="both"/>
      </w:pPr>
      <w:bookmarkStart w:id="309" w:name="bookmark309"/>
      <w:bookmarkEnd w:id="309"/>
      <w:r>
        <w:rPr>
          <w:color w:val="000000"/>
          <w:spacing w:val="0"/>
          <w:w w:val="100"/>
          <w:position w:val="0"/>
        </w:rPr>
        <w:t>业务规模扩大带来的管理风险</w:t>
      </w:r>
    </w:p>
    <w:p>
      <w:pPr>
        <w:pStyle w:val="Style47"/>
        <w:keepNext w:val="0"/>
        <w:keepLines w:val="0"/>
        <w:widowControl w:val="0"/>
        <w:shd w:val="clear" w:color="auto" w:fill="auto"/>
        <w:bidi w:val="0"/>
        <w:spacing w:before="0" w:after="0" w:line="468" w:lineRule="exact"/>
        <w:ind w:left="0" w:right="0" w:firstLine="420"/>
        <w:jc w:val="both"/>
        <w:sectPr>
          <w:headerReference w:type="default" r:id="rId103"/>
          <w:footerReference w:type="default" r:id="rId104"/>
          <w:headerReference w:type="even" r:id="rId105"/>
          <w:footerReference w:type="even" r:id="rId106"/>
          <w:headerReference w:type="first" r:id="rId107"/>
          <w:footerReference w:type="first" r:id="rId108"/>
          <w:footnotePr>
            <w:pos w:val="pageBottom"/>
            <w:numFmt w:val="decimal"/>
            <w:numRestart w:val="continuous"/>
          </w:footnotePr>
          <w:pgSz w:w="11900" w:h="16840"/>
          <w:pgMar w:top="1321" w:right="33" w:bottom="1494" w:left="1095" w:header="0" w:footer="3" w:gutter="0"/>
          <w:cols w:space="720"/>
          <w:noEndnote/>
          <w:titlePg/>
          <w:rtlGutter w:val="0"/>
          <w:docGrid w:linePitch="360"/>
        </w:sectPr>
      </w:pPr>
      <w:r>
        <w:rPr>
          <w:color w:val="000000"/>
          <w:spacing w:val="0"/>
          <w:w w:val="100"/>
          <w:position w:val="0"/>
        </w:rPr>
        <w:t xml:space="preserve">随着公司持续发展，业务规模不断扩大，公司分公司、控股子公司、办事处逐渐增多，国内市场区域 </w:t>
      </w:r>
    </w:p>
    <w:p>
      <w:pPr>
        <w:pStyle w:val="Style47"/>
        <w:keepNext w:val="0"/>
        <w:keepLines w:val="0"/>
        <w:widowControl w:val="0"/>
        <w:shd w:val="clear" w:color="auto" w:fill="auto"/>
        <w:bidi w:val="0"/>
        <w:spacing w:before="0" w:after="0" w:line="468" w:lineRule="exact"/>
        <w:ind w:left="0" w:right="0" w:firstLine="0"/>
        <w:jc w:val="both"/>
      </w:pPr>
      <w:r>
        <w:rPr>
          <w:color w:val="000000"/>
          <w:spacing w:val="0"/>
          <w:w w:val="100"/>
          <w:position w:val="0"/>
        </w:rPr>
        <w:t>也持续扩大，由此对公司的运营管理和风险控制能力带来一定压力。</w:t>
      </w:r>
    </w:p>
    <w:p>
      <w:pPr>
        <w:pStyle w:val="Style47"/>
        <w:keepNext w:val="0"/>
        <w:keepLines w:val="0"/>
        <w:widowControl w:val="0"/>
        <w:shd w:val="clear" w:color="auto" w:fill="auto"/>
        <w:bidi w:val="0"/>
        <w:spacing w:before="0" w:after="200" w:line="469" w:lineRule="exact"/>
        <w:ind w:left="0" w:right="0" w:firstLine="420"/>
        <w:jc w:val="both"/>
      </w:pPr>
      <w:r>
        <w:rPr>
          <w:color w:val="000000"/>
          <w:spacing w:val="0"/>
          <w:w w:val="100"/>
          <w:position w:val="0"/>
        </w:rPr>
        <w:t>公司将继续强化公司治理，完善决策机制、健全对分公司及子公司的管控机制、建立有效的市场反应 机制和风险防范机制，综合运用内部风险控制和纪检监察措施，加强财务管理、内部审计、风险管控的实 施力度，贯彻落实公司的管理制度，以管理的规范化、标准化为公司健康稳定的发展提供可靠保障。因业 务范围扩大带来的人才紧缺问题将通过引进复合型管理人才、内部选拔培养干部、加大人才库建设等方法 解决，并进一步优化公司人才引进、培养、激励和任职资格的人力资源管理体系，完善员职业生涯规划， 留住优秀人，实现人才价值的最大化。</w:t>
      </w:r>
    </w:p>
    <w:p>
      <w:pPr>
        <w:pStyle w:val="Style47"/>
        <w:keepNext w:val="0"/>
        <w:keepLines w:val="0"/>
        <w:widowControl w:val="0"/>
        <w:numPr>
          <w:ilvl w:val="0"/>
          <w:numId w:val="37"/>
        </w:numPr>
        <w:shd w:val="clear" w:color="auto" w:fill="auto"/>
        <w:tabs>
          <w:tab w:pos="699" w:val="left"/>
        </w:tabs>
        <w:bidi w:val="0"/>
        <w:spacing w:before="0" w:after="0"/>
        <w:ind w:left="0" w:right="0" w:firstLine="420"/>
        <w:jc w:val="left"/>
      </w:pPr>
      <w:bookmarkStart w:id="310" w:name="bookmark310"/>
      <w:bookmarkEnd w:id="310"/>
      <w:r>
        <w:rPr>
          <w:color w:val="000000"/>
          <w:spacing w:val="0"/>
          <w:w w:val="100"/>
          <w:position w:val="0"/>
        </w:rPr>
        <w:t>投资收益减少的风险</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报告期内，公司持有中钞科信</w:t>
      </w:r>
      <w:r>
        <w:rPr>
          <w:rFonts w:ascii="Times New Roman" w:eastAsia="Times New Roman" w:hAnsi="Times New Roman" w:cs="Times New Roman"/>
          <w:color w:val="000000"/>
          <w:spacing w:val="0"/>
          <w:w w:val="100"/>
          <w:position w:val="0"/>
        </w:rPr>
        <w:t>40%</w:t>
      </w:r>
      <w:r>
        <w:rPr>
          <w:color w:val="000000"/>
          <w:spacing w:val="0"/>
          <w:w w:val="100"/>
          <w:position w:val="0"/>
        </w:rPr>
        <w:t>股权，并按权益法对中钞科信长期股权投资进行核算，本期投资收 益为</w:t>
      </w:r>
      <w:r>
        <w:rPr>
          <w:rFonts w:ascii="Times New Roman" w:eastAsia="Times New Roman" w:hAnsi="Times New Roman" w:cs="Times New Roman"/>
          <w:color w:val="000000"/>
          <w:spacing w:val="0"/>
          <w:w w:val="100"/>
          <w:position w:val="0"/>
        </w:rPr>
        <w:t>1055.79</w:t>
      </w:r>
      <w:r>
        <w:rPr>
          <w:color w:val="000000"/>
          <w:spacing w:val="0"/>
          <w:w w:val="100"/>
          <w:position w:val="0"/>
        </w:rPr>
        <w:t>万元，较上期增加</w:t>
      </w:r>
      <w:r>
        <w:rPr>
          <w:rFonts w:ascii="Times New Roman" w:eastAsia="Times New Roman" w:hAnsi="Times New Roman" w:cs="Times New Roman"/>
          <w:color w:val="000000"/>
          <w:spacing w:val="0"/>
          <w:w w:val="100"/>
          <w:position w:val="0"/>
        </w:rPr>
        <w:t>23.93%</w:t>
      </w:r>
      <w:r>
        <w:rPr>
          <w:color w:val="000000"/>
          <w:spacing w:val="0"/>
          <w:w w:val="100"/>
          <w:position w:val="0"/>
        </w:rPr>
        <w:t>,如果中钞科信</w:t>
      </w:r>
      <w:r>
        <w:rPr>
          <w:rFonts w:ascii="Times New Roman" w:eastAsia="Times New Roman" w:hAnsi="Times New Roman" w:cs="Times New Roman"/>
          <w:color w:val="000000"/>
          <w:spacing w:val="0"/>
          <w:w w:val="100"/>
          <w:position w:val="0"/>
        </w:rPr>
        <w:t>2021</w:t>
      </w:r>
      <w:r>
        <w:rPr>
          <w:color w:val="000000"/>
          <w:spacing w:val="0"/>
          <w:w w:val="100"/>
          <w:position w:val="0"/>
        </w:rPr>
        <w:t>年业绩波动下滑，则将对本公司的财务状况产生 不利影响。</w:t>
      </w:r>
    </w:p>
    <w:p>
      <w:pPr>
        <w:pStyle w:val="Style47"/>
        <w:keepNext w:val="0"/>
        <w:keepLines w:val="0"/>
        <w:widowControl w:val="0"/>
        <w:shd w:val="clear" w:color="auto" w:fill="auto"/>
        <w:bidi w:val="0"/>
        <w:spacing w:before="0" w:after="200" w:line="469" w:lineRule="exact"/>
        <w:ind w:left="0" w:right="0" w:firstLine="420"/>
        <w:jc w:val="both"/>
      </w:pPr>
      <w:r>
        <w:rPr>
          <w:color w:val="000000"/>
          <w:spacing w:val="0"/>
          <w:w w:val="100"/>
          <w:position w:val="0"/>
        </w:rPr>
        <w:t>公司将积极运用自身核心技术优势开拓市场、发展壮大，通过增强自身盈利能力，减少中钞科信业绩 下滑对公司业绩的影响。</w:t>
      </w:r>
    </w:p>
    <w:p>
      <w:pPr>
        <w:pStyle w:val="Style47"/>
        <w:keepNext w:val="0"/>
        <w:keepLines w:val="0"/>
        <w:widowControl w:val="0"/>
        <w:numPr>
          <w:ilvl w:val="0"/>
          <w:numId w:val="37"/>
        </w:numPr>
        <w:shd w:val="clear" w:color="auto" w:fill="auto"/>
        <w:tabs>
          <w:tab w:pos="699" w:val="left"/>
        </w:tabs>
        <w:bidi w:val="0"/>
        <w:spacing w:before="0" w:after="0"/>
        <w:ind w:left="0" w:right="0" w:firstLine="420"/>
        <w:jc w:val="left"/>
      </w:pPr>
      <w:bookmarkStart w:id="311" w:name="bookmark311"/>
      <w:bookmarkEnd w:id="311"/>
      <w:r>
        <w:rPr>
          <w:color w:val="000000"/>
          <w:spacing w:val="0"/>
          <w:w w:val="100"/>
          <w:position w:val="0"/>
        </w:rPr>
        <w:t>并购重组完成后的业务整合风险</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公司并购瑞拓科技完成后，瑞拓科技将成为公司的全资子公司，双方将在企业文化、团队管理、技术 研发、销售渠道、客户资源等方面进行深度整合，最大程度发挥双方协同效应。但本次并购重组完成后， 公司业务范围增加、内部组织架构复杂性提高，若公司组织架构和管理水平不能适应重组后业务变化及资 产、人员规模扩张，不能对重组后业务形成有效管控，可能难以充分发挥本次交易的协同效应，进而对公 司的生产经营产生不利影响。</w:t>
      </w:r>
    </w:p>
    <w:p>
      <w:pPr>
        <w:pStyle w:val="Style47"/>
        <w:keepNext w:val="0"/>
        <w:keepLines w:val="0"/>
        <w:widowControl w:val="0"/>
        <w:shd w:val="clear" w:color="auto" w:fill="auto"/>
        <w:bidi w:val="0"/>
        <w:spacing w:before="0" w:after="200" w:line="473" w:lineRule="exact"/>
        <w:ind w:left="0" w:right="0" w:firstLine="420"/>
        <w:jc w:val="both"/>
      </w:pPr>
      <w:r>
        <w:rPr>
          <w:color w:val="000000"/>
          <w:spacing w:val="0"/>
          <w:w w:val="100"/>
          <w:position w:val="0"/>
        </w:rPr>
        <w:t>公司在并购重组完成后将以确保瑞拓科技正常经营、平衡协调发展为原则，进行整合管理。构建合理 符合总体战略发展需要的人力资源管理制度，基本保持了瑞拓科技原有管理层和员工队伍的稳定，树立员 工长远发展的信心。按照并购目标、方针和战略对其资产、人员等企业要素进行整体系统性安排，组织运 营。采用与瑞拓科技经营理念融合的管控模式，确保决策执行顺畅。尽量减小在管理层理念、管理制度、 市场定位、市场策略、销售战略、企业文化等方面的差异冲突，避免生产和经营风险。</w:t>
      </w:r>
    </w:p>
    <w:p>
      <w:pPr>
        <w:pStyle w:val="Style47"/>
        <w:keepNext w:val="0"/>
        <w:keepLines w:val="0"/>
        <w:widowControl w:val="0"/>
        <w:numPr>
          <w:ilvl w:val="0"/>
          <w:numId w:val="37"/>
        </w:numPr>
        <w:shd w:val="clear" w:color="auto" w:fill="auto"/>
        <w:tabs>
          <w:tab w:pos="699" w:val="left"/>
        </w:tabs>
        <w:bidi w:val="0"/>
        <w:spacing w:before="0" w:after="0" w:line="494" w:lineRule="auto"/>
        <w:ind w:left="0" w:right="0" w:firstLine="420"/>
        <w:jc w:val="both"/>
      </w:pPr>
      <w:bookmarkStart w:id="312" w:name="bookmark312"/>
      <w:bookmarkEnd w:id="312"/>
      <w:r>
        <w:rPr>
          <w:color w:val="000000"/>
          <w:spacing w:val="0"/>
          <w:w w:val="100"/>
          <w:position w:val="0"/>
        </w:rPr>
        <w:t>并购重组可能会摊薄上市公司即期回报的风险</w:t>
      </w:r>
    </w:p>
    <w:p>
      <w:pPr>
        <w:pStyle w:val="Style47"/>
        <w:keepNext w:val="0"/>
        <w:keepLines w:val="0"/>
        <w:widowControl w:val="0"/>
        <w:shd w:val="clear" w:color="auto" w:fill="auto"/>
        <w:bidi w:val="0"/>
        <w:spacing w:before="0" w:after="0" w:line="473" w:lineRule="exact"/>
        <w:ind w:left="0" w:right="0" w:firstLine="420"/>
        <w:jc w:val="both"/>
      </w:pPr>
      <w:r>
        <w:rPr>
          <w:color w:val="000000"/>
          <w:spacing w:val="0"/>
          <w:w w:val="100"/>
          <w:position w:val="0"/>
        </w:rPr>
        <w:t>公司并购瑞拓科技完成后，公司总股本和净资产预计将增加，瑞拓科技将纳入公司合并报表范围。若 瑞拓科技未来经营效益不及预期，本次并购重组完成后每股收益等财务指标可能较并购重组前有所下降。 若前述情形发生，公司每股收益等财务指标将面临被摊薄的风险。</w:t>
      </w:r>
    </w:p>
    <w:p>
      <w:pPr>
        <w:pStyle w:val="Style47"/>
        <w:keepNext w:val="0"/>
        <w:keepLines w:val="0"/>
        <w:widowControl w:val="0"/>
        <w:shd w:val="clear" w:color="auto" w:fill="auto"/>
        <w:bidi w:val="0"/>
        <w:spacing w:before="0" w:after="440" w:line="473" w:lineRule="exact"/>
        <w:ind w:left="0" w:right="0" w:firstLine="420"/>
        <w:jc w:val="both"/>
      </w:pPr>
      <w:r>
        <w:rPr>
          <w:color w:val="000000"/>
          <w:spacing w:val="0"/>
          <w:w w:val="100"/>
          <w:position w:val="0"/>
        </w:rPr>
        <w:t xml:space="preserve">为防范该风险，公司将进一步加强经营管理和内部控制，提升经营业绩，着力实现与瑞拓科技在产品 与市场渠道、资本等方面的协同效应，实现双方优势互补，发挥协同效应，提升公司整体价值。公司将严 </w:t>
      </w:r>
      <w:r>
        <w:rPr>
          <w:color w:val="000000"/>
          <w:spacing w:val="0"/>
          <w:w w:val="100"/>
          <w:position w:val="0"/>
        </w:rPr>
        <w:t>格遵循集中管理、周密计划、预算控制、规范运作、公开透明的募集资金使用原则，充分防范募集资金使 用风险，提高募集资金使用效率。同时，不断完善利润分配政策，推动公司建立更为科学、持续、稳定的 股东回报机制，增加利润分配政策决策透明度和可操作性，切实保护全体投资者合法权益，使广大投资者 共同分享公司快速发展的成果。</w:t>
      </w:r>
    </w:p>
    <w:p>
      <w:pPr>
        <w:pStyle w:val="Style33"/>
        <w:keepNext/>
        <w:keepLines/>
        <w:widowControl w:val="0"/>
        <w:shd w:val="clear" w:color="auto" w:fill="auto"/>
        <w:bidi w:val="0"/>
        <w:spacing w:before="0" w:after="320" w:line="240" w:lineRule="auto"/>
        <w:ind w:left="0" w:right="0" w:firstLine="0"/>
        <w:jc w:val="both"/>
      </w:pPr>
      <w:bookmarkStart w:id="313" w:name="bookmark313"/>
      <w:bookmarkStart w:id="314" w:name="bookmark314"/>
      <w:bookmarkStart w:id="315" w:name="bookmark315"/>
      <w:r>
        <w:rPr>
          <w:color w:val="000000"/>
          <w:spacing w:val="0"/>
          <w:w w:val="100"/>
          <w:position w:val="0"/>
          <w:sz w:val="24"/>
          <w:szCs w:val="24"/>
        </w:rPr>
        <w:t>十、接待调研、沟通、采访等活动登记表</w:t>
      </w:r>
      <w:bookmarkEnd w:id="313"/>
      <w:bookmarkEnd w:id="314"/>
      <w:bookmarkEnd w:id="315"/>
    </w:p>
    <w:p>
      <w:pPr>
        <w:pStyle w:val="Style44"/>
        <w:keepNext/>
        <w:keepLines/>
        <w:widowControl w:val="0"/>
        <w:shd w:val="clear" w:color="auto" w:fill="auto"/>
        <w:bidi w:val="0"/>
        <w:spacing w:before="0" w:after="120" w:line="480" w:lineRule="auto"/>
        <w:ind w:left="0" w:right="0" w:firstLine="0"/>
        <w:jc w:val="both"/>
      </w:pPr>
      <w:bookmarkStart w:id="316" w:name="bookmark316"/>
      <w:bookmarkStart w:id="317" w:name="bookmark317"/>
      <w:bookmarkStart w:id="318" w:name="bookmark318"/>
      <w:bookmarkStart w:id="319" w:name="bookmark319"/>
      <w:r>
        <w:rPr>
          <w:rFonts w:ascii="Times New Roman" w:eastAsia="Times New Roman" w:hAnsi="Times New Roman" w:cs="Times New Roman"/>
          <w:color w:val="000000"/>
          <w:spacing w:val="0"/>
          <w:w w:val="100"/>
          <w:position w:val="0"/>
        </w:rPr>
        <w:t>1</w:t>
      </w:r>
      <w:bookmarkEnd w:id="318"/>
      <w:r>
        <w:rPr>
          <w:color w:val="000000"/>
          <w:spacing w:val="0"/>
          <w:w w:val="100"/>
          <w:position w:val="0"/>
        </w:rPr>
        <w:t>、报告期内接待调研、沟通、采访等活动登记表</w:t>
      </w:r>
      <w:bookmarkEnd w:id="316"/>
      <w:bookmarkEnd w:id="317"/>
      <w:bookmarkEnd w:id="319"/>
    </w:p>
    <w:p>
      <w:pPr>
        <w:pStyle w:val="Style35"/>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left"/>
        <w:tblLayout w:type="fixed"/>
      </w:tblPr>
      <w:tblGrid>
        <w:gridCol w:w="1301"/>
        <w:gridCol w:w="1291"/>
        <w:gridCol w:w="1296"/>
        <w:gridCol w:w="1296"/>
        <w:gridCol w:w="1296"/>
        <w:gridCol w:w="1296"/>
        <w:gridCol w:w="1810"/>
      </w:tblGrid>
      <w:tr>
        <w:trPr>
          <w:trHeight w:val="103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接待时间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接待地点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接待方式</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接待对象类型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接待对象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谈论的主要内 容及提供的资 料</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调研的基本情况索引</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08</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全景路演天下 网络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网上投资者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年年度报</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告网上业绩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http: //www. </w:t>
            </w:r>
            <w:r>
              <w:rPr>
                <w:rFonts w:ascii="Times New Roman" w:eastAsia="Times New Roman" w:hAnsi="Times New Roman" w:cs="Times New Roman"/>
                <w:color w:val="000000"/>
                <w:spacing w:val="0"/>
                <w:w w:val="100"/>
                <w:position w:val="0"/>
                <w:sz w:val="18"/>
                <w:szCs w:val="18"/>
              </w:rPr>
              <w:t>cninfo.com</w:t>
            </w:r>
            <w:r>
              <w:rPr>
                <w:rFonts w:ascii="Times New Roman" w:eastAsia="Times New Roman" w:hAnsi="Times New Roman" w:cs="Times New Roman"/>
                <w:color w:val="000000"/>
                <w:spacing w:val="0"/>
                <w:w w:val="100"/>
                <w:position w:val="0"/>
                <w:sz w:val="18"/>
                <w:szCs w:val="18"/>
              </w:rPr>
              <w:t>.</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cn</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线上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电话沟通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线上机构及个</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人投资者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41" w:lineRule="exact"/>
              <w:ind w:left="0" w:right="0" w:firstLine="0"/>
              <w:jc w:val="left"/>
              <w:rPr>
                <w:sz w:val="18"/>
                <w:szCs w:val="18"/>
              </w:rPr>
            </w:pPr>
            <w:r>
              <w:rPr>
                <w:color w:val="000000"/>
                <w:spacing w:val="0"/>
                <w:w w:val="100"/>
                <w:position w:val="0"/>
                <w:sz w:val="18"/>
                <w:szCs w:val="18"/>
              </w:rPr>
              <w:t>公司基本情况、 发展规划</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http: //www. </w:t>
            </w:r>
            <w:r>
              <w:rPr>
                <w:rFonts w:ascii="Times New Roman" w:eastAsia="Times New Roman" w:hAnsi="Times New Roman" w:cs="Times New Roman"/>
                <w:color w:val="000000"/>
                <w:spacing w:val="0"/>
                <w:w w:val="100"/>
                <w:position w:val="0"/>
                <w:sz w:val="18"/>
                <w:szCs w:val="18"/>
              </w:rPr>
              <w:t>cninfo.com</w:t>
            </w:r>
            <w:r>
              <w:rPr>
                <w:rFonts w:ascii="Times New Roman" w:eastAsia="Times New Roman" w:hAnsi="Times New Roman" w:cs="Times New Roman"/>
                <w:color w:val="000000"/>
                <w:spacing w:val="0"/>
                <w:w w:val="100"/>
                <w:position w:val="0"/>
                <w:sz w:val="18"/>
                <w:szCs w:val="18"/>
              </w:rPr>
              <w:t>.</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cn</w:t>
            </w:r>
          </w:p>
        </w:tc>
      </w:tr>
    </w:tbl>
    <w:p>
      <w:pPr>
        <w:pStyle w:val="Style15"/>
        <w:keepNext/>
        <w:keepLines/>
        <w:widowControl w:val="0"/>
        <w:shd w:val="clear" w:color="auto" w:fill="auto"/>
        <w:bidi w:val="0"/>
        <w:spacing w:before="0" w:line="240" w:lineRule="auto"/>
        <w:ind w:left="0" w:right="0" w:firstLine="0"/>
        <w:jc w:val="center"/>
      </w:pPr>
      <w:bookmarkStart w:id="320" w:name="bookmark320"/>
      <w:bookmarkStart w:id="321" w:name="bookmark321"/>
      <w:bookmarkStart w:id="322" w:name="bookmark322"/>
      <w:r>
        <w:rPr>
          <w:color w:val="000000"/>
          <w:spacing w:val="0"/>
          <w:w w:val="100"/>
          <w:position w:val="0"/>
        </w:rPr>
        <w:t>第五节重要事项</w:t>
      </w:r>
      <w:bookmarkEnd w:id="320"/>
      <w:bookmarkEnd w:id="321"/>
      <w:bookmarkEnd w:id="322"/>
    </w:p>
    <w:p>
      <w:pPr>
        <w:pStyle w:val="Style33"/>
        <w:keepNext/>
        <w:keepLines/>
        <w:widowControl w:val="0"/>
        <w:shd w:val="clear" w:color="auto" w:fill="auto"/>
        <w:bidi w:val="0"/>
        <w:spacing w:before="0" w:after="360" w:line="240" w:lineRule="auto"/>
        <w:ind w:left="0" w:right="0" w:firstLine="0"/>
        <w:jc w:val="left"/>
      </w:pPr>
      <w:bookmarkStart w:id="323" w:name="bookmark323"/>
      <w:bookmarkStart w:id="324" w:name="bookmark324"/>
      <w:bookmarkStart w:id="325" w:name="bookmark325"/>
      <w:bookmarkStart w:id="326" w:name="bookmark326"/>
      <w:bookmarkStart w:id="327" w:name="bookmark327"/>
      <w:r>
        <w:rPr>
          <w:color w:val="000000"/>
          <w:spacing w:val="0"/>
          <w:w w:val="100"/>
          <w:position w:val="0"/>
          <w:sz w:val="24"/>
          <w:szCs w:val="24"/>
        </w:rPr>
        <w:t>一</w:t>
      </w:r>
      <w:bookmarkEnd w:id="326"/>
      <w:r>
        <w:rPr>
          <w:color w:val="000000"/>
          <w:spacing w:val="0"/>
          <w:w w:val="100"/>
          <w:position w:val="0"/>
          <w:sz w:val="24"/>
          <w:szCs w:val="24"/>
        </w:rPr>
        <w:t>、公司普通股利润分配及资本公积金转增股本情况</w:t>
      </w:r>
      <w:bookmarkEnd w:id="324"/>
      <w:bookmarkEnd w:id="325"/>
      <w:bookmarkEnd w:id="327"/>
      <w:bookmarkEnd w:id="323"/>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报告期内普通股利润分配政策，特别是现金分红政策的制定、执行或调整情况</w:t>
      </w:r>
    </w:p>
    <w:p>
      <w:pPr>
        <w:pStyle w:val="Style35"/>
        <w:keepNext w:val="0"/>
        <w:keepLines w:val="0"/>
        <w:widowControl w:val="0"/>
        <w:shd w:val="clear" w:color="auto" w:fill="auto"/>
        <w:bidi w:val="0"/>
        <w:spacing w:before="0" w:after="0" w:line="538"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200" w:line="464" w:lineRule="exact"/>
        <w:ind w:left="0" w:right="0" w:firstLine="440"/>
        <w:jc w:val="left"/>
      </w:pPr>
      <w:bookmarkStart w:id="328" w:name="bookmark328"/>
      <w:r>
        <w:rPr>
          <w:color w:val="000000"/>
          <w:spacing w:val="0"/>
          <w:w w:val="100"/>
          <w:position w:val="0"/>
        </w:rPr>
        <w:t>（</w:t>
      </w:r>
      <w:bookmarkEnd w:id="328"/>
      <w:r>
        <w:rPr>
          <w:color w:val="000000"/>
          <w:spacing w:val="0"/>
          <w:w w:val="100"/>
          <w:position w:val="0"/>
        </w:rPr>
        <w:t>一）公司的利润分配政策</w:t>
      </w:r>
    </w:p>
    <w:p>
      <w:pPr>
        <w:pStyle w:val="Style47"/>
        <w:keepNext w:val="0"/>
        <w:keepLines w:val="0"/>
        <w:widowControl w:val="0"/>
        <w:shd w:val="clear" w:color="auto" w:fill="auto"/>
        <w:tabs>
          <w:tab w:pos="798" w:val="left"/>
        </w:tabs>
        <w:bidi w:val="0"/>
        <w:spacing w:before="0" w:after="0"/>
        <w:ind w:left="0" w:right="0" w:firstLine="440"/>
        <w:jc w:val="both"/>
      </w:pPr>
      <w:bookmarkStart w:id="329" w:name="bookmark329"/>
      <w:r>
        <w:rPr>
          <w:rFonts w:ascii="Times New Roman" w:eastAsia="Times New Roman" w:hAnsi="Times New Roman" w:cs="Times New Roman"/>
          <w:color w:val="000000"/>
          <w:spacing w:val="0"/>
          <w:w w:val="100"/>
          <w:position w:val="0"/>
        </w:rPr>
        <w:t>1</w:t>
      </w:r>
      <w:bookmarkEnd w:id="329"/>
      <w:r>
        <w:rPr>
          <w:color w:val="000000"/>
          <w:spacing w:val="0"/>
          <w:w w:val="100"/>
          <w:position w:val="0"/>
        </w:rPr>
        <w:t>、</w:t>
        <w:tab/>
        <w:t>利润分配原则</w:t>
      </w:r>
    </w:p>
    <w:p>
      <w:pPr>
        <w:pStyle w:val="Style47"/>
        <w:keepNext w:val="0"/>
        <w:keepLines w:val="0"/>
        <w:widowControl w:val="0"/>
        <w:shd w:val="clear" w:color="auto" w:fill="auto"/>
        <w:bidi w:val="0"/>
        <w:spacing w:before="0" w:after="200" w:line="464" w:lineRule="exact"/>
        <w:ind w:left="0" w:right="0" w:firstLine="440"/>
        <w:jc w:val="both"/>
      </w:pPr>
      <w:r>
        <w:rPr>
          <w:color w:val="000000"/>
          <w:spacing w:val="0"/>
          <w:w w:val="100"/>
          <w:position w:val="0"/>
        </w:rPr>
        <w:t>公司实行持续、稳定的利润分配政策，公司利润分配应重视对投资者的合理投资回报并兼顾公司的可 持续发展。在符合利润分配原则、保证公司正常经营和长远发展的前提下，公司应注重现金分红。</w:t>
      </w:r>
    </w:p>
    <w:p>
      <w:pPr>
        <w:pStyle w:val="Style47"/>
        <w:keepNext w:val="0"/>
        <w:keepLines w:val="0"/>
        <w:widowControl w:val="0"/>
        <w:shd w:val="clear" w:color="auto" w:fill="auto"/>
        <w:tabs>
          <w:tab w:pos="818" w:val="left"/>
        </w:tabs>
        <w:bidi w:val="0"/>
        <w:spacing w:before="0" w:after="0"/>
        <w:ind w:left="0" w:right="0" w:firstLine="440"/>
        <w:jc w:val="left"/>
      </w:pPr>
      <w:bookmarkStart w:id="330" w:name="bookmark330"/>
      <w:r>
        <w:rPr>
          <w:rFonts w:ascii="Times New Roman" w:eastAsia="Times New Roman" w:hAnsi="Times New Roman" w:cs="Times New Roman"/>
          <w:color w:val="000000"/>
          <w:spacing w:val="0"/>
          <w:w w:val="100"/>
          <w:position w:val="0"/>
        </w:rPr>
        <w:t>2</w:t>
      </w:r>
      <w:bookmarkEnd w:id="330"/>
      <w:r>
        <w:rPr>
          <w:color w:val="000000"/>
          <w:spacing w:val="0"/>
          <w:w w:val="100"/>
          <w:position w:val="0"/>
        </w:rPr>
        <w:t>、</w:t>
        <w:tab/>
        <w:t>利润分配的形式和比例</w:t>
      </w:r>
    </w:p>
    <w:p>
      <w:pPr>
        <w:pStyle w:val="Style47"/>
        <w:keepNext w:val="0"/>
        <w:keepLines w:val="0"/>
        <w:widowControl w:val="0"/>
        <w:shd w:val="clear" w:color="auto" w:fill="auto"/>
        <w:bidi w:val="0"/>
        <w:spacing w:before="0" w:after="200" w:line="464" w:lineRule="exact"/>
        <w:ind w:left="0" w:right="0" w:firstLine="440"/>
        <w:jc w:val="both"/>
      </w:pPr>
      <w:r>
        <w:rPr>
          <w:color w:val="000000"/>
          <w:spacing w:val="0"/>
          <w:w w:val="100"/>
          <w:position w:val="0"/>
        </w:rPr>
        <w:t>公司可以采取现金、股票或现金和股票相结合的方式分配股利，并优先考虑采取现金方式分配利润； 在满足购买原材料的资金需求、可预期的重大投资计划或重大现金支出的前提下，公司董事会可以根据公 司当期经营利润和现金流情况进行中期分红，具体方案须经公司董事会审议后提交公司股东大会批准。</w:t>
      </w:r>
    </w:p>
    <w:p>
      <w:pPr>
        <w:pStyle w:val="Style47"/>
        <w:keepNext w:val="0"/>
        <w:keepLines w:val="0"/>
        <w:widowControl w:val="0"/>
        <w:shd w:val="clear" w:color="auto" w:fill="auto"/>
        <w:tabs>
          <w:tab w:pos="818" w:val="left"/>
        </w:tabs>
        <w:bidi w:val="0"/>
        <w:spacing w:before="0" w:after="0"/>
        <w:ind w:left="0" w:right="0" w:firstLine="440"/>
        <w:jc w:val="left"/>
      </w:pPr>
      <w:bookmarkStart w:id="331" w:name="bookmark331"/>
      <w:r>
        <w:rPr>
          <w:rFonts w:ascii="Times New Roman" w:eastAsia="Times New Roman" w:hAnsi="Times New Roman" w:cs="Times New Roman"/>
          <w:color w:val="000000"/>
          <w:spacing w:val="0"/>
          <w:w w:val="100"/>
          <w:position w:val="0"/>
        </w:rPr>
        <w:t>3</w:t>
      </w:r>
      <w:bookmarkEnd w:id="331"/>
      <w:r>
        <w:rPr>
          <w:color w:val="000000"/>
          <w:spacing w:val="0"/>
          <w:w w:val="100"/>
          <w:position w:val="0"/>
        </w:rPr>
        <w:t>、</w:t>
        <w:tab/>
        <w:t>利润分配的具体政策</w:t>
      </w:r>
    </w:p>
    <w:p>
      <w:pPr>
        <w:pStyle w:val="Style47"/>
        <w:keepNext w:val="0"/>
        <w:keepLines w:val="0"/>
        <w:widowControl w:val="0"/>
        <w:shd w:val="clear" w:color="auto" w:fill="auto"/>
        <w:bidi w:val="0"/>
        <w:spacing w:before="0" w:after="0" w:line="464" w:lineRule="exact"/>
        <w:ind w:left="0" w:right="0" w:firstLine="440"/>
        <w:jc w:val="left"/>
      </w:pPr>
      <w:bookmarkStart w:id="332" w:name="bookmark332"/>
      <w:r>
        <w:rPr>
          <w:color w:val="000000"/>
          <w:spacing w:val="0"/>
          <w:w w:val="100"/>
          <w:position w:val="0"/>
        </w:rPr>
        <w:t>（</w:t>
      </w:r>
      <w:bookmarkEnd w:id="332"/>
      <w:r>
        <w:rPr>
          <w:rFonts w:ascii="Times New Roman" w:eastAsia="Times New Roman" w:hAnsi="Times New Roman" w:cs="Times New Roman"/>
          <w:color w:val="000000"/>
          <w:spacing w:val="0"/>
          <w:w w:val="100"/>
          <w:position w:val="0"/>
        </w:rPr>
        <w:t>1</w:t>
      </w:r>
      <w:r>
        <w:rPr>
          <w:color w:val="000000"/>
          <w:spacing w:val="0"/>
          <w:w w:val="100"/>
          <w:position w:val="0"/>
        </w:rPr>
        <w:t>）利润分配的具体条件</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公司在当年度盈利且累计未分配利润为正的情况下，采取现金方式分红；采用股票股利进行利润分配 的，应当具有公司成长性、每股净资产的摊薄等真实合理因素；公司董事会应当综合考虑所处行业特点、 发展阶段、自身经营模式、盈利水平以及是否有重大资金支出安排等因素，区分下列情形，并按照公司章 程规定的程序，提出差异化的现金分红政策：</w:t>
      </w:r>
    </w:p>
    <w:p>
      <w:pPr>
        <w:pStyle w:val="Style47"/>
        <w:keepNext w:val="0"/>
        <w:keepLines w:val="0"/>
        <w:widowControl w:val="0"/>
        <w:numPr>
          <w:ilvl w:val="0"/>
          <w:numId w:val="39"/>
        </w:numPr>
        <w:shd w:val="clear" w:color="auto" w:fill="auto"/>
        <w:tabs>
          <w:tab w:pos="781" w:val="left"/>
        </w:tabs>
        <w:bidi w:val="0"/>
        <w:spacing w:before="0" w:after="0" w:line="464" w:lineRule="exact"/>
        <w:ind w:left="0" w:right="0" w:firstLine="440"/>
        <w:jc w:val="both"/>
      </w:pPr>
      <w:bookmarkStart w:id="333" w:name="bookmark333"/>
      <w:bookmarkEnd w:id="333"/>
      <w:r>
        <w:rPr>
          <w:color w:val="000000"/>
          <w:spacing w:val="0"/>
          <w:w w:val="100"/>
          <w:position w:val="0"/>
        </w:rPr>
        <w:t>公司发展阶段属成熟期且无重大资金支出安排的，进行利润分配时，现金分红在本次利润分配中所 占比例最低应达到</w:t>
      </w:r>
      <w:r>
        <w:rPr>
          <w:rFonts w:ascii="Times New Roman" w:eastAsia="Times New Roman" w:hAnsi="Times New Roman" w:cs="Times New Roman"/>
          <w:color w:val="000000"/>
          <w:spacing w:val="0"/>
          <w:w w:val="100"/>
          <w:position w:val="0"/>
        </w:rPr>
        <w:t>80%</w:t>
      </w:r>
      <w:r>
        <w:rPr>
          <w:color w:val="000000"/>
          <w:spacing w:val="0"/>
          <w:w w:val="100"/>
          <w:position w:val="0"/>
        </w:rPr>
        <w:t>；</w:t>
      </w:r>
    </w:p>
    <w:p>
      <w:pPr>
        <w:pStyle w:val="Style47"/>
        <w:keepNext w:val="0"/>
        <w:keepLines w:val="0"/>
        <w:widowControl w:val="0"/>
        <w:numPr>
          <w:ilvl w:val="0"/>
          <w:numId w:val="39"/>
        </w:numPr>
        <w:shd w:val="clear" w:color="auto" w:fill="auto"/>
        <w:tabs>
          <w:tab w:pos="781" w:val="left"/>
        </w:tabs>
        <w:bidi w:val="0"/>
        <w:spacing w:before="0" w:after="0" w:line="464" w:lineRule="exact"/>
        <w:ind w:left="0" w:right="0" w:firstLine="440"/>
        <w:jc w:val="both"/>
      </w:pPr>
      <w:bookmarkStart w:id="334" w:name="bookmark334"/>
      <w:bookmarkEnd w:id="334"/>
      <w:r>
        <w:rPr>
          <w:color w:val="000000"/>
          <w:spacing w:val="0"/>
          <w:w w:val="100"/>
          <w:position w:val="0"/>
        </w:rPr>
        <w:t>公司发展阶段属成熟期且有重大资金支出安排的，进行利润分配时，现金分红在本次利润分配中所 占比例最低应达到</w:t>
      </w:r>
      <w:r>
        <w:rPr>
          <w:rFonts w:ascii="Times New Roman" w:eastAsia="Times New Roman" w:hAnsi="Times New Roman" w:cs="Times New Roman"/>
          <w:color w:val="000000"/>
          <w:spacing w:val="0"/>
          <w:w w:val="100"/>
          <w:position w:val="0"/>
        </w:rPr>
        <w:t>40%</w:t>
      </w:r>
      <w:r>
        <w:rPr>
          <w:color w:val="000000"/>
          <w:spacing w:val="0"/>
          <w:w w:val="100"/>
          <w:position w:val="0"/>
        </w:rPr>
        <w:t>；</w:t>
      </w:r>
    </w:p>
    <w:p>
      <w:pPr>
        <w:pStyle w:val="Style47"/>
        <w:keepNext w:val="0"/>
        <w:keepLines w:val="0"/>
        <w:widowControl w:val="0"/>
        <w:numPr>
          <w:ilvl w:val="0"/>
          <w:numId w:val="39"/>
        </w:numPr>
        <w:shd w:val="clear" w:color="auto" w:fill="auto"/>
        <w:tabs>
          <w:tab w:pos="781" w:val="left"/>
        </w:tabs>
        <w:bidi w:val="0"/>
        <w:spacing w:before="0" w:after="0" w:line="464" w:lineRule="exact"/>
        <w:ind w:left="0" w:right="0" w:firstLine="440"/>
        <w:jc w:val="both"/>
      </w:pPr>
      <w:bookmarkStart w:id="335" w:name="bookmark335"/>
      <w:bookmarkEnd w:id="335"/>
      <w:r>
        <w:rPr>
          <w:color w:val="000000"/>
          <w:spacing w:val="0"/>
          <w:w w:val="100"/>
          <w:position w:val="0"/>
        </w:rPr>
        <w:t>公司发展阶段属成长期且有重大资金支出安排的，进行利润分配时，现金分红在本次利润分配中所 占比例最低应达到</w:t>
      </w:r>
      <w:r>
        <w:rPr>
          <w:rFonts w:ascii="Times New Roman" w:eastAsia="Times New Roman" w:hAnsi="Times New Roman" w:cs="Times New Roman"/>
          <w:color w:val="000000"/>
          <w:spacing w:val="0"/>
          <w:w w:val="100"/>
          <w:position w:val="0"/>
        </w:rPr>
        <w:t>20%</w:t>
      </w:r>
      <w:r>
        <w:rPr>
          <w:color w:val="000000"/>
          <w:spacing w:val="0"/>
          <w:w w:val="100"/>
          <w:position w:val="0"/>
        </w:rPr>
        <w:t>。</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重大资金支出指公司未来十二个月内拟对外投资、收购资产或者购买设备等的累计支出达到或者超过 公司最近一期经审计净资产的百分之三十。</w:t>
      </w:r>
    </w:p>
    <w:p>
      <w:pPr>
        <w:pStyle w:val="Style47"/>
        <w:keepNext w:val="0"/>
        <w:keepLines w:val="0"/>
        <w:widowControl w:val="0"/>
        <w:shd w:val="clear" w:color="auto" w:fill="auto"/>
        <w:bidi w:val="0"/>
        <w:spacing w:before="0" w:after="0" w:line="464" w:lineRule="exact"/>
        <w:ind w:left="0" w:right="0" w:firstLine="440"/>
        <w:jc w:val="both"/>
      </w:pPr>
      <w:r>
        <w:rPr>
          <w:color w:val="000000"/>
          <w:spacing w:val="0"/>
          <w:w w:val="100"/>
          <w:position w:val="0"/>
        </w:rPr>
        <w:t>公司发展阶段不易区分但有重大资金支出安排的，按照前项规定处理。</w:t>
      </w:r>
    </w:p>
    <w:p>
      <w:pPr>
        <w:pStyle w:val="Style47"/>
        <w:keepNext w:val="0"/>
        <w:keepLines w:val="0"/>
        <w:widowControl w:val="0"/>
        <w:shd w:val="clear" w:color="auto" w:fill="auto"/>
        <w:bidi w:val="0"/>
        <w:spacing w:before="0" w:after="0" w:line="464" w:lineRule="exact"/>
        <w:ind w:left="0" w:right="0" w:firstLine="440"/>
        <w:jc w:val="both"/>
        <w:sectPr>
          <w:headerReference w:type="default" r:id="rId109"/>
          <w:footerReference w:type="default" r:id="rId110"/>
          <w:headerReference w:type="even" r:id="rId111"/>
          <w:footerReference w:type="even" r:id="rId112"/>
          <w:footnotePr>
            <w:pos w:val="pageBottom"/>
            <w:numFmt w:val="decimal"/>
            <w:numRestart w:val="continuous"/>
          </w:footnotePr>
          <w:type w:val="continuous"/>
          <w:pgSz w:w="11900" w:h="16840"/>
          <w:pgMar w:top="1321" w:right="33" w:bottom="1494" w:left="1095" w:header="0" w:footer="3" w:gutter="0"/>
          <w:cols w:space="720"/>
          <w:noEndnote/>
          <w:rtlGutter w:val="0"/>
          <w:docGrid w:linePitch="360"/>
        </w:sectPr>
      </w:pPr>
      <w:r>
        <w:rPr>
          <w:color w:val="000000"/>
          <w:spacing w:val="0"/>
          <w:w w:val="100"/>
          <w:position w:val="0"/>
        </w:rPr>
        <w:t xml:space="preserve">公司因特殊情况而不进行现金分红时，董事会应就不进行现金分红的具体原因、公司留存收益的确切 </w:t>
      </w:r>
    </w:p>
    <w:p>
      <w:pPr>
        <w:pStyle w:val="Style47"/>
        <w:keepNext w:val="0"/>
        <w:keepLines w:val="0"/>
        <w:widowControl w:val="0"/>
        <w:shd w:val="clear" w:color="auto" w:fill="auto"/>
        <w:bidi w:val="0"/>
        <w:spacing w:before="0" w:after="0" w:line="464" w:lineRule="exact"/>
        <w:ind w:left="0" w:right="0" w:firstLine="0"/>
        <w:jc w:val="both"/>
      </w:pPr>
      <w:r>
        <w:rPr>
          <w:color w:val="000000"/>
          <w:spacing w:val="0"/>
          <w:w w:val="100"/>
          <w:position w:val="0"/>
        </w:rPr>
        <w:t>用途等事项进行专项说明，独立董事还应当对此发表独立意见。</w:t>
      </w:r>
    </w:p>
    <w:p>
      <w:pPr>
        <w:pStyle w:val="Style47"/>
        <w:keepNext w:val="0"/>
        <w:keepLines w:val="0"/>
        <w:widowControl w:val="0"/>
        <w:shd w:val="clear" w:color="auto" w:fill="auto"/>
        <w:tabs>
          <w:tab w:pos="923" w:val="left"/>
        </w:tabs>
        <w:bidi w:val="0"/>
        <w:spacing w:before="0" w:after="0" w:line="468" w:lineRule="exact"/>
        <w:ind w:left="0" w:right="0" w:firstLine="440"/>
        <w:jc w:val="both"/>
      </w:pPr>
      <w:bookmarkStart w:id="336" w:name="bookmark336"/>
      <w:r>
        <w:rPr>
          <w:color w:val="000000"/>
          <w:spacing w:val="0"/>
          <w:w w:val="100"/>
          <w:position w:val="0"/>
        </w:rPr>
        <w:t>（</w:t>
      </w:r>
      <w:bookmarkEnd w:id="336"/>
      <w:r>
        <w:rPr>
          <w:rFonts w:ascii="Times New Roman" w:eastAsia="Times New Roman" w:hAnsi="Times New Roman" w:cs="Times New Roman"/>
          <w:color w:val="000000"/>
          <w:spacing w:val="0"/>
          <w:w w:val="100"/>
          <w:position w:val="0"/>
        </w:rPr>
        <w:t>2</w:t>
      </w:r>
      <w:r>
        <w:rPr>
          <w:color w:val="000000"/>
          <w:spacing w:val="0"/>
          <w:w w:val="100"/>
          <w:position w:val="0"/>
        </w:rPr>
        <w:t>）</w:t>
        <w:tab/>
        <w:t>现金分红条件</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公司采取现金方式分配股利，应符合下述条件：</w:t>
      </w:r>
    </w:p>
    <w:p>
      <w:pPr>
        <w:pStyle w:val="Style47"/>
        <w:keepNext w:val="0"/>
        <w:keepLines w:val="0"/>
        <w:widowControl w:val="0"/>
        <w:numPr>
          <w:ilvl w:val="0"/>
          <w:numId w:val="41"/>
        </w:numPr>
        <w:shd w:val="clear" w:color="auto" w:fill="auto"/>
        <w:tabs>
          <w:tab w:pos="810" w:val="left"/>
        </w:tabs>
        <w:bidi w:val="0"/>
        <w:spacing w:before="0" w:after="0" w:line="468" w:lineRule="exact"/>
        <w:ind w:left="0" w:right="0" w:firstLine="440"/>
        <w:jc w:val="both"/>
      </w:pPr>
      <w:bookmarkStart w:id="337" w:name="bookmark337"/>
      <w:bookmarkEnd w:id="337"/>
      <w:r>
        <w:rPr>
          <w:color w:val="000000"/>
          <w:spacing w:val="0"/>
          <w:w w:val="100"/>
          <w:position w:val="0"/>
        </w:rPr>
        <w:t>公司该年度或半年度实现的可分配利润（即公司弥补亏损、提取公积金后所余的税后利润）为正值、 且现金流充裕，实施现金分红不会影响公司后续持续经营；</w:t>
      </w:r>
    </w:p>
    <w:p>
      <w:pPr>
        <w:pStyle w:val="Style47"/>
        <w:keepNext w:val="0"/>
        <w:keepLines w:val="0"/>
        <w:widowControl w:val="0"/>
        <w:numPr>
          <w:ilvl w:val="0"/>
          <w:numId w:val="41"/>
        </w:numPr>
        <w:shd w:val="clear" w:color="auto" w:fill="auto"/>
        <w:tabs>
          <w:tab w:pos="837" w:val="left"/>
        </w:tabs>
        <w:bidi w:val="0"/>
        <w:spacing w:before="0" w:after="0" w:line="468" w:lineRule="exact"/>
        <w:ind w:left="0" w:right="0" w:firstLine="440"/>
        <w:jc w:val="both"/>
      </w:pPr>
      <w:bookmarkStart w:id="338" w:name="bookmark338"/>
      <w:bookmarkEnd w:id="338"/>
      <w:r>
        <w:rPr>
          <w:color w:val="000000"/>
          <w:spacing w:val="0"/>
          <w:w w:val="100"/>
          <w:position w:val="0"/>
        </w:rPr>
        <w:t>公司累计可供分配利润为正值；</w:t>
      </w:r>
    </w:p>
    <w:p>
      <w:pPr>
        <w:pStyle w:val="Style47"/>
        <w:keepNext w:val="0"/>
        <w:keepLines w:val="0"/>
        <w:widowControl w:val="0"/>
        <w:numPr>
          <w:ilvl w:val="0"/>
          <w:numId w:val="41"/>
        </w:numPr>
        <w:shd w:val="clear" w:color="auto" w:fill="auto"/>
        <w:tabs>
          <w:tab w:pos="837" w:val="left"/>
        </w:tabs>
        <w:bidi w:val="0"/>
        <w:spacing w:before="0" w:after="0" w:line="468" w:lineRule="exact"/>
        <w:ind w:left="0" w:right="0" w:firstLine="440"/>
        <w:jc w:val="both"/>
      </w:pPr>
      <w:bookmarkStart w:id="339" w:name="bookmark339"/>
      <w:bookmarkEnd w:id="339"/>
      <w:r>
        <w:rPr>
          <w:color w:val="000000"/>
          <w:spacing w:val="0"/>
          <w:w w:val="100"/>
          <w:position w:val="0"/>
        </w:rPr>
        <w:t>审计机构对公司的该年度财务报告出具标准无保留意见的审计报告；</w:t>
      </w:r>
    </w:p>
    <w:p>
      <w:pPr>
        <w:pStyle w:val="Style47"/>
        <w:keepNext w:val="0"/>
        <w:keepLines w:val="0"/>
        <w:widowControl w:val="0"/>
        <w:numPr>
          <w:ilvl w:val="0"/>
          <w:numId w:val="41"/>
        </w:numPr>
        <w:shd w:val="clear" w:color="auto" w:fill="auto"/>
        <w:tabs>
          <w:tab w:pos="837" w:val="left"/>
        </w:tabs>
        <w:bidi w:val="0"/>
        <w:spacing w:before="0" w:after="0" w:line="468" w:lineRule="exact"/>
        <w:ind w:left="0" w:right="0" w:firstLine="440"/>
        <w:jc w:val="both"/>
      </w:pPr>
      <w:bookmarkStart w:id="340" w:name="bookmark340"/>
      <w:bookmarkEnd w:id="340"/>
      <w:r>
        <w:rPr>
          <w:color w:val="000000"/>
          <w:spacing w:val="0"/>
          <w:w w:val="100"/>
          <w:position w:val="0"/>
        </w:rPr>
        <w:t>公司无重大投资计划或重大现金支出等事项发生（募集资金项目除外）。</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重大投资计划或重大现金支出是指公司未来十二个月内拟对外投资、收购资产或者购买设备的累计支 出达到或者超过公司最近一期经审计总资产的</w:t>
      </w:r>
      <w:r>
        <w:rPr>
          <w:rFonts w:ascii="Times New Roman" w:eastAsia="Times New Roman" w:hAnsi="Times New Roman" w:cs="Times New Roman"/>
          <w:color w:val="000000"/>
          <w:spacing w:val="0"/>
          <w:w w:val="100"/>
          <w:position w:val="0"/>
        </w:rPr>
        <w:t>30%</w:t>
      </w:r>
      <w:r>
        <w:rPr>
          <w:color w:val="000000"/>
          <w:spacing w:val="0"/>
          <w:w w:val="100"/>
          <w:position w:val="0"/>
        </w:rPr>
        <w:t>。</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上述现金分红条件中的第①</w:t>
      </w:r>
      <w:r>
        <w:rPr>
          <w:rFonts w:ascii="Times New Roman" w:eastAsia="Times New Roman" w:hAnsi="Times New Roman" w:cs="Times New Roman"/>
          <w:color w:val="000000"/>
          <w:spacing w:val="0"/>
          <w:w w:val="100"/>
          <w:position w:val="0"/>
        </w:rPr>
        <w:t>-</w:t>
      </w:r>
      <w:r>
        <w:rPr>
          <w:color w:val="000000"/>
          <w:spacing w:val="0"/>
          <w:w w:val="100"/>
          <w:position w:val="0"/>
        </w:rPr>
        <w:t>③项系公司实施现金分红条件的必备条件；经股东大会审议通过，上述现 金分红条件中的第④项应不影响公司实施现金分红。</w:t>
      </w:r>
    </w:p>
    <w:p>
      <w:pPr>
        <w:pStyle w:val="Style47"/>
        <w:keepNext w:val="0"/>
        <w:keepLines w:val="0"/>
        <w:widowControl w:val="0"/>
        <w:shd w:val="clear" w:color="auto" w:fill="auto"/>
        <w:tabs>
          <w:tab w:pos="923" w:val="left"/>
        </w:tabs>
        <w:bidi w:val="0"/>
        <w:spacing w:before="0" w:after="0" w:line="468" w:lineRule="exact"/>
        <w:ind w:left="0" w:right="0" w:firstLine="440"/>
        <w:jc w:val="both"/>
      </w:pPr>
      <w:bookmarkStart w:id="341" w:name="bookmark341"/>
      <w:r>
        <w:rPr>
          <w:color w:val="000000"/>
          <w:spacing w:val="0"/>
          <w:w w:val="100"/>
          <w:position w:val="0"/>
        </w:rPr>
        <w:t>（</w:t>
      </w:r>
      <w:bookmarkEnd w:id="341"/>
      <w:r>
        <w:rPr>
          <w:rFonts w:ascii="Times New Roman" w:eastAsia="Times New Roman" w:hAnsi="Times New Roman" w:cs="Times New Roman"/>
          <w:color w:val="000000"/>
          <w:spacing w:val="0"/>
          <w:w w:val="100"/>
          <w:position w:val="0"/>
        </w:rPr>
        <w:t>3</w:t>
      </w:r>
      <w:r>
        <w:rPr>
          <w:color w:val="000000"/>
          <w:spacing w:val="0"/>
          <w:w w:val="100"/>
          <w:position w:val="0"/>
        </w:rPr>
        <w:t>）</w:t>
        <w:tab/>
        <w:t>现金分红比例</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原则上公司按年度将可供分配的利润进行分配，必要时公司也可以进行中期利润分配。公司最近三年 以现金方式累计分配的利润不少于最近三年实现的年均可分配利润的</w:t>
      </w:r>
      <w:r>
        <w:rPr>
          <w:rFonts w:ascii="Times New Roman" w:eastAsia="Times New Roman" w:hAnsi="Times New Roman" w:cs="Times New Roman"/>
          <w:color w:val="000000"/>
          <w:spacing w:val="0"/>
          <w:w w:val="100"/>
          <w:position w:val="0"/>
        </w:rPr>
        <w:t>30%</w:t>
      </w:r>
      <w:r>
        <w:rPr>
          <w:color w:val="000000"/>
          <w:spacing w:val="0"/>
          <w:w w:val="100"/>
          <w:position w:val="0"/>
        </w:rPr>
        <w:t>。每年具体的现金分红比例预案 由董事会根据前述规定、结合公司经营状况及相关规定拟定，并提交股东大会表决。</w:t>
      </w:r>
    </w:p>
    <w:p>
      <w:pPr>
        <w:pStyle w:val="Style47"/>
        <w:keepNext w:val="0"/>
        <w:keepLines w:val="0"/>
        <w:widowControl w:val="0"/>
        <w:shd w:val="clear" w:color="auto" w:fill="auto"/>
        <w:tabs>
          <w:tab w:pos="923" w:val="left"/>
        </w:tabs>
        <w:bidi w:val="0"/>
        <w:spacing w:before="0" w:after="0" w:line="468" w:lineRule="exact"/>
        <w:ind w:left="0" w:right="0" w:firstLine="440"/>
        <w:jc w:val="both"/>
      </w:pPr>
      <w:bookmarkStart w:id="342" w:name="bookmark342"/>
      <w:r>
        <w:rPr>
          <w:color w:val="000000"/>
          <w:spacing w:val="0"/>
          <w:w w:val="100"/>
          <w:position w:val="0"/>
        </w:rPr>
        <w:t>（</w:t>
      </w:r>
      <w:bookmarkEnd w:id="342"/>
      <w:r>
        <w:rPr>
          <w:rFonts w:ascii="Times New Roman" w:eastAsia="Times New Roman" w:hAnsi="Times New Roman" w:cs="Times New Roman"/>
          <w:color w:val="000000"/>
          <w:spacing w:val="0"/>
          <w:w w:val="100"/>
          <w:position w:val="0"/>
        </w:rPr>
        <w:t>4</w:t>
      </w:r>
      <w:r>
        <w:rPr>
          <w:color w:val="000000"/>
          <w:spacing w:val="0"/>
          <w:w w:val="100"/>
          <w:position w:val="0"/>
        </w:rPr>
        <w:t>）</w:t>
        <w:tab/>
        <w:t>利润分配的期间间隔</w:t>
      </w:r>
    </w:p>
    <w:p>
      <w:pPr>
        <w:pStyle w:val="Style47"/>
        <w:keepNext w:val="0"/>
        <w:keepLines w:val="0"/>
        <w:widowControl w:val="0"/>
        <w:shd w:val="clear" w:color="auto" w:fill="auto"/>
        <w:bidi w:val="0"/>
        <w:spacing w:before="0" w:after="200" w:line="468" w:lineRule="exact"/>
        <w:ind w:left="0" w:right="0" w:firstLine="440"/>
        <w:jc w:val="left"/>
      </w:pPr>
      <w:r>
        <w:rPr>
          <w:color w:val="000000"/>
          <w:spacing w:val="0"/>
          <w:w w:val="100"/>
          <w:position w:val="0"/>
        </w:rPr>
        <w:t>每年度进行一次分红，在有条件的情况下，公司可以进行中期现金分红。</w:t>
      </w:r>
    </w:p>
    <w:p>
      <w:pPr>
        <w:pStyle w:val="Style47"/>
        <w:keepNext w:val="0"/>
        <w:keepLines w:val="0"/>
        <w:widowControl w:val="0"/>
        <w:shd w:val="clear" w:color="auto" w:fill="auto"/>
        <w:bidi w:val="0"/>
        <w:spacing w:before="0" w:after="0"/>
        <w:ind w:left="0" w:right="0" w:firstLine="440"/>
        <w:jc w:val="left"/>
      </w:pPr>
      <w:bookmarkStart w:id="343" w:name="bookmark343"/>
      <w:r>
        <w:rPr>
          <w:rFonts w:ascii="Times New Roman" w:eastAsia="Times New Roman" w:hAnsi="Times New Roman" w:cs="Times New Roman"/>
          <w:color w:val="000000"/>
          <w:spacing w:val="0"/>
          <w:w w:val="100"/>
          <w:position w:val="0"/>
        </w:rPr>
        <w:t>4</w:t>
      </w:r>
      <w:bookmarkEnd w:id="343"/>
      <w:r>
        <w:rPr>
          <w:color w:val="000000"/>
          <w:spacing w:val="0"/>
          <w:w w:val="100"/>
          <w:position w:val="0"/>
        </w:rPr>
        <w:t>、利润分配政策的决策程序：</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公司董事会拟定现金股利分配方案的，由股东大会经普通决议的方式表决通过；公司董事会拟定股票 股利分配方案的，由股东大会经特别决议的方式表决通过。公司监事会应当对董事会编制的股利分配方案 进行审核并提出书面审核意见。</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公司在制定现金分红具体方案时，董事会应当认真研究和论证公司现金分红的时机、条件和最低比例、 调整的条件及其决策程序要求等事宜，独立董事应当发表明确意见。</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独立董事可以征集中小股东的意见，提出分红提案，并直接提交董事会审议。</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股东大会对现金分红具体方案进行审议前，公司应当通过多种渠道主动与股东特别是中小股东进行沟 通和交流，充分听取中小股东的意见和诉求，及时答复中小股东关心的问题。</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公司在上一个会计年度实现盈利，但公司董事会在上一会计年度结束后未提出现金利润分配预案的， 应当在定期报告中详细说明未分红的原因、未用于分红的资金留存公司的用途，独立董事还应当对此发表 独立意见。</w:t>
      </w:r>
    </w:p>
    <w:p>
      <w:pPr>
        <w:pStyle w:val="Style47"/>
        <w:keepNext w:val="0"/>
        <w:keepLines w:val="0"/>
        <w:widowControl w:val="0"/>
        <w:shd w:val="clear" w:color="auto" w:fill="auto"/>
        <w:bidi w:val="0"/>
        <w:spacing w:before="0" w:after="180" w:line="469" w:lineRule="exact"/>
        <w:ind w:left="0" w:right="0" w:firstLine="440"/>
        <w:jc w:val="both"/>
      </w:pPr>
      <w:r>
        <w:rPr>
          <w:color w:val="000000"/>
          <w:spacing w:val="0"/>
          <w:w w:val="100"/>
          <w:position w:val="0"/>
        </w:rPr>
        <w:t>公司若当年不进行或低于本章程规定的现金分红比例进行利润分配的，公司董事会应当在定期报告中 披露原因，独立董事应当对此发表独立意见，有关利润分配的议案需经公司董事会审议后提交股东大会批 准，并在股东大会提案中详细论证说明原因及留存资金的具体用途，且公司需提供网络投票的方式，由股 东大会以特别决议的方式表决通过。</w:t>
      </w:r>
    </w:p>
    <w:p>
      <w:pPr>
        <w:pStyle w:val="Style47"/>
        <w:keepNext w:val="0"/>
        <w:keepLines w:val="0"/>
        <w:widowControl w:val="0"/>
        <w:shd w:val="clear" w:color="auto" w:fill="auto"/>
        <w:bidi w:val="0"/>
        <w:spacing w:before="0" w:after="0"/>
        <w:ind w:left="0" w:right="0" w:firstLine="440"/>
        <w:jc w:val="both"/>
      </w:pPr>
      <w:bookmarkStart w:id="344" w:name="bookmark344"/>
      <w:r>
        <w:rPr>
          <w:rFonts w:ascii="Times New Roman" w:eastAsia="Times New Roman" w:hAnsi="Times New Roman" w:cs="Times New Roman"/>
          <w:color w:val="000000"/>
          <w:spacing w:val="0"/>
          <w:w w:val="100"/>
          <w:position w:val="0"/>
        </w:rPr>
        <w:t>5</w:t>
      </w:r>
      <w:bookmarkEnd w:id="344"/>
      <w:r>
        <w:rPr>
          <w:color w:val="000000"/>
          <w:spacing w:val="0"/>
          <w:w w:val="100"/>
          <w:position w:val="0"/>
        </w:rPr>
        <w:t>、利润分配政策的调整机制</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公司根据生产经营情况、投资规划和长期发展的需要，需调整利润分配政策的，调整后的利润分配政 策应以股东权益保护为出发点，不得违反中国证监会和证券交易所的有关规定，独立董事应当对此发表独 立意见，有关调整利润分配政策的议案需经公司董事会审议后提交公司股东大会批准，并在股东大会提案 中详细论证和说明原因，且公司需提供网络投票的方式，由股东大会以特别决议的方式表决通过。</w:t>
      </w:r>
    </w:p>
    <w:p>
      <w:pPr>
        <w:pStyle w:val="Style47"/>
        <w:keepNext w:val="0"/>
        <w:keepLines w:val="0"/>
        <w:widowControl w:val="0"/>
        <w:shd w:val="clear" w:color="auto" w:fill="auto"/>
        <w:bidi w:val="0"/>
        <w:spacing w:before="0" w:after="0" w:line="469" w:lineRule="exact"/>
        <w:ind w:left="0" w:right="0" w:firstLine="440"/>
        <w:jc w:val="both"/>
      </w:pPr>
      <w:bookmarkStart w:id="345" w:name="bookmark345"/>
      <w:r>
        <w:rPr>
          <w:color w:val="000000"/>
          <w:spacing w:val="0"/>
          <w:w w:val="100"/>
          <w:position w:val="0"/>
        </w:rPr>
        <w:t>（</w:t>
      </w:r>
      <w:bookmarkEnd w:id="345"/>
      <w:r>
        <w:rPr>
          <w:color w:val="000000"/>
          <w:spacing w:val="0"/>
          <w:w w:val="100"/>
          <w:position w:val="0"/>
        </w:rPr>
        <w:t>二）未来分红回报规划</w:t>
      </w:r>
    </w:p>
    <w:p>
      <w:pPr>
        <w:pStyle w:val="Style47"/>
        <w:keepNext w:val="0"/>
        <w:keepLines w:val="0"/>
        <w:widowControl w:val="0"/>
        <w:shd w:val="clear" w:color="auto" w:fill="auto"/>
        <w:bidi w:val="0"/>
        <w:spacing w:before="0" w:after="180" w:line="469" w:lineRule="exact"/>
        <w:ind w:left="0" w:right="0" w:firstLine="440"/>
        <w:jc w:val="both"/>
      </w:pPr>
      <w:r>
        <w:rPr>
          <w:color w:val="000000"/>
          <w:spacing w:val="0"/>
          <w:w w:val="100"/>
          <w:position w:val="0"/>
        </w:rPr>
        <w:t>根据</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日召开的公司第三次董事会第十次会议、</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8</w:t>
      </w:r>
      <w:r>
        <w:rPr>
          <w:color w:val="000000"/>
          <w:spacing w:val="0"/>
          <w:w w:val="100"/>
          <w:position w:val="0"/>
        </w:rPr>
        <w:t>日召开的</w:t>
      </w:r>
      <w:r>
        <w:rPr>
          <w:rFonts w:ascii="Times New Roman" w:eastAsia="Times New Roman" w:hAnsi="Times New Roman" w:cs="Times New Roman"/>
          <w:color w:val="000000"/>
          <w:spacing w:val="0"/>
          <w:w w:val="100"/>
          <w:position w:val="0"/>
        </w:rPr>
        <w:t>2021</w:t>
      </w:r>
      <w:r>
        <w:rPr>
          <w:color w:val="000000"/>
          <w:spacing w:val="0"/>
          <w:w w:val="100"/>
          <w:position w:val="0"/>
        </w:rPr>
        <w:t>年第一次临时股东 大会审议通过的《公司未来三年</w:t>
      </w:r>
      <w:r>
        <w:rPr>
          <w:color w:val="000000"/>
          <w:spacing w:val="0"/>
          <w:w w:val="100"/>
          <w:position w:val="0"/>
        </w:rPr>
        <w:t>（</w:t>
      </w:r>
      <w:r>
        <w:rPr>
          <w:rFonts w:ascii="Times New Roman" w:eastAsia="Times New Roman" w:hAnsi="Times New Roman" w:cs="Times New Roman"/>
          <w:color w:val="000000"/>
          <w:spacing w:val="0"/>
          <w:w w:val="100"/>
          <w:position w:val="0"/>
        </w:rPr>
        <w:t>2020-2022</w:t>
      </w:r>
      <w:r>
        <w:rPr>
          <w:color w:val="000000"/>
          <w:spacing w:val="0"/>
          <w:w w:val="100"/>
          <w:position w:val="0"/>
        </w:rPr>
        <w:t>年）股东回报规划》，未来三年公司具体的股东回报规划如下:</w:t>
      </w:r>
    </w:p>
    <w:p>
      <w:pPr>
        <w:pStyle w:val="Style47"/>
        <w:keepNext w:val="0"/>
        <w:keepLines w:val="0"/>
        <w:widowControl w:val="0"/>
        <w:numPr>
          <w:ilvl w:val="0"/>
          <w:numId w:val="43"/>
        </w:numPr>
        <w:shd w:val="clear" w:color="auto" w:fill="auto"/>
        <w:tabs>
          <w:tab w:pos="750" w:val="left"/>
        </w:tabs>
        <w:bidi w:val="0"/>
        <w:spacing w:before="0" w:after="0"/>
        <w:ind w:left="0" w:right="0" w:firstLine="440"/>
        <w:jc w:val="left"/>
      </w:pPr>
      <w:bookmarkStart w:id="346" w:name="bookmark346"/>
      <w:bookmarkEnd w:id="346"/>
      <w:r>
        <w:rPr>
          <w:color w:val="000000"/>
          <w:spacing w:val="0"/>
          <w:w w:val="100"/>
          <w:position w:val="0"/>
        </w:rPr>
        <w:t>分配方式：未来三年，公司具备现金分红条件的，应当采用现金分红进行利润分配。</w:t>
      </w:r>
    </w:p>
    <w:p>
      <w:pPr>
        <w:pStyle w:val="Style47"/>
        <w:keepNext w:val="0"/>
        <w:keepLines w:val="0"/>
        <w:widowControl w:val="0"/>
        <w:shd w:val="clear" w:color="auto" w:fill="auto"/>
        <w:bidi w:val="0"/>
        <w:spacing w:before="0" w:after="0" w:line="469" w:lineRule="exact"/>
        <w:ind w:left="0" w:right="0" w:firstLine="440"/>
        <w:jc w:val="left"/>
      </w:pPr>
      <w:r>
        <w:rPr>
          <w:color w:val="000000"/>
          <w:spacing w:val="0"/>
          <w:w w:val="100"/>
          <w:position w:val="0"/>
        </w:rPr>
        <w:t>采用股票股利进行利润分配的，应当具有公司成长性、每股净资产的摊薄等真实合理因素。</w:t>
      </w:r>
    </w:p>
    <w:p>
      <w:pPr>
        <w:pStyle w:val="Style47"/>
        <w:keepNext w:val="0"/>
        <w:keepLines w:val="0"/>
        <w:widowControl w:val="0"/>
        <w:numPr>
          <w:ilvl w:val="0"/>
          <w:numId w:val="43"/>
        </w:numPr>
        <w:shd w:val="clear" w:color="auto" w:fill="auto"/>
        <w:tabs>
          <w:tab w:pos="738" w:val="left"/>
        </w:tabs>
        <w:bidi w:val="0"/>
        <w:spacing w:before="0" w:after="0" w:line="469" w:lineRule="exact"/>
        <w:ind w:left="0" w:right="0" w:firstLine="440"/>
        <w:jc w:val="both"/>
      </w:pPr>
      <w:bookmarkStart w:id="347" w:name="bookmark347"/>
      <w:bookmarkEnd w:id="347"/>
      <w:r>
        <w:rPr>
          <w:color w:val="000000"/>
          <w:spacing w:val="0"/>
          <w:w w:val="100"/>
          <w:position w:val="0"/>
        </w:rPr>
        <w:t>分配周期：未来三年</w:t>
      </w:r>
      <w:r>
        <w:rPr>
          <w:color w:val="000000"/>
          <w:spacing w:val="0"/>
          <w:w w:val="100"/>
          <w:position w:val="0"/>
        </w:rPr>
        <w:t>（</w:t>
      </w:r>
      <w:r>
        <w:rPr>
          <w:rFonts w:ascii="Times New Roman" w:eastAsia="Times New Roman" w:hAnsi="Times New Roman" w:cs="Times New Roman"/>
          <w:color w:val="000000"/>
          <w:spacing w:val="0"/>
          <w:w w:val="100"/>
          <w:position w:val="0"/>
        </w:rPr>
        <w:t>2020-2022</w:t>
      </w:r>
      <w:r>
        <w:rPr>
          <w:color w:val="000000"/>
          <w:spacing w:val="0"/>
          <w:w w:val="100"/>
          <w:position w:val="0"/>
        </w:rPr>
        <w:t>年）公司原则上以年度利润分配为主；如果经营情况良好，经济效 益保持快速稳定增长，也可以进行中期利润分配。</w:t>
      </w:r>
    </w:p>
    <w:p>
      <w:pPr>
        <w:pStyle w:val="Style47"/>
        <w:keepNext w:val="0"/>
        <w:keepLines w:val="0"/>
        <w:widowControl w:val="0"/>
        <w:numPr>
          <w:ilvl w:val="0"/>
          <w:numId w:val="43"/>
        </w:numPr>
        <w:shd w:val="clear" w:color="auto" w:fill="auto"/>
        <w:tabs>
          <w:tab w:pos="742" w:val="left"/>
        </w:tabs>
        <w:bidi w:val="0"/>
        <w:spacing w:before="0" w:after="120" w:line="469" w:lineRule="exact"/>
        <w:ind w:left="0" w:right="0" w:firstLine="440"/>
        <w:jc w:val="both"/>
      </w:pPr>
      <w:bookmarkStart w:id="348" w:name="bookmark348"/>
      <w:bookmarkEnd w:id="348"/>
      <w:r>
        <w:rPr>
          <w:color w:val="000000"/>
          <w:spacing w:val="0"/>
          <w:w w:val="100"/>
          <w:position w:val="0"/>
        </w:rPr>
        <w:t>分配比例：根据法律法规及公司章程的规定，在满足现金分红条件时，</w:t>
      </w:r>
      <w:r>
        <w:rPr>
          <w:rFonts w:ascii="Times New Roman" w:eastAsia="Times New Roman" w:hAnsi="Times New Roman" w:cs="Times New Roman"/>
          <w:color w:val="000000"/>
          <w:spacing w:val="0"/>
          <w:w w:val="100"/>
          <w:position w:val="0"/>
        </w:rPr>
        <w:t>2020-2022</w:t>
      </w:r>
      <w:r>
        <w:rPr>
          <w:color w:val="000000"/>
          <w:spacing w:val="0"/>
          <w:w w:val="100"/>
          <w:position w:val="0"/>
        </w:rPr>
        <w:t>年连续三年内以现 金方式累计分配的利润不少于该三年实现的年均可分配利润的</w:t>
      </w:r>
      <w:r>
        <w:rPr>
          <w:rFonts w:ascii="Times New Roman" w:eastAsia="Times New Roman" w:hAnsi="Times New Roman" w:cs="Times New Roman"/>
          <w:color w:val="000000"/>
          <w:spacing w:val="0"/>
          <w:w w:val="100"/>
          <w:position w:val="0"/>
        </w:rPr>
        <w:t>30%</w:t>
      </w:r>
      <w:r>
        <w:rPr>
          <w:color w:val="000000"/>
          <w:spacing w:val="0"/>
          <w:w w:val="100"/>
          <w:position w:val="0"/>
        </w:rPr>
        <w:t>。公司在实施上述现金分配股利的同时, 可以派发股票股利。为了回报股东，同时考虑募集资金投资项目建设及公司业务发展需要，公司在进行利 润分配时，现金分红在本次利润分配中所占比例最低应达到</w:t>
      </w:r>
      <w:r>
        <w:rPr>
          <w:rFonts w:ascii="Times New Roman" w:eastAsia="Times New Roman" w:hAnsi="Times New Roman" w:cs="Times New Roman"/>
          <w:color w:val="000000"/>
          <w:spacing w:val="0"/>
          <w:w w:val="100"/>
          <w:position w:val="0"/>
        </w:rPr>
        <w:t>20%</w:t>
      </w:r>
      <w:r>
        <w:rPr>
          <w:color w:val="000000"/>
          <w:spacing w:val="0"/>
          <w:w w:val="100"/>
          <w:position w:val="0"/>
        </w:rPr>
        <w:t>。</w:t>
      </w:r>
    </w:p>
    <w:tbl>
      <w:tblPr>
        <w:tblOverlap w:val="never"/>
        <w:jc w:val="left"/>
        <w:tblLayout w:type="fixed"/>
      </w:tblPr>
      <w:tblGrid>
        <w:gridCol w:w="4790"/>
        <w:gridCol w:w="4795"/>
      </w:tblGrid>
      <w:tr>
        <w:trPr>
          <w:trHeight w:val="408" w:hRule="exact"/>
        </w:trPr>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现金分红政策的专项说明</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是否符合公司章程的规定或股东大会决议的要求：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分红标准和比例是否明确和清晰：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相关的决策程序和机制是否完备：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独立董事是否履职尽责并发挥了应有的作用：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中小股东是否有充分表达意见和诉求的机会，其合法权益是 否得到了充分保护：</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rPr>
              <w:t>现金分红政策进行调整或变更的，条件及程序是否合规、透</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明：</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bl>
    <w:p>
      <w:pPr>
        <w:pStyle w:val="Style41"/>
        <w:keepNext w:val="0"/>
        <w:keepLines w:val="0"/>
        <w:widowControl w:val="0"/>
        <w:shd w:val="clear" w:color="auto" w:fill="auto"/>
        <w:bidi w:val="0"/>
        <w:spacing w:before="0" w:after="120" w:line="240" w:lineRule="auto"/>
        <w:ind w:left="0" w:right="0" w:firstLine="0"/>
        <w:jc w:val="left"/>
        <w:rPr>
          <w:sz w:val="18"/>
          <w:szCs w:val="18"/>
        </w:rPr>
      </w:pPr>
      <w:r>
        <w:rPr>
          <w:b w:val="0"/>
          <w:bCs w:val="0"/>
          <w:color w:val="000000"/>
          <w:spacing w:val="0"/>
          <w:w w:val="100"/>
          <w:position w:val="0"/>
          <w:sz w:val="18"/>
          <w:szCs w:val="18"/>
        </w:rPr>
        <w:t>公司报告期利润分配预案及资本公积金转增股本预案与公司章程和分红管理办法等的相关规定一致</w:t>
      </w:r>
    </w:p>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是</w:t>
      </w:r>
      <w:r>
        <w:rPr>
          <w:b w:val="0"/>
          <w:bCs w:val="0"/>
          <w:color w:val="000000"/>
          <w:spacing w:val="0"/>
          <w:w w:val="100"/>
          <w:position w:val="0"/>
          <w:sz w:val="18"/>
          <w:szCs w:val="18"/>
        </w:rPr>
        <w:t>口</w:t>
      </w:r>
      <w:r>
        <w:rPr>
          <w:b w:val="0"/>
          <w:bCs w:val="0"/>
          <w:color w:val="000000"/>
          <w:spacing w:val="0"/>
          <w:w w:val="100"/>
          <w:position w:val="0"/>
          <w:sz w:val="18"/>
          <w:szCs w:val="18"/>
        </w:rPr>
        <w:t>否</w:t>
      </w:r>
      <w:r>
        <w:rPr>
          <w:b w:val="0"/>
          <w:bCs w:val="0"/>
          <w:color w:val="000000"/>
          <w:spacing w:val="0"/>
          <w:w w:val="100"/>
          <w:position w:val="0"/>
          <w:sz w:val="18"/>
          <w:szCs w:val="18"/>
        </w:rPr>
        <w:t>口</w:t>
      </w:r>
      <w:r>
        <w:rPr>
          <w:b w:val="0"/>
          <w:bCs w:val="0"/>
          <w:color w:val="000000"/>
          <w:spacing w:val="0"/>
          <w:w w:val="100"/>
          <w:position w:val="0"/>
          <w:sz w:val="18"/>
          <w:szCs w:val="18"/>
        </w:rPr>
        <w:t>不适用</w:t>
      </w:r>
    </w:p>
    <w:p>
      <w:pPr>
        <w:widowControl w:val="0"/>
        <w:spacing w:after="179" w:line="1" w:lineRule="exact"/>
      </w:pPr>
    </w:p>
    <w:p>
      <w:pPr>
        <w:pStyle w:val="Style35"/>
        <w:keepNext w:val="0"/>
        <w:keepLines w:val="0"/>
        <w:widowControl w:val="0"/>
        <w:shd w:val="clear" w:color="auto" w:fill="auto"/>
        <w:bidi w:val="0"/>
        <w:spacing w:before="0" w:after="160" w:line="240" w:lineRule="auto"/>
        <w:ind w:left="0" w:right="0" w:firstLine="0"/>
        <w:jc w:val="left"/>
        <w:sectPr>
          <w:headerReference w:type="default" r:id="rId113"/>
          <w:footerReference w:type="default" r:id="rId114"/>
          <w:headerReference w:type="even" r:id="rId115"/>
          <w:footerReference w:type="even" r:id="rId116"/>
          <w:footnotePr>
            <w:pos w:val="pageBottom"/>
            <w:numFmt w:val="decimal"/>
            <w:numRestart w:val="continuous"/>
          </w:footnotePr>
          <w:type w:val="continuous"/>
          <w:pgSz w:w="11900" w:h="16840"/>
          <w:pgMar w:top="1321" w:right="33" w:bottom="1494" w:left="1095" w:header="0" w:footer="3" w:gutter="0"/>
          <w:cols w:space="720"/>
          <w:noEndnote/>
          <w:rtlGutter w:val="0"/>
          <w:docGrid w:linePitch="360"/>
        </w:sectPr>
      </w:pPr>
      <w:r>
        <w:rPr>
          <w:color w:val="000000"/>
          <w:spacing w:val="0"/>
          <w:w w:val="100"/>
          <w:position w:val="0"/>
        </w:rPr>
        <w:t>公司报告期利润分配预案及资本公积金转增股本预案符合公司章程等的相关规定。</w:t>
      </w:r>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本年度利润分配及资本公积金转增股本情况</w:t>
      </w:r>
    </w:p>
    <w:tbl>
      <w:tblPr>
        <w:tblOverlap w:val="never"/>
        <w:jc w:val="left"/>
        <w:tblLayout w:type="fixed"/>
      </w:tblPr>
      <w:tblGrid>
        <w:gridCol w:w="3725"/>
        <w:gridCol w:w="5861"/>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股送红股数（股）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股派息数（元）（含税）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股转增数（股）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分配预案的股本基数（股）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180,000,000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现金分红金额（元）（含税）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以其他方式（如回购股份）现金分红金额（元）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现金分红总额（含其他方式）（元）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可分配利润（元）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19,929,903.68</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现金分红总额（含其他方式）占利润分配总额 的比例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403" w:hRule="exact"/>
        </w:trPr>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本次现金分红情况</w:t>
            </w:r>
          </w:p>
        </w:tc>
      </w:tr>
      <w:tr>
        <w:trPr>
          <w:trHeight w:val="710"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公司发展阶段属成长期且有重大资金支出安排的，进行利润分配时，现金分红在本次利润分配中所占比例最低应达到</w:t>
            </w:r>
            <w:r>
              <w:rPr>
                <w:rFonts w:ascii="Times New Roman" w:eastAsia="Times New Roman" w:hAnsi="Times New Roman" w:cs="Times New Roman"/>
                <w:color w:val="000000"/>
                <w:spacing w:val="0"/>
                <w:w w:val="100"/>
                <w:position w:val="0"/>
                <w:sz w:val="18"/>
                <w:szCs w:val="18"/>
              </w:rPr>
              <w:t>20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403" w:hRule="exact"/>
        </w:trPr>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利润分配或资本公积金转增预案的详细情况说明</w:t>
            </w:r>
          </w:p>
        </w:tc>
      </w:tr>
      <w:tr>
        <w:trPr>
          <w:trHeight w:val="720" w:hRule="exact"/>
        </w:trPr>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80"/>
              <w:jc w:val="left"/>
              <w:rPr>
                <w:sz w:val="18"/>
                <w:szCs w:val="18"/>
              </w:rPr>
            </w:pPr>
            <w:r>
              <w:rPr>
                <w:color w:val="000000"/>
                <w:spacing w:val="0"/>
                <w:w w:val="100"/>
                <w:position w:val="0"/>
                <w:sz w:val="18"/>
                <w:szCs w:val="18"/>
              </w:rPr>
              <w:t>以公司股份总数</w:t>
            </w: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亿股为基数，向全体股东按每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股派发现金股利人民币</w:t>
            </w:r>
            <w:r>
              <w:rPr>
                <w:rFonts w:ascii="Times New Roman" w:eastAsia="Times New Roman" w:hAnsi="Times New Roman" w:cs="Times New Roman"/>
                <w:color w:val="000000"/>
                <w:spacing w:val="0"/>
                <w:w w:val="100"/>
                <w:position w:val="0"/>
                <w:sz w:val="18"/>
                <w:szCs w:val="18"/>
              </w:rPr>
              <w:t>0.50</w:t>
            </w:r>
            <w:r>
              <w:rPr>
                <w:color w:val="000000"/>
                <w:spacing w:val="0"/>
                <w:w w:val="100"/>
                <w:position w:val="0"/>
                <w:sz w:val="18"/>
                <w:szCs w:val="18"/>
              </w:rPr>
              <w:t>元（含税），合计派发现金股利为人 民币</w:t>
            </w:r>
            <w:r>
              <w:rPr>
                <w:rFonts w:ascii="Times New Roman" w:eastAsia="Times New Roman" w:hAnsi="Times New Roman" w:cs="Times New Roman"/>
                <w:color w:val="000000"/>
                <w:spacing w:val="0"/>
                <w:w w:val="100"/>
                <w:position w:val="0"/>
                <w:sz w:val="18"/>
                <w:szCs w:val="18"/>
              </w:rPr>
              <w:t>900</w:t>
            </w:r>
            <w:r>
              <w:rPr>
                <w:color w:val="000000"/>
                <w:spacing w:val="0"/>
                <w:w w:val="100"/>
                <w:position w:val="0"/>
                <w:sz w:val="18"/>
                <w:szCs w:val="18"/>
              </w:rPr>
              <w:t>万元（含税）。本次不进行资本公积转增股本，不送红股。</w:t>
            </w:r>
          </w:p>
        </w:tc>
      </w:tr>
    </w:tbl>
    <w:p>
      <w:pPr>
        <w:pStyle w:val="Style41"/>
        <w:keepNext w:val="0"/>
        <w:keepLines w:val="0"/>
        <w:widowControl w:val="0"/>
        <w:shd w:val="clear" w:color="auto" w:fill="auto"/>
        <w:bidi w:val="0"/>
        <w:spacing w:before="0" w:after="0" w:line="240" w:lineRule="auto"/>
        <w:ind w:left="0" w:right="0" w:firstLine="0"/>
        <w:jc w:val="center"/>
        <w:rPr>
          <w:sz w:val="18"/>
          <w:szCs w:val="18"/>
        </w:rPr>
      </w:pPr>
      <w:r>
        <w:rPr>
          <w:b w:val="0"/>
          <w:bCs w:val="0"/>
          <w:color w:val="000000"/>
          <w:spacing w:val="0"/>
          <w:w w:val="100"/>
          <w:position w:val="0"/>
          <w:sz w:val="18"/>
          <w:szCs w:val="18"/>
        </w:rPr>
        <w:t>公司近</w:t>
      </w:r>
      <w:r>
        <w:rPr>
          <w:rFonts w:ascii="Times New Roman" w:eastAsia="Times New Roman" w:hAnsi="Times New Roman" w:cs="Times New Roman"/>
          <w:b w:val="0"/>
          <w:bCs w:val="0"/>
          <w:color w:val="000000"/>
          <w:spacing w:val="0"/>
          <w:w w:val="100"/>
          <w:position w:val="0"/>
          <w:sz w:val="18"/>
          <w:szCs w:val="18"/>
        </w:rPr>
        <w:t>3</w:t>
      </w:r>
      <w:r>
        <w:rPr>
          <w:b w:val="0"/>
          <w:bCs w:val="0"/>
          <w:color w:val="000000"/>
          <w:spacing w:val="0"/>
          <w:w w:val="100"/>
          <w:position w:val="0"/>
          <w:sz w:val="18"/>
          <w:szCs w:val="18"/>
        </w:rPr>
        <w:t>年（包括本报告期）的普通股股利分配方案（预案）、资本公积金转增股本方案（预案）情况</w:t>
      </w:r>
    </w:p>
    <w:p>
      <w:pPr>
        <w:pStyle w:val="Style47"/>
        <w:keepNext w:val="0"/>
        <w:keepLines w:val="0"/>
        <w:widowControl w:val="0"/>
        <w:shd w:val="clear" w:color="auto" w:fill="auto"/>
        <w:bidi w:val="0"/>
        <w:spacing w:before="0" w:after="0" w:line="468" w:lineRule="exact"/>
        <w:ind w:left="0" w:right="0" w:firstLine="440"/>
        <w:jc w:val="left"/>
      </w:pPr>
      <w:r>
        <w:rPr>
          <w:rFonts w:ascii="Times New Roman" w:eastAsia="Times New Roman" w:hAnsi="Times New Roman" w:cs="Times New Roman"/>
          <w:color w:val="000000"/>
          <w:spacing w:val="0"/>
          <w:w w:val="100"/>
          <w:position w:val="0"/>
        </w:rPr>
        <w:t>2018</w:t>
      </w:r>
      <w:r>
        <w:rPr>
          <w:color w:val="000000"/>
          <w:spacing w:val="0"/>
          <w:w w:val="100"/>
          <w:position w:val="0"/>
        </w:rPr>
        <w:t>年度，以公司股份总数</w:t>
      </w:r>
      <w:r>
        <w:rPr>
          <w:rFonts w:ascii="Times New Roman" w:eastAsia="Times New Roman" w:hAnsi="Times New Roman" w:cs="Times New Roman"/>
          <w:color w:val="000000"/>
          <w:spacing w:val="0"/>
          <w:w w:val="100"/>
          <w:position w:val="0"/>
        </w:rPr>
        <w:t>1.8</w:t>
      </w:r>
      <w:r>
        <w:rPr>
          <w:color w:val="000000"/>
          <w:spacing w:val="0"/>
          <w:w w:val="100"/>
          <w:position w:val="0"/>
        </w:rPr>
        <w:t>亿股为基数，向全体股东按每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股派发现金股利人民币</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.50</w:t>
      </w:r>
      <w:r>
        <w:rPr>
          <w:color w:val="000000"/>
          <w:spacing w:val="0"/>
          <w:w w:val="100"/>
          <w:position w:val="0"/>
        </w:rPr>
        <w:t>元（含税）， 合计派发现金股利为人民币</w:t>
      </w:r>
      <w:r>
        <w:rPr>
          <w:rFonts w:ascii="Times New Roman" w:eastAsia="Times New Roman" w:hAnsi="Times New Roman" w:cs="Times New Roman"/>
          <w:color w:val="000000"/>
          <w:spacing w:val="0"/>
          <w:w w:val="100"/>
          <w:position w:val="0"/>
        </w:rPr>
        <w:t>900</w:t>
      </w:r>
      <w:r>
        <w:rPr>
          <w:color w:val="000000"/>
          <w:spacing w:val="0"/>
          <w:w w:val="100"/>
          <w:position w:val="0"/>
        </w:rPr>
        <w:t>万元（含税）。不进行资本公积转增股本，不送红股。</w:t>
      </w:r>
    </w:p>
    <w:p>
      <w:pPr>
        <w:pStyle w:val="Style47"/>
        <w:keepNext w:val="0"/>
        <w:keepLines w:val="0"/>
        <w:widowControl w:val="0"/>
        <w:shd w:val="clear" w:color="auto" w:fill="auto"/>
        <w:bidi w:val="0"/>
        <w:spacing w:before="0" w:after="0" w:line="468" w:lineRule="exact"/>
        <w:ind w:left="0" w:right="0" w:firstLine="440"/>
        <w:jc w:val="left"/>
      </w:pPr>
      <w:r>
        <w:rPr>
          <w:rFonts w:ascii="Times New Roman" w:eastAsia="Times New Roman" w:hAnsi="Times New Roman" w:cs="Times New Roman"/>
          <w:color w:val="000000"/>
          <w:spacing w:val="0"/>
          <w:w w:val="100"/>
          <w:position w:val="0"/>
        </w:rPr>
        <w:t>2019</w:t>
      </w:r>
      <w:r>
        <w:rPr>
          <w:color w:val="000000"/>
          <w:spacing w:val="0"/>
          <w:w w:val="100"/>
          <w:position w:val="0"/>
        </w:rPr>
        <w:t>年度，以公司股份总数</w:t>
      </w:r>
      <w:r>
        <w:rPr>
          <w:rFonts w:ascii="Times New Roman" w:eastAsia="Times New Roman" w:hAnsi="Times New Roman" w:cs="Times New Roman"/>
          <w:color w:val="000000"/>
          <w:spacing w:val="0"/>
          <w:w w:val="100"/>
          <w:position w:val="0"/>
        </w:rPr>
        <w:t>1.8</w:t>
      </w:r>
      <w:r>
        <w:rPr>
          <w:color w:val="000000"/>
          <w:spacing w:val="0"/>
          <w:w w:val="100"/>
          <w:position w:val="0"/>
        </w:rPr>
        <w:t>亿股为基数，向全体股东按每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股派发现金股利人民币</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.50</w:t>
      </w:r>
      <w:r>
        <w:rPr>
          <w:color w:val="000000"/>
          <w:spacing w:val="0"/>
          <w:w w:val="100"/>
          <w:position w:val="0"/>
        </w:rPr>
        <w:t>元（含税）， 合计派发现金股利为人民币</w:t>
      </w:r>
      <w:r>
        <w:rPr>
          <w:rFonts w:ascii="Times New Roman" w:eastAsia="Times New Roman" w:hAnsi="Times New Roman" w:cs="Times New Roman"/>
          <w:color w:val="000000"/>
          <w:spacing w:val="0"/>
          <w:w w:val="100"/>
          <w:position w:val="0"/>
        </w:rPr>
        <w:t>900</w:t>
      </w:r>
      <w:r>
        <w:rPr>
          <w:color w:val="000000"/>
          <w:spacing w:val="0"/>
          <w:w w:val="100"/>
          <w:position w:val="0"/>
        </w:rPr>
        <w:t>万元（含税）。不进行资本公积转增股本，不送红股。</w:t>
      </w:r>
    </w:p>
    <w:p>
      <w:pPr>
        <w:pStyle w:val="Style47"/>
        <w:keepNext w:val="0"/>
        <w:keepLines w:val="0"/>
        <w:widowControl w:val="0"/>
        <w:shd w:val="clear" w:color="auto" w:fill="auto"/>
        <w:bidi w:val="0"/>
        <w:spacing w:before="0" w:after="200" w:line="468" w:lineRule="exact"/>
        <w:ind w:left="0" w:right="0" w:firstLine="440"/>
        <w:jc w:val="left"/>
      </w:pPr>
      <w:r>
        <w:rPr>
          <w:rFonts w:ascii="Times New Roman" w:eastAsia="Times New Roman" w:hAnsi="Times New Roman" w:cs="Times New Roman"/>
          <w:color w:val="000000"/>
          <w:spacing w:val="0"/>
          <w:w w:val="100"/>
          <w:position w:val="0"/>
        </w:rPr>
        <w:t>2020</w:t>
      </w:r>
      <w:r>
        <w:rPr>
          <w:color w:val="000000"/>
          <w:spacing w:val="0"/>
          <w:w w:val="100"/>
          <w:position w:val="0"/>
        </w:rPr>
        <w:t>年度，拟以公司股份总数</w:t>
      </w:r>
      <w:r>
        <w:rPr>
          <w:rFonts w:ascii="Times New Roman" w:eastAsia="Times New Roman" w:hAnsi="Times New Roman" w:cs="Times New Roman"/>
          <w:color w:val="000000"/>
          <w:spacing w:val="0"/>
          <w:w w:val="100"/>
          <w:position w:val="0"/>
        </w:rPr>
        <w:t>1.8</w:t>
      </w:r>
      <w:r>
        <w:rPr>
          <w:color w:val="000000"/>
          <w:spacing w:val="0"/>
          <w:w w:val="100"/>
          <w:position w:val="0"/>
        </w:rPr>
        <w:t>亿股为基数，向全体股东按每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股派发现金股利人民币</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rPr>
        <w:t>.50</w:t>
      </w:r>
      <w:r>
        <w:rPr>
          <w:color w:val="000000"/>
          <w:spacing w:val="0"/>
          <w:w w:val="100"/>
          <w:position w:val="0"/>
        </w:rPr>
        <w:t>元（含税）， 合计派发现金股利为人民币</w:t>
      </w:r>
      <w:r>
        <w:rPr>
          <w:rFonts w:ascii="Times New Roman" w:eastAsia="Times New Roman" w:hAnsi="Times New Roman" w:cs="Times New Roman"/>
          <w:color w:val="000000"/>
          <w:spacing w:val="0"/>
          <w:w w:val="100"/>
          <w:position w:val="0"/>
        </w:rPr>
        <w:t>900</w:t>
      </w:r>
      <w:r>
        <w:rPr>
          <w:color w:val="000000"/>
          <w:spacing w:val="0"/>
          <w:w w:val="100"/>
          <w:position w:val="0"/>
        </w:rPr>
        <w:t>万元（含税）。本次不进行资本公积转增股本，不送红股。董事会审议利 润分配预案后股本发生变动的，将按照分配总额不变的原则对分配比例进行调整。本利润分配方案尚需提 交本公司</w:t>
      </w:r>
      <w:r>
        <w:rPr>
          <w:rFonts w:ascii="Times New Roman" w:eastAsia="Times New Roman" w:hAnsi="Times New Roman" w:cs="Times New Roman"/>
          <w:color w:val="000000"/>
          <w:spacing w:val="0"/>
          <w:w w:val="100"/>
          <w:position w:val="0"/>
        </w:rPr>
        <w:t>2020</w:t>
      </w:r>
      <w:r>
        <w:rPr>
          <w:color w:val="000000"/>
          <w:spacing w:val="0"/>
          <w:w w:val="100"/>
          <w:position w:val="0"/>
        </w:rPr>
        <w:t>年度股东大会审议批准。</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公司近三年（包括本报告期）普通股现金分红情况表</w:t>
      </w:r>
    </w:p>
    <w:p>
      <w:pPr>
        <w:pStyle w:val="Style35"/>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1205"/>
        <w:gridCol w:w="1195"/>
        <w:gridCol w:w="1195"/>
        <w:gridCol w:w="1195"/>
        <w:gridCol w:w="1200"/>
        <w:gridCol w:w="1195"/>
        <w:gridCol w:w="1195"/>
        <w:gridCol w:w="1205"/>
      </w:tblGrid>
      <w:tr>
        <w:trPr>
          <w:trHeight w:val="229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分红年度</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现金分红金额</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（含税）</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分红年度合并 报表中归属于 上市公司普通 股股东的净利 润</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现金分红金额 占合并报表中 归属于上市公 司普通股股东 的净利润的比 率</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以其他方式</w:t>
            </w:r>
          </w:p>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（如回购股 份）现金分红 的金额</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以其他方式现 金分红金额占 合并报表中归 属于上市公司 普通股股东的 净利润的比例</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center"/>
              <w:rPr>
                <w:sz w:val="18"/>
                <w:szCs w:val="18"/>
              </w:rPr>
            </w:pPr>
            <w:r>
              <w:rPr>
                <w:color w:val="000000"/>
                <w:spacing w:val="0"/>
                <w:w w:val="100"/>
                <w:position w:val="0"/>
                <w:sz w:val="18"/>
                <w:szCs w:val="18"/>
              </w:rPr>
              <w:t>现金分红总额</w:t>
            </w:r>
          </w:p>
          <w:p>
            <w:pPr>
              <w:pStyle w:val="Style2"/>
              <w:keepNext w:val="0"/>
              <w:keepLines w:val="0"/>
              <w:widowControl w:val="0"/>
              <w:shd w:val="clear" w:color="auto" w:fill="auto"/>
              <w:bidi w:val="0"/>
              <w:spacing w:before="0" w:after="0" w:line="302" w:lineRule="exact"/>
              <w:ind w:left="0" w:right="0" w:firstLine="0"/>
              <w:jc w:val="center"/>
              <w:rPr>
                <w:sz w:val="18"/>
                <w:szCs w:val="18"/>
              </w:rPr>
            </w:pPr>
            <w:r>
              <w:rPr>
                <w:color w:val="000000"/>
                <w:spacing w:val="0"/>
                <w:w w:val="100"/>
                <w:position w:val="0"/>
                <w:sz w:val="18"/>
                <w:szCs w:val="18"/>
              </w:rPr>
              <w:t>（含其他方 式）</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现金分红总额</w:t>
            </w:r>
          </w:p>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（含其他方 式）占合并报 表中归属于上 市公司普通股 股东的净利润 的比率</w:t>
            </w:r>
          </w:p>
        </w:tc>
      </w:tr>
    </w:tbl>
    <w:p>
      <w:pPr>
        <w:spacing w:lineRule="exact" w:line="1"/>
        <w:rPr>
          <w:sz w:val="2"/>
          <w:szCs w:val="2"/>
        </w:rPr>
      </w:pPr>
      <w:r>
        <w:br w:type="page"/>
      </w:r>
    </w:p>
    <w:tbl>
      <w:tblPr>
        <w:tblOverlap w:val="never"/>
        <w:jc w:val="left"/>
        <w:tblLayout w:type="fixed"/>
      </w:tblPr>
      <w:tblGrid>
        <w:gridCol w:w="1205"/>
        <w:gridCol w:w="1195"/>
        <w:gridCol w:w="1195"/>
        <w:gridCol w:w="1195"/>
        <w:gridCol w:w="1200"/>
        <w:gridCol w:w="1195"/>
        <w:gridCol w:w="1195"/>
        <w:gridCol w:w="120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32,560,017.49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27.64%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35,288,967.18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25.50%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25.50%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sz w:val="18"/>
                <w:szCs w:val="18"/>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46,807,199.75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19.23%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19.23%</w:t>
            </w:r>
          </w:p>
        </w:tc>
      </w:tr>
    </w:tbl>
    <w:p>
      <w:pPr>
        <w:pStyle w:val="Style35"/>
        <w:keepNext w:val="0"/>
        <w:keepLines w:val="0"/>
        <w:widowControl w:val="0"/>
        <w:shd w:val="clear" w:color="auto" w:fill="auto"/>
        <w:bidi w:val="0"/>
        <w:spacing w:before="0" w:after="0" w:line="346" w:lineRule="exact"/>
        <w:ind w:left="0" w:right="0" w:firstLine="0"/>
        <w:jc w:val="left"/>
        <w:sectPr>
          <w:headerReference w:type="default" r:id="rId117"/>
          <w:footerReference w:type="default" r:id="rId118"/>
          <w:headerReference w:type="even" r:id="rId119"/>
          <w:footerReference w:type="even" r:id="rId120"/>
          <w:headerReference w:type="first" r:id="rId121"/>
          <w:footerReference w:type="first" r:id="rId122"/>
          <w:footnotePr>
            <w:pos w:val="pageBottom"/>
            <w:numFmt w:val="decimal"/>
            <w:numRestart w:val="continuous"/>
          </w:footnotePr>
          <w:pgSz w:w="11900" w:h="16840"/>
          <w:pgMar w:top="1321" w:right="33" w:bottom="1494" w:left="1095" w:header="0" w:footer="3" w:gutter="0"/>
          <w:cols w:space="720"/>
          <w:noEndnote/>
          <w:titlePg/>
          <w:rtlGutter w:val="0"/>
          <w:docGrid w:linePitch="360"/>
        </w:sectPr>
      </w:pPr>
      <w:r>
        <w:rPr>
          <w:color w:val="000000"/>
          <w:spacing w:val="0"/>
          <w:w w:val="100"/>
          <w:position w:val="0"/>
        </w:rPr>
        <w:t xml:space="preserve">公司报告期内盈利且母公司可供普通股股东分配利润为正但未提出普通股现金红利分配预案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33"/>
        <w:keepNext/>
        <w:keepLines/>
        <w:widowControl w:val="0"/>
        <w:shd w:val="clear" w:color="auto" w:fill="auto"/>
        <w:bidi w:val="0"/>
        <w:spacing w:before="0" w:after="320" w:line="240" w:lineRule="auto"/>
        <w:ind w:left="0" w:right="0" w:firstLine="0"/>
        <w:jc w:val="left"/>
      </w:pPr>
      <w:bookmarkStart w:id="349" w:name="bookmark349"/>
      <w:bookmarkStart w:id="350" w:name="bookmark350"/>
      <w:bookmarkStart w:id="351" w:name="bookmark351"/>
      <w:bookmarkStart w:id="352" w:name="bookmark352"/>
      <w:r>
        <w:rPr>
          <w:color w:val="000000"/>
          <w:spacing w:val="0"/>
          <w:w w:val="100"/>
          <w:position w:val="0"/>
          <w:sz w:val="24"/>
          <w:szCs w:val="24"/>
        </w:rPr>
        <w:t>二</w:t>
      </w:r>
      <w:bookmarkEnd w:id="351"/>
      <w:r>
        <w:rPr>
          <w:color w:val="000000"/>
          <w:spacing w:val="0"/>
          <w:w w:val="100"/>
          <w:position w:val="0"/>
          <w:sz w:val="24"/>
          <w:szCs w:val="24"/>
        </w:rPr>
        <w:t>、承诺事项履行情况</w:t>
      </w:r>
      <w:bookmarkEnd w:id="349"/>
      <w:bookmarkEnd w:id="350"/>
      <w:bookmarkEnd w:id="352"/>
    </w:p>
    <w:p>
      <w:pPr>
        <w:pStyle w:val="Style44"/>
        <w:keepNext/>
        <w:keepLines/>
        <w:widowControl w:val="0"/>
        <w:shd w:val="clear" w:color="auto" w:fill="auto"/>
        <w:bidi w:val="0"/>
        <w:spacing w:before="0" w:after="320" w:line="240" w:lineRule="auto"/>
        <w:ind w:left="0" w:right="0" w:firstLine="0"/>
        <w:jc w:val="left"/>
      </w:pPr>
      <w:bookmarkStart w:id="353" w:name="bookmark353"/>
      <w:bookmarkStart w:id="354" w:name="bookmark354"/>
      <w:bookmarkStart w:id="355" w:name="bookmark355"/>
      <w:bookmarkStart w:id="356" w:name="bookmark356"/>
      <w:r>
        <w:rPr>
          <w:rFonts w:ascii="Times New Roman" w:eastAsia="Times New Roman" w:hAnsi="Times New Roman" w:cs="Times New Roman"/>
          <w:color w:val="000000"/>
          <w:spacing w:val="0"/>
          <w:w w:val="100"/>
          <w:position w:val="0"/>
        </w:rPr>
        <w:t>1</w:t>
      </w:r>
      <w:bookmarkEnd w:id="355"/>
      <w:r>
        <w:rPr>
          <w:color w:val="000000"/>
          <w:spacing w:val="0"/>
          <w:w w:val="100"/>
          <w:position w:val="0"/>
        </w:rPr>
        <w:t>、公司实际控制人、股东、关联方、收购人以及公司等承诺相关方在报告期内履行完毕及截至报告期末尚未履行完毕的承诺事项</w:t>
      </w:r>
      <w:bookmarkEnd w:id="353"/>
      <w:bookmarkEnd w:id="354"/>
      <w:bookmarkEnd w:id="356"/>
    </w:p>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适用</w:t>
      </w:r>
      <w:r>
        <w:rPr>
          <w:b w:val="0"/>
          <w:bCs w:val="0"/>
          <w:color w:val="000000"/>
          <w:spacing w:val="0"/>
          <w:w w:val="100"/>
          <w:position w:val="0"/>
          <w:sz w:val="18"/>
          <w:szCs w:val="18"/>
        </w:rPr>
        <w:t>口</w:t>
      </w:r>
      <w:r>
        <w:rPr>
          <w:b w:val="0"/>
          <w:bCs w:val="0"/>
          <w:color w:val="000000"/>
          <w:spacing w:val="0"/>
          <w:w w:val="100"/>
          <w:position w:val="0"/>
          <w:sz w:val="18"/>
          <w:szCs w:val="18"/>
        </w:rPr>
        <w:t>不适用</w:t>
      </w:r>
    </w:p>
    <w:tbl>
      <w:tblPr>
        <w:tblOverlap w:val="never"/>
        <w:jc w:val="center"/>
        <w:tblLayout w:type="fixed"/>
      </w:tblPr>
      <w:tblGrid>
        <w:gridCol w:w="2846"/>
        <w:gridCol w:w="1123"/>
        <w:gridCol w:w="1123"/>
        <w:gridCol w:w="4546"/>
        <w:gridCol w:w="1171"/>
        <w:gridCol w:w="1349"/>
        <w:gridCol w:w="1901"/>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承诺来源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color w:val="000000"/>
                <w:spacing w:val="0"/>
                <w:w w:val="100"/>
                <w:position w:val="0"/>
                <w:sz w:val="18"/>
                <w:szCs w:val="18"/>
              </w:rPr>
              <w:t>承诺方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承诺类型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承诺内容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承诺时间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承诺期限</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履行情况</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收购报告书或权益变动报告书中所</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作承诺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资产重组时所作承诺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029"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首次公开发行或再融资时所作承诺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王晓宇、付忠 良、史志明、 尹邦明、钟 勇、王晓东、 刘小兵</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股份锁定承 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、自公司股票上市之日起的十二个月内，不转让或委托 他人管理本人所直接或间接持有的中科信息首次公开发 行股票前已发行股份，也不由中科信息回购该部分股份； 前述锁定期满后，在担任中科信息董事或高级管理人员期 间，每年转让的股份不超过本人所直接或间接持有的中科 信息股份总数的百分之二十五；在申报离职后半年内不转 让本人所直接或间接持有的中科信息股份；在中科信息股 票上市之日起六个月内申报离职的，自申报离职之日起十 八个月内不转让本人所直接或间接持有的中科信息股份； 在中科信息股票上市之日起第七个月至第十二个月之间 申报离职的，自申报离职之日起十二个月内不转让本人所 直接或间接持有的中科信息股份。</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、所持中科信息股票 在锁定期满后两年内减持的，减持价格不低于发行价；中 科信息上市后六个月内如中科信息股票连续二十个交易 日的收盘价均低于发行价，或者上市后六个月期末收盘价 低于发行价，持有中科信息股票的锁定期限自动延长六个 月。如遇除权除息，上述减持价格及收盘价均作相应调整。 上述承诺不因职务变更或离职等原因而失效。如未履行上 述承诺，转让相关股份所取得的收益归中科信息所有。</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承诺人严格信守承诺， 未出现违犯承诺的情况</w:t>
            </w:r>
          </w:p>
        </w:tc>
      </w:tr>
    </w:tbl>
    <w:p>
      <w:pPr>
        <w:widowControl w:val="0"/>
        <w:spacing w:after="899" w:line="1" w:lineRule="exact"/>
      </w:pPr>
    </w:p>
    <w:p>
      <w:pPr>
        <w:pStyle w:val="Style2"/>
        <w:keepNext w:val="0"/>
        <w:keepLines w:val="0"/>
        <w:widowControl w:val="0"/>
        <w:shd w:val="clear" w:color="auto" w:fill="auto"/>
        <w:bidi w:val="0"/>
        <w:spacing w:before="0" w:after="0" w:line="240" w:lineRule="auto"/>
        <w:ind w:left="10460" w:right="0" w:firstLine="0"/>
        <w:jc w:val="left"/>
        <w:rPr>
          <w:sz w:val="15"/>
          <w:szCs w:val="15"/>
        </w:rPr>
      </w:pPr>
      <w:r>
        <w:rPr>
          <w:rFonts w:ascii="Arial" w:eastAsia="Arial" w:hAnsi="Arial" w:cs="Arial"/>
          <w:b/>
          <w:bCs/>
          <w:color w:val="A2A2A2"/>
          <w:spacing w:val="0"/>
          <w:w w:val="100"/>
          <w:position w:val="0"/>
          <w:sz w:val="15"/>
          <w:szCs w:val="15"/>
        </w:rPr>
        <w:t>cninf$</w:t>
      </w:r>
    </w:p>
    <w:p>
      <w:pPr>
        <w:pStyle w:val="Style2"/>
        <w:keepNext w:val="0"/>
        <w:keepLines w:val="0"/>
        <w:widowControl w:val="0"/>
        <w:shd w:val="clear" w:color="auto" w:fill="auto"/>
        <w:bidi w:val="0"/>
        <w:spacing w:before="0" w:after="0" w:line="86" w:lineRule="exact"/>
        <w:ind w:left="0" w:right="0" w:firstLine="0"/>
        <w:jc w:val="center"/>
        <w:rPr>
          <w:sz w:val="8"/>
          <w:szCs w:val="8"/>
        </w:rPr>
        <w:sectPr>
          <w:headerReference w:type="default" r:id="rId123"/>
          <w:footerReference w:type="default" r:id="rId124"/>
          <w:headerReference w:type="even" r:id="rId125"/>
          <w:footerReference w:type="even" r:id="rId126"/>
          <w:footnotePr>
            <w:pos w:val="pageBottom"/>
            <w:numFmt w:val="decimal"/>
            <w:numRestart w:val="continuous"/>
          </w:footnotePr>
          <w:pgSz w:w="16840" w:h="11900" w:orient="landscape"/>
          <w:pgMar w:top="1403" w:right="1350" w:bottom="125" w:left="1422" w:header="0" w:footer="3" w:gutter="0"/>
          <w:cols w:space="720"/>
          <w:noEndnote/>
          <w:rtlGutter w:val="0"/>
          <w:docGrid w:linePitch="360"/>
        </w:sectPr>
      </w:pPr>
      <w:r>
        <w:rPr>
          <w:rFonts w:ascii="SimHei" w:eastAsia="SimHei" w:hAnsi="SimHei" w:cs="SimHei"/>
          <w:color w:val="A2A2A2"/>
          <w:spacing w:val="0"/>
          <w:w w:val="100"/>
          <w:position w:val="0"/>
          <w:sz w:val="8"/>
          <w:szCs w:val="8"/>
        </w:rPr>
        <w:t>巨潮浇</w:t>
      </w:r>
      <w:r>
        <w:rPr>
          <w:rFonts w:ascii="Arial" w:eastAsia="Arial" w:hAnsi="Arial" w:cs="Arial"/>
          <w:b/>
          <w:bCs/>
          <w:color w:val="A2A2A2"/>
          <w:spacing w:val="0"/>
          <w:w w:val="100"/>
          <w:position w:val="0"/>
          <w:sz w:val="8"/>
          <w:szCs w:val="8"/>
        </w:rPr>
        <w:t>ill</w:t>
        <w:br/>
      </w:r>
      <w:r>
        <w:fldChar w:fldCharType="begin"/>
      </w:r>
      <w:r>
        <w:rPr/>
        <w:instrText> HYPERLINK "http://www.cnlnfo.com.cn" </w:instrText>
      </w:r>
      <w:r>
        <w:fldChar w:fldCharType="separate"/>
      </w:r>
      <w:r>
        <w:rPr>
          <w:rFonts w:ascii="Arial" w:eastAsia="Arial" w:hAnsi="Arial" w:cs="Arial"/>
          <w:b/>
          <w:bCs/>
          <w:color w:val="A2A2A2"/>
          <w:spacing w:val="0"/>
          <w:w w:val="100"/>
          <w:position w:val="0"/>
          <w:sz w:val="8"/>
          <w:szCs w:val="8"/>
        </w:rPr>
        <w:t>www.cnlnfo.com.cn</w:t>
      </w:r>
      <w:r>
        <w:fldChar w:fldCharType="end"/>
      </w:r>
    </w:p>
    <w:tbl>
      <w:tblPr>
        <w:tblOverlap w:val="never"/>
        <w:jc w:val="center"/>
        <w:tblLayout w:type="fixed"/>
      </w:tblPr>
      <w:tblGrid>
        <w:gridCol w:w="2870"/>
        <w:gridCol w:w="1123"/>
        <w:gridCol w:w="1123"/>
        <w:gridCol w:w="4546"/>
        <w:gridCol w:w="1171"/>
        <w:gridCol w:w="1349"/>
        <w:gridCol w:w="1901"/>
      </w:tblGrid>
      <w:tr>
        <w:trPr>
          <w:trHeight w:val="449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王伟、肖帆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股份锁定承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自公司股票上市之日起的十二个月内，不转让或委托他人 管理本人所直接或间接持有的中科信息首次公开发行股 票前已发行股份，也不由中科信息回购该部分股份；前述 锁定期满后，在担任中科信息监事期间，每年转让的股份 不超过本人所直接或间接持有的中科信息股份总数的百 分之二十五；在申报离职后半年内不转让本人所直接或间 接持有的中科信息股份；在中科信息股票上市之日起六个 月内申报离职的，自申报离职之日起十八个月内不转让本 人所直接或间接持有的中科信息股份；在中科信息股票上 市之日起第七个月至第十二个月之间申报离职的，自申报 离职之日起十二个月内不转让本人所直接或间接持有的 中科信息股份。上述承诺不因职务变更或离职等原因而失 效。如未履行上述承诺，转让相关股份所取得的收益归中 科信息所有。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3206" w:hRule="exact"/>
        </w:trPr>
        <w:tc>
          <w:tcPr>
            <w:tcBorders>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国科控股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股份锁定承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自中科信息股票上市之日起三十六个月内，不转让或者委 托他人管理本公司本次发行前已持有的中科信息的股份， 也不由中科信息回购本公司持有的上述股份。所持中科信 息股票在锁定期满后两年内减持的，减持价格不低于发行 价；中科信息上市后六个月内如中科信息股票连续二十个 交易日的收盘价均低于发行价，或者上市后六个月期末收 盘价低于发行价，持有中科信息股票的锁定期限自动延长 六个月。如遇除权除息，上述减持价格及收盘价均作相应 调整。如未履行上述承诺，转让相关股份所取得的收益归 中科信息所有。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1339" w:hRule="exact"/>
        </w:trPr>
        <w:tc>
          <w:tcPr>
            <w:tcBorders>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埃德凯森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股份锁定承 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rPr>
                <w:sz w:val="18"/>
                <w:szCs w:val="18"/>
              </w:rPr>
            </w:pPr>
            <w:r>
              <w:rPr>
                <w:color w:val="000000"/>
                <w:spacing w:val="0"/>
                <w:w w:val="100"/>
                <w:position w:val="0"/>
                <w:sz w:val="18"/>
                <w:szCs w:val="18"/>
              </w:rPr>
              <w:t>自中科信息股票上市之日起三十六个月内，不转让或者委 托他人管理本公司本次发行前已持有的中科信息的股份， 也不由中科信息回购本公司持有的上述股份。如未履行上 述承诺，转让相关股份所取得的收益归中科信息所有。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370" w:hRule="exact"/>
        </w:trPr>
        <w:tc>
          <w:tcPr>
            <w:tcBorders>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中科信息、国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稳定股价的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公司股票挂牌上市之日起三年内，一旦出现连续</w:t>
            </w: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个交</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作出承诺时，至</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承诺人严格信守承诺，</w:t>
            </w:r>
          </w:p>
        </w:tc>
      </w:tr>
    </w:tbl>
    <w:p>
      <w:pPr>
        <w:widowControl w:val="0"/>
        <w:spacing w:after="899" w:line="1" w:lineRule="exact"/>
      </w:pPr>
    </w:p>
    <w:p>
      <w:pPr>
        <w:pStyle w:val="Style2"/>
        <w:keepNext w:val="0"/>
        <w:keepLines w:val="0"/>
        <w:widowControl w:val="0"/>
        <w:shd w:val="clear" w:color="auto" w:fill="auto"/>
        <w:bidi w:val="0"/>
        <w:spacing w:before="0" w:after="0" w:line="240" w:lineRule="auto"/>
        <w:ind w:left="10460" w:right="0" w:firstLine="0"/>
        <w:jc w:val="left"/>
        <w:rPr>
          <w:sz w:val="15"/>
          <w:szCs w:val="15"/>
        </w:rPr>
      </w:pPr>
      <w:r>
        <w:rPr>
          <w:rFonts w:ascii="Arial" w:eastAsia="Arial" w:hAnsi="Arial" w:cs="Arial"/>
          <w:b/>
          <w:bCs/>
          <w:color w:val="A2A2A2"/>
          <w:spacing w:val="0"/>
          <w:w w:val="100"/>
          <w:position w:val="0"/>
          <w:sz w:val="15"/>
          <w:szCs w:val="15"/>
        </w:rPr>
        <w:t>cninffi</w:t>
      </w:r>
    </w:p>
    <w:p>
      <w:pPr>
        <w:pStyle w:val="Style2"/>
        <w:keepNext w:val="0"/>
        <w:keepLines w:val="0"/>
        <w:widowControl w:val="0"/>
        <w:shd w:val="clear" w:color="auto" w:fill="auto"/>
        <w:bidi w:val="0"/>
        <w:spacing w:before="0" w:after="0" w:line="240" w:lineRule="auto"/>
        <w:ind w:left="10580" w:right="0" w:firstLine="0"/>
        <w:jc w:val="left"/>
        <w:rPr>
          <w:sz w:val="8"/>
          <w:szCs w:val="8"/>
        </w:rPr>
      </w:pPr>
      <w:r>
        <w:rPr>
          <w:rFonts w:ascii="SimHei" w:eastAsia="SimHei" w:hAnsi="SimHei" w:cs="SimHei"/>
          <w:color w:val="A2A2A2"/>
          <w:spacing w:val="0"/>
          <w:w w:val="100"/>
          <w:position w:val="0"/>
          <w:sz w:val="8"/>
          <w:szCs w:val="8"/>
        </w:rPr>
        <w:t>巨潮浇</w:t>
      </w:r>
      <w:r>
        <w:rPr>
          <w:rFonts w:ascii="Arial" w:eastAsia="Arial" w:hAnsi="Arial" w:cs="Arial"/>
          <w:b/>
          <w:bCs/>
          <w:color w:val="A2A2A2"/>
          <w:spacing w:val="0"/>
          <w:w w:val="100"/>
          <w:position w:val="0"/>
          <w:sz w:val="8"/>
          <w:szCs w:val="8"/>
        </w:rPr>
        <w:t>ill</w:t>
      </w:r>
    </w:p>
    <w:p>
      <w:pPr>
        <w:pStyle w:val="Style2"/>
        <w:keepNext w:val="0"/>
        <w:keepLines w:val="0"/>
        <w:widowControl w:val="0"/>
        <w:shd w:val="clear" w:color="auto" w:fill="auto"/>
        <w:bidi w:val="0"/>
        <w:spacing w:before="0" w:after="0" w:line="226" w:lineRule="auto"/>
        <w:ind w:left="10400" w:right="0" w:firstLine="0"/>
        <w:jc w:val="left"/>
        <w:rPr>
          <w:sz w:val="8"/>
          <w:szCs w:val="8"/>
        </w:rPr>
        <w:sectPr>
          <w:footnotePr>
            <w:pos w:val="pageBottom"/>
            <w:numFmt w:val="decimal"/>
            <w:numRestart w:val="continuous"/>
          </w:footnotePr>
          <w:pgSz w:w="16840" w:h="11900" w:orient="landscape"/>
          <w:pgMar w:top="1096" w:right="1349" w:bottom="125" w:left="1407" w:header="0" w:footer="3" w:gutter="0"/>
          <w:cols w:space="720"/>
          <w:noEndnote/>
          <w:rtlGutter w:val="0"/>
          <w:docGrid w:linePitch="360"/>
        </w:sectPr>
      </w:pPr>
      <w:r>
        <w:fldChar w:fldCharType="begin"/>
      </w:r>
      <w:r>
        <w:rPr/>
        <w:instrText> HYPERLINK "http://www.cnlnfo.com.cn" </w:instrText>
      </w:r>
      <w:r>
        <w:fldChar w:fldCharType="separate"/>
      </w:r>
      <w:r>
        <w:rPr>
          <w:rFonts w:ascii="Arial" w:eastAsia="Arial" w:hAnsi="Arial" w:cs="Arial"/>
          <w:b/>
          <w:bCs/>
          <w:color w:val="A2A2A2"/>
          <w:spacing w:val="0"/>
          <w:w w:val="100"/>
          <w:position w:val="0"/>
          <w:sz w:val="8"/>
          <w:szCs w:val="8"/>
        </w:rPr>
        <w:t>www.cnlnfo.com.cn</w:t>
      </w:r>
      <w:r>
        <w:fldChar w:fldCharType="end"/>
      </w:r>
    </w:p>
    <w:p>
      <w:pPr>
        <w:pStyle w:val="Style35"/>
        <w:keepNext w:val="0"/>
        <w:keepLines w:val="0"/>
        <w:framePr w:w="1123" w:h="2822" w:wrap="none" w:hAnchor="page" w:x="4283" w:y="-41"/>
        <w:widowControl w:val="0"/>
        <w:shd w:val="clear" w:color="auto" w:fill="auto"/>
        <w:bidi w:val="0"/>
        <w:spacing w:before="0" w:after="0" w:line="311" w:lineRule="exact"/>
        <w:ind w:left="0" w:right="0" w:firstLine="0"/>
        <w:jc w:val="left"/>
      </w:pPr>
      <w:r>
        <w:rPr>
          <w:color w:val="000000"/>
          <w:spacing w:val="0"/>
          <w:w w:val="100"/>
          <w:position w:val="0"/>
        </w:rPr>
        <w:t>科控股、索继 栓、王晓宇、 张勇、杨红 梅、付忠良、 史志明、王 伟、傅敏、肖 帆、尹邦明、 钟勇、王晓 东、刘小兵</w:t>
      </w:r>
    </w:p>
    <w:p>
      <w:pPr>
        <w:pStyle w:val="Style35"/>
        <w:keepNext w:val="0"/>
        <w:keepLines w:val="0"/>
        <w:framePr w:w="398" w:h="235" w:wrap="none" w:hAnchor="page" w:x="5411" w:y="35"/>
        <w:widowControl w:val="0"/>
        <w:shd w:val="clear" w:color="auto" w:fill="auto"/>
        <w:bidi w:val="0"/>
        <w:spacing w:before="0" w:after="0" w:line="240" w:lineRule="auto"/>
        <w:ind w:left="0" w:right="0" w:firstLine="0"/>
        <w:jc w:val="left"/>
      </w:pPr>
      <w:r>
        <w:rPr>
          <w:color w:val="000000"/>
          <w:spacing w:val="0"/>
          <w:w w:val="100"/>
          <w:position w:val="0"/>
        </w:rPr>
        <w:t>承诺</w:t>
      </w:r>
    </w:p>
    <w:p>
      <w:pPr>
        <w:pStyle w:val="Style35"/>
        <w:keepNext w:val="0"/>
        <w:keepLines w:val="0"/>
        <w:framePr w:w="4992" w:h="1574" w:wrap="none" w:hAnchor="page" w:x="6535" w:y="-41"/>
        <w:widowControl w:val="0"/>
        <w:shd w:val="clear" w:color="auto" w:fill="auto"/>
        <w:bidi w:val="0"/>
        <w:spacing w:before="0" w:after="0" w:line="314" w:lineRule="exact"/>
        <w:ind w:left="0" w:right="0" w:firstLine="0"/>
        <w:jc w:val="left"/>
      </w:pPr>
      <w:r>
        <w:rPr>
          <w:color w:val="000000"/>
          <w:spacing w:val="0"/>
          <w:w w:val="100"/>
          <w:position w:val="0"/>
        </w:rPr>
        <w:t>易日公司股票收盘价均低于其最近一期经审计的每股净</w:t>
      </w:r>
      <w:r>
        <w:rPr>
          <w:rFonts w:ascii="Times New Roman" w:eastAsia="Times New Roman" w:hAnsi="Times New Roman" w:cs="Times New Roman"/>
          <w:color w:val="000000"/>
          <w:spacing w:val="0"/>
          <w:w w:val="100"/>
          <w:position w:val="0"/>
        </w:rPr>
        <w:t>28</w:t>
      </w:r>
      <w:r>
        <w:rPr>
          <w:color w:val="000000"/>
          <w:spacing w:val="0"/>
          <w:w w:val="100"/>
          <w:position w:val="0"/>
        </w:rPr>
        <w:t>日 资产情形时（若因除权除息等事项致使上述股票收盘价与 公司最近一期经审计的每股净资产不具可比性的，上述股 票收盘价应做相应调整，下同），则相关主体启动稳定公 司股价的措施。公司回购股份、公司控股股东增持股份、</w:t>
      </w:r>
    </w:p>
    <w:p>
      <w:pPr>
        <w:pStyle w:val="Style35"/>
        <w:keepNext w:val="0"/>
        <w:keepLines w:val="0"/>
        <w:framePr w:w="4531" w:h="230" w:wrap="none" w:hAnchor="page" w:x="6535" w:y="1595"/>
        <w:widowControl w:val="0"/>
        <w:shd w:val="clear" w:color="auto" w:fill="auto"/>
        <w:bidi w:val="0"/>
        <w:spacing w:before="0" w:after="0" w:line="240" w:lineRule="auto"/>
        <w:ind w:left="0" w:right="0" w:firstLine="0"/>
        <w:jc w:val="left"/>
      </w:pPr>
      <w:r>
        <w:rPr>
          <w:color w:val="000000"/>
          <w:spacing w:val="0"/>
          <w:w w:val="100"/>
          <w:position w:val="0"/>
        </w:rPr>
        <w:t>董事（独立董事除外）及高级管理人员增持股份均应符合</w:t>
      </w:r>
    </w:p>
    <w:p>
      <w:pPr>
        <w:pStyle w:val="Style35"/>
        <w:keepNext w:val="0"/>
        <w:keepLines w:val="0"/>
        <w:framePr w:w="4349" w:h="230" w:wrap="none" w:hAnchor="page" w:x="6549" w:y="1907"/>
        <w:widowControl w:val="0"/>
        <w:shd w:val="clear" w:color="auto" w:fill="auto"/>
        <w:bidi w:val="0"/>
        <w:spacing w:before="0" w:after="0" w:line="240" w:lineRule="auto"/>
        <w:ind w:left="0" w:right="0" w:firstLine="0"/>
        <w:jc w:val="left"/>
      </w:pPr>
      <w:r>
        <w:rPr>
          <w:color w:val="000000"/>
          <w:spacing w:val="0"/>
          <w:w w:val="100"/>
          <w:position w:val="0"/>
        </w:rPr>
        <w:t>中国证监会、证券交易所及其他证券监管机关的相关法</w:t>
      </w:r>
    </w:p>
    <w:p>
      <w:pPr>
        <w:pStyle w:val="Style35"/>
        <w:keepNext w:val="0"/>
        <w:keepLines w:val="0"/>
        <w:framePr w:w="4526" w:h="230" w:wrap="none" w:hAnchor="page" w:x="6535" w:y="2219"/>
        <w:widowControl w:val="0"/>
        <w:shd w:val="clear" w:color="auto" w:fill="auto"/>
        <w:bidi w:val="0"/>
        <w:spacing w:before="0" w:after="0" w:line="240" w:lineRule="auto"/>
        <w:ind w:left="0" w:right="0" w:firstLine="0"/>
        <w:jc w:val="left"/>
      </w:pPr>
      <w:r>
        <w:rPr>
          <w:color w:val="000000"/>
          <w:spacing w:val="0"/>
          <w:w w:val="100"/>
          <w:position w:val="0"/>
        </w:rPr>
        <w:t>律、法规和规范性文件，并不应因此导致公司股权分布不</w:t>
      </w:r>
    </w:p>
    <w:p>
      <w:pPr>
        <w:pStyle w:val="Style35"/>
        <w:keepNext w:val="0"/>
        <w:keepLines w:val="0"/>
        <w:framePr w:w="4531" w:h="230" w:wrap="none" w:hAnchor="page" w:x="6535" w:y="2531"/>
        <w:widowControl w:val="0"/>
        <w:shd w:val="clear" w:color="auto" w:fill="auto"/>
        <w:bidi w:val="0"/>
        <w:spacing w:before="0" w:after="0" w:line="240" w:lineRule="auto"/>
        <w:ind w:left="0" w:right="0" w:firstLine="0"/>
        <w:jc w:val="left"/>
      </w:pPr>
      <w:r>
        <w:rPr>
          <w:color w:val="000000"/>
          <w:spacing w:val="0"/>
          <w:w w:val="100"/>
          <w:position w:val="0"/>
        </w:rPr>
        <w:t>符合上市条件的要求；若其中任何一项措施的实施或继续</w:t>
      </w:r>
    </w:p>
    <w:p>
      <w:pPr>
        <w:pStyle w:val="Style35"/>
        <w:keepNext w:val="0"/>
        <w:keepLines w:val="0"/>
        <w:framePr w:w="3187" w:h="235" w:wrap="none" w:hAnchor="page" w:x="12251" w:y="35"/>
        <w:widowControl w:val="0"/>
        <w:shd w:val="clear" w:color="auto" w:fill="auto"/>
        <w:bidi w:val="0"/>
        <w:spacing w:before="0" w:after="0" w:line="240" w:lineRule="auto"/>
        <w:ind w:left="0" w:right="0" w:firstLine="0"/>
        <w:jc w:val="left"/>
      </w:pPr>
      <w:r>
        <w:rPr>
          <w:color w:val="000000"/>
          <w:spacing w:val="0"/>
          <w:w w:val="100"/>
          <w:position w:val="0"/>
        </w:rPr>
        <w:t>承诺履行完毕未出现违犯承诺的情况</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9" w:line="1" w:lineRule="exact"/>
      </w:pPr>
    </w:p>
    <w:p>
      <w:pPr>
        <w:widowControl w:val="0"/>
        <w:spacing w:line="1" w:lineRule="exact"/>
        <w:sectPr>
          <w:footnotePr>
            <w:pos w:val="pageBottom"/>
            <w:numFmt w:val="decimal"/>
            <w:numRestart w:val="continuous"/>
          </w:footnotePr>
          <w:pgSz w:w="16840" w:h="11900" w:orient="landscape"/>
          <w:pgMar w:top="1148" w:right="1402" w:bottom="1256" w:left="4282" w:header="0" w:footer="3" w:gutter="0"/>
          <w:cols w:space="720"/>
          <w:noEndnote/>
          <w:rtlGutter w:val="0"/>
          <w:docGrid w:linePitch="360"/>
        </w:sectPr>
      </w:pPr>
    </w:p>
    <w:p>
      <w:pPr>
        <w:pStyle w:val="Style35"/>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type w:val="continuous"/>
          <w:pgSz w:w="16840" w:h="11900" w:orient="landscape"/>
          <w:pgMar w:top="1106" w:right="5684" w:bottom="1156" w:left="6529" w:header="0" w:footer="3" w:gutter="0"/>
          <w:cols w:space="720"/>
          <w:noEndnote/>
          <w:rtlGutter w:val="0"/>
          <w:docGrid w:linePitch="360"/>
        </w:sectPr>
      </w:pPr>
      <w:r>
        <w:rPr>
          <w:color w:val="000000"/>
          <w:spacing w:val="0"/>
          <w:w w:val="100"/>
          <w:position w:val="0"/>
        </w:rPr>
        <w:t xml:space="preserve">实施将导致公司股权分布不符合上市条件的要求时，则不 </w:t>
      </w:r>
      <w:r>
        <w:rPr>
          <w:color w:val="000000"/>
          <w:spacing w:val="0"/>
          <w:w w:val="100"/>
          <w:position w:val="0"/>
        </w:rPr>
        <w:t xml:space="preserve">得实施或应立即终止继续实施，且该项措施所对应的股价 </w:t>
      </w:r>
      <w:r>
        <w:rPr>
          <w:color w:val="000000"/>
          <w:spacing w:val="0"/>
          <w:w w:val="100"/>
          <w:position w:val="0"/>
        </w:rPr>
        <w:t xml:space="preserve">稳定义务视为已履行。非因不可抗力因素所致，公司及相 </w:t>
      </w:r>
      <w:r>
        <w:rPr>
          <w:color w:val="000000"/>
          <w:spacing w:val="0"/>
          <w:w w:val="100"/>
          <w:position w:val="0"/>
        </w:rPr>
        <w:t>关主体将采取以下措施中的一项或多项稳定公司股价：</w:t>
      </w:r>
      <w:r>
        <w:rPr>
          <w:rFonts w:ascii="Times New Roman" w:eastAsia="Times New Roman" w:hAnsi="Times New Roman" w:cs="Times New Roman"/>
          <w:color w:val="000000"/>
          <w:spacing w:val="0"/>
          <w:w w:val="100"/>
          <w:position w:val="0"/>
        </w:rPr>
        <w:t>1</w:t>
      </w:r>
      <w:r>
        <w:rPr>
          <w:color w:val="000000"/>
          <w:spacing w:val="0"/>
          <w:w w:val="100"/>
          <w:position w:val="0"/>
        </w:rPr>
        <w:t xml:space="preserve">、 </w:t>
      </w:r>
      <w:r>
        <w:rPr>
          <w:color w:val="000000"/>
          <w:spacing w:val="0"/>
          <w:w w:val="100"/>
          <w:position w:val="0"/>
        </w:rPr>
        <w:t>公司回购公司股票；</w:t>
      </w:r>
      <w:r>
        <w:rPr>
          <w:rFonts w:ascii="Times New Roman" w:eastAsia="Times New Roman" w:hAnsi="Times New Roman" w:cs="Times New Roman"/>
          <w:color w:val="000000"/>
          <w:spacing w:val="0"/>
          <w:w w:val="100"/>
          <w:position w:val="0"/>
        </w:rPr>
        <w:t>2</w:t>
      </w:r>
      <w:r>
        <w:rPr>
          <w:color w:val="000000"/>
          <w:spacing w:val="0"/>
          <w:w w:val="100"/>
          <w:position w:val="0"/>
        </w:rPr>
        <w:t>、公司控股股东增持公司股票；</w:t>
      </w:r>
      <w:r>
        <w:rPr>
          <w:rFonts w:ascii="Times New Roman" w:eastAsia="Times New Roman" w:hAnsi="Times New Roman" w:cs="Times New Roman"/>
          <w:color w:val="000000"/>
          <w:spacing w:val="0"/>
          <w:w w:val="100"/>
          <w:position w:val="0"/>
        </w:rPr>
        <w:t>3</w:t>
      </w:r>
      <w:r>
        <w:rPr>
          <w:color w:val="000000"/>
          <w:spacing w:val="0"/>
          <w:w w:val="100"/>
          <w:position w:val="0"/>
        </w:rPr>
        <w:t>、 公司董事、高级管理人员增持公司股票；</w:t>
      </w:r>
      <w:r>
        <w:rPr>
          <w:rFonts w:ascii="Times New Roman" w:eastAsia="Times New Roman" w:hAnsi="Times New Roman" w:cs="Times New Roman"/>
          <w:color w:val="000000"/>
          <w:spacing w:val="0"/>
          <w:w w:val="100"/>
          <w:position w:val="0"/>
        </w:rPr>
        <w:t>4</w:t>
      </w:r>
      <w:r>
        <w:rPr>
          <w:color w:val="000000"/>
          <w:spacing w:val="0"/>
          <w:w w:val="100"/>
          <w:position w:val="0"/>
        </w:rPr>
        <w:t xml:space="preserve">、其他证券监 </w:t>
      </w:r>
      <w:r>
        <w:rPr>
          <w:color w:val="000000"/>
          <w:spacing w:val="0"/>
          <w:w w:val="100"/>
          <w:position w:val="0"/>
        </w:rPr>
        <w:t>管部门认可的方式。公司董事会将在公司股票价格触发启 动股价稳定措施条件之日起的五个工作日内制订或要求 公司控股股东提出稳定公司股价具体方案，并在履行完毕 相关内部决策程序和外部审批</w:t>
      </w:r>
      <w:r>
        <w:rPr>
          <w:rFonts w:ascii="Times New Roman" w:eastAsia="Times New Roman" w:hAnsi="Times New Roman" w:cs="Times New Roman"/>
          <w:color w:val="000000"/>
          <w:spacing w:val="0"/>
          <w:w w:val="100"/>
          <w:position w:val="0"/>
        </w:rPr>
        <w:t>/</w:t>
      </w:r>
      <w:r>
        <w:rPr>
          <w:color w:val="000000"/>
          <w:spacing w:val="0"/>
          <w:w w:val="100"/>
          <w:position w:val="0"/>
        </w:rPr>
        <w:t>备案程序（如需）后实施， 且按照上市公司信息披露要求予以公告。公司稳定股价措 施实施完毕日起两个交易日内，公司应将稳定股价措施实 施情况予以公告。公司稳定股价措施实施完毕后，如公司 股票价格再度触发启动股价稳定措施的条件，则公司、控 股股东、董事、高级管理人员等相关责任主体将继续履行 相关义务。（一）公司回购公司股票的具体安排。公司将 自股价稳定方案公告之日起</w:t>
      </w:r>
      <w:r>
        <w:rPr>
          <w:rFonts w:ascii="Times New Roman" w:eastAsia="Times New Roman" w:hAnsi="Times New Roman" w:cs="Times New Roman"/>
          <w:color w:val="000000"/>
          <w:spacing w:val="0"/>
          <w:w w:val="100"/>
          <w:position w:val="0"/>
        </w:rPr>
        <w:t>90</w:t>
      </w:r>
      <w:r>
        <w:rPr>
          <w:color w:val="000000"/>
          <w:spacing w:val="0"/>
          <w:w w:val="100"/>
          <w:position w:val="0"/>
        </w:rPr>
        <w:t>个自然日内通过证券交易 所以集中竞价的交易方式、要约方式或证券监督管理部门 认可的其他方式回购公司社会公众股份，回购价格不高于 公司最近一期经审计的每股净资产（最近一期审计基准日 后，因利润分配、资本公积金转增股本、增发、配股等情</w:t>
      </w: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6840" w:h="11900" w:orient="landscape"/>
          <w:pgMar w:top="1148" w:right="0" w:bottom="1156" w:left="0" w:header="0" w:footer="3" w:gutter="0"/>
          <w:cols w:space="720"/>
          <w:noEndnote/>
          <w:rtlGutter w:val="0"/>
          <w:docGrid w:linePitch="360"/>
        </w:sectPr>
      </w:pPr>
    </w:p>
    <w:p>
      <w:pPr>
        <w:pStyle w:val="Style2"/>
        <w:keepNext w:val="0"/>
        <w:keepLines w:val="0"/>
        <w:framePr w:w="830" w:h="394" w:wrap="none" w:vAnchor="text" w:hAnchor="page" w:x="11795" w:y="21"/>
        <w:widowControl w:val="0"/>
        <w:shd w:val="clear" w:color="auto" w:fill="auto"/>
        <w:bidi w:val="0"/>
        <w:spacing w:before="0" w:after="0" w:line="240" w:lineRule="auto"/>
        <w:ind w:left="0" w:right="0" w:firstLine="0"/>
        <w:jc w:val="right"/>
        <w:rPr>
          <w:sz w:val="15"/>
          <w:szCs w:val="15"/>
        </w:rPr>
      </w:pPr>
      <w:r>
        <w:rPr>
          <w:rFonts w:ascii="Arial" w:eastAsia="Arial" w:hAnsi="Arial" w:cs="Arial"/>
          <w:b/>
          <w:bCs/>
          <w:color w:val="A2A2A2"/>
          <w:spacing w:val="0"/>
          <w:w w:val="100"/>
          <w:position w:val="0"/>
          <w:sz w:val="15"/>
          <w:szCs w:val="15"/>
        </w:rPr>
        <w:t>cninf$</w:t>
      </w:r>
    </w:p>
    <w:p>
      <w:pPr>
        <w:pStyle w:val="Style2"/>
        <w:keepNext w:val="0"/>
        <w:keepLines w:val="0"/>
        <w:framePr w:w="830" w:h="394" w:wrap="none" w:vAnchor="text" w:hAnchor="page" w:x="11795" w:y="21"/>
        <w:widowControl w:val="0"/>
        <w:shd w:val="clear" w:color="auto" w:fill="auto"/>
        <w:bidi w:val="0"/>
        <w:spacing w:before="0" w:after="0" w:line="86" w:lineRule="exact"/>
        <w:ind w:left="0" w:right="0" w:firstLine="0"/>
        <w:jc w:val="center"/>
        <w:rPr>
          <w:sz w:val="8"/>
          <w:szCs w:val="8"/>
        </w:rPr>
      </w:pPr>
      <w:r>
        <w:rPr>
          <w:rFonts w:ascii="SimHei" w:eastAsia="SimHei" w:hAnsi="SimHei" w:cs="SimHei"/>
          <w:color w:val="A2A2A2"/>
          <w:spacing w:val="0"/>
          <w:w w:val="100"/>
          <w:position w:val="0"/>
          <w:sz w:val="8"/>
          <w:szCs w:val="8"/>
        </w:rPr>
        <w:t>巨潮浇</w:t>
      </w:r>
      <w:r>
        <w:rPr>
          <w:rFonts w:ascii="Arial" w:eastAsia="Arial" w:hAnsi="Arial" w:cs="Arial"/>
          <w:b/>
          <w:bCs/>
          <w:color w:val="A2A2A2"/>
          <w:spacing w:val="0"/>
          <w:w w:val="100"/>
          <w:position w:val="0"/>
          <w:sz w:val="8"/>
          <w:szCs w:val="8"/>
        </w:rPr>
        <w:t>ill</w:t>
        <w:br/>
      </w:r>
      <w:r>
        <w:fldChar w:fldCharType="begin"/>
      </w:r>
      <w:r>
        <w:rPr/>
        <w:instrText> HYPERLINK "http://www.cnlnfo.com.cn" </w:instrText>
      </w:r>
      <w:r>
        <w:fldChar w:fldCharType="separate"/>
      </w:r>
      <w:r>
        <w:rPr>
          <w:rFonts w:ascii="Arial" w:eastAsia="Arial" w:hAnsi="Arial" w:cs="Arial"/>
          <w:b/>
          <w:bCs/>
          <w:color w:val="A2A2A2"/>
          <w:spacing w:val="0"/>
          <w:w w:val="100"/>
          <w:position w:val="0"/>
          <w:sz w:val="8"/>
          <w:szCs w:val="8"/>
        </w:rPr>
        <w:t>www.cnlnfo.com.cn</w:t>
      </w:r>
      <w:r>
        <w:fldChar w:fldCharType="end"/>
      </w:r>
    </w:p>
    <w:p>
      <w:pPr>
        <w:widowControl w:val="0"/>
        <w:spacing w:after="0" w:line="1" w:lineRule="exact"/>
      </w:pPr>
    </w:p>
    <w:p>
      <w:pPr>
        <w:widowControl w:val="0"/>
        <w:spacing w:line="1" w:lineRule="exact"/>
        <w:sectPr>
          <w:footnotePr>
            <w:pos w:val="pageBottom"/>
            <w:numFmt w:val="decimal"/>
            <w:numRestart w:val="continuous"/>
          </w:footnotePr>
          <w:type w:val="continuous"/>
          <w:pgSz w:w="16840" w:h="11900" w:orient="landscape"/>
          <w:pgMar w:top="1148" w:right="1402" w:bottom="1156" w:left="4282" w:header="0" w:footer="3" w:gutter="0"/>
          <w:cols w:space="720"/>
          <w:noEndnote/>
          <w:rtlGutter w:val="0"/>
          <w:docGrid w:linePitch="360"/>
        </w:sectPr>
      </w:pPr>
    </w:p>
    <w:tbl>
      <w:tblPr>
        <w:tblOverlap w:val="never"/>
        <w:jc w:val="center"/>
        <w:tblLayout w:type="fixed"/>
      </w:tblPr>
      <w:tblGrid>
        <w:gridCol w:w="2846"/>
        <w:gridCol w:w="1123"/>
        <w:gridCol w:w="1123"/>
        <w:gridCol w:w="4546"/>
        <w:gridCol w:w="1171"/>
        <w:gridCol w:w="1349"/>
        <w:gridCol w:w="1901"/>
      </w:tblGrid>
      <w:tr>
        <w:trPr>
          <w:trHeight w:val="9384" w:hRule="exact"/>
        </w:trPr>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况导致公司净资产或股份总数出现变化的，每股净资产相 应进行调整，下同），公司回购股份除应符合相关法律法 规之要求之外，还应符合下列各项：</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、公司用于回购股 份的资金总额累计不超过公司首次公开发行新股所募集 资金的总额。</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、公司单次用于回购股份的资金不得低于 人民币</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sz w:val="18"/>
                <w:szCs w:val="18"/>
              </w:rPr>
              <w:t>万元。</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、公司单次回购股份不超过公司总股 本的</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；如上述第</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项与本项冲突的，按照本项执行。</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 单一会计年度用以稳定股价的回购资金合计不超过上一 会计年度经审计的归属于母公司股东净利润的</w:t>
            </w:r>
            <w:r>
              <w:rPr>
                <w:rFonts w:ascii="Times New Roman" w:eastAsia="Times New Roman" w:hAnsi="Times New Roman" w:cs="Times New Roman"/>
                <w:color w:val="000000"/>
                <w:spacing w:val="0"/>
                <w:w w:val="100"/>
                <w:position w:val="0"/>
                <w:sz w:val="18"/>
                <w:szCs w:val="18"/>
              </w:rPr>
              <w:t>50%</w:t>
            </w:r>
            <w:r>
              <w:rPr>
                <w:color w:val="000000"/>
                <w:spacing w:val="0"/>
                <w:w w:val="100"/>
                <w:position w:val="0"/>
                <w:sz w:val="18"/>
                <w:szCs w:val="18"/>
              </w:rPr>
              <w:t>。超过 上述标准的，有关稳定股价措施在当年度不再继续实施。 但如下一年度继续出现需启动稳定股价措施的情形时，其 将继续按照上述原则执行稳定股价预案。回购后公司的股 权分布应当符合上市条件，回购行为及信息披露、回购后 的股份处置应当符合《公司法》、《证券法》及其他相关法 律、行政法规的规定。（二）公司控股股东增持公司股票 的具体安排。本公司控股股东国科控股将自股价稳定方案 公告之日起</w:t>
            </w:r>
            <w:r>
              <w:rPr>
                <w:rFonts w:ascii="Times New Roman" w:eastAsia="Times New Roman" w:hAnsi="Times New Roman" w:cs="Times New Roman"/>
                <w:color w:val="000000"/>
                <w:spacing w:val="0"/>
                <w:w w:val="100"/>
                <w:position w:val="0"/>
                <w:sz w:val="18"/>
                <w:szCs w:val="18"/>
              </w:rPr>
              <w:t>90</w:t>
            </w:r>
            <w:r>
              <w:rPr>
                <w:color w:val="000000"/>
                <w:spacing w:val="0"/>
                <w:w w:val="100"/>
                <w:position w:val="0"/>
                <w:sz w:val="18"/>
                <w:szCs w:val="18"/>
              </w:rPr>
              <w:t>个自然日内增持（增持方式包括但不限于 集中竞价和大宗交易等证券监管机构、自律机构及深圳交 易所等有权部门允许的方式）公司社会公众股份，增持价 格不高于公司最近一期经审计的每股净资产，控股股东增 持股份除应符合相关法律法规之要求之外，还应符合下列 各项：</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、单一年度用于股份增持的资金为不少于其最近 一次从发行人获得现金分红的</w:t>
            </w: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、单一年度用于稳 定股价的增持资金不超过其最近一次从发行人获得现金 分红的</w:t>
            </w:r>
            <w:r>
              <w:rPr>
                <w:rFonts w:ascii="Times New Roman" w:eastAsia="Times New Roman" w:hAnsi="Times New Roman" w:cs="Times New Roman"/>
                <w:color w:val="000000"/>
                <w:spacing w:val="0"/>
                <w:w w:val="100"/>
                <w:position w:val="0"/>
                <w:sz w:val="18"/>
                <w:szCs w:val="18"/>
              </w:rPr>
              <w:t>50%</w:t>
            </w:r>
            <w:r>
              <w:rPr>
                <w:color w:val="000000"/>
                <w:spacing w:val="0"/>
                <w:w w:val="100"/>
                <w:position w:val="0"/>
                <w:sz w:val="18"/>
                <w:szCs w:val="18"/>
              </w:rPr>
              <w:t>。超过上述标准的，有关稳定股价措施在当年 度不再继续实施。如公司在上述需启动股价稳定措施的条 件触发后启动了股价稳定措施，控股股东可选择与公司同 时启动股价稳定措施或在公司措施实施完毕（以公司公告 的实施完毕日为准）后其股票收盘价仍低于最近一期经审 计的每股净资产时再行启动上述措施。如公司实施股价稳</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9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125"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9384" w:hRule="exact"/>
        </w:trPr>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定措施后其股票收盘价已不再符合需启动股价稳定措施 条件的，控股股东可不再继续实施上述股价稳定措施。控 股股东增持后公司的股权分布应当符合上市条件，增持股 份行为及信息披露应当符合《公司法》、《证券法》及其他 相关法律、行政法规的规定。（三）公司董事、高级管理 人员增持公司股票的具体安排。</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、控股股东增持公司股 票以及公司回购股票的措施实施完毕后，公司股价仍出现 连续</w:t>
            </w: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个交易日收盘价均低于最近一期经审计的每股 净资产时，公司董事（独立董事除外）和高级管理人员将 在该情形出现</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个交易日内，依照公司内部决策程序， 拟定增持公司股票的计划，明确增持数量、方式和期限， 并对外公告。</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、公司董事（独立董事除外）及高级管理 人员增持公司股份的，除应符合相关法律法规、规范性文 件的要求之外，还应符合下列各项：（</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）买入公司股票的 价格不高于公司最近一期经审计的每股净资产，买入公司 股份的方式为通过二级市场以竞价交易方式；（</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）单一年 度用以稳定股价所动用的资金不低于其上一会计年度从 公司处领取的税后薪酬和津贴累计额的</w:t>
            </w: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 （</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）单一年 度用以稳定股价所动用的资金应不超过其上一会计年度 从公司处领取的税后薪酬和津贴累计额的</w:t>
            </w:r>
            <w:r>
              <w:rPr>
                <w:rFonts w:ascii="Times New Roman" w:eastAsia="Times New Roman" w:hAnsi="Times New Roman" w:cs="Times New Roman"/>
                <w:color w:val="000000"/>
                <w:spacing w:val="0"/>
                <w:w w:val="100"/>
                <w:position w:val="0"/>
                <w:sz w:val="18"/>
                <w:szCs w:val="18"/>
              </w:rPr>
              <w:t>50%</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）在增 持期间及法定期限内不减持其所持有的公司股份。超过上 述标准的，有关稳定股价措施在当年度不再继续实施。公 司未来新聘董事（独立董事除外）、高级管理人员，应按 本预案采取稳定公司股价的措施。（四）稳定股价方案的 终止情形。自股价稳定方案公告之日起</w:t>
            </w:r>
            <w:r>
              <w:rPr>
                <w:rFonts w:ascii="Times New Roman" w:eastAsia="Times New Roman" w:hAnsi="Times New Roman" w:cs="Times New Roman"/>
                <w:color w:val="000000"/>
                <w:spacing w:val="0"/>
                <w:w w:val="100"/>
                <w:position w:val="0"/>
                <w:sz w:val="18"/>
                <w:szCs w:val="18"/>
              </w:rPr>
              <w:t>90</w:t>
            </w:r>
            <w:r>
              <w:rPr>
                <w:color w:val="000000"/>
                <w:spacing w:val="0"/>
                <w:w w:val="100"/>
                <w:position w:val="0"/>
                <w:sz w:val="18"/>
                <w:szCs w:val="18"/>
              </w:rPr>
              <w:t>个自然日内， 若出现以下任一情形，则视为本次稳定股价措施实施完毕 及承诺履行完毕，已公告的稳定股价方案终止执行：</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 公司股票连续</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个交易日的收盘价均高于公司最近一期 经审计的每股净资产；</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、继续回购或增持公司股份将导 致公司股权分布不符合上市条件。（五）未履行稳定公司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9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125"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5698"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股价措施的约束措施。公司承诺：如公司未按照本预案采 取稳定股价的具体措施，应在公司股东大会及中国证监会 指定媒体上公开说明未采取稳定股价措施的具体原因并 向公司股东和社会公众投资者道歉。控股股东承诺：如未 按照股价稳定预案采取稳定股价的具体措施，国科控股应 在公司股东大会及中国证监会指定媒体上公开说明未采 取上述稳定股价措施的具体原因并向公司股东和社会公 众投资者道歉；并在上述事项发生之日起暂停在公司获得 股东分红，同时其拥有的公司股份暂不得转让，直至公司 股票收盘价高于每股净资产或其按预案的规定采取相应 的稳定股价措施并实施完毕时为止。公司董事（独立董事 除外）、高级管理人员承诺：公司董事（独立董事除外）、 高级管理人员未按照本预案采取稳定股价的具体措施，应 在前述事项发生之日起</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个工作日内停止在公司领取薪酬 及股东分红（如有），同时其持有的公司股份（如有）不 得转让，直至公司股票收盘价高于每股净资产或其按上述 预案内容的规定采取相应的股价稳定措施并实施完毕时 为止。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802"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中科信息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承担赔偿或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补偿责任的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若公司的招股说明书有虚假记载、误导性陈述或者重大遗 漏，对判断公司是否符合法律规定的发行条件构成重大、 实质影响的，公司将依法回购首次公开发行的全部新股。 公司将在监管部门认定的有关违法事实的当日进行公告， 并在</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个交易日内根据法律、法规及公司章程的规定召开 董事会并发出召开临时股东大会的通知，在召开临时股东 大会并经相关主管部门批准</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核准</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备案后启动股份回购措 施，公司承诺按市场价格进行回购，如因监管部门认定有 关违法事实导致公司启动股份回购措施时公司股票已停 牌，则回购价格为公司股票停牌前一个交易日平均交易价 格（平均交易价格</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当日成交额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当日总成交量）。公司上市 后发生除权除息事项的，上述回购价格及回购股份数量应</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承诺人严格信守承诺， 未出现违犯承诺的情况</w:t>
            </w:r>
          </w:p>
        </w:tc>
      </w:tr>
    </w:tbl>
    <w:p>
      <w:pPr>
        <w:widowControl w:val="0"/>
        <w:spacing w:after="81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3826"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做相应调整。如公司招股说明书有虚假记载、误导性陈述 或者重大遗漏，致使投资者在证券交易中遭受损失的，将 依法赔偿投资者损失。公司将在该等违法事实被监管部门 或有权机构认定后，本着简化程序、积极协商、先行赔付、 切实保障投资者特别是中小投资者利益的原则，按照投资 者直接遭受的可测算的经济损失选择与投资者和解、通过 第三方与投资者调解及设立投资者赔偿基金等方式积极 赔偿投资者由此遭受的直接经济损失。若公司违反上述承 诺，则将在公司股东大会及中国证监会指定媒体上公开就 未履行上述赔偿措施向股东和社会公众投资者道歉，并按 监管部门及有关司法机关认定的实际损失向投资者进行 赔偿。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11"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国科控股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承担赔偿或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补偿责任的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公司公开募集及上市文件中如有虚假记载、误导性陈述或 者重大遗漏，对判断公司是否符合法律规定的发行条件构 成重大、实质影响的，国科控股将依法以公司股票二级市 场价格购回已转让的原限售股份。公司公开募集及上市文 件中如存在虚假记载、误导性陈述或者重大遗漏，致使投 资者在证券交易中遭受损失的，国科控股将依法赔偿投资 者损失。若国科控股违反上述承诺，则将在公司股东大会 及中国证监会指定媒体上公开就未履行上述赔偿措施向 股东和社会公众投资者道歉，并按监管部门及有关司法机 关认定的实际损失向投资者进行赔偿。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承诺人严格信守承诺， 未出现违犯承诺的情况</w:t>
            </w:r>
          </w:p>
        </w:tc>
      </w:tr>
      <w:tr>
        <w:trPr>
          <w:trHeight w:val="2558"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索继栓、王晓 宇、张勇、杨 红梅、付忠 良、史志明、 黄泽永、赖肇 庆、周玮、王 伟、傅敏、肖 帆、尹邦明、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承担赔偿或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补偿责任的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公司董事、监事和高级管理人员承诺：公司公开募集及上 市文件中如存在虚假记载、误导性陈述或者重大遗漏，致 使投资者在证券交易中遭受损失的，公司董事、监事和高 级管理人员将依法赔偿投资者损失。若违反上述承诺，上 述人员则将在公司股东大会及中国证监会指定媒体上公 开就未履行上述赔偿措施向股东和社会公众投资者道歉， 并按监管部门及有关司法机关认定的实际损失向投资者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承诺人严格信守承诺， 未出现违犯承诺的情况</w:t>
            </w:r>
          </w:p>
        </w:tc>
      </w:tr>
    </w:tbl>
    <w:p>
      <w:pPr>
        <w:widowControl w:val="0"/>
        <w:spacing w:after="71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706"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钟勇、王晓 东、刘小兵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0"/>
              <w:jc w:val="both"/>
              <w:rPr>
                <w:sz w:val="18"/>
                <w:szCs w:val="18"/>
              </w:rPr>
            </w:pPr>
            <w:r>
              <w:rPr>
                <w:color w:val="000000"/>
                <w:spacing w:val="0"/>
                <w:w w:val="100"/>
                <w:position w:val="0"/>
                <w:sz w:val="18"/>
                <w:szCs w:val="18"/>
              </w:rPr>
              <w:t>进行赔偿。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国信证券股 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承担赔偿或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补偿责任的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如因本公司为发行人首次公开发行股票制作、出具的文件 有虚假记载、误导性陈述或者重大遗漏，给投资者造成损 失的，将先行赔偿投资者损失。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1339"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信永中和会 计师事务所</w:t>
            </w:r>
          </w:p>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（特殊普通 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承担赔偿或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补偿责任的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如因本公司为发行人首次公开发行股票制作、出具的文件 有虚假记载、误导性陈述或者重大遗漏，给投资者造成损 失的，将先行赔偿投资者损失。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1022"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四川中一律 师事务所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承担赔偿或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补偿责任的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如因本公司为发行人首次公开发行股票制作、出具的文件 有虚假记载、误导性陈述或者重大遗漏，给投资者造成损 失的，将先行赔偿投资者损失。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5366"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索继栓、王晓 宇、张勇、杨 红梅、付忠 良、史志明、 黄泽永、赖肇 庆、周玮、尹 邦明、钟勇、 王晓东、刘小</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填补被摊薄 即期回报的 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为保证公司首次公开发行股票后的填补回报措施能够得 到切实履行，公司全体董事、高级管理人员根据中国证监 会的相关规定，对公司填补回报措施能够得到切实履行作 出如下承诺：</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、承诺不无偿或以不公平条件向其他单位 或者个人输送利益，也不采用其他方式损害公司利益；</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 承诺对董事和高级管理人员的职务消费行为进行约束；</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 承诺不动用公司资产从事与其履行职责无关的投资、消费 活动；</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、承诺由董事会或薪酬委员会制定的薪酬制度与 公司填补回报措施的执行情况相挂钩；</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、承诺拟公布的 公司股权激励的行权条件与公司填补回报措施的执行情 况相挂钩。本承诺出具日后，如监管机构作出关于填补回 报措施及其承诺的相关规定有其他要求的，且上述承诺不 能满足监管机构的相关要求时，本人承诺届时将按照相关 规定出具补充承诺。如违反上述承诺，本人将遵守如下约 束措施：（</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）在监管机构指定媒体上公开说明未履行承诺 的原因，并向投资者道歉；（</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）如因非不可抗力事件引起 违反承诺事项，且无法提供正当且合理的理由的，因此取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承诺人严格信守承诺， 未出现违犯承诺的情况</w:t>
            </w:r>
          </w:p>
        </w:tc>
      </w:tr>
    </w:tbl>
    <w:p>
      <w:pPr>
        <w:widowControl w:val="0"/>
        <w:spacing w:after="83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1642"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得收益归发行人所有，公司有权要求本人于取得收益之日 起</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个工作日内将违反承诺所得支付到发行人指定账户；</w:t>
            </w:r>
          </w:p>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）若因违反上述承诺给公司或者股东造成损失的，本 人将依法承担补偿责任，且在本人履行上述相关义务之日 前，公司有权暂时扣留本人工资、薪酬和津贴。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858"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中科信息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利润分配政 策的承诺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（一）本次发行后公司的利润分配政策。根据公司</w:t>
            </w: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8"/>
                <w:szCs w:val="18"/>
              </w:rPr>
              <w:t>年第一次临时股东大会审议通过的上市后生效的《中科院 成都信息技术股份有限公司章程（草案）》，公司发行后的 利润分配政策主要内容如下：</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、利润分配原则。公司实 行持续、稳定的利润分配政策，公司利润分配应重视对投 资者的合理投资回报并兼顾公司的可持续发展。在符合利 润分配原则、保证公司正常经营和长远发展的前提下，公 司应注重现金分红。</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、利润分配的形式和比例。公司可 以采取现金、股票或现金和股票二者相结合的方式分配股 利，并优先考虑采取现金方式分配利润；在满足购买原材 料的资金需求、可预期的重大投资计划或重大现金支出的 前提下，公司董事会可以根据公司当期经营利润和现金流 情况进行中期分红，具体方案须经公司董事会审议后提交 公司股东大会批准。</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、利润分配的具体政策。（</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）利润 分配的具体条件。公司在当年度盈利且累计未分配利润为 正的情况下，采取现金方式分红；采用股票股利进行利润 分配的，应当具有公司成长性、每股净资产的摊薄等真实 合理因素；公司董事会应当综合考虑所处行业特点、发展 阶段、自身经营模式、盈利水平以及是否有重大资金支出 安排等因素，区分下列情形，并按照本章程规定的程序， 提出差异化的现金分红政策：①公司发展阶段属成熟期且 无重大资金支出安排的，进行利润分配时，现金分红在本 次利润分配中所占比例最低应达到</w:t>
            </w:r>
            <w:r>
              <w:rPr>
                <w:rFonts w:ascii="Times New Roman" w:eastAsia="Times New Roman" w:hAnsi="Times New Roman" w:cs="Times New Roman"/>
                <w:color w:val="000000"/>
                <w:spacing w:val="0"/>
                <w:w w:val="100"/>
                <w:position w:val="0"/>
                <w:sz w:val="18"/>
                <w:szCs w:val="18"/>
              </w:rPr>
              <w:t>80%</w:t>
            </w:r>
            <w:r>
              <w:rPr>
                <w:color w:val="000000"/>
                <w:spacing w:val="0"/>
                <w:w w:val="100"/>
                <w:position w:val="0"/>
                <w:sz w:val="18"/>
                <w:szCs w:val="18"/>
              </w:rPr>
              <w:t>；②公司发展阶段 属成熟期且有重大资金支出安排的，进行利润分配时，现 金分红在本次利润分配中所占比例最低应达到</w:t>
            </w:r>
            <w:r>
              <w:rPr>
                <w:rFonts w:ascii="Times New Roman" w:eastAsia="Times New Roman" w:hAnsi="Times New Roman" w:cs="Times New Roman"/>
                <w:color w:val="000000"/>
                <w:spacing w:val="0"/>
                <w:w w:val="100"/>
                <w:position w:val="0"/>
                <w:sz w:val="18"/>
                <w:szCs w:val="18"/>
              </w:rPr>
              <w:t>40%</w:t>
            </w:r>
            <w:r>
              <w:rPr>
                <w:color w:val="000000"/>
                <w:spacing w:val="0"/>
                <w:w w:val="100"/>
                <w:position w:val="0"/>
                <w:sz w:val="18"/>
                <w:szCs w:val="18"/>
              </w:rPr>
              <w:t>；③公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承诺人严格信守承诺， 未出现违犯承诺的情况</w:t>
            </w:r>
          </w:p>
        </w:tc>
      </w:tr>
    </w:tbl>
    <w:p>
      <w:pPr>
        <w:widowControl w:val="0"/>
        <w:spacing w:after="81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9384" w:hRule="exact"/>
        </w:trPr>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 xml:space="preserve">司发展阶段属成长期且有重大资金支出安排的，进行利润 分配时，现金分红在本次利润分配中所占比例最低应达到 </w:t>
            </w: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。公司发展阶段不易区分但有重大资金支出安排的， 按照前项规定处理。重大资金支出指公司未来十二个月内 拟对外投资、收购资产或者购买设备等的累计支出达到或 者超过公司最近一期经审计净资产的百分之三十。（</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）现 金分红条件。公司采取现金方式分配股利，应符合下述条 件：①公司该年度或半年度实现的可分配利润（即公司弥 补亏损、提取公积金后所余的税后利润）为正值、且现金 流充裕，实施现金分红不会影响公司后续持续经营；②公 司累计可供分配利润为正值；③审计机构对公司的该年度 财务报告出具标准无保留意见的审计报告；④公司无重大 投资计划或重大现金支出等事项发生（募集资金项目除 外）。重大投资计划或重大现金支出是指公司未来十二个 月内拟对外投资、收购资产或者购买设备的累计支出达到 或者超过公司最近一期经审计总资产的</w:t>
            </w:r>
            <w:r>
              <w:rPr>
                <w:rFonts w:ascii="Times New Roman" w:eastAsia="Times New Roman" w:hAnsi="Times New Roman" w:cs="Times New Roman"/>
                <w:color w:val="000000"/>
                <w:spacing w:val="0"/>
                <w:w w:val="100"/>
                <w:position w:val="0"/>
                <w:sz w:val="18"/>
                <w:szCs w:val="18"/>
              </w:rPr>
              <w:t>30%</w:t>
            </w:r>
            <w:r>
              <w:rPr>
                <w:color w:val="000000"/>
                <w:spacing w:val="0"/>
                <w:w w:val="100"/>
                <w:position w:val="0"/>
                <w:sz w:val="18"/>
                <w:szCs w:val="18"/>
              </w:rPr>
              <w:t>。上述现金分 红条件中的第①</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③项系公司实施现金分红条件的必备条 件；经股东大会审议通过，上述现金分红条件中的第④项 应不影响公司实施现金分红。（</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）现金分红比例。原则上 公司按年度将可供分配的利润进行分配，必要时公司也可 以进行中期利润分配。公司最近三年以现金方式累计分配 的利润不少于最近三年实现的年均可分配利润的</w:t>
            </w:r>
            <w:r>
              <w:rPr>
                <w:rFonts w:ascii="Times New Roman" w:eastAsia="Times New Roman" w:hAnsi="Times New Roman" w:cs="Times New Roman"/>
                <w:color w:val="000000"/>
                <w:spacing w:val="0"/>
                <w:w w:val="100"/>
                <w:position w:val="0"/>
                <w:sz w:val="18"/>
                <w:szCs w:val="18"/>
              </w:rPr>
              <w:t>30%</w:t>
            </w:r>
            <w:r>
              <w:rPr>
                <w:color w:val="000000"/>
                <w:spacing w:val="0"/>
                <w:w w:val="100"/>
                <w:position w:val="0"/>
                <w:sz w:val="18"/>
                <w:szCs w:val="18"/>
              </w:rPr>
              <w:t>。每 年具体的现金分红比例预案由董事会根据前述规定、结合 公司经营状况及相关规定拟定，并提交股东大会表决。（</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 利润分配的期间间隔。每年度进行一次分红，在有条件的 情况下，公司可以进行中期现金分红。</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、利润分配政策 的决策程序：公司董事会拟定现金股利分配方案的，由股 东大会经普通决议的方式表决通过；公司董事会拟定股票 股利分配方案的，由股东大会经特别决议的方式表决通 过。公司监事会应当对董事会编制的股利分配方案进行审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9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125"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9384" w:hRule="exact"/>
        </w:trPr>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核并提出书面审核意见。公司在制定现金分红具体方案 时，董事会应当认真研究和论证公司现金分红的时机、条 件和最低比例、调整的条件及其决策程序要求等事宜，独 立董事应当发表明确意见。独立董事可以征集中小股东的 意见，提出分红提案，并直接提交董事会审议。股东大会 对现金分红具体方案进行审议前，公司应当通过多种渠道 主动与股东特别是中小股东进行沟通和交流，充分听取中 小股东的意见和诉求，及时答复中小股东关心的问题。公 司在上一个会计年度实现盈利，但公司董事会在上一会计 年度结束后未提出现金利润分配预案的，应当在定期报告 中详细说明未分红的原因、未用于分红的资金留存公司的 用途，独立董事还应当对此发表独立意见。公司若当年不 进行或低于本章程规定的现金分红比例进行利润分配的， 公司董事会应当在定期报告中披露原因，独立董事应当对 此发表独立意见，有关利润分配的议案需经公司董事会审 议后提交股东大会批准，并在股东大会提案中详细论证说 明原因及留存资金的具体用途，且公司需提供网络投票的 方式，由股东大会以特别决议的方式表决通过。</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、利润 分配政策的调整机制。公司根据生产经营情况、投资规划 和长期发展的需要，需调整利润分配政策的，调整后的利 润分配政策应以股东权益保护为出发点，不得违反中国证 监会和证券交易所的有关规定，独立董事应当对此发表独 立意见，有关调整利润分配政策的议案需经公司董事会审 议后提交公司股东大会批准，并在股东大会提案中详细论 证和说明原因，且公司需提供网络投票的方式，由股东大 会以特别决议的方式表决通过。（二）未来分红回报规划。 公司股票上市后未来三年，利润分配可采取现金、股票、 现金与股票相结合或者法律、法规允许的其他方式。公司 在选择利润分配方式时，相对于股票股利等分配方式优先 采用现金分红的利润分配方式。根据公司现金流状况、业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9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125"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2890" w:hRule="exact"/>
        </w:trPr>
        <w:tc>
          <w:tcPr>
            <w:vMerge w:val="restart"/>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务成长性、每股净资产规模等真实合理因素，公司可以采 用发放股票股利方式进行利润分配。公司具备现金分红条 件的，公司应当采取现金方式分配股利，公司最近三年以 现金方式累计分配的利润不少于最近三年实现的年均可 分配利润的</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sz w:val="18"/>
                <w:szCs w:val="18"/>
              </w:rPr>
              <w:t xml:space="preserve">；公司在实施上述现金分配股利的同时， 可以派发股票股利。为了回报股东，同时考虑募集资金投 资项目建设及公司业务发展需要，公司在进行利润分配 时，现金分红在本次利润分配中所占比例最低应达到 </w:t>
            </w: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国科控股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持股意向及</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减持意向的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在本公司所持中科信息股份锁定期届满后，且不丧失对发 行人控制权及违反已作出承诺的前提下，本公司可依法减 持所持有的公司股份，具体减持意向为：所持中科信息股 份在锁定期满后</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年内减持的，每年减持的股份合计不超 过所持有公司首次公开发行时的股份数的百分之二十，减 持价格不低于发行价（如遇除权除息，减持价格进行相应 调整），且将提前</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个交易日予以公告。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1339"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宇中投资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持股意向及</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减持意向的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所持中科信息股份在锁定期满后</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年内减持的，每年减持 的股份合计不超过所持有公司首次公开发行时的股份数 的百分之五十，减持价格不低于发行价（如遇除权除息， 减持价格进行相应调整），且将提前</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个交易日予以公告。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1334" w:hRule="exact"/>
        </w:trPr>
        <w:tc>
          <w:tcPr>
            <w:vMerge/>
            <w:tcBorders>
              <w:left w:val="single" w:sz="4"/>
            </w:tcBorders>
            <w:shd w:val="clear" w:color="auto" w:fill="D4D4D4"/>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埃德凯森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持股意向及</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减持意向的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所持中科信息股份在锁定期满后</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年内减持的，每年减持 的股份合计不超过所持有公司首次公开发行时的股份数 的百分之八十，减持价格不低于发行价（如遇除权除息， 减持价格进行相应调整），且将提前</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个交易日予以公告。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r>
        <w:trPr>
          <w:trHeight w:val="1622" w:hRule="exact"/>
        </w:trPr>
        <w:tc>
          <w:tcPr>
            <w:vMerge/>
            <w:tcBorders>
              <w:left w:val="single" w:sz="4"/>
              <w:bottom w:val="single" w:sz="4"/>
            </w:tcBorders>
            <w:shd w:val="clear" w:color="auto" w:fill="D4D4D4"/>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国科控股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关于避免同 业竞争的承 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、本公司或本公司实际控制的公司目前没有、将来也不 会以任何方式在中国境内外直接或间接开展任何导致或 可能导致与中科信息（包括其控股子公司及深圳市中钞科 信金融科技有限公司）现有主营业务产生竞争的业务或活 动，亦不生产任何与中科信息现有产品相同或相似的产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承诺人严格信守承诺， 未出现违犯承诺的情况</w:t>
            </w:r>
          </w:p>
        </w:tc>
      </w:tr>
    </w:tbl>
    <w:p>
      <w:pPr>
        <w:widowControl w:val="0"/>
        <w:spacing w:after="83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3"/>
        <w:gridCol w:w="1123"/>
        <w:gridCol w:w="4546"/>
        <w:gridCol w:w="1171"/>
        <w:gridCol w:w="1349"/>
        <w:gridCol w:w="1901"/>
      </w:tblGrid>
      <w:tr>
        <w:trPr>
          <w:trHeight w:val="413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品。</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、如本公司以及本公司控制的其他公司未来取得可 能与中科信息现有主营业务及现有产品构成竞争关系的 企业权益，则本公司同意将该等资产或业务通过适当的、 有效的方式及时进行处理，以消除同业竞争的情形，处理 方式包括但不限于（</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）向第三方转让、出售在该等企业 中的股权/股份；（</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）在条件允许的情形下，将该等资产及 业务纳入中科信息之经营或资产体系；（</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）在条件允许的 情形下，由中科信息购买该等资产，并将尽最大努力促使 该交易的价格公平合理。</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、如本公司以及本公司控制的 其他公司出现违背以上承诺的情况，给中科信息带来的任 何损失均由本公司承担，以使中科信息恢复到产生损失或 者承担责任之前的状态。</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、本承诺函的有效期自签署之 日起至本公司不再是中科信息之控股股东止。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59" w:hRule="exact"/>
        </w:trPr>
        <w:tc>
          <w:tcPr>
            <w:tcBorders>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国科控股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关于减少及 规范关联交 易的承诺函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）本公司和</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或本公司关联方将尽最大可能避免与中科 信息发生关联交易。（</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）如果在今后的经营活动中，中科 信息确需与本公司或本公司关联方发生任何关联交易的， 则本公司将促使上述交易按照公平合理和正常商业交易 的条件进行，并且严格按照国家有关法律法规、公司章程 的规定履行有关程序；涉及需要回避表决的，本公司及本 公司关联方将严格执行回避表决制度，并不会干涉其他董 事和</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或股东对关联交易的审议。关联交易价格在国家物价 部门有规定时，执行国家价格；在国家物价部门无相关规 定时，按照不高于同类交易的市场价格、市场条件，由交 易双方协商确定，以维护公司及其他股东的合法权益。本 公司及本公司关联方还将严格和善意的履行与中科信息 签订的各种关联交易协议。本公司承诺将不会向中科信息 谋求或给予任何超出上述协议规定以外的利益或收益。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作出承诺时，至 承诺履行完毕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承诺人严格信守承诺， 未出现违犯承诺的情况</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股权激励承诺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其他对公司中小股东所作承诺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9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tbl>
      <w:tblPr>
        <w:tblOverlap w:val="never"/>
        <w:jc w:val="center"/>
        <w:tblLayout w:type="fixed"/>
      </w:tblPr>
      <w:tblGrid>
        <w:gridCol w:w="2846"/>
        <w:gridCol w:w="11213"/>
      </w:tblGrid>
      <w:tr>
        <w:trPr>
          <w:trHeight w:val="43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承诺是否按时履行</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1032"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如承诺超期未履行完毕的，应当详 细说明未完成履行的具体原因及下 一步的工作计划</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bl>
    <w:p>
      <w:pPr>
        <w:widowControl w:val="0"/>
        <w:spacing w:after="8839" w:line="1" w:lineRule="exact"/>
      </w:pPr>
    </w:p>
    <w:p>
      <w:pPr>
        <w:pStyle w:val="Style77"/>
        <w:keepNext w:val="0"/>
        <w:keepLines w:val="0"/>
        <w:widowControl w:val="0"/>
        <w:shd w:val="clear" w:color="auto" w:fill="auto"/>
        <w:bidi w:val="0"/>
        <w:spacing w:before="0" w:after="0" w:line="240" w:lineRule="auto"/>
        <w:ind w:right="0" w:firstLine="0"/>
        <w:jc w:val="left"/>
      </w:pPr>
      <w:r>
        <w:rPr>
          <w:spacing w:val="0"/>
          <w:w w:val="100"/>
          <w:position w:val="0"/>
        </w:rPr>
        <w:t>cninffi</w:t>
      </w:r>
    </w:p>
    <w:p>
      <w:pPr>
        <w:pStyle w:val="Style79"/>
        <w:keepNext w:val="0"/>
        <w:keepLines w:val="0"/>
        <w:widowControl w:val="0"/>
        <w:shd w:val="clear" w:color="auto" w:fill="auto"/>
        <w:bidi w:val="0"/>
        <w:spacing w:before="0" w:after="0" w:line="240" w:lineRule="auto"/>
        <w:ind w:left="10560" w:right="0" w:firstLine="0"/>
        <w:jc w:val="left"/>
      </w:pPr>
      <w:r>
        <w:rPr>
          <w:rFonts w:ascii="SimHei" w:eastAsia="SimHei" w:hAnsi="SimHei" w:cs="SimHei"/>
          <w:b w:val="0"/>
          <w:bCs w:val="0"/>
          <w:spacing w:val="0"/>
          <w:w w:val="100"/>
          <w:position w:val="0"/>
        </w:rPr>
        <w:t>巨潮浇</w:t>
      </w:r>
      <w:r>
        <w:rPr>
          <w:spacing w:val="0"/>
          <w:w w:val="100"/>
          <w:position w:val="0"/>
        </w:rPr>
        <w:t>ill</w:t>
      </w:r>
    </w:p>
    <w:p>
      <w:pPr>
        <w:pStyle w:val="Style79"/>
        <w:keepNext w:val="0"/>
        <w:keepLines w:val="0"/>
        <w:widowControl w:val="0"/>
        <w:shd w:val="clear" w:color="auto" w:fill="auto"/>
        <w:bidi w:val="0"/>
        <w:spacing w:before="0" w:after="0" w:line="226" w:lineRule="auto"/>
        <w:ind w:left="10380" w:right="0" w:firstLine="0"/>
        <w:jc w:val="left"/>
        <w:sectPr>
          <w:footnotePr>
            <w:pos w:val="pageBottom"/>
            <w:numFmt w:val="decimal"/>
            <w:numRestart w:val="continuous"/>
          </w:footnotePr>
          <w:pgSz w:w="16840" w:h="11900" w:orient="landscape"/>
          <w:pgMar w:top="1096" w:right="1349" w:bottom="125" w:left="1431"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44"/>
        <w:keepNext/>
        <w:keepLines/>
        <w:widowControl w:val="0"/>
        <w:shd w:val="clear" w:color="auto" w:fill="auto"/>
        <w:bidi w:val="0"/>
        <w:spacing w:before="0" w:after="120" w:line="322" w:lineRule="exact"/>
        <w:ind w:left="0" w:right="0" w:firstLine="0"/>
        <w:jc w:val="left"/>
      </w:pPr>
      <w:bookmarkStart w:id="357" w:name="bookmark357"/>
      <w:bookmarkStart w:id="358" w:name="bookmark358"/>
      <w:bookmarkStart w:id="359" w:name="bookmark359"/>
      <w:bookmarkStart w:id="360" w:name="bookmark360"/>
      <w:bookmarkStart w:id="361" w:name="bookmark361"/>
      <w:r>
        <w:rPr>
          <w:rFonts w:ascii="Times New Roman" w:eastAsia="Times New Roman" w:hAnsi="Times New Roman" w:cs="Times New Roman"/>
          <w:color w:val="000000"/>
          <w:spacing w:val="0"/>
          <w:w w:val="100"/>
          <w:position w:val="0"/>
        </w:rPr>
        <w:t>2</w:t>
      </w:r>
      <w:bookmarkEnd w:id="359"/>
      <w:r>
        <w:rPr>
          <w:color w:val="000000"/>
          <w:spacing w:val="0"/>
          <w:w w:val="100"/>
          <w:position w:val="0"/>
        </w:rPr>
        <w:t>、公司资产或项目存在盈利预测，且报告期仍处在盈利预测期间，公司就资产或项目达到原盈利预测及 其原因做出说明</w:t>
      </w:r>
      <w:bookmarkEnd w:id="357"/>
      <w:bookmarkEnd w:id="358"/>
      <w:bookmarkEnd w:id="360"/>
      <w:bookmarkEnd w:id="361"/>
    </w:p>
    <w:p>
      <w:pPr>
        <w:pStyle w:val="Style35"/>
        <w:keepNext w:val="0"/>
        <w:keepLines w:val="0"/>
        <w:widowControl w:val="0"/>
        <w:shd w:val="clear" w:color="auto" w:fill="auto"/>
        <w:bidi w:val="0"/>
        <w:spacing w:before="0" w:after="340" w:line="470"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tabs>
          <w:tab w:pos="522" w:val="left"/>
        </w:tabs>
        <w:bidi w:val="0"/>
        <w:spacing w:before="0" w:after="340" w:line="240" w:lineRule="auto"/>
        <w:ind w:left="0" w:right="0" w:firstLine="0"/>
        <w:jc w:val="left"/>
      </w:pPr>
      <w:bookmarkStart w:id="362" w:name="bookmark362"/>
      <w:bookmarkStart w:id="363" w:name="bookmark363"/>
      <w:bookmarkStart w:id="364" w:name="bookmark364"/>
      <w:bookmarkStart w:id="365" w:name="bookmark365"/>
      <w:r>
        <w:rPr>
          <w:color w:val="000000"/>
          <w:spacing w:val="0"/>
          <w:w w:val="100"/>
          <w:position w:val="0"/>
          <w:sz w:val="24"/>
          <w:szCs w:val="24"/>
        </w:rPr>
        <w:t>三</w:t>
      </w:r>
      <w:bookmarkEnd w:id="364"/>
      <w:r>
        <w:rPr>
          <w:color w:val="000000"/>
          <w:spacing w:val="0"/>
          <w:w w:val="100"/>
          <w:position w:val="0"/>
          <w:sz w:val="24"/>
          <w:szCs w:val="24"/>
        </w:rPr>
        <w:t>、</w:t>
        <w:tab/>
        <w:t>控股股东及其关联方对上市公司的非经营性占用资金情况</w:t>
      </w:r>
      <w:bookmarkEnd w:id="362"/>
      <w:bookmarkEnd w:id="363"/>
      <w:bookmarkEnd w:id="365"/>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公司报告期不存在控股股东及其关联方对上市公司的非经营性占用资金。</w:t>
      </w:r>
    </w:p>
    <w:p>
      <w:pPr>
        <w:pStyle w:val="Style33"/>
        <w:keepNext/>
        <w:keepLines/>
        <w:widowControl w:val="0"/>
        <w:shd w:val="clear" w:color="auto" w:fill="auto"/>
        <w:tabs>
          <w:tab w:pos="522" w:val="left"/>
        </w:tabs>
        <w:bidi w:val="0"/>
        <w:spacing w:before="0" w:after="120" w:line="240" w:lineRule="auto"/>
        <w:ind w:left="0" w:right="0" w:firstLine="0"/>
        <w:jc w:val="left"/>
      </w:pPr>
      <w:bookmarkStart w:id="366" w:name="bookmark366"/>
      <w:bookmarkStart w:id="367" w:name="bookmark367"/>
      <w:bookmarkStart w:id="368" w:name="bookmark368"/>
      <w:bookmarkStart w:id="369" w:name="bookmark369"/>
      <w:r>
        <w:rPr>
          <w:color w:val="000000"/>
          <w:spacing w:val="0"/>
          <w:w w:val="100"/>
          <w:position w:val="0"/>
          <w:sz w:val="24"/>
          <w:szCs w:val="24"/>
        </w:rPr>
        <w:t>四</w:t>
      </w:r>
      <w:bookmarkEnd w:id="368"/>
      <w:r>
        <w:rPr>
          <w:color w:val="000000"/>
          <w:spacing w:val="0"/>
          <w:w w:val="100"/>
          <w:position w:val="0"/>
          <w:sz w:val="24"/>
          <w:szCs w:val="24"/>
        </w:rPr>
        <w:t>、</w:t>
        <w:tab/>
        <w:t>董事会对最近一期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相关情况的说明</w:t>
      </w:r>
      <w:bookmarkEnd w:id="366"/>
      <w:bookmarkEnd w:id="367"/>
      <w:bookmarkEnd w:id="369"/>
    </w:p>
    <w:p>
      <w:pPr>
        <w:pStyle w:val="Style35"/>
        <w:keepNext w:val="0"/>
        <w:keepLines w:val="0"/>
        <w:widowControl w:val="0"/>
        <w:shd w:val="clear" w:color="auto" w:fill="auto"/>
        <w:bidi w:val="0"/>
        <w:spacing w:before="0" w:after="340" w:line="470"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tabs>
          <w:tab w:pos="522" w:val="left"/>
        </w:tabs>
        <w:bidi w:val="0"/>
        <w:spacing w:before="0" w:after="120" w:line="240" w:lineRule="auto"/>
        <w:ind w:left="0" w:right="0" w:firstLine="0"/>
        <w:jc w:val="left"/>
      </w:pPr>
      <w:bookmarkStart w:id="370" w:name="bookmark370"/>
      <w:bookmarkStart w:id="371" w:name="bookmark371"/>
      <w:bookmarkStart w:id="372" w:name="bookmark372"/>
      <w:bookmarkStart w:id="373" w:name="bookmark373"/>
      <w:r>
        <w:rPr>
          <w:color w:val="000000"/>
          <w:spacing w:val="0"/>
          <w:w w:val="100"/>
          <w:position w:val="0"/>
          <w:sz w:val="24"/>
          <w:szCs w:val="24"/>
        </w:rPr>
        <w:t>五</w:t>
      </w:r>
      <w:bookmarkEnd w:id="372"/>
      <w:r>
        <w:rPr>
          <w:color w:val="000000"/>
          <w:spacing w:val="0"/>
          <w:w w:val="100"/>
          <w:position w:val="0"/>
          <w:sz w:val="24"/>
          <w:szCs w:val="24"/>
        </w:rPr>
        <w:t>、</w:t>
        <w:tab/>
        <w:t>董事会、监事会、独立董事（如有）对会计师事务所本报告期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的说明</w:t>
      </w:r>
      <w:bookmarkEnd w:id="370"/>
      <w:bookmarkEnd w:id="371"/>
      <w:bookmarkEnd w:id="373"/>
    </w:p>
    <w:p>
      <w:pPr>
        <w:pStyle w:val="Style35"/>
        <w:keepNext w:val="0"/>
        <w:keepLines w:val="0"/>
        <w:widowControl w:val="0"/>
        <w:shd w:val="clear" w:color="auto" w:fill="auto"/>
        <w:bidi w:val="0"/>
        <w:spacing w:before="0" w:after="340" w:line="470" w:lineRule="exact"/>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tabs>
          <w:tab w:pos="522" w:val="left"/>
        </w:tabs>
        <w:bidi w:val="0"/>
        <w:spacing w:before="0" w:after="120" w:line="240" w:lineRule="auto"/>
        <w:ind w:left="0" w:right="0" w:firstLine="0"/>
        <w:jc w:val="left"/>
      </w:pPr>
      <w:bookmarkStart w:id="374" w:name="bookmark374"/>
      <w:bookmarkStart w:id="375" w:name="bookmark375"/>
      <w:bookmarkStart w:id="376" w:name="bookmark376"/>
      <w:bookmarkStart w:id="377" w:name="bookmark377"/>
      <w:r>
        <w:rPr>
          <w:color w:val="000000"/>
          <w:spacing w:val="0"/>
          <w:w w:val="100"/>
          <w:position w:val="0"/>
          <w:sz w:val="24"/>
          <w:szCs w:val="24"/>
        </w:rPr>
        <w:t>六</w:t>
      </w:r>
      <w:bookmarkEnd w:id="376"/>
      <w:r>
        <w:rPr>
          <w:color w:val="000000"/>
          <w:spacing w:val="0"/>
          <w:w w:val="100"/>
          <w:position w:val="0"/>
          <w:sz w:val="24"/>
          <w:szCs w:val="24"/>
        </w:rPr>
        <w:t>、</w:t>
        <w:tab/>
        <w:t>董事会关于报告期会计政策、会计估计变更或重大会计差错更正的说明</w:t>
      </w:r>
      <w:bookmarkEnd w:id="374"/>
      <w:bookmarkEnd w:id="375"/>
      <w:bookmarkEnd w:id="377"/>
    </w:p>
    <w:p>
      <w:pPr>
        <w:pStyle w:val="Style35"/>
        <w:keepNext w:val="0"/>
        <w:keepLines w:val="0"/>
        <w:widowControl w:val="0"/>
        <w:shd w:val="clear" w:color="auto" w:fill="auto"/>
        <w:bidi w:val="0"/>
        <w:spacing w:before="0" w:after="0" w:line="470" w:lineRule="exact"/>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0" w:line="470" w:lineRule="exact"/>
        <w:ind w:left="0" w:right="0" w:firstLine="440"/>
        <w:jc w:val="left"/>
      </w:pPr>
      <w:bookmarkStart w:id="378" w:name="bookmark378"/>
      <w:r>
        <w:rPr>
          <w:rFonts w:ascii="Times New Roman" w:eastAsia="Times New Roman" w:hAnsi="Times New Roman" w:cs="Times New Roman"/>
          <w:color w:val="000000"/>
          <w:spacing w:val="0"/>
          <w:w w:val="100"/>
          <w:position w:val="0"/>
        </w:rPr>
        <w:t>1</w:t>
      </w:r>
      <w:bookmarkEnd w:id="378"/>
      <w:r>
        <w:rPr>
          <w:color w:val="000000"/>
          <w:spacing w:val="0"/>
          <w:w w:val="100"/>
          <w:position w:val="0"/>
        </w:rPr>
        <w:t>、会计政策变更</w:t>
      </w:r>
    </w:p>
    <w:p>
      <w:pPr>
        <w:pStyle w:val="Style47"/>
        <w:keepNext w:val="0"/>
        <w:keepLines w:val="0"/>
        <w:widowControl w:val="0"/>
        <w:shd w:val="clear" w:color="auto" w:fill="auto"/>
        <w:bidi w:val="0"/>
        <w:spacing w:before="0" w:after="440" w:line="470" w:lineRule="exact"/>
        <w:ind w:left="0" w:right="0" w:firstLine="440"/>
        <w:jc w:val="both"/>
      </w:pPr>
      <w:r>
        <w:rPr>
          <w:color w:val="000000"/>
          <w:spacing w:val="0"/>
          <w:w w:val="100"/>
          <w:position w:val="0"/>
        </w:rPr>
        <w:t>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日召开第三届董事会第七次会议，审议通过了《关于会计政策变更的议案》，详 细披露了变更的原因、影响以及其他有关事项，详情可参见公司</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25</w:t>
      </w:r>
      <w:r>
        <w:rPr>
          <w:color w:val="000000"/>
          <w:spacing w:val="0"/>
          <w:w w:val="100"/>
          <w:position w:val="0"/>
        </w:rPr>
        <w:t>日发布的《关于会计政策变 更的公告》（公告编号：</w:t>
      </w:r>
      <w:r>
        <w:rPr>
          <w:rFonts w:ascii="Times New Roman" w:eastAsia="Times New Roman" w:hAnsi="Times New Roman" w:cs="Times New Roman"/>
          <w:color w:val="000000"/>
          <w:spacing w:val="0"/>
          <w:w w:val="100"/>
          <w:position w:val="0"/>
        </w:rPr>
        <w:t>2020-030</w:t>
      </w:r>
      <w:r>
        <w:rPr>
          <w:color w:val="000000"/>
          <w:spacing w:val="0"/>
          <w:w w:val="100"/>
          <w:position w:val="0"/>
        </w:rPr>
        <w:t>）。</w:t>
      </w:r>
    </w:p>
    <w:p>
      <w:pPr>
        <w:pStyle w:val="Style33"/>
        <w:keepNext/>
        <w:keepLines/>
        <w:widowControl w:val="0"/>
        <w:shd w:val="clear" w:color="auto" w:fill="auto"/>
        <w:tabs>
          <w:tab w:pos="522" w:val="left"/>
        </w:tabs>
        <w:bidi w:val="0"/>
        <w:spacing w:before="0" w:after="340" w:line="240" w:lineRule="auto"/>
        <w:ind w:left="0" w:right="0" w:firstLine="0"/>
        <w:jc w:val="left"/>
      </w:pPr>
      <w:bookmarkStart w:id="379" w:name="bookmark379"/>
      <w:bookmarkStart w:id="380" w:name="bookmark380"/>
      <w:bookmarkStart w:id="381" w:name="bookmark381"/>
      <w:bookmarkStart w:id="382" w:name="bookmark382"/>
      <w:r>
        <w:rPr>
          <w:color w:val="000000"/>
          <w:spacing w:val="0"/>
          <w:w w:val="100"/>
          <w:position w:val="0"/>
          <w:sz w:val="24"/>
          <w:szCs w:val="24"/>
        </w:rPr>
        <w:t>七</w:t>
      </w:r>
      <w:bookmarkEnd w:id="381"/>
      <w:r>
        <w:rPr>
          <w:color w:val="000000"/>
          <w:spacing w:val="0"/>
          <w:w w:val="100"/>
          <w:position w:val="0"/>
          <w:sz w:val="24"/>
          <w:szCs w:val="24"/>
        </w:rPr>
        <w:t>、</w:t>
        <w:tab/>
        <w:t>与上年度财务报告相比，合并报表范围发生变化的情况说明</w:t>
      </w:r>
      <w:bookmarkEnd w:id="379"/>
      <w:bookmarkEnd w:id="380"/>
      <w:bookmarkEnd w:id="382"/>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公司报告期无合并报表范围发生变化的情况。</w:t>
      </w:r>
    </w:p>
    <w:p>
      <w:pPr>
        <w:pStyle w:val="Style33"/>
        <w:keepNext/>
        <w:keepLines/>
        <w:widowControl w:val="0"/>
        <w:shd w:val="clear" w:color="auto" w:fill="auto"/>
        <w:tabs>
          <w:tab w:pos="522" w:val="left"/>
        </w:tabs>
        <w:bidi w:val="0"/>
        <w:spacing w:before="0" w:after="340" w:line="240" w:lineRule="auto"/>
        <w:ind w:left="0" w:right="0" w:firstLine="0"/>
        <w:jc w:val="left"/>
      </w:pPr>
      <w:bookmarkStart w:id="383" w:name="bookmark383"/>
      <w:bookmarkStart w:id="384" w:name="bookmark384"/>
      <w:bookmarkStart w:id="385" w:name="bookmark385"/>
      <w:bookmarkStart w:id="386" w:name="bookmark386"/>
      <w:r>
        <w:rPr>
          <w:color w:val="000000"/>
          <w:spacing w:val="0"/>
          <w:w w:val="100"/>
          <w:position w:val="0"/>
          <w:sz w:val="24"/>
          <w:szCs w:val="24"/>
        </w:rPr>
        <w:t>八</w:t>
      </w:r>
      <w:bookmarkEnd w:id="385"/>
      <w:r>
        <w:rPr>
          <w:color w:val="000000"/>
          <w:spacing w:val="0"/>
          <w:w w:val="100"/>
          <w:position w:val="0"/>
          <w:sz w:val="24"/>
          <w:szCs w:val="24"/>
        </w:rPr>
        <w:t>、</w:t>
        <w:tab/>
        <w:t>聘任、解聘会计师事务所情况</w:t>
      </w:r>
      <w:bookmarkEnd w:id="383"/>
      <w:bookmarkEnd w:id="384"/>
      <w:bookmarkEnd w:id="386"/>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现聘任的会计事务所</w:t>
      </w:r>
    </w:p>
    <w:tbl>
      <w:tblPr>
        <w:tblOverlap w:val="never"/>
        <w:jc w:val="center"/>
        <w:tblLayout w:type="fixed"/>
      </w:tblPr>
      <w:tblGrid>
        <w:gridCol w:w="4800"/>
        <w:gridCol w:w="4786"/>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天职国际会计师事务所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特殊普通合伙</w:t>
            </w: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境内会计师事务所报酬（万元）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境内会计师事务所审计服务的连续年限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境内会计师事务所注册会计师姓名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申军、刘浪</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境内会计师事务所注册会计师审计服务的连续年限</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是否改聘会计师事务所</w:t>
      </w:r>
    </w:p>
    <w:p>
      <w:pPr>
        <w:widowControl w:val="0"/>
        <w:spacing w:after="799" w:line="1" w:lineRule="exact"/>
      </w:pPr>
    </w:p>
    <w:p>
      <w:pPr>
        <w:pStyle w:val="Style83"/>
        <w:keepNext w:val="0"/>
        <w:keepLines w:val="0"/>
        <w:widowControl w:val="0"/>
        <w:shd w:val="clear" w:color="auto" w:fill="auto"/>
        <w:bidi w:val="0"/>
        <w:spacing w:before="0" w:after="340" w:line="240" w:lineRule="auto"/>
        <w:ind w:left="0" w:right="0" w:firstLine="0"/>
        <w:jc w:val="right"/>
        <w:rPr>
          <w:sz w:val="26"/>
          <w:szCs w:val="26"/>
        </w:rPr>
        <w:sectPr>
          <w:headerReference w:type="default" r:id="rId127"/>
          <w:footerReference w:type="default" r:id="rId128"/>
          <w:headerReference w:type="even" r:id="rId129"/>
          <w:footerReference w:type="even" r:id="rId130"/>
          <w:footnotePr>
            <w:pos w:val="pageBottom"/>
            <w:numFmt w:val="decimal"/>
            <w:numRestart w:val="continuous"/>
          </w:footnotePr>
          <w:pgSz w:w="11900" w:h="16840"/>
          <w:pgMar w:top="1662" w:right="1118"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聘请内部控制审计会计师事务所、财务顾问或保荐人情况</w:t>
      </w:r>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0"/>
        <w:jc w:val="left"/>
      </w:pPr>
      <w:bookmarkStart w:id="387" w:name="bookmark387"/>
      <w:bookmarkStart w:id="388" w:name="bookmark388"/>
      <w:bookmarkStart w:id="389" w:name="bookmark389"/>
      <w:bookmarkStart w:id="390" w:name="bookmark390"/>
      <w:r>
        <w:rPr>
          <w:color w:val="000000"/>
          <w:spacing w:val="0"/>
          <w:w w:val="100"/>
          <w:position w:val="0"/>
          <w:sz w:val="24"/>
          <w:szCs w:val="24"/>
        </w:rPr>
        <w:t>九</w:t>
      </w:r>
      <w:bookmarkEnd w:id="389"/>
      <w:r>
        <w:rPr>
          <w:color w:val="000000"/>
          <w:spacing w:val="0"/>
          <w:w w:val="100"/>
          <w:position w:val="0"/>
          <w:sz w:val="24"/>
          <w:szCs w:val="24"/>
        </w:rPr>
        <w:t>、年度报告披露后面临退市情况</w:t>
      </w:r>
      <w:bookmarkEnd w:id="387"/>
      <w:bookmarkEnd w:id="388"/>
      <w:bookmarkEnd w:id="390"/>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0"/>
        <w:jc w:val="left"/>
      </w:pPr>
      <w:bookmarkStart w:id="391" w:name="bookmark391"/>
      <w:bookmarkStart w:id="392" w:name="bookmark392"/>
      <w:bookmarkStart w:id="393" w:name="bookmark393"/>
      <w:r>
        <w:rPr>
          <w:color w:val="000000"/>
          <w:spacing w:val="0"/>
          <w:w w:val="100"/>
          <w:position w:val="0"/>
          <w:sz w:val="24"/>
          <w:szCs w:val="24"/>
        </w:rPr>
        <w:t>十、破产重整相关事项</w:t>
      </w:r>
      <w:bookmarkEnd w:id="391"/>
      <w:bookmarkEnd w:id="392"/>
      <w:bookmarkEnd w:id="393"/>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公司报告期未发生破产重整相关事项。</w:t>
      </w:r>
    </w:p>
    <w:p>
      <w:pPr>
        <w:pStyle w:val="Style33"/>
        <w:keepNext/>
        <w:keepLines/>
        <w:widowControl w:val="0"/>
        <w:shd w:val="clear" w:color="auto" w:fill="auto"/>
        <w:bidi w:val="0"/>
        <w:spacing w:before="0" w:after="340" w:line="240" w:lineRule="auto"/>
        <w:ind w:left="0" w:right="0" w:firstLine="0"/>
        <w:jc w:val="left"/>
      </w:pPr>
      <w:bookmarkStart w:id="394" w:name="bookmark394"/>
      <w:bookmarkStart w:id="395" w:name="bookmark395"/>
      <w:bookmarkStart w:id="396" w:name="bookmark396"/>
      <w:r>
        <w:rPr>
          <w:color w:val="000000"/>
          <w:spacing w:val="0"/>
          <w:w w:val="100"/>
          <w:position w:val="0"/>
          <w:sz w:val="24"/>
          <w:szCs w:val="24"/>
        </w:rPr>
        <w:t>十一、重大诉讼、仲裁事项</w:t>
      </w:r>
      <w:bookmarkEnd w:id="394"/>
      <w:bookmarkEnd w:id="395"/>
      <w:bookmarkEnd w:id="396"/>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本年度公司无重大诉讼、仲裁事项。</w:t>
      </w:r>
    </w:p>
    <w:p>
      <w:pPr>
        <w:pStyle w:val="Style33"/>
        <w:keepNext/>
        <w:keepLines/>
        <w:widowControl w:val="0"/>
        <w:shd w:val="clear" w:color="auto" w:fill="auto"/>
        <w:bidi w:val="0"/>
        <w:spacing w:before="0" w:after="340" w:line="240" w:lineRule="auto"/>
        <w:ind w:left="0" w:right="0" w:firstLine="0"/>
        <w:jc w:val="left"/>
      </w:pPr>
      <w:bookmarkStart w:id="397" w:name="bookmark397"/>
      <w:bookmarkStart w:id="398" w:name="bookmark398"/>
      <w:bookmarkStart w:id="399" w:name="bookmark399"/>
      <w:r>
        <w:rPr>
          <w:color w:val="000000"/>
          <w:spacing w:val="0"/>
          <w:w w:val="100"/>
          <w:position w:val="0"/>
          <w:sz w:val="24"/>
          <w:szCs w:val="24"/>
        </w:rPr>
        <w:t>十二、处罚及整改情况</w:t>
      </w:r>
      <w:bookmarkEnd w:id="397"/>
      <w:bookmarkEnd w:id="398"/>
      <w:bookmarkEnd w:id="399"/>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公司报告期不存在处罚及整改情况。</w:t>
      </w:r>
    </w:p>
    <w:p>
      <w:pPr>
        <w:pStyle w:val="Style33"/>
        <w:keepNext/>
        <w:keepLines/>
        <w:widowControl w:val="0"/>
        <w:shd w:val="clear" w:color="auto" w:fill="auto"/>
        <w:bidi w:val="0"/>
        <w:spacing w:before="0" w:after="340" w:line="240" w:lineRule="auto"/>
        <w:ind w:left="0" w:right="0" w:firstLine="0"/>
        <w:jc w:val="left"/>
      </w:pPr>
      <w:bookmarkStart w:id="400" w:name="bookmark400"/>
      <w:bookmarkStart w:id="401" w:name="bookmark401"/>
      <w:bookmarkStart w:id="402" w:name="bookmark402"/>
      <w:r>
        <w:rPr>
          <w:color w:val="000000"/>
          <w:spacing w:val="0"/>
          <w:w w:val="100"/>
          <w:position w:val="0"/>
          <w:sz w:val="24"/>
          <w:szCs w:val="24"/>
        </w:rPr>
        <w:t>十三、公司及其控股股东、实际控制人的诚信状况</w:t>
      </w:r>
      <w:bookmarkEnd w:id="400"/>
      <w:bookmarkEnd w:id="401"/>
      <w:bookmarkEnd w:id="402"/>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0"/>
        <w:jc w:val="left"/>
      </w:pPr>
      <w:bookmarkStart w:id="403" w:name="bookmark403"/>
      <w:bookmarkStart w:id="404" w:name="bookmark404"/>
      <w:bookmarkStart w:id="405" w:name="bookmark405"/>
      <w:r>
        <w:rPr>
          <w:color w:val="000000"/>
          <w:spacing w:val="0"/>
          <w:w w:val="100"/>
          <w:position w:val="0"/>
          <w:sz w:val="24"/>
          <w:szCs w:val="24"/>
        </w:rPr>
        <w:t>十四、公司股权激励计划、员工持股计划或其他员工激励措施的实施情况</w:t>
      </w:r>
      <w:bookmarkEnd w:id="403"/>
      <w:bookmarkEnd w:id="404"/>
      <w:bookmarkEnd w:id="405"/>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公司报告期无股权激励计划、员工持股计划或其他员工激励措施及其实施情况。</w:t>
      </w:r>
    </w:p>
    <w:p>
      <w:pPr>
        <w:pStyle w:val="Style33"/>
        <w:keepNext/>
        <w:keepLines/>
        <w:widowControl w:val="0"/>
        <w:shd w:val="clear" w:color="auto" w:fill="auto"/>
        <w:bidi w:val="0"/>
        <w:spacing w:before="0" w:after="340" w:line="240" w:lineRule="auto"/>
        <w:ind w:left="0" w:right="0" w:firstLine="0"/>
        <w:jc w:val="left"/>
      </w:pPr>
      <w:bookmarkStart w:id="406" w:name="bookmark406"/>
      <w:bookmarkStart w:id="407" w:name="bookmark407"/>
      <w:bookmarkStart w:id="408" w:name="bookmark408"/>
      <w:r>
        <w:rPr>
          <w:color w:val="000000"/>
          <w:spacing w:val="0"/>
          <w:w w:val="100"/>
          <w:position w:val="0"/>
          <w:sz w:val="24"/>
          <w:szCs w:val="24"/>
        </w:rPr>
        <w:t>十五、重大关联交易</w:t>
      </w:r>
      <w:bookmarkEnd w:id="406"/>
      <w:bookmarkEnd w:id="407"/>
      <w:bookmarkEnd w:id="408"/>
    </w:p>
    <w:p>
      <w:pPr>
        <w:pStyle w:val="Style44"/>
        <w:keepNext/>
        <w:keepLines/>
        <w:widowControl w:val="0"/>
        <w:shd w:val="clear" w:color="auto" w:fill="auto"/>
        <w:tabs>
          <w:tab w:pos="368" w:val="left"/>
        </w:tabs>
        <w:bidi w:val="0"/>
        <w:spacing w:before="0" w:line="240" w:lineRule="auto"/>
        <w:ind w:left="0" w:right="0" w:firstLine="0"/>
        <w:jc w:val="left"/>
      </w:pPr>
      <w:bookmarkStart w:id="409" w:name="bookmark409"/>
      <w:bookmarkStart w:id="410" w:name="bookmark410"/>
      <w:bookmarkStart w:id="411" w:name="bookmark411"/>
      <w:bookmarkStart w:id="412" w:name="bookmark412"/>
      <w:r>
        <w:rPr>
          <w:rFonts w:ascii="Times New Roman" w:eastAsia="Times New Roman" w:hAnsi="Times New Roman" w:cs="Times New Roman"/>
          <w:color w:val="000000"/>
          <w:spacing w:val="0"/>
          <w:w w:val="100"/>
          <w:position w:val="0"/>
        </w:rPr>
        <w:t>1</w:t>
      </w:r>
      <w:bookmarkEnd w:id="411"/>
      <w:r>
        <w:rPr>
          <w:color w:val="000000"/>
          <w:spacing w:val="0"/>
          <w:w w:val="100"/>
          <w:position w:val="0"/>
        </w:rPr>
        <w:t>、</w:t>
        <w:tab/>
        <w:t>与日常经营相关的关联交易</w:t>
      </w:r>
      <w:bookmarkEnd w:id="409"/>
      <w:bookmarkEnd w:id="410"/>
      <w:bookmarkEnd w:id="412"/>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公司报告期未发生与日常经营相关的关联交易。</w:t>
      </w:r>
    </w:p>
    <w:p>
      <w:pPr>
        <w:pStyle w:val="Style44"/>
        <w:keepNext/>
        <w:keepLines/>
        <w:widowControl w:val="0"/>
        <w:shd w:val="clear" w:color="auto" w:fill="auto"/>
        <w:tabs>
          <w:tab w:pos="378" w:val="left"/>
        </w:tabs>
        <w:bidi w:val="0"/>
        <w:spacing w:before="0" w:line="240" w:lineRule="auto"/>
        <w:ind w:left="0" w:right="0" w:firstLine="0"/>
        <w:jc w:val="left"/>
      </w:pPr>
      <w:bookmarkStart w:id="413" w:name="bookmark413"/>
      <w:bookmarkStart w:id="414" w:name="bookmark414"/>
      <w:bookmarkStart w:id="415" w:name="bookmark415"/>
      <w:bookmarkStart w:id="416" w:name="bookmark416"/>
      <w:r>
        <w:rPr>
          <w:rFonts w:ascii="Times New Roman" w:eastAsia="Times New Roman" w:hAnsi="Times New Roman" w:cs="Times New Roman"/>
          <w:color w:val="000000"/>
          <w:spacing w:val="0"/>
          <w:w w:val="100"/>
          <w:position w:val="0"/>
        </w:rPr>
        <w:t>2</w:t>
      </w:r>
      <w:bookmarkEnd w:id="415"/>
      <w:r>
        <w:rPr>
          <w:color w:val="000000"/>
          <w:spacing w:val="0"/>
          <w:w w:val="100"/>
          <w:position w:val="0"/>
        </w:rPr>
        <w:t>、</w:t>
        <w:tab/>
        <w:t>资产或股权收购、出售发生的关联交易</w:t>
      </w:r>
      <w:bookmarkEnd w:id="413"/>
      <w:bookmarkEnd w:id="414"/>
      <w:bookmarkEnd w:id="416"/>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160" w:line="240" w:lineRule="auto"/>
        <w:ind w:left="0" w:right="0" w:firstLine="0"/>
        <w:jc w:val="left"/>
      </w:pPr>
      <w:r>
        <w:rPr>
          <w:color w:val="000000"/>
          <w:spacing w:val="0"/>
          <w:w w:val="100"/>
          <w:position w:val="0"/>
        </w:rPr>
        <w:t>公司报告期未发生资产或股权收购、出售的关联交易。</w:t>
      </w:r>
    </w:p>
    <w:p>
      <w:pPr>
        <w:pStyle w:val="Style83"/>
        <w:keepNext w:val="0"/>
        <w:keepLines w:val="0"/>
        <w:widowControl w:val="0"/>
        <w:shd w:val="clear" w:color="auto" w:fill="auto"/>
        <w:bidi w:val="0"/>
        <w:spacing w:before="0" w:after="340" w:line="240" w:lineRule="auto"/>
        <w:ind w:left="0" w:right="0" w:firstLine="0"/>
        <w:jc w:val="right"/>
        <w:rPr>
          <w:sz w:val="26"/>
          <w:szCs w:val="26"/>
        </w:rPr>
        <w:sectPr>
          <w:footnotePr>
            <w:pos w:val="pageBottom"/>
            <w:numFmt w:val="decimal"/>
            <w:numRestart w:val="continuous"/>
          </w:footnotePr>
          <w:pgSz w:w="11900" w:h="16840"/>
          <w:pgMar w:top="1465" w:right="1118"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4"/>
        <w:keepNext/>
        <w:keepLines/>
        <w:widowControl w:val="0"/>
        <w:shd w:val="clear" w:color="auto" w:fill="auto"/>
        <w:tabs>
          <w:tab w:pos="378" w:val="left"/>
        </w:tabs>
        <w:bidi w:val="0"/>
        <w:spacing w:before="200" w:after="360" w:line="240" w:lineRule="auto"/>
        <w:ind w:left="0" w:right="0" w:firstLine="0"/>
        <w:jc w:val="both"/>
      </w:pPr>
      <w:bookmarkStart w:id="417" w:name="bookmark417"/>
      <w:bookmarkStart w:id="418" w:name="bookmark418"/>
      <w:bookmarkStart w:id="419" w:name="bookmark419"/>
      <w:bookmarkStart w:id="420" w:name="bookmark420"/>
      <w:r>
        <w:rPr>
          <w:rFonts w:ascii="Times New Roman" w:eastAsia="Times New Roman" w:hAnsi="Times New Roman" w:cs="Times New Roman"/>
          <w:color w:val="000000"/>
          <w:spacing w:val="0"/>
          <w:w w:val="100"/>
          <w:position w:val="0"/>
        </w:rPr>
        <w:t>3</w:t>
      </w:r>
      <w:bookmarkEnd w:id="419"/>
      <w:r>
        <w:rPr>
          <w:color w:val="000000"/>
          <w:spacing w:val="0"/>
          <w:w w:val="100"/>
          <w:position w:val="0"/>
        </w:rPr>
        <w:t>、</w:t>
        <w:tab/>
        <w:t>共同对外投资的关联交易</w:t>
      </w:r>
      <w:bookmarkEnd w:id="417"/>
      <w:bookmarkEnd w:id="418"/>
      <w:bookmarkEnd w:id="420"/>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公司报告期未发生共同对外投资的关联交易。</w:t>
      </w:r>
    </w:p>
    <w:p>
      <w:pPr>
        <w:pStyle w:val="Style44"/>
        <w:keepNext/>
        <w:keepLines/>
        <w:widowControl w:val="0"/>
        <w:shd w:val="clear" w:color="auto" w:fill="auto"/>
        <w:tabs>
          <w:tab w:pos="378" w:val="left"/>
        </w:tabs>
        <w:bidi w:val="0"/>
        <w:spacing w:before="0" w:after="360" w:line="240" w:lineRule="auto"/>
        <w:ind w:left="0" w:right="0" w:firstLine="0"/>
        <w:jc w:val="both"/>
      </w:pPr>
      <w:bookmarkStart w:id="421" w:name="bookmark421"/>
      <w:bookmarkStart w:id="422" w:name="bookmark422"/>
      <w:bookmarkStart w:id="423" w:name="bookmark423"/>
      <w:bookmarkStart w:id="424" w:name="bookmark424"/>
      <w:r>
        <w:rPr>
          <w:rFonts w:ascii="Times New Roman" w:eastAsia="Times New Roman" w:hAnsi="Times New Roman" w:cs="Times New Roman"/>
          <w:color w:val="000000"/>
          <w:spacing w:val="0"/>
          <w:w w:val="100"/>
          <w:position w:val="0"/>
        </w:rPr>
        <w:t>4</w:t>
      </w:r>
      <w:bookmarkEnd w:id="423"/>
      <w:r>
        <w:rPr>
          <w:color w:val="000000"/>
          <w:spacing w:val="0"/>
          <w:w w:val="100"/>
          <w:position w:val="0"/>
        </w:rPr>
        <w:t>、</w:t>
        <w:tab/>
        <w:t>关联债权债务往来</w:t>
      </w:r>
      <w:bookmarkEnd w:id="421"/>
      <w:bookmarkEnd w:id="422"/>
      <w:bookmarkEnd w:id="424"/>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公司报告期不存在关联债权债务往来。</w:t>
      </w:r>
    </w:p>
    <w:p>
      <w:pPr>
        <w:pStyle w:val="Style44"/>
        <w:keepNext/>
        <w:keepLines/>
        <w:widowControl w:val="0"/>
        <w:shd w:val="clear" w:color="auto" w:fill="auto"/>
        <w:tabs>
          <w:tab w:pos="378" w:val="left"/>
        </w:tabs>
        <w:bidi w:val="0"/>
        <w:spacing w:before="0" w:after="360" w:line="240" w:lineRule="auto"/>
        <w:ind w:left="0" w:right="0" w:firstLine="0"/>
        <w:jc w:val="both"/>
      </w:pPr>
      <w:bookmarkStart w:id="425" w:name="bookmark425"/>
      <w:bookmarkStart w:id="426" w:name="bookmark426"/>
      <w:bookmarkStart w:id="427" w:name="bookmark427"/>
      <w:bookmarkStart w:id="428" w:name="bookmark428"/>
      <w:r>
        <w:rPr>
          <w:rFonts w:ascii="Times New Roman" w:eastAsia="Times New Roman" w:hAnsi="Times New Roman" w:cs="Times New Roman"/>
          <w:color w:val="000000"/>
          <w:spacing w:val="0"/>
          <w:w w:val="100"/>
          <w:position w:val="0"/>
        </w:rPr>
        <w:t>5</w:t>
      </w:r>
      <w:bookmarkEnd w:id="427"/>
      <w:r>
        <w:rPr>
          <w:color w:val="000000"/>
          <w:spacing w:val="0"/>
          <w:w w:val="100"/>
          <w:position w:val="0"/>
        </w:rPr>
        <w:t>、</w:t>
        <w:tab/>
        <w:t>其他重大关联交易</w:t>
      </w:r>
      <w:bookmarkEnd w:id="425"/>
      <w:bookmarkEnd w:id="426"/>
      <w:bookmarkEnd w:id="428"/>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公司报告期无其他重大关联交易。</w:t>
      </w:r>
    </w:p>
    <w:p>
      <w:pPr>
        <w:pStyle w:val="Style33"/>
        <w:keepNext/>
        <w:keepLines/>
        <w:widowControl w:val="0"/>
        <w:shd w:val="clear" w:color="auto" w:fill="auto"/>
        <w:bidi w:val="0"/>
        <w:spacing w:before="0" w:after="360" w:line="240" w:lineRule="auto"/>
        <w:ind w:left="0" w:right="0" w:firstLine="0"/>
        <w:jc w:val="both"/>
      </w:pPr>
      <w:bookmarkStart w:id="429" w:name="bookmark429"/>
      <w:bookmarkStart w:id="430" w:name="bookmark430"/>
      <w:bookmarkStart w:id="431" w:name="bookmark431"/>
      <w:r>
        <w:rPr>
          <w:color w:val="000000"/>
          <w:spacing w:val="0"/>
          <w:w w:val="100"/>
          <w:position w:val="0"/>
          <w:sz w:val="24"/>
          <w:szCs w:val="24"/>
        </w:rPr>
        <w:t>十六、重大合同及其履行情况</w:t>
      </w:r>
      <w:bookmarkEnd w:id="429"/>
      <w:bookmarkEnd w:id="430"/>
      <w:bookmarkEnd w:id="431"/>
    </w:p>
    <w:p>
      <w:pPr>
        <w:pStyle w:val="Style44"/>
        <w:keepNext/>
        <w:keepLines/>
        <w:widowControl w:val="0"/>
        <w:shd w:val="clear" w:color="auto" w:fill="auto"/>
        <w:tabs>
          <w:tab w:pos="368" w:val="left"/>
        </w:tabs>
        <w:bidi w:val="0"/>
        <w:spacing w:before="0" w:after="360" w:line="240" w:lineRule="auto"/>
        <w:ind w:left="0" w:right="0" w:firstLine="0"/>
        <w:jc w:val="both"/>
      </w:pPr>
      <w:bookmarkStart w:id="432" w:name="bookmark432"/>
      <w:bookmarkStart w:id="433" w:name="bookmark433"/>
      <w:bookmarkStart w:id="434" w:name="bookmark434"/>
      <w:bookmarkStart w:id="435" w:name="bookmark435"/>
      <w:r>
        <w:rPr>
          <w:rFonts w:ascii="Times New Roman" w:eastAsia="Times New Roman" w:hAnsi="Times New Roman" w:cs="Times New Roman"/>
          <w:color w:val="000000"/>
          <w:spacing w:val="0"/>
          <w:w w:val="100"/>
          <w:position w:val="0"/>
        </w:rPr>
        <w:t>1</w:t>
      </w:r>
      <w:bookmarkEnd w:id="434"/>
      <w:r>
        <w:rPr>
          <w:color w:val="000000"/>
          <w:spacing w:val="0"/>
          <w:w w:val="100"/>
          <w:position w:val="0"/>
        </w:rPr>
        <w:t>、</w:t>
        <w:tab/>
        <w:t>托管、承包、租赁事项情况</w:t>
      </w:r>
      <w:bookmarkEnd w:id="432"/>
      <w:bookmarkEnd w:id="433"/>
      <w:bookmarkEnd w:id="435"/>
    </w:p>
    <w:p>
      <w:pPr>
        <w:pStyle w:val="Style60"/>
        <w:keepNext/>
        <w:keepLines/>
        <w:widowControl w:val="0"/>
        <w:shd w:val="clear" w:color="auto" w:fill="auto"/>
        <w:tabs>
          <w:tab w:pos="493" w:val="left"/>
        </w:tabs>
        <w:bidi w:val="0"/>
        <w:spacing w:before="0" w:line="240" w:lineRule="auto"/>
        <w:ind w:left="0" w:right="0" w:firstLine="0"/>
        <w:jc w:val="both"/>
      </w:pPr>
      <w:bookmarkStart w:id="436" w:name="bookmark436"/>
      <w:bookmarkStart w:id="437" w:name="bookmark437"/>
      <w:bookmarkStart w:id="438" w:name="bookmark438"/>
      <w:bookmarkStart w:id="439" w:name="bookmark439"/>
      <w:r>
        <w:rPr>
          <w:color w:val="000000"/>
          <w:spacing w:val="0"/>
          <w:w w:val="100"/>
          <w:position w:val="0"/>
        </w:rPr>
        <w:t>（</w:t>
      </w:r>
      <w:bookmarkEnd w:id="438"/>
      <w:r>
        <w:rPr>
          <w:rFonts w:ascii="Times New Roman" w:eastAsia="Times New Roman" w:hAnsi="Times New Roman" w:cs="Times New Roman"/>
          <w:color w:val="000000"/>
          <w:spacing w:val="0"/>
          <w:w w:val="100"/>
          <w:position w:val="0"/>
        </w:rPr>
        <w:t>1</w:t>
      </w:r>
      <w:r>
        <w:rPr>
          <w:color w:val="000000"/>
          <w:spacing w:val="0"/>
          <w:w w:val="100"/>
          <w:position w:val="0"/>
        </w:rPr>
        <w:t>）</w:t>
        <w:tab/>
        <w:t>托管情况</w:t>
      </w:r>
      <w:bookmarkEnd w:id="436"/>
      <w:bookmarkEnd w:id="437"/>
      <w:bookmarkEnd w:id="439"/>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公司报告期不存在托管情况。</w:t>
      </w:r>
    </w:p>
    <w:p>
      <w:pPr>
        <w:pStyle w:val="Style60"/>
        <w:keepNext/>
        <w:keepLines/>
        <w:widowControl w:val="0"/>
        <w:shd w:val="clear" w:color="auto" w:fill="auto"/>
        <w:tabs>
          <w:tab w:pos="493" w:val="left"/>
        </w:tabs>
        <w:bidi w:val="0"/>
        <w:spacing w:before="0" w:line="240" w:lineRule="auto"/>
        <w:ind w:left="0" w:right="0" w:firstLine="0"/>
        <w:jc w:val="both"/>
      </w:pPr>
      <w:bookmarkStart w:id="440" w:name="bookmark440"/>
      <w:bookmarkStart w:id="441" w:name="bookmark441"/>
      <w:bookmarkStart w:id="442" w:name="bookmark442"/>
      <w:bookmarkStart w:id="443" w:name="bookmark443"/>
      <w:r>
        <w:rPr>
          <w:color w:val="000000"/>
          <w:spacing w:val="0"/>
          <w:w w:val="100"/>
          <w:position w:val="0"/>
        </w:rPr>
        <w:t>（</w:t>
      </w:r>
      <w:bookmarkEnd w:id="442"/>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440"/>
      <w:bookmarkEnd w:id="441"/>
      <w:bookmarkEnd w:id="443"/>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公司报告期不存在承包情况。</w:t>
      </w:r>
    </w:p>
    <w:p>
      <w:pPr>
        <w:pStyle w:val="Style60"/>
        <w:keepNext/>
        <w:keepLines/>
        <w:widowControl w:val="0"/>
        <w:shd w:val="clear" w:color="auto" w:fill="auto"/>
        <w:tabs>
          <w:tab w:pos="493" w:val="left"/>
        </w:tabs>
        <w:bidi w:val="0"/>
        <w:spacing w:before="0" w:line="240" w:lineRule="auto"/>
        <w:ind w:left="0" w:right="0" w:firstLine="0"/>
        <w:jc w:val="both"/>
      </w:pPr>
      <w:bookmarkStart w:id="444" w:name="bookmark444"/>
      <w:bookmarkStart w:id="445" w:name="bookmark445"/>
      <w:bookmarkStart w:id="446" w:name="bookmark446"/>
      <w:bookmarkStart w:id="447" w:name="bookmark447"/>
      <w:r>
        <w:rPr>
          <w:color w:val="000000"/>
          <w:spacing w:val="0"/>
          <w:w w:val="100"/>
          <w:position w:val="0"/>
        </w:rPr>
        <w:t>（</w:t>
      </w:r>
      <w:bookmarkEnd w:id="446"/>
      <w:r>
        <w:rPr>
          <w:rFonts w:ascii="Times New Roman" w:eastAsia="Times New Roman" w:hAnsi="Times New Roman" w:cs="Times New Roman"/>
          <w:color w:val="000000"/>
          <w:spacing w:val="0"/>
          <w:w w:val="100"/>
          <w:position w:val="0"/>
        </w:rPr>
        <w:t>3</w:t>
      </w:r>
      <w:r>
        <w:rPr>
          <w:color w:val="000000"/>
          <w:spacing w:val="0"/>
          <w:w w:val="100"/>
          <w:position w:val="0"/>
        </w:rPr>
        <w:t>）</w:t>
        <w:tab/>
        <w:t>租赁情况</w:t>
      </w:r>
      <w:bookmarkEnd w:id="444"/>
      <w:bookmarkEnd w:id="445"/>
      <w:bookmarkEnd w:id="447"/>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公司报告期不存在租赁情况。</w:t>
      </w:r>
    </w:p>
    <w:p>
      <w:pPr>
        <w:pStyle w:val="Style44"/>
        <w:keepNext/>
        <w:keepLines/>
        <w:widowControl w:val="0"/>
        <w:shd w:val="clear" w:color="auto" w:fill="auto"/>
        <w:tabs>
          <w:tab w:pos="378" w:val="left"/>
        </w:tabs>
        <w:bidi w:val="0"/>
        <w:spacing w:before="0" w:after="360" w:line="240" w:lineRule="auto"/>
        <w:ind w:left="0" w:right="0" w:firstLine="0"/>
        <w:jc w:val="both"/>
      </w:pPr>
      <w:bookmarkStart w:id="448" w:name="bookmark448"/>
      <w:bookmarkStart w:id="449" w:name="bookmark449"/>
      <w:bookmarkStart w:id="450" w:name="bookmark450"/>
      <w:bookmarkStart w:id="451" w:name="bookmark451"/>
      <w:r>
        <w:rPr>
          <w:rFonts w:ascii="Times New Roman" w:eastAsia="Times New Roman" w:hAnsi="Times New Roman" w:cs="Times New Roman"/>
          <w:color w:val="000000"/>
          <w:spacing w:val="0"/>
          <w:w w:val="100"/>
          <w:position w:val="0"/>
        </w:rPr>
        <w:t>2</w:t>
      </w:r>
      <w:bookmarkEnd w:id="450"/>
      <w:r>
        <w:rPr>
          <w:color w:val="000000"/>
          <w:spacing w:val="0"/>
          <w:w w:val="100"/>
          <w:position w:val="0"/>
        </w:rPr>
        <w:t>、</w:t>
        <w:tab/>
        <w:t>重大担保</w:t>
      </w:r>
      <w:bookmarkEnd w:id="448"/>
      <w:bookmarkEnd w:id="449"/>
      <w:bookmarkEnd w:id="451"/>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公司报告期不存在担保情况。</w:t>
      </w:r>
    </w:p>
    <w:p>
      <w:pPr>
        <w:pStyle w:val="Style44"/>
        <w:keepNext/>
        <w:keepLines/>
        <w:widowControl w:val="0"/>
        <w:shd w:val="clear" w:color="auto" w:fill="auto"/>
        <w:tabs>
          <w:tab w:pos="378" w:val="left"/>
        </w:tabs>
        <w:bidi w:val="0"/>
        <w:spacing w:before="0" w:after="360" w:line="240" w:lineRule="auto"/>
        <w:ind w:left="0" w:right="0" w:firstLine="0"/>
        <w:jc w:val="both"/>
      </w:pPr>
      <w:bookmarkStart w:id="452" w:name="bookmark452"/>
      <w:bookmarkStart w:id="453" w:name="bookmark453"/>
      <w:bookmarkStart w:id="454" w:name="bookmark454"/>
      <w:bookmarkStart w:id="455" w:name="bookmark455"/>
      <w:r>
        <w:rPr>
          <w:rFonts w:ascii="Times New Roman" w:eastAsia="Times New Roman" w:hAnsi="Times New Roman" w:cs="Times New Roman"/>
          <w:color w:val="000000"/>
          <w:spacing w:val="0"/>
          <w:w w:val="100"/>
          <w:position w:val="0"/>
        </w:rPr>
        <w:t>3</w:t>
      </w:r>
      <w:bookmarkEnd w:id="454"/>
      <w:r>
        <w:rPr>
          <w:color w:val="000000"/>
          <w:spacing w:val="0"/>
          <w:w w:val="100"/>
          <w:position w:val="0"/>
        </w:rPr>
        <w:t>、</w:t>
        <w:tab/>
        <w:t>日常经营重大合同</w:t>
      </w:r>
      <w:bookmarkEnd w:id="452"/>
      <w:bookmarkEnd w:id="453"/>
      <w:bookmarkEnd w:id="455"/>
    </w:p>
    <w:p>
      <w:pPr>
        <w:pStyle w:val="Style35"/>
        <w:keepNext w:val="0"/>
        <w:keepLines w:val="0"/>
        <w:widowControl w:val="0"/>
        <w:shd w:val="clear" w:color="auto" w:fill="auto"/>
        <w:bidi w:val="0"/>
        <w:spacing w:before="0" w:after="360" w:line="240" w:lineRule="auto"/>
        <w:ind w:left="0" w:right="0" w:firstLine="0"/>
        <w:jc w:val="both"/>
      </w:pPr>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适用 </w:t>
      </w:r>
      <w:r>
        <w:rPr>
          <w:rFonts w:ascii="Times New Roman" w:eastAsia="Times New Roman" w:hAnsi="Times New Roman" w:cs="Times New Roman"/>
          <w:color w:val="000000"/>
          <w:spacing w:val="0"/>
          <w:w w:val="100"/>
          <w:position w:val="0"/>
        </w:rPr>
        <w:t xml:space="preserve">V </w:t>
      </w:r>
      <w:r>
        <w:rPr>
          <w:color w:val="000000"/>
          <w:spacing w:val="0"/>
          <w:w w:val="100"/>
          <w:position w:val="0"/>
        </w:rPr>
        <w:t>不适用</w:t>
      </w:r>
    </w:p>
    <w:p>
      <w:pPr>
        <w:pStyle w:val="Style44"/>
        <w:keepNext/>
        <w:keepLines/>
        <w:widowControl w:val="0"/>
        <w:shd w:val="clear" w:color="auto" w:fill="auto"/>
        <w:tabs>
          <w:tab w:pos="378" w:val="left"/>
        </w:tabs>
        <w:bidi w:val="0"/>
        <w:spacing w:before="0" w:after="140" w:line="468" w:lineRule="exact"/>
        <w:ind w:left="0" w:right="0" w:firstLine="0"/>
        <w:jc w:val="both"/>
      </w:pPr>
      <w:bookmarkStart w:id="456" w:name="bookmark456"/>
      <w:bookmarkStart w:id="457" w:name="bookmark457"/>
      <w:bookmarkStart w:id="458" w:name="bookmark458"/>
      <w:bookmarkStart w:id="459" w:name="bookmark459"/>
      <w:r>
        <w:rPr>
          <w:rFonts w:ascii="Times New Roman" w:eastAsia="Times New Roman" w:hAnsi="Times New Roman" w:cs="Times New Roman"/>
          <w:color w:val="000000"/>
          <w:spacing w:val="0"/>
          <w:w w:val="100"/>
          <w:position w:val="0"/>
        </w:rPr>
        <w:t>4</w:t>
      </w:r>
      <w:bookmarkEnd w:id="458"/>
      <w:r>
        <w:rPr>
          <w:color w:val="000000"/>
          <w:spacing w:val="0"/>
          <w:w w:val="100"/>
          <w:position w:val="0"/>
        </w:rPr>
        <w:t>、</w:t>
        <w:tab/>
        <w:t>委托他人进行现金资产管理情况</w:t>
      </w:r>
      <w:bookmarkEnd w:id="456"/>
      <w:bookmarkEnd w:id="457"/>
      <w:bookmarkEnd w:id="459"/>
    </w:p>
    <w:p>
      <w:pPr>
        <w:pStyle w:val="Style60"/>
        <w:keepNext/>
        <w:keepLines/>
        <w:widowControl w:val="0"/>
        <w:shd w:val="clear" w:color="auto" w:fill="auto"/>
        <w:tabs>
          <w:tab w:pos="493" w:val="left"/>
        </w:tabs>
        <w:bidi w:val="0"/>
        <w:spacing w:before="0" w:line="468" w:lineRule="exact"/>
        <w:ind w:left="0" w:right="0" w:firstLine="0"/>
        <w:jc w:val="both"/>
      </w:pPr>
      <w:bookmarkStart w:id="460" w:name="bookmark460"/>
      <w:bookmarkStart w:id="461" w:name="bookmark461"/>
      <w:bookmarkStart w:id="462" w:name="bookmark462"/>
      <w:bookmarkStart w:id="463" w:name="bookmark463"/>
      <w:r>
        <w:rPr>
          <w:color w:val="000000"/>
          <w:spacing w:val="0"/>
          <w:w w:val="100"/>
          <w:position w:val="0"/>
        </w:rPr>
        <w:t>（</w:t>
      </w:r>
      <w:bookmarkEnd w:id="462"/>
      <w:r>
        <w:rPr>
          <w:rFonts w:ascii="Times New Roman" w:eastAsia="Times New Roman" w:hAnsi="Times New Roman" w:cs="Times New Roman"/>
          <w:color w:val="000000"/>
          <w:spacing w:val="0"/>
          <w:w w:val="100"/>
          <w:position w:val="0"/>
        </w:rPr>
        <w:t>1</w:t>
      </w:r>
      <w:r>
        <w:rPr>
          <w:color w:val="000000"/>
          <w:spacing w:val="0"/>
          <w:w w:val="100"/>
          <w:position w:val="0"/>
        </w:rPr>
        <w:t>）</w:t>
        <w:tab/>
        <w:t>委托理财情况</w:t>
      </w:r>
      <w:bookmarkEnd w:id="460"/>
      <w:bookmarkEnd w:id="461"/>
      <w:bookmarkEnd w:id="463"/>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40" w:line="240" w:lineRule="auto"/>
        <w:ind w:left="0" w:right="0" w:firstLine="0"/>
        <w:jc w:val="both"/>
      </w:pPr>
      <w:r>
        <w:rPr>
          <w:color w:val="000000"/>
          <w:spacing w:val="0"/>
          <w:w w:val="100"/>
          <w:position w:val="0"/>
        </w:rPr>
        <w:t>公司报告期不存在委托理财。</w:t>
      </w:r>
    </w:p>
    <w:p>
      <w:pPr>
        <w:pStyle w:val="Style60"/>
        <w:keepNext/>
        <w:keepLines/>
        <w:widowControl w:val="0"/>
        <w:shd w:val="clear" w:color="auto" w:fill="auto"/>
        <w:tabs>
          <w:tab w:pos="493" w:val="left"/>
        </w:tabs>
        <w:bidi w:val="0"/>
        <w:spacing w:before="0" w:line="468" w:lineRule="exact"/>
        <w:ind w:left="0" w:right="0" w:firstLine="0"/>
        <w:jc w:val="both"/>
      </w:pPr>
      <w:bookmarkStart w:id="464" w:name="bookmark464"/>
      <w:bookmarkStart w:id="465" w:name="bookmark465"/>
      <w:bookmarkStart w:id="466" w:name="bookmark466"/>
      <w:bookmarkStart w:id="467" w:name="bookmark467"/>
      <w:r>
        <w:rPr>
          <w:color w:val="000000"/>
          <w:spacing w:val="0"/>
          <w:w w:val="100"/>
          <w:position w:val="0"/>
        </w:rPr>
        <w:t>（</w:t>
      </w:r>
      <w:bookmarkEnd w:id="466"/>
      <w:r>
        <w:rPr>
          <w:rFonts w:ascii="Times New Roman" w:eastAsia="Times New Roman" w:hAnsi="Times New Roman" w:cs="Times New Roman"/>
          <w:color w:val="000000"/>
          <w:spacing w:val="0"/>
          <w:w w:val="100"/>
          <w:position w:val="0"/>
        </w:rPr>
        <w:t>2</w:t>
      </w:r>
      <w:r>
        <w:rPr>
          <w:color w:val="000000"/>
          <w:spacing w:val="0"/>
          <w:w w:val="100"/>
          <w:position w:val="0"/>
        </w:rPr>
        <w:t>）</w:t>
        <w:tab/>
        <w:t>委托贷款情况</w:t>
      </w:r>
      <w:bookmarkEnd w:id="464"/>
      <w:bookmarkEnd w:id="465"/>
      <w:bookmarkEnd w:id="467"/>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40" w:line="240" w:lineRule="auto"/>
        <w:ind w:left="0" w:right="0" w:firstLine="0"/>
        <w:jc w:val="both"/>
      </w:pPr>
      <w:r>
        <w:rPr>
          <w:color w:val="000000"/>
          <w:spacing w:val="0"/>
          <w:w w:val="100"/>
          <w:position w:val="0"/>
        </w:rPr>
        <w:t>公司报告期不存在委托贷款。</w:t>
      </w:r>
    </w:p>
    <w:p>
      <w:pPr>
        <w:pStyle w:val="Style44"/>
        <w:keepNext/>
        <w:keepLines/>
        <w:widowControl w:val="0"/>
        <w:shd w:val="clear" w:color="auto" w:fill="auto"/>
        <w:tabs>
          <w:tab w:pos="378" w:val="left"/>
        </w:tabs>
        <w:bidi w:val="0"/>
        <w:spacing w:before="0" w:after="360" w:line="468" w:lineRule="exact"/>
        <w:ind w:left="0" w:right="0" w:firstLine="0"/>
        <w:jc w:val="both"/>
      </w:pPr>
      <w:bookmarkStart w:id="468" w:name="bookmark468"/>
      <w:bookmarkStart w:id="469" w:name="bookmark469"/>
      <w:bookmarkStart w:id="470" w:name="bookmark470"/>
      <w:bookmarkStart w:id="471" w:name="bookmark471"/>
      <w:r>
        <w:rPr>
          <w:rFonts w:ascii="Times New Roman" w:eastAsia="Times New Roman" w:hAnsi="Times New Roman" w:cs="Times New Roman"/>
          <w:color w:val="000000"/>
          <w:spacing w:val="0"/>
          <w:w w:val="100"/>
          <w:position w:val="0"/>
        </w:rPr>
        <w:t>5</w:t>
      </w:r>
      <w:bookmarkEnd w:id="470"/>
      <w:r>
        <w:rPr>
          <w:color w:val="000000"/>
          <w:spacing w:val="0"/>
          <w:w w:val="100"/>
          <w:position w:val="0"/>
        </w:rPr>
        <w:t>、</w:t>
        <w:tab/>
        <w:t>其他重大合同</w:t>
      </w:r>
      <w:bookmarkEnd w:id="468"/>
      <w:bookmarkEnd w:id="469"/>
      <w:bookmarkEnd w:id="471"/>
    </w:p>
    <w:p>
      <w:pPr>
        <w:pStyle w:val="Style35"/>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公司报告期不存在其他重大合同。</w:t>
      </w:r>
    </w:p>
    <w:p>
      <w:pPr>
        <w:pStyle w:val="Style33"/>
        <w:keepNext/>
        <w:keepLines/>
        <w:widowControl w:val="0"/>
        <w:shd w:val="clear" w:color="auto" w:fill="auto"/>
        <w:bidi w:val="0"/>
        <w:spacing w:before="0" w:after="140" w:line="240" w:lineRule="auto"/>
        <w:ind w:left="0" w:right="0" w:firstLine="0"/>
        <w:jc w:val="both"/>
      </w:pPr>
      <w:bookmarkStart w:id="472" w:name="bookmark472"/>
      <w:bookmarkStart w:id="473" w:name="bookmark473"/>
      <w:bookmarkStart w:id="474" w:name="bookmark474"/>
      <w:r>
        <w:rPr>
          <w:color w:val="000000"/>
          <w:spacing w:val="0"/>
          <w:w w:val="100"/>
          <w:position w:val="0"/>
          <w:sz w:val="24"/>
          <w:szCs w:val="24"/>
        </w:rPr>
        <w:t>十七、社会责任情况</w:t>
      </w:r>
      <w:bookmarkEnd w:id="472"/>
      <w:bookmarkEnd w:id="473"/>
      <w:bookmarkEnd w:id="474"/>
    </w:p>
    <w:p>
      <w:pPr>
        <w:pStyle w:val="Style44"/>
        <w:keepNext/>
        <w:keepLines/>
        <w:widowControl w:val="0"/>
        <w:shd w:val="clear" w:color="auto" w:fill="auto"/>
        <w:bidi w:val="0"/>
        <w:spacing w:before="0" w:after="180" w:line="468" w:lineRule="exact"/>
        <w:ind w:left="0" w:right="0" w:firstLine="0"/>
        <w:jc w:val="both"/>
      </w:pPr>
      <w:bookmarkStart w:id="475" w:name="bookmark475"/>
      <w:bookmarkStart w:id="476" w:name="bookmark476"/>
      <w:bookmarkStart w:id="477" w:name="bookmark477"/>
      <w:bookmarkStart w:id="478" w:name="bookmark478"/>
      <w:r>
        <w:rPr>
          <w:rFonts w:ascii="Times New Roman" w:eastAsia="Times New Roman" w:hAnsi="Times New Roman" w:cs="Times New Roman"/>
          <w:color w:val="000000"/>
          <w:spacing w:val="0"/>
          <w:w w:val="100"/>
          <w:position w:val="0"/>
        </w:rPr>
        <w:t>1</w:t>
      </w:r>
      <w:bookmarkEnd w:id="477"/>
      <w:r>
        <w:rPr>
          <w:color w:val="000000"/>
          <w:spacing w:val="0"/>
          <w:w w:val="100"/>
          <w:position w:val="0"/>
        </w:rPr>
        <w:t>、履行社会责任情况</w:t>
      </w:r>
      <w:bookmarkEnd w:id="475"/>
      <w:bookmarkEnd w:id="476"/>
      <w:bookmarkEnd w:id="478"/>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公司以</w:t>
      </w:r>
      <w:r>
        <w:rPr>
          <w:rFonts w:ascii="Times New Roman" w:eastAsia="Times New Roman" w:hAnsi="Times New Roman" w:cs="Times New Roman"/>
          <w:color w:val="000000"/>
          <w:spacing w:val="0"/>
          <w:w w:val="100"/>
          <w:position w:val="0"/>
        </w:rPr>
        <w:t>“</w:t>
      </w:r>
      <w:r>
        <w:rPr>
          <w:color w:val="000000"/>
          <w:spacing w:val="0"/>
          <w:w w:val="100"/>
          <w:position w:val="0"/>
        </w:rPr>
        <w:t>服务客户、成就员工、回报股东、贡献社会''为宗旨，努力维护全体股东的利益，严格按照《中 华人民共和国公司法》《中华人民共和国证券法》《深圳证券交易所创业板股票上市规则》《深圳证券交 易所创业板上市规范运作指引》等法律法规、规范性文件和公司《章程》等规定和要求，规范股东大会召 集、召开、表决程序，确保所有股东享有平等权利，让中小投资者充分行使自己的权利；认真执行分红政 策，确保股东实现投资回报。公司严格按照相关法律法规的要求，通过法定信息披露媒体真实、准确、完 整、及时、公平地进行信息披露，通过电话和投资者关系互动平台等多种方式与投资者进行沟通交流，建 立良好的信任关系，提高了公司经营的透明度和诚信度。公司财务政策稳健，与供应商及其他债权人保持 长期的良好合作，保证了供应商及债权人的利益。</w:t>
      </w:r>
    </w:p>
    <w:p>
      <w:pPr>
        <w:pStyle w:val="Style47"/>
        <w:keepNext w:val="0"/>
        <w:keepLines w:val="0"/>
        <w:widowControl w:val="0"/>
        <w:shd w:val="clear" w:color="auto" w:fill="auto"/>
        <w:bidi w:val="0"/>
        <w:spacing w:before="0" w:after="0" w:line="468" w:lineRule="exact"/>
        <w:ind w:left="0" w:right="0" w:firstLine="440"/>
        <w:jc w:val="both"/>
      </w:pPr>
      <w:bookmarkStart w:id="479" w:name="bookmark479"/>
      <w:r>
        <w:rPr>
          <w:color w:val="000000"/>
          <w:spacing w:val="0"/>
          <w:w w:val="100"/>
          <w:position w:val="0"/>
        </w:rPr>
        <w:t>（</w:t>
      </w:r>
      <w:bookmarkEnd w:id="479"/>
      <w:r>
        <w:rPr>
          <w:rFonts w:ascii="Times New Roman" w:eastAsia="Times New Roman" w:hAnsi="Times New Roman" w:cs="Times New Roman"/>
          <w:color w:val="000000"/>
          <w:spacing w:val="0"/>
          <w:w w:val="100"/>
          <w:position w:val="0"/>
        </w:rPr>
        <w:t>1</w:t>
      </w:r>
      <w:r>
        <w:rPr>
          <w:color w:val="000000"/>
          <w:spacing w:val="0"/>
          <w:w w:val="100"/>
          <w:position w:val="0"/>
        </w:rPr>
        <w:t>）职工权益保护</w:t>
      </w:r>
    </w:p>
    <w:p>
      <w:pPr>
        <w:pStyle w:val="Style47"/>
        <w:keepNext w:val="0"/>
        <w:keepLines w:val="0"/>
        <w:widowControl w:val="0"/>
        <w:shd w:val="clear" w:color="auto" w:fill="auto"/>
        <w:bidi w:val="0"/>
        <w:spacing w:before="0" w:after="140" w:line="468" w:lineRule="exact"/>
        <w:ind w:left="0" w:right="0" w:firstLine="440"/>
        <w:jc w:val="both"/>
        <w:sectPr>
          <w:headerReference w:type="default" r:id="rId131"/>
          <w:footerReference w:type="default" r:id="rId132"/>
          <w:headerReference w:type="even" r:id="rId133"/>
          <w:footerReference w:type="even" r:id="rId134"/>
          <w:headerReference w:type="first" r:id="rId135"/>
          <w:footerReference w:type="first" r:id="rId136"/>
          <w:footnotePr>
            <w:pos w:val="pageBottom"/>
            <w:numFmt w:val="decimal"/>
            <w:numRestart w:val="continuous"/>
          </w:footnotePr>
          <w:pgSz w:w="11900" w:h="16840"/>
          <w:pgMar w:top="1249" w:right="1070" w:bottom="1902" w:left="1096" w:header="0" w:footer="3" w:gutter="0"/>
          <w:cols w:space="720"/>
          <w:noEndnote/>
          <w:titlePg/>
          <w:rtlGutter w:val="0"/>
          <w:docGrid w:linePitch="360"/>
        </w:sectPr>
      </w:pPr>
      <w:r>
        <w:rPr>
          <w:color w:val="000000"/>
          <w:spacing w:val="0"/>
          <w:w w:val="100"/>
          <w:position w:val="0"/>
        </w:rPr>
        <w:t>公司始终坚持</w:t>
      </w:r>
      <w:r>
        <w:rPr>
          <w:rFonts w:ascii="Times New Roman" w:eastAsia="Times New Roman" w:hAnsi="Times New Roman" w:cs="Times New Roman"/>
          <w:color w:val="000000"/>
          <w:spacing w:val="0"/>
          <w:w w:val="100"/>
          <w:position w:val="0"/>
        </w:rPr>
        <w:t>“</w:t>
      </w:r>
      <w:r>
        <w:rPr>
          <w:color w:val="000000"/>
          <w:spacing w:val="0"/>
          <w:w w:val="100"/>
          <w:position w:val="0"/>
        </w:rPr>
        <w:t>以人为本</w:t>
      </w:r>
      <w:r>
        <w:rPr>
          <w:color w:val="000000"/>
          <w:spacing w:val="0"/>
          <w:w w:val="100"/>
          <w:position w:val="0"/>
        </w:rPr>
        <w:t>''</w:t>
      </w:r>
      <w:r>
        <w:rPr>
          <w:color w:val="000000"/>
          <w:spacing w:val="0"/>
          <w:w w:val="100"/>
          <w:position w:val="0"/>
        </w:rPr>
        <w:t>理念，高度关注员工成长，关怀员工健康。充分发挥工会在公司经营管理中 的作用，通过工会切实维护职工合法权益，充分给予职工参与公司民主决策、民主管理和民主监督的权力， 尊重员工，积极采纳员工合理化建议，听取职工的意见和要求，关心职工生活，帮助职工解决困难。公司 不断改善工作环境，为员工提供安全、环保、优美的工作环境；关心员工身心健康，定期组织员工体检， 为员工提供</w:t>
      </w:r>
      <w:r>
        <w:rPr>
          <w:rFonts w:ascii="Times New Roman" w:eastAsia="Times New Roman" w:hAnsi="Times New Roman" w:cs="Times New Roman"/>
          <w:color w:val="000000"/>
          <w:spacing w:val="0"/>
          <w:w w:val="100"/>
          <w:position w:val="0"/>
        </w:rPr>
        <w:t>“</w:t>
      </w:r>
      <w:r>
        <w:rPr>
          <w:color w:val="000000"/>
          <w:spacing w:val="0"/>
          <w:w w:val="100"/>
          <w:position w:val="0"/>
        </w:rPr>
        <w:t>五险一金</w:t>
      </w:r>
      <w:r>
        <w:rPr>
          <w:color w:val="000000"/>
          <w:spacing w:val="0"/>
          <w:w w:val="100"/>
          <w:position w:val="0"/>
        </w:rPr>
        <w:t>''</w:t>
      </w:r>
      <w:r>
        <w:rPr>
          <w:color w:val="000000"/>
          <w:spacing w:val="0"/>
          <w:w w:val="100"/>
          <w:position w:val="0"/>
        </w:rPr>
        <w:t>保障；不断完善人力资源管理体系与</w:t>
      </w:r>
      <w:r>
        <w:rPr>
          <w:rFonts w:ascii="Times New Roman" w:eastAsia="Times New Roman" w:hAnsi="Times New Roman" w:cs="Times New Roman"/>
          <w:color w:val="000000"/>
          <w:spacing w:val="0"/>
          <w:w w:val="100"/>
          <w:position w:val="0"/>
        </w:rPr>
        <w:t>“</w:t>
      </w:r>
      <w:r>
        <w:rPr>
          <w:color w:val="000000"/>
          <w:spacing w:val="0"/>
          <w:w w:val="100"/>
          <w:position w:val="0"/>
        </w:rPr>
        <w:t>多劳多得，按劳分配''的考核激励机制，提供 各类培训，打造职工职业晋升通道，为其提供施展才华的平台，帮助职工实现自我价值。</w:t>
      </w:r>
    </w:p>
    <w:p>
      <w:pPr>
        <w:pStyle w:val="Style47"/>
        <w:keepNext w:val="0"/>
        <w:keepLines w:val="0"/>
        <w:widowControl w:val="0"/>
        <w:shd w:val="clear" w:color="auto" w:fill="auto"/>
        <w:tabs>
          <w:tab w:pos="872" w:val="left"/>
        </w:tabs>
        <w:bidi w:val="0"/>
        <w:spacing w:before="0" w:after="0" w:line="468" w:lineRule="exact"/>
        <w:ind w:left="0" w:right="0" w:firstLine="440"/>
        <w:jc w:val="both"/>
      </w:pPr>
      <w:bookmarkStart w:id="480" w:name="bookmark480"/>
      <w:r>
        <w:rPr>
          <w:color w:val="000000"/>
          <w:spacing w:val="0"/>
          <w:w w:val="100"/>
          <w:position w:val="0"/>
        </w:rPr>
        <w:t>（</w:t>
      </w:r>
      <w:bookmarkEnd w:id="480"/>
      <w:r>
        <w:rPr>
          <w:rFonts w:ascii="Times New Roman" w:eastAsia="Times New Roman" w:hAnsi="Times New Roman" w:cs="Times New Roman"/>
          <w:color w:val="000000"/>
          <w:spacing w:val="0"/>
          <w:w w:val="100"/>
          <w:position w:val="0"/>
        </w:rPr>
        <w:t>2</w:t>
      </w:r>
      <w:r>
        <w:rPr>
          <w:color w:val="000000"/>
          <w:spacing w:val="0"/>
          <w:w w:val="100"/>
          <w:position w:val="0"/>
        </w:rPr>
        <w:t>）</w:t>
        <w:tab/>
        <w:t>客户和消费者权益保护</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公司坚持</w:t>
      </w:r>
      <w:r>
        <w:rPr>
          <w:rFonts w:ascii="Times New Roman" w:eastAsia="Times New Roman" w:hAnsi="Times New Roman" w:cs="Times New Roman"/>
          <w:color w:val="000000"/>
          <w:spacing w:val="0"/>
          <w:w w:val="100"/>
          <w:position w:val="0"/>
        </w:rPr>
        <w:t>“</w:t>
      </w:r>
      <w:r>
        <w:rPr>
          <w:color w:val="000000"/>
          <w:spacing w:val="0"/>
          <w:w w:val="100"/>
          <w:position w:val="0"/>
        </w:rPr>
        <w:t>以客户为中心''、</w:t>
      </w:r>
      <w:r>
        <w:rPr>
          <w:rFonts w:ascii="Times New Roman" w:eastAsia="Times New Roman" w:hAnsi="Times New Roman" w:cs="Times New Roman"/>
          <w:color w:val="000000"/>
          <w:spacing w:val="0"/>
          <w:w w:val="100"/>
          <w:position w:val="0"/>
        </w:rPr>
        <w:t>“</w:t>
      </w:r>
      <w:r>
        <w:rPr>
          <w:color w:val="000000"/>
          <w:spacing w:val="0"/>
          <w:w w:val="100"/>
          <w:position w:val="0"/>
        </w:rPr>
        <w:t>全心全意为客户创造价值</w:t>
      </w:r>
      <w:r>
        <w:rPr>
          <w:color w:val="000000"/>
          <w:spacing w:val="0"/>
          <w:w w:val="100"/>
          <w:position w:val="0"/>
        </w:rPr>
        <w:t>''，</w:t>
      </w:r>
      <w:r>
        <w:rPr>
          <w:color w:val="000000"/>
          <w:spacing w:val="0"/>
          <w:w w:val="100"/>
          <w:position w:val="0"/>
        </w:rPr>
        <w:t>信守承诺，诚信经营，竭诚为客户提供优质 产品和及时、细致、周到的服务，定期开展客户满意度调查，跟踪考察项目实施情况，确保项目质量。加 强员工技能培训，不断提升业务水平，坚持</w:t>
      </w:r>
      <w:r>
        <w:rPr>
          <w:rFonts w:ascii="Times New Roman" w:eastAsia="Times New Roman" w:hAnsi="Times New Roman" w:cs="Times New Roman"/>
          <w:color w:val="000000"/>
          <w:spacing w:val="0"/>
          <w:w w:val="100"/>
          <w:position w:val="0"/>
        </w:rPr>
        <w:t>“</w:t>
      </w:r>
      <w:r>
        <w:rPr>
          <w:color w:val="000000"/>
          <w:spacing w:val="0"/>
          <w:w w:val="100"/>
          <w:position w:val="0"/>
        </w:rPr>
        <w:t>高标准、严要求</w:t>
      </w:r>
      <w:r>
        <w:rPr>
          <w:color w:val="000000"/>
          <w:spacing w:val="0"/>
          <w:w w:val="100"/>
          <w:position w:val="0"/>
        </w:rPr>
        <w:t>''，</w:t>
      </w:r>
      <w:r>
        <w:rPr>
          <w:color w:val="000000"/>
          <w:spacing w:val="0"/>
          <w:w w:val="100"/>
          <w:position w:val="0"/>
        </w:rPr>
        <w:t>倡导做精品工程，引导员工精益求精、追 求卓越。报告期内，各业务部门多次收到客户发来的感谢信、表扬信，获得了充分的信赖与肯定，合作关 系保持长期良好发展。</w:t>
      </w:r>
    </w:p>
    <w:p>
      <w:pPr>
        <w:pStyle w:val="Style47"/>
        <w:keepNext w:val="0"/>
        <w:keepLines w:val="0"/>
        <w:widowControl w:val="0"/>
        <w:shd w:val="clear" w:color="auto" w:fill="auto"/>
        <w:tabs>
          <w:tab w:pos="872" w:val="left"/>
        </w:tabs>
        <w:bidi w:val="0"/>
        <w:spacing w:before="0" w:after="0" w:line="468" w:lineRule="exact"/>
        <w:ind w:left="0" w:right="0" w:firstLine="440"/>
        <w:jc w:val="both"/>
      </w:pPr>
      <w:bookmarkStart w:id="481" w:name="bookmark481"/>
      <w:r>
        <w:rPr>
          <w:color w:val="000000"/>
          <w:spacing w:val="0"/>
          <w:w w:val="100"/>
          <w:position w:val="0"/>
        </w:rPr>
        <w:t>（</w:t>
      </w:r>
      <w:bookmarkEnd w:id="481"/>
      <w:r>
        <w:rPr>
          <w:rFonts w:ascii="Times New Roman" w:eastAsia="Times New Roman" w:hAnsi="Times New Roman" w:cs="Times New Roman"/>
          <w:color w:val="000000"/>
          <w:spacing w:val="0"/>
          <w:w w:val="100"/>
          <w:position w:val="0"/>
        </w:rPr>
        <w:t>3</w:t>
      </w:r>
      <w:r>
        <w:rPr>
          <w:color w:val="000000"/>
          <w:spacing w:val="0"/>
          <w:w w:val="100"/>
          <w:position w:val="0"/>
        </w:rPr>
        <w:t>）</w:t>
        <w:tab/>
        <w:t>履行其他社会责任</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公司践行</w:t>
      </w:r>
      <w:r>
        <w:rPr>
          <w:rFonts w:ascii="Times New Roman" w:eastAsia="Times New Roman" w:hAnsi="Times New Roman" w:cs="Times New Roman"/>
          <w:color w:val="000000"/>
          <w:spacing w:val="0"/>
          <w:w w:val="100"/>
          <w:position w:val="0"/>
        </w:rPr>
        <w:t>“</w:t>
      </w:r>
      <w:r>
        <w:rPr>
          <w:color w:val="000000"/>
          <w:spacing w:val="0"/>
          <w:w w:val="100"/>
          <w:position w:val="0"/>
        </w:rPr>
        <w:t>服务国家，贡献社会</w:t>
      </w:r>
      <w:r>
        <w:rPr>
          <w:color w:val="000000"/>
          <w:spacing w:val="0"/>
          <w:w w:val="100"/>
          <w:position w:val="0"/>
        </w:rPr>
        <w:t>''，</w:t>
      </w:r>
      <w:r>
        <w:rPr>
          <w:color w:val="000000"/>
          <w:spacing w:val="0"/>
          <w:w w:val="100"/>
          <w:position w:val="0"/>
        </w:rPr>
        <w:t>在新冠疫情爆发的紧急时刻，运用大数据统计、人工智能深度挖掘 与分析等技术，先后为地方政府提供多款大数据管理系统，为加强疫情防控提供了强大的信息化支撑，为 社会经济的快速恢复作出了积极贡献。同时还紧急开发出国内首套远程表决系统，为全国人大、武汉市人 大相关重大会议提供技术保障，展现了中国科学院系统单位</w:t>
      </w:r>
      <w:r>
        <w:rPr>
          <w:rFonts w:ascii="Times New Roman" w:eastAsia="Times New Roman" w:hAnsi="Times New Roman" w:cs="Times New Roman"/>
          <w:color w:val="000000"/>
          <w:spacing w:val="0"/>
          <w:w w:val="100"/>
          <w:position w:val="0"/>
        </w:rPr>
        <w:t>“</w:t>
      </w:r>
      <w:r>
        <w:rPr>
          <w:color w:val="000000"/>
          <w:spacing w:val="0"/>
          <w:w w:val="100"/>
          <w:position w:val="0"/>
        </w:rPr>
        <w:t>科技国家队</w:t>
      </w:r>
      <w:r>
        <w:rPr>
          <w:color w:val="000000"/>
          <w:spacing w:val="0"/>
          <w:w w:val="100"/>
          <w:position w:val="0"/>
        </w:rPr>
        <w:t>''</w:t>
      </w:r>
      <w:r>
        <w:rPr>
          <w:color w:val="000000"/>
          <w:spacing w:val="0"/>
          <w:w w:val="100"/>
          <w:position w:val="0"/>
        </w:rPr>
        <w:t>的精神风貌。公司还通过长期开 展院地合作，带动地方企业提高经济效益，创造了较高的社会效益。</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积极参与中科院科教融合工作，受中国科学院大学委托开展计算机软件与理论等专业方向的研究生培 养，报告期内，为社会输送博士研究生</w:t>
      </w:r>
      <w:r>
        <w:rPr>
          <w:rFonts w:ascii="Times New Roman" w:eastAsia="Times New Roman" w:hAnsi="Times New Roman" w:cs="Times New Roman"/>
          <w:color w:val="000000"/>
          <w:spacing w:val="0"/>
          <w:w w:val="100"/>
          <w:position w:val="0"/>
        </w:rPr>
        <w:t>11</w:t>
      </w:r>
      <w:r>
        <w:rPr>
          <w:color w:val="000000"/>
          <w:spacing w:val="0"/>
          <w:w w:val="100"/>
          <w:position w:val="0"/>
        </w:rPr>
        <w:t>人，硕士研究生</w:t>
      </w:r>
      <w:r>
        <w:rPr>
          <w:rFonts w:ascii="Times New Roman" w:eastAsia="Times New Roman" w:hAnsi="Times New Roman" w:cs="Times New Roman"/>
          <w:color w:val="000000"/>
          <w:spacing w:val="0"/>
          <w:w w:val="100"/>
          <w:position w:val="0"/>
        </w:rPr>
        <w:t>17</w:t>
      </w:r>
      <w:r>
        <w:rPr>
          <w:color w:val="000000"/>
          <w:spacing w:val="0"/>
          <w:w w:val="100"/>
          <w:position w:val="0"/>
        </w:rPr>
        <w:t>人。</w:t>
      </w:r>
      <w:r>
        <w:rPr>
          <w:rFonts w:ascii="Times New Roman" w:eastAsia="Times New Roman" w:hAnsi="Times New Roman" w:cs="Times New Roman"/>
          <w:color w:val="000000"/>
          <w:spacing w:val="0"/>
          <w:w w:val="100"/>
          <w:position w:val="0"/>
        </w:rPr>
        <w:t>2020</w:t>
      </w:r>
      <w:r>
        <w:rPr>
          <w:color w:val="000000"/>
          <w:spacing w:val="0"/>
          <w:w w:val="100"/>
          <w:position w:val="0"/>
        </w:rPr>
        <w:t>年，公司积极参与相关行业协会管理 工作，长期担任四川省计算机协会理事长单位；支撑政府相关部门的科技和产业政策咨询与研究，派出专 家主持了《四川省数字经济产业技术路线图研究》，《四川省</w:t>
      </w:r>
      <w:r>
        <w:rPr>
          <w:rFonts w:ascii="Times New Roman" w:eastAsia="Times New Roman" w:hAnsi="Times New Roman" w:cs="Times New Roman"/>
          <w:color w:val="000000"/>
          <w:spacing w:val="0"/>
          <w:w w:val="100"/>
          <w:position w:val="0"/>
        </w:rPr>
        <w:t>“</w:t>
      </w:r>
      <w:r>
        <w:rPr>
          <w:color w:val="000000"/>
          <w:spacing w:val="0"/>
          <w:w w:val="100"/>
          <w:position w:val="0"/>
        </w:rPr>
        <w:t>十四五</w:t>
      </w:r>
      <w:r>
        <w:rPr>
          <w:color w:val="000000"/>
          <w:spacing w:val="0"/>
          <w:w w:val="100"/>
          <w:position w:val="0"/>
        </w:rPr>
        <w:t>''</w:t>
      </w:r>
      <w:r>
        <w:rPr>
          <w:color w:val="000000"/>
          <w:spacing w:val="0"/>
          <w:w w:val="100"/>
          <w:position w:val="0"/>
        </w:rPr>
        <w:t>及中长期电子信息领域科技发展战 略研究》编制，参与指导了《成都国家新一代人工智能创新发展试验区建设方案》的编制和汇报工作，推 荐专家参与四川省决策咨询委员会工作，主编《四川省信创产业发展报告》，多名专家担任国家核心科技 期刊《计算机应用》杂志的编委，公司的社会影响力进一步提升。</w:t>
      </w:r>
    </w:p>
    <w:p>
      <w:pPr>
        <w:pStyle w:val="Style47"/>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公司积极依法纳税，贯彻国家环保政策，为残疾人提供就业机会。响应国家精准扶贫号召，帮助精准 扶贫对口单位</w:t>
      </w:r>
      <w:r>
        <w:rPr>
          <w:rFonts w:ascii="Times New Roman" w:eastAsia="Times New Roman" w:hAnsi="Times New Roman" w:cs="Times New Roman"/>
          <w:color w:val="000000"/>
          <w:spacing w:val="0"/>
          <w:w w:val="100"/>
          <w:position w:val="0"/>
        </w:rPr>
        <w:t>—</w:t>
      </w:r>
      <w:r>
        <w:rPr>
          <w:color w:val="000000"/>
          <w:spacing w:val="0"/>
          <w:w w:val="100"/>
          <w:position w:val="0"/>
        </w:rPr>
        <w:t>四川省广元市利州区大石镇青岭村，扎实开展精准扶贫工作，公司连续四年获得四川省委 省政府表彰，驻村干部获得</w:t>
      </w:r>
      <w:r>
        <w:rPr>
          <w:rFonts w:ascii="Times New Roman" w:eastAsia="Times New Roman" w:hAnsi="Times New Roman" w:cs="Times New Roman"/>
          <w:color w:val="000000"/>
          <w:spacing w:val="0"/>
          <w:w w:val="100"/>
          <w:position w:val="0"/>
        </w:rPr>
        <w:t>“</w:t>
      </w:r>
      <w:r>
        <w:rPr>
          <w:color w:val="000000"/>
          <w:spacing w:val="0"/>
          <w:w w:val="100"/>
          <w:position w:val="0"/>
        </w:rPr>
        <w:t>优秀</w:t>
      </w:r>
      <w:r>
        <w:rPr>
          <w:color w:val="000000"/>
          <w:spacing w:val="0"/>
          <w:w w:val="100"/>
          <w:position w:val="0"/>
        </w:rPr>
        <w:t>''</w:t>
      </w:r>
      <w:r>
        <w:rPr>
          <w:color w:val="000000"/>
          <w:spacing w:val="0"/>
          <w:w w:val="100"/>
          <w:position w:val="0"/>
        </w:rPr>
        <w:t>等次驻村工作队队员称号，为国家脱贫攻坚做出了应有的贡献，充分展 示了上市公司的社会责任担当。</w:t>
      </w:r>
    </w:p>
    <w:p>
      <w:pPr>
        <w:pStyle w:val="Style44"/>
        <w:keepNext/>
        <w:keepLines/>
        <w:widowControl w:val="0"/>
        <w:shd w:val="clear" w:color="auto" w:fill="auto"/>
        <w:bidi w:val="0"/>
        <w:spacing w:before="0" w:after="160" w:line="468" w:lineRule="exact"/>
        <w:ind w:left="0" w:right="0" w:firstLine="0"/>
        <w:jc w:val="left"/>
      </w:pPr>
      <w:bookmarkStart w:id="482" w:name="bookmark482"/>
      <w:bookmarkStart w:id="483" w:name="bookmark483"/>
      <w:bookmarkStart w:id="484" w:name="bookmark484"/>
      <w:bookmarkStart w:id="485" w:name="bookmark485"/>
      <w:r>
        <w:rPr>
          <w:rFonts w:ascii="Times New Roman" w:eastAsia="Times New Roman" w:hAnsi="Times New Roman" w:cs="Times New Roman"/>
          <w:color w:val="000000"/>
          <w:spacing w:val="0"/>
          <w:w w:val="100"/>
          <w:position w:val="0"/>
        </w:rPr>
        <w:t>2</w:t>
      </w:r>
      <w:bookmarkEnd w:id="484"/>
      <w:r>
        <w:rPr>
          <w:color w:val="000000"/>
          <w:spacing w:val="0"/>
          <w:w w:val="100"/>
          <w:position w:val="0"/>
        </w:rPr>
        <w:t>、履行精准扶贫社会责任情况</w:t>
      </w:r>
      <w:bookmarkEnd w:id="482"/>
      <w:bookmarkEnd w:id="483"/>
      <w:bookmarkEnd w:id="485"/>
    </w:p>
    <w:p>
      <w:pPr>
        <w:pStyle w:val="Style60"/>
        <w:keepNext/>
        <w:keepLines/>
        <w:widowControl w:val="0"/>
        <w:shd w:val="clear" w:color="auto" w:fill="auto"/>
        <w:bidi w:val="0"/>
        <w:spacing w:before="0" w:after="160" w:line="468" w:lineRule="exact"/>
        <w:ind w:left="0" w:right="0" w:firstLine="0"/>
        <w:jc w:val="left"/>
      </w:pPr>
      <w:bookmarkStart w:id="486" w:name="bookmark486"/>
      <w:bookmarkStart w:id="487" w:name="bookmark487"/>
      <w:bookmarkStart w:id="488" w:name="bookmark488"/>
      <w:bookmarkStart w:id="489" w:name="bookmark489"/>
      <w:r>
        <w:rPr>
          <w:color w:val="000000"/>
          <w:spacing w:val="0"/>
          <w:w w:val="100"/>
          <w:position w:val="0"/>
        </w:rPr>
        <w:t>（</w:t>
      </w:r>
      <w:bookmarkEnd w:id="488"/>
      <w:r>
        <w:rPr>
          <w:rFonts w:ascii="Times New Roman" w:eastAsia="Times New Roman" w:hAnsi="Times New Roman" w:cs="Times New Roman"/>
          <w:color w:val="000000"/>
          <w:spacing w:val="0"/>
          <w:w w:val="100"/>
          <w:position w:val="0"/>
        </w:rPr>
        <w:t>1</w:t>
      </w:r>
      <w:r>
        <w:rPr>
          <w:color w:val="000000"/>
          <w:spacing w:val="0"/>
          <w:w w:val="100"/>
          <w:position w:val="0"/>
        </w:rPr>
        <w:t>）精准扶贫规划</w:t>
      </w:r>
      <w:bookmarkEnd w:id="486"/>
      <w:bookmarkEnd w:id="487"/>
      <w:bookmarkEnd w:id="489"/>
    </w:p>
    <w:p>
      <w:pPr>
        <w:pStyle w:val="Style47"/>
        <w:keepNext w:val="0"/>
        <w:keepLines w:val="0"/>
        <w:widowControl w:val="0"/>
        <w:shd w:val="clear" w:color="auto" w:fill="auto"/>
        <w:bidi w:val="0"/>
        <w:spacing w:before="0" w:after="1080" w:line="473" w:lineRule="exact"/>
        <w:ind w:left="0" w:right="0" w:firstLine="440"/>
        <w:jc w:val="both"/>
      </w:pPr>
      <w:r>
        <w:rPr>
          <w:color w:val="000000"/>
          <w:spacing w:val="0"/>
          <w:w w:val="100"/>
          <w:position w:val="0"/>
        </w:rPr>
        <w:t>报告期内，公司进一步强化精准扶贫工作责任意识，继续按照国家扶贫战略部署，根据四川省扶贫办 和成都分院扶贫工作领导小组的要求，结合青岭村帮扶需要，全身心投入，认真扎实地推进，重点开展了 以下工作：</w:t>
      </w:r>
    </w:p>
    <w:p>
      <w:pPr>
        <w:pStyle w:val="Style83"/>
        <w:keepNext w:val="0"/>
        <w:keepLines w:val="0"/>
        <w:widowControl w:val="0"/>
        <w:shd w:val="clear" w:color="auto" w:fill="auto"/>
        <w:bidi w:val="0"/>
        <w:spacing w:before="0" w:after="200" w:line="240" w:lineRule="auto"/>
        <w:ind w:left="0" w:right="0" w:firstLine="0"/>
        <w:jc w:val="right"/>
        <w:rPr>
          <w:sz w:val="26"/>
          <w:szCs w:val="26"/>
        </w:rPr>
        <w:sectPr>
          <w:headerReference w:type="default" r:id="rId137"/>
          <w:footerReference w:type="default" r:id="rId138"/>
          <w:headerReference w:type="even" r:id="rId139"/>
          <w:footerReference w:type="even" r:id="rId140"/>
          <w:footnotePr>
            <w:pos w:val="pageBottom"/>
            <w:numFmt w:val="decimal"/>
            <w:numRestart w:val="continuous"/>
          </w:footnotePr>
          <w:pgSz w:w="11900" w:h="16840"/>
          <w:pgMar w:top="1326" w:right="1113"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7"/>
        <w:keepNext w:val="0"/>
        <w:keepLines w:val="0"/>
        <w:widowControl w:val="0"/>
        <w:numPr>
          <w:ilvl w:val="0"/>
          <w:numId w:val="45"/>
        </w:numPr>
        <w:shd w:val="clear" w:color="auto" w:fill="auto"/>
        <w:tabs>
          <w:tab w:pos="742" w:val="left"/>
        </w:tabs>
        <w:bidi w:val="0"/>
        <w:spacing w:before="0" w:after="0" w:line="472" w:lineRule="exact"/>
        <w:ind w:left="0" w:right="0" w:firstLine="440"/>
        <w:jc w:val="both"/>
      </w:pPr>
      <w:bookmarkStart w:id="490" w:name="bookmark490"/>
      <w:bookmarkEnd w:id="490"/>
      <w:r>
        <w:rPr>
          <w:color w:val="000000"/>
          <w:spacing w:val="0"/>
          <w:w w:val="100"/>
          <w:position w:val="0"/>
        </w:rPr>
        <w:t>认真学习贯彻党中央、四川省委、成都分院、广元市委市府关于扶贫攻坚工作精神，进一步提高思 想认识</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认真学习习近平同志</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6</w:t>
      </w:r>
      <w:r>
        <w:rPr>
          <w:color w:val="000000"/>
          <w:spacing w:val="0"/>
          <w:w w:val="100"/>
          <w:position w:val="0"/>
        </w:rPr>
        <w:t>日在决战决胜脱贫攻坚座谈会上的重要讲话精神、四川省委书记彭清华和广 元市委书记王菲关于扶贫工作的重要指示精神。到</w:t>
      </w:r>
      <w:r>
        <w:rPr>
          <w:rFonts w:ascii="Times New Roman" w:eastAsia="Times New Roman" w:hAnsi="Times New Roman" w:cs="Times New Roman"/>
          <w:color w:val="000000"/>
          <w:spacing w:val="0"/>
          <w:w w:val="100"/>
          <w:position w:val="0"/>
        </w:rPr>
        <w:t>2020</w:t>
      </w:r>
      <w:r>
        <w:rPr>
          <w:color w:val="000000"/>
          <w:spacing w:val="0"/>
          <w:w w:val="100"/>
          <w:position w:val="0"/>
        </w:rPr>
        <w:t>年现行标准下的农村贫困人口全部脱贫，是党中央 向全国人民作出的郑重承诺，必须如期实现。越到最后越要紧绷这根弦，不能停顿、不能大意、不能放松。 要不忘初心、牢记使命，坚定信心、顽强奋斗，选派</w:t>
      </w:r>
      <w:r>
        <w:rPr>
          <w:rFonts w:ascii="Times New Roman" w:eastAsia="Times New Roman" w:hAnsi="Times New Roman" w:cs="Times New Roman"/>
          <w:color w:val="000000"/>
          <w:spacing w:val="0"/>
          <w:w w:val="100"/>
          <w:position w:val="0"/>
        </w:rPr>
        <w:t>1</w:t>
      </w:r>
      <w:r>
        <w:rPr>
          <w:color w:val="000000"/>
          <w:spacing w:val="0"/>
          <w:w w:val="100"/>
          <w:position w:val="0"/>
        </w:rPr>
        <w:t>名驻村工作队员，赴青岭村开展脱贫攻坚和乡村建 设工作，以更大决心、更强力度推进脱贫攻坚，坚决克服新冠肺炎疫情影响，坚决夺取脱贫攻坚战全面胜 利。</w:t>
      </w:r>
    </w:p>
    <w:p>
      <w:pPr>
        <w:pStyle w:val="Style47"/>
        <w:keepNext w:val="0"/>
        <w:keepLines w:val="0"/>
        <w:widowControl w:val="0"/>
        <w:numPr>
          <w:ilvl w:val="0"/>
          <w:numId w:val="45"/>
        </w:numPr>
        <w:shd w:val="clear" w:color="auto" w:fill="auto"/>
        <w:tabs>
          <w:tab w:pos="774" w:val="left"/>
        </w:tabs>
        <w:bidi w:val="0"/>
        <w:spacing w:before="0" w:after="0" w:line="472" w:lineRule="exact"/>
        <w:ind w:left="0" w:right="0" w:firstLine="440"/>
        <w:jc w:val="both"/>
      </w:pPr>
      <w:bookmarkStart w:id="491" w:name="bookmark491"/>
      <w:bookmarkEnd w:id="491"/>
      <w:r>
        <w:rPr>
          <w:color w:val="000000"/>
          <w:spacing w:val="0"/>
          <w:w w:val="100"/>
          <w:position w:val="0"/>
        </w:rPr>
        <w:t>做好</w:t>
      </w:r>
      <w:r>
        <w:rPr>
          <w:rFonts w:ascii="Times New Roman" w:eastAsia="Times New Roman" w:hAnsi="Times New Roman" w:cs="Times New Roman"/>
          <w:color w:val="000000"/>
          <w:spacing w:val="0"/>
          <w:w w:val="100"/>
          <w:position w:val="0"/>
        </w:rPr>
        <w:t>2020</w:t>
      </w:r>
      <w:r>
        <w:rPr>
          <w:color w:val="000000"/>
          <w:spacing w:val="0"/>
          <w:w w:val="100"/>
          <w:position w:val="0"/>
        </w:rPr>
        <w:t>年扶贫工作预算管理工作</w:t>
      </w:r>
    </w:p>
    <w:p>
      <w:pPr>
        <w:pStyle w:val="Style47"/>
        <w:keepNext w:val="0"/>
        <w:keepLines w:val="0"/>
        <w:widowControl w:val="0"/>
        <w:shd w:val="clear" w:color="auto" w:fill="auto"/>
        <w:bidi w:val="0"/>
        <w:spacing w:before="0" w:after="0" w:line="472" w:lineRule="exact"/>
        <w:ind w:left="0" w:right="0" w:firstLine="440"/>
        <w:jc w:val="both"/>
      </w:pPr>
      <w:r>
        <w:rPr>
          <w:rFonts w:ascii="Times New Roman" w:eastAsia="Times New Roman" w:hAnsi="Times New Roman" w:cs="Times New Roman"/>
          <w:color w:val="000000"/>
          <w:spacing w:val="0"/>
          <w:w w:val="100"/>
          <w:position w:val="0"/>
        </w:rPr>
        <w:t>2020</w:t>
      </w:r>
      <w:r>
        <w:rPr>
          <w:color w:val="000000"/>
          <w:spacing w:val="0"/>
          <w:w w:val="100"/>
          <w:position w:val="0"/>
        </w:rPr>
        <w:t>年是脱贫攻坚决战决胜的关键一年，扶贫资金使用要坚持精准扶贫精准脱贫基本方略，按照中科 院、省委等上级要求，以问题为导向，完善资金使用，保障服务于脱贫攻坚目标任务的完成。</w:t>
      </w:r>
    </w:p>
    <w:p>
      <w:pPr>
        <w:pStyle w:val="Style47"/>
        <w:keepNext w:val="0"/>
        <w:keepLines w:val="0"/>
        <w:widowControl w:val="0"/>
        <w:numPr>
          <w:ilvl w:val="0"/>
          <w:numId w:val="45"/>
        </w:numPr>
        <w:shd w:val="clear" w:color="auto" w:fill="auto"/>
        <w:tabs>
          <w:tab w:pos="752" w:val="left"/>
        </w:tabs>
        <w:bidi w:val="0"/>
        <w:spacing w:before="0" w:after="0" w:line="472" w:lineRule="exact"/>
        <w:ind w:left="0" w:right="0" w:firstLine="440"/>
        <w:jc w:val="both"/>
      </w:pPr>
      <w:bookmarkStart w:id="492" w:name="bookmark492"/>
      <w:bookmarkEnd w:id="492"/>
      <w:r>
        <w:rPr>
          <w:color w:val="000000"/>
          <w:spacing w:val="0"/>
          <w:w w:val="100"/>
          <w:position w:val="0"/>
        </w:rPr>
        <w:t>加强组织协调，协调好成都分院、利州区政府、乐山职业技术学院等相关单位，共同做好青岭村的 精准帮扶工作帮扶民宿、农家乐筹建，协调组织厨师培训。积极与青岭村加强联系和沟通，继续委托职业 技术学院为青岭村培养厨师。</w:t>
      </w:r>
    </w:p>
    <w:p>
      <w:pPr>
        <w:pStyle w:val="Style47"/>
        <w:keepNext w:val="0"/>
        <w:keepLines w:val="0"/>
        <w:widowControl w:val="0"/>
        <w:numPr>
          <w:ilvl w:val="0"/>
          <w:numId w:val="45"/>
        </w:numPr>
        <w:shd w:val="clear" w:color="auto" w:fill="auto"/>
        <w:tabs>
          <w:tab w:pos="747" w:val="left"/>
        </w:tabs>
        <w:bidi w:val="0"/>
        <w:spacing w:before="0" w:after="0" w:line="472" w:lineRule="exact"/>
        <w:ind w:left="0" w:right="0" w:firstLine="440"/>
        <w:jc w:val="both"/>
      </w:pPr>
      <w:bookmarkStart w:id="493" w:name="bookmark493"/>
      <w:bookmarkEnd w:id="493"/>
      <w:r>
        <w:rPr>
          <w:color w:val="000000"/>
          <w:spacing w:val="0"/>
          <w:w w:val="100"/>
          <w:position w:val="0"/>
        </w:rPr>
        <w:t>做好青岭村电脑等设备捐赠工作，改善村上办公条件针对青岭村办公设备短缺的实际情况，公司 计划向村上捐赠电脑、打印机等办公设备，切实解决村委会办公条件艰苦的实际困难，提高村委成员及帮 扶队员工作效率。</w:t>
      </w:r>
    </w:p>
    <w:p>
      <w:pPr>
        <w:pStyle w:val="Style47"/>
        <w:keepNext w:val="0"/>
        <w:keepLines w:val="0"/>
        <w:widowControl w:val="0"/>
        <w:numPr>
          <w:ilvl w:val="0"/>
          <w:numId w:val="45"/>
        </w:numPr>
        <w:shd w:val="clear" w:color="auto" w:fill="auto"/>
        <w:tabs>
          <w:tab w:pos="774" w:val="left"/>
        </w:tabs>
        <w:bidi w:val="0"/>
        <w:spacing w:before="0" w:after="0" w:line="472" w:lineRule="exact"/>
        <w:ind w:left="0" w:right="0" w:firstLine="440"/>
        <w:jc w:val="both"/>
      </w:pPr>
      <w:bookmarkStart w:id="494" w:name="bookmark494"/>
      <w:bookmarkEnd w:id="494"/>
      <w:r>
        <w:rPr>
          <w:color w:val="000000"/>
          <w:spacing w:val="0"/>
          <w:w w:val="100"/>
          <w:position w:val="0"/>
        </w:rPr>
        <w:t>加强技能培训，提高村民劳动生产技能</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针对青岭村村民发展经济需求，组织开展电脑技能、乡村旅游、种植技术等相关培训，进一步提高村 民生产水平，促进村民脱贫致富。</w:t>
      </w:r>
    </w:p>
    <w:p>
      <w:pPr>
        <w:pStyle w:val="Style47"/>
        <w:keepNext w:val="0"/>
        <w:keepLines w:val="0"/>
        <w:widowControl w:val="0"/>
        <w:numPr>
          <w:ilvl w:val="0"/>
          <w:numId w:val="45"/>
        </w:numPr>
        <w:shd w:val="clear" w:color="auto" w:fill="auto"/>
        <w:tabs>
          <w:tab w:pos="774" w:val="left"/>
        </w:tabs>
        <w:bidi w:val="0"/>
        <w:spacing w:before="0" w:after="0" w:line="472" w:lineRule="exact"/>
        <w:ind w:left="0" w:right="0" w:firstLine="440"/>
        <w:jc w:val="both"/>
      </w:pPr>
      <w:bookmarkStart w:id="495" w:name="bookmark495"/>
      <w:bookmarkEnd w:id="495"/>
      <w:r>
        <w:rPr>
          <w:color w:val="000000"/>
          <w:spacing w:val="0"/>
          <w:w w:val="100"/>
          <w:position w:val="0"/>
        </w:rPr>
        <w:t>做好党支部共建、送树苗农资、文化下乡、走访慰问、消费扶贫等工作</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进一步加强公司党支部与青岭村党支部结对共建，开好</w:t>
      </w:r>
      <w:r>
        <w:rPr>
          <w:rFonts w:ascii="Times New Roman" w:eastAsia="Times New Roman" w:hAnsi="Times New Roman" w:cs="Times New Roman"/>
          <w:color w:val="000000"/>
          <w:spacing w:val="0"/>
          <w:w w:val="100"/>
          <w:position w:val="0"/>
        </w:rPr>
        <w:t>“</w:t>
      </w:r>
      <w:r>
        <w:rPr>
          <w:color w:val="000000"/>
          <w:spacing w:val="0"/>
          <w:w w:val="100"/>
          <w:position w:val="0"/>
        </w:rPr>
        <w:t>三会一课</w:t>
      </w:r>
      <w:r>
        <w:rPr>
          <w:color w:val="000000"/>
          <w:spacing w:val="0"/>
          <w:w w:val="100"/>
          <w:position w:val="0"/>
        </w:rPr>
        <w:t>''，</w:t>
      </w:r>
      <w:r>
        <w:rPr>
          <w:color w:val="000000"/>
          <w:spacing w:val="0"/>
          <w:w w:val="100"/>
          <w:position w:val="0"/>
        </w:rPr>
        <w:t>研讨党建如何促发展，开展科学 教育活动。继续开展送树苗农资，增产增效。开展文化下乡和走访慰问，将先进文化和组织温暖送到村民 心中。积极开展消费扶贫，促进青岭村绿色生态大米产业发展壮大。</w:t>
      </w:r>
    </w:p>
    <w:p>
      <w:pPr>
        <w:pStyle w:val="Style47"/>
        <w:keepNext w:val="0"/>
        <w:keepLines w:val="0"/>
        <w:widowControl w:val="0"/>
        <w:numPr>
          <w:ilvl w:val="0"/>
          <w:numId w:val="45"/>
        </w:numPr>
        <w:shd w:val="clear" w:color="auto" w:fill="auto"/>
        <w:tabs>
          <w:tab w:pos="774" w:val="left"/>
        </w:tabs>
        <w:bidi w:val="0"/>
        <w:spacing w:before="0" w:after="0" w:line="472" w:lineRule="exact"/>
        <w:ind w:left="0" w:right="0" w:firstLine="440"/>
        <w:jc w:val="both"/>
      </w:pPr>
      <w:bookmarkStart w:id="496" w:name="bookmark496"/>
      <w:bookmarkEnd w:id="496"/>
      <w:r>
        <w:rPr>
          <w:color w:val="000000"/>
          <w:spacing w:val="0"/>
          <w:w w:val="100"/>
          <w:position w:val="0"/>
        </w:rPr>
        <w:t>做好青岭村疫情防控帮扶工作，助力坚决打赢疫情防控阻击战和脱贫攻坚战</w:t>
      </w:r>
    </w:p>
    <w:p>
      <w:pPr>
        <w:pStyle w:val="Style47"/>
        <w:keepNext w:val="0"/>
        <w:keepLines w:val="0"/>
        <w:widowControl w:val="0"/>
        <w:shd w:val="clear" w:color="auto" w:fill="auto"/>
        <w:bidi w:val="0"/>
        <w:spacing w:before="0" w:after="420" w:line="472" w:lineRule="exact"/>
        <w:ind w:left="0" w:right="0" w:firstLine="440"/>
        <w:jc w:val="both"/>
      </w:pPr>
      <w:r>
        <w:rPr>
          <w:color w:val="000000"/>
          <w:spacing w:val="0"/>
          <w:w w:val="100"/>
          <w:position w:val="0"/>
        </w:rPr>
        <w:t>按照党中央疫情防控工作安排部署，积极履行社会责任，组织为青岭村捐赠</w:t>
      </w:r>
      <w:r>
        <w:rPr>
          <w:rFonts w:ascii="Times New Roman" w:eastAsia="Times New Roman" w:hAnsi="Times New Roman" w:cs="Times New Roman"/>
          <w:color w:val="000000"/>
          <w:spacing w:val="0"/>
          <w:w w:val="100"/>
          <w:position w:val="0"/>
        </w:rPr>
        <w:t>1000</w:t>
      </w:r>
      <w:r>
        <w:rPr>
          <w:color w:val="000000"/>
          <w:spacing w:val="0"/>
          <w:w w:val="100"/>
          <w:position w:val="0"/>
        </w:rPr>
        <w:t>个口罩，缓解村上防 疫物资短缺的困难，助力坚决打赢疫情防控阻击战和脱贫攻坚战。</w:t>
      </w:r>
    </w:p>
    <w:p>
      <w:pPr>
        <w:pStyle w:val="Style60"/>
        <w:keepNext/>
        <w:keepLines/>
        <w:widowControl w:val="0"/>
        <w:numPr>
          <w:ilvl w:val="0"/>
          <w:numId w:val="47"/>
        </w:numPr>
        <w:shd w:val="clear" w:color="auto" w:fill="auto"/>
        <w:bidi w:val="0"/>
        <w:spacing w:before="0" w:after="420" w:line="240" w:lineRule="auto"/>
        <w:ind w:left="0" w:right="0" w:firstLine="0"/>
        <w:jc w:val="both"/>
      </w:pPr>
      <w:bookmarkStart w:id="497" w:name="bookmark497"/>
      <w:bookmarkStart w:id="498" w:name="bookmark498"/>
      <w:bookmarkStart w:id="499" w:name="bookmark499"/>
      <w:bookmarkStart w:id="500" w:name="bookmark500"/>
      <w:bookmarkEnd w:id="499"/>
      <w:r>
        <w:rPr>
          <w:color w:val="000000"/>
          <w:spacing w:val="0"/>
          <w:w w:val="100"/>
          <w:position w:val="0"/>
        </w:rPr>
        <w:t>年度精准扶贫概要</w:t>
      </w:r>
      <w:bookmarkEnd w:id="497"/>
      <w:bookmarkEnd w:id="498"/>
      <w:bookmarkEnd w:id="500"/>
    </w:p>
    <w:p>
      <w:pPr>
        <w:pStyle w:val="Style47"/>
        <w:keepNext w:val="0"/>
        <w:keepLines w:val="0"/>
        <w:widowControl w:val="0"/>
        <w:shd w:val="clear" w:color="auto" w:fill="auto"/>
        <w:bidi w:val="0"/>
        <w:spacing w:before="0" w:after="420" w:line="240" w:lineRule="auto"/>
        <w:ind w:left="0" w:right="0" w:firstLine="420"/>
        <w:jc w:val="both"/>
      </w:pPr>
      <w:r>
        <w:rPr>
          <w:color w:val="000000"/>
          <w:spacing w:val="0"/>
          <w:w w:val="100"/>
          <w:position w:val="0"/>
        </w:rPr>
        <w:t>报告期内，公司严格按照党中央、四川省委、中科院工作要求，把精准扶贫工作当做最大的政治任务</w:t>
        <w:br w:type="page"/>
      </w:r>
      <w:r>
        <w:rPr>
          <w:color w:val="000000"/>
          <w:spacing w:val="0"/>
          <w:w w:val="100"/>
          <w:position w:val="0"/>
        </w:rPr>
        <w:t>和重点工作来抓。通过努力，圆满完成年度工作计划，对口扶贫村广元利州青岭村脱贫巩固工作取得明显 成效。根据准扶贫工作总体要求，充分发挥自身科技优势，扎实推进科技扶贫、教育培训、消费扶贫、文 化下乡、走访慰问、党支部共建等工作。据统计，截至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日，公司投入</w:t>
      </w:r>
      <w:r>
        <w:rPr>
          <w:rFonts w:ascii="Times New Roman" w:eastAsia="Times New Roman" w:hAnsi="Times New Roman" w:cs="Times New Roman"/>
          <w:color w:val="000000"/>
          <w:spacing w:val="0"/>
          <w:w w:val="100"/>
          <w:position w:val="0"/>
        </w:rPr>
        <w:t>2</w:t>
      </w:r>
      <w:r>
        <w:rPr>
          <w:rFonts w:ascii="Times New Roman" w:eastAsia="Times New Roman" w:hAnsi="Times New Roman" w:cs="Times New Roman"/>
          <w:color w:val="000000"/>
          <w:spacing w:val="0"/>
          <w:w w:val="100"/>
          <w:position w:val="0"/>
        </w:rPr>
        <w:t>1.4</w:t>
      </w:r>
      <w:r>
        <w:rPr>
          <w:color w:val="000000"/>
          <w:spacing w:val="0"/>
          <w:w w:val="100"/>
          <w:position w:val="0"/>
        </w:rPr>
        <w:t>万元扶贫资金，</w:t>
      </w:r>
      <w:r>
        <w:rPr>
          <w:rFonts w:ascii="Times New Roman" w:eastAsia="Times New Roman" w:hAnsi="Times New Roman" w:cs="Times New Roman"/>
          <w:color w:val="000000"/>
          <w:spacing w:val="0"/>
          <w:w w:val="100"/>
          <w:position w:val="0"/>
        </w:rPr>
        <w:t xml:space="preserve">800 </w:t>
      </w:r>
      <w:r>
        <w:rPr>
          <w:color w:val="000000"/>
          <w:spacing w:val="0"/>
          <w:w w:val="100"/>
          <w:position w:val="0"/>
        </w:rPr>
        <w:t>多名村民受益。公司总投入和帮助村民人数均较上年有大幅增加，扶贫力度加大，成效显著。公司扶贫工 作连续四年获四川省委省政府表彰，派出的扶贫干部被中共广元市利州区委组织部考核评比为</w:t>
      </w:r>
      <w:r>
        <w:rPr>
          <w:rFonts w:ascii="Times New Roman" w:eastAsia="Times New Roman" w:hAnsi="Times New Roman" w:cs="Times New Roman"/>
          <w:color w:val="000000"/>
          <w:spacing w:val="0"/>
          <w:w w:val="100"/>
          <w:position w:val="0"/>
        </w:rPr>
        <w:t>“</w:t>
      </w:r>
      <w:r>
        <w:rPr>
          <w:color w:val="000000"/>
          <w:spacing w:val="0"/>
          <w:w w:val="100"/>
          <w:position w:val="0"/>
        </w:rPr>
        <w:t>优秀</w:t>
      </w:r>
      <w:r>
        <w:rPr>
          <w:color w:val="000000"/>
          <w:spacing w:val="0"/>
          <w:w w:val="100"/>
          <w:position w:val="0"/>
        </w:rPr>
        <w:t>''</w:t>
      </w:r>
      <w:r>
        <w:rPr>
          <w:color w:val="000000"/>
          <w:spacing w:val="0"/>
          <w:w w:val="100"/>
          <w:position w:val="0"/>
        </w:rPr>
        <w:t>等次 驻村工作队队员。</w:t>
      </w:r>
    </w:p>
    <w:p>
      <w:pPr>
        <w:pStyle w:val="Style60"/>
        <w:keepNext/>
        <w:keepLines/>
        <w:widowControl w:val="0"/>
        <w:numPr>
          <w:ilvl w:val="0"/>
          <w:numId w:val="47"/>
        </w:numPr>
        <w:shd w:val="clear" w:color="auto" w:fill="auto"/>
        <w:bidi w:val="0"/>
        <w:spacing w:before="0" w:after="320" w:line="240" w:lineRule="auto"/>
        <w:ind w:left="0" w:right="0" w:firstLine="140"/>
        <w:jc w:val="left"/>
      </w:pPr>
      <w:bookmarkStart w:id="501" w:name="bookmark501"/>
      <w:bookmarkStart w:id="502" w:name="bookmark502"/>
      <w:bookmarkStart w:id="503" w:name="bookmark503"/>
      <w:bookmarkStart w:id="504" w:name="bookmark504"/>
      <w:bookmarkEnd w:id="503"/>
      <w:r>
        <w:rPr>
          <w:color w:val="000000"/>
          <w:spacing w:val="0"/>
          <w:w w:val="100"/>
          <w:position w:val="0"/>
        </w:rPr>
        <w:t>精准扶贫成效</w:t>
      </w:r>
      <w:bookmarkEnd w:id="501"/>
      <w:bookmarkEnd w:id="502"/>
      <w:bookmarkEnd w:id="504"/>
    </w:p>
    <w:tbl>
      <w:tblPr>
        <w:tblOverlap w:val="never"/>
        <w:jc w:val="left"/>
        <w:tblLayout w:type="fixed"/>
      </w:tblPr>
      <w:tblGrid>
        <w:gridCol w:w="3629"/>
        <w:gridCol w:w="1555"/>
        <w:gridCol w:w="44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指标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计量单位</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数量</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开展情况</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一、总体情况</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其中：</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资金</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物资折款</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帮助建档立卡贫困人口脱贫数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二、分项投入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产业发展脱贫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902"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8"/>
                <w:szCs w:val="18"/>
              </w:rPr>
              <w:t>产业发展脱贫项目类型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产业发展脱贫项目个数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个</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产业发展脱贫项目投入金额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1.4</w:t>
            </w:r>
            <w:r>
              <w:rPr>
                <w:color w:val="000000"/>
                <w:spacing w:val="0"/>
                <w:w w:val="100"/>
                <w:position w:val="0"/>
                <w:sz w:val="18"/>
                <w:szCs w:val="18"/>
              </w:rPr>
              <w:t>帮助建档立卡贫困人口脱贫数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转移就业脱贫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883"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2.1</w:t>
            </w:r>
            <w:r>
              <w:rPr>
                <w:color w:val="000000"/>
                <w:spacing w:val="0"/>
                <w:w w:val="100"/>
                <w:position w:val="0"/>
                <w:sz w:val="18"/>
                <w:szCs w:val="18"/>
              </w:rPr>
              <w:t>职业技能培训投入金额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职业技能培训人数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920"/>
              <w:jc w:val="both"/>
              <w:rPr>
                <w:sz w:val="18"/>
                <w:szCs w:val="18"/>
              </w:rPr>
            </w:pPr>
            <w:r>
              <w:rPr>
                <w:rFonts w:ascii="Times New Roman" w:eastAsia="Times New Roman" w:hAnsi="Times New Roman" w:cs="Times New Roman"/>
                <w:color w:val="000000"/>
                <w:spacing w:val="0"/>
                <w:w w:val="100"/>
                <w:position w:val="0"/>
                <w:sz w:val="18"/>
                <w:szCs w:val="18"/>
              </w:rPr>
              <w:t>2.3</w:t>
            </w:r>
            <w:r>
              <w:rPr>
                <w:color w:val="000000"/>
                <w:spacing w:val="0"/>
                <w:w w:val="100"/>
                <w:position w:val="0"/>
                <w:sz w:val="18"/>
                <w:szCs w:val="18"/>
              </w:rPr>
              <w:t>帮助建档立卡贫困户实现就业 人数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易地搬迁脱贫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893"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帮助搬迁户就业人数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教育扶贫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883"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4.1</w:t>
            </w:r>
            <w:r>
              <w:rPr>
                <w:color w:val="000000"/>
                <w:spacing w:val="0"/>
                <w:w w:val="100"/>
                <w:position w:val="0"/>
                <w:sz w:val="18"/>
                <w:szCs w:val="18"/>
              </w:rPr>
              <w:t>资助贫困学生投入金额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rFonts w:ascii="Times New Roman" w:eastAsia="Times New Roman" w:hAnsi="Times New Roman" w:cs="Times New Roman"/>
                <w:color w:val="000000"/>
                <w:spacing w:val="0"/>
                <w:w w:val="100"/>
                <w:position w:val="0"/>
                <w:sz w:val="18"/>
                <w:szCs w:val="18"/>
              </w:rPr>
              <w:t>4.2</w:t>
            </w:r>
            <w:r>
              <w:rPr>
                <w:color w:val="000000"/>
                <w:spacing w:val="0"/>
                <w:w w:val="100"/>
                <w:position w:val="0"/>
                <w:sz w:val="18"/>
                <w:szCs w:val="18"/>
              </w:rPr>
              <w:t>资助贫困学生人数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920"/>
              <w:jc w:val="both"/>
              <w:rPr>
                <w:sz w:val="18"/>
                <w:szCs w:val="18"/>
              </w:rPr>
            </w:pPr>
            <w:r>
              <w:rPr>
                <w:rFonts w:ascii="Times New Roman" w:eastAsia="Times New Roman" w:hAnsi="Times New Roman" w:cs="Times New Roman"/>
                <w:color w:val="000000"/>
                <w:spacing w:val="0"/>
                <w:w w:val="100"/>
                <w:position w:val="0"/>
                <w:sz w:val="18"/>
                <w:szCs w:val="18"/>
              </w:rPr>
              <w:t>4.3</w:t>
            </w:r>
            <w:r>
              <w:rPr>
                <w:color w:val="000000"/>
                <w:spacing w:val="0"/>
                <w:w w:val="100"/>
                <w:position w:val="0"/>
                <w:sz w:val="18"/>
                <w:szCs w:val="18"/>
              </w:rPr>
              <w:t>改善贫困地区教育资源投入金 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健康扶贫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tabs>
                <w:tab w:pos="1075" w:val="left"/>
              </w:tabs>
              <w:bidi w:val="0"/>
              <w:spacing w:before="0" w:after="10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5.1</w:t>
            </w:r>
            <w:r>
              <w:rPr>
                <w:color w:val="000000"/>
                <w:spacing w:val="0"/>
                <w:w w:val="100"/>
                <w:position w:val="0"/>
                <w:sz w:val="18"/>
                <w:szCs w:val="18"/>
              </w:rPr>
              <w:t>贫困地区医疗卫生资源投入</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金额</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sectPr>
          <w:headerReference w:type="default" r:id="rId141"/>
          <w:footerReference w:type="default" r:id="rId142"/>
          <w:headerReference w:type="even" r:id="rId143"/>
          <w:footerReference w:type="even" r:id="rId144"/>
          <w:headerReference w:type="first" r:id="rId145"/>
          <w:footerReference w:type="first" r:id="rId146"/>
          <w:footnotePr>
            <w:pos w:val="pageBottom"/>
            <w:numFmt w:val="decimal"/>
            <w:numRestart w:val="continuous"/>
          </w:footnotePr>
          <w:pgSz w:w="11900" w:h="16840"/>
          <w:pgMar w:top="1321" w:right="515" w:bottom="1484" w:left="608" w:header="0" w:footer="3" w:gutter="0"/>
          <w:cols w:space="720"/>
          <w:noEndnote/>
          <w:titlePg/>
          <w:rtlGutter w:val="0"/>
          <w:docGrid w:linePitch="360"/>
        </w:sectPr>
      </w:pPr>
    </w:p>
    <w:tbl>
      <w:tblPr>
        <w:tblOverlap w:val="never"/>
        <w:jc w:val="left"/>
        <w:tblLayout w:type="fixed"/>
      </w:tblPr>
      <w:tblGrid>
        <w:gridCol w:w="3629"/>
        <w:gridCol w:w="1555"/>
        <w:gridCol w:w="44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生态保护扶贫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6.2</w:t>
            </w:r>
            <w:r>
              <w:rPr>
                <w:color w:val="000000"/>
                <w:spacing w:val="0"/>
                <w:w w:val="100"/>
                <w:position w:val="0"/>
                <w:sz w:val="18"/>
                <w:szCs w:val="18"/>
              </w:rPr>
              <w:t>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兜底保障</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888"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7.1“</w:t>
            </w:r>
            <w:r>
              <w:rPr>
                <w:color w:val="000000"/>
                <w:spacing w:val="0"/>
                <w:w w:val="100"/>
                <w:position w:val="0"/>
                <w:sz w:val="18"/>
                <w:szCs w:val="18"/>
              </w:rPr>
              <w:t>三留守</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人员投入金额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7.2</w:t>
            </w:r>
            <w:r>
              <w:rPr>
                <w:color w:val="000000"/>
                <w:spacing w:val="0"/>
                <w:w w:val="100"/>
                <w:position w:val="0"/>
                <w:sz w:val="18"/>
                <w:szCs w:val="18"/>
              </w:rPr>
              <w:t>帮助</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三留守</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人员数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7.3</w:t>
            </w:r>
            <w:r>
              <w:rPr>
                <w:color w:val="000000"/>
                <w:spacing w:val="0"/>
                <w:w w:val="100"/>
                <w:position w:val="0"/>
                <w:sz w:val="18"/>
                <w:szCs w:val="18"/>
              </w:rPr>
              <w:t>贫困残疾人投入金额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7.4</w:t>
            </w:r>
            <w:r>
              <w:rPr>
                <w:color w:val="000000"/>
                <w:spacing w:val="0"/>
                <w:w w:val="100"/>
                <w:position w:val="0"/>
                <w:sz w:val="18"/>
                <w:szCs w:val="18"/>
              </w:rPr>
              <w:t>帮助贫困残疾人数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8"/>
                <w:szCs w:val="18"/>
              </w:rPr>
              <w:t>社会扶贫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893"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8.1</w:t>
            </w:r>
            <w:r>
              <w:rPr>
                <w:color w:val="000000"/>
                <w:spacing w:val="0"/>
                <w:w w:val="100"/>
                <w:position w:val="0"/>
                <w:sz w:val="18"/>
                <w:szCs w:val="18"/>
              </w:rPr>
              <w:t>东西部扶贫协作投入金额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8.2</w:t>
            </w:r>
            <w:r>
              <w:rPr>
                <w:color w:val="000000"/>
                <w:spacing w:val="0"/>
                <w:w w:val="100"/>
                <w:position w:val="0"/>
                <w:sz w:val="18"/>
                <w:szCs w:val="18"/>
              </w:rPr>
              <w:t>定点扶贫工作投入金额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8.3</w:t>
            </w:r>
            <w:r>
              <w:rPr>
                <w:color w:val="000000"/>
                <w:spacing w:val="0"/>
                <w:w w:val="100"/>
                <w:position w:val="0"/>
                <w:sz w:val="18"/>
                <w:szCs w:val="18"/>
              </w:rPr>
              <w:t>扶贫公益基金投入金额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其他项目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tabs>
                <w:tab w:pos="893" w:val="left"/>
              </w:tabs>
              <w:bidi w:val="0"/>
              <w:spacing w:before="0" w:after="0" w:line="240" w:lineRule="auto"/>
              <w:ind w:left="0" w:right="0" w:firstLine="0"/>
              <w:jc w:val="left"/>
              <w:rPr>
                <w:sz w:val="18"/>
                <w:szCs w:val="18"/>
              </w:rPr>
            </w:pPr>
            <w:r>
              <w:rPr>
                <w:color w:val="000000"/>
                <w:spacing w:val="0"/>
                <w:w w:val="100"/>
                <w:position w:val="0"/>
                <w:sz w:val="18"/>
                <w:szCs w:val="18"/>
              </w:rPr>
              <w:t>其中：</w:t>
              <w:tab/>
            </w:r>
            <w:r>
              <w:rPr>
                <w:rFonts w:ascii="Times New Roman" w:eastAsia="Times New Roman" w:hAnsi="Times New Roman" w:cs="Times New Roman"/>
                <w:color w:val="000000"/>
                <w:spacing w:val="0"/>
                <w:w w:val="100"/>
                <w:position w:val="0"/>
                <w:sz w:val="18"/>
                <w:szCs w:val="18"/>
              </w:rPr>
              <w:t>9.1.</w:t>
            </w:r>
            <w:r>
              <w:rPr>
                <w:color w:val="000000"/>
                <w:spacing w:val="0"/>
                <w:w w:val="100"/>
                <w:position w:val="0"/>
                <w:sz w:val="18"/>
                <w:szCs w:val="18"/>
              </w:rPr>
              <w:t>项目个数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个</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9.2.</w:t>
            </w:r>
            <w:r>
              <w:rPr>
                <w:color w:val="000000"/>
                <w:spacing w:val="0"/>
                <w:w w:val="100"/>
                <w:position w:val="0"/>
                <w:sz w:val="18"/>
                <w:szCs w:val="18"/>
              </w:rPr>
              <w:t>投入金额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 xml:space="preserve">9.3 </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帮助建档立卡贫困人口脱贫数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三、所获奖项(内容、级别)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中共广元市利州区委组织部表彰</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优秀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等次 驻村工作队队员</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个</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r>
    </w:tbl>
    <w:p>
      <w:pPr>
        <w:widowControl w:val="0"/>
        <w:spacing w:after="319" w:line="1" w:lineRule="exact"/>
      </w:pPr>
    </w:p>
    <w:p>
      <w:pPr>
        <w:pStyle w:val="Style60"/>
        <w:keepNext/>
        <w:keepLines/>
        <w:widowControl w:val="0"/>
        <w:numPr>
          <w:ilvl w:val="0"/>
          <w:numId w:val="47"/>
        </w:numPr>
        <w:shd w:val="clear" w:color="auto" w:fill="auto"/>
        <w:bidi w:val="0"/>
        <w:spacing w:before="0" w:after="420" w:line="240" w:lineRule="auto"/>
        <w:ind w:left="0" w:right="0" w:firstLine="140"/>
        <w:jc w:val="left"/>
      </w:pPr>
      <w:bookmarkStart w:id="505" w:name="bookmark505"/>
      <w:bookmarkStart w:id="506" w:name="bookmark506"/>
      <w:bookmarkStart w:id="507" w:name="bookmark507"/>
      <w:bookmarkStart w:id="508" w:name="bookmark508"/>
      <w:bookmarkEnd w:id="507"/>
      <w:r>
        <w:rPr>
          <w:color w:val="000000"/>
          <w:spacing w:val="0"/>
          <w:w w:val="100"/>
          <w:position w:val="0"/>
        </w:rPr>
        <w:t>后续精准扶贫计划</w:t>
      </w:r>
      <w:bookmarkEnd w:id="505"/>
      <w:bookmarkEnd w:id="506"/>
      <w:bookmarkEnd w:id="508"/>
    </w:p>
    <w:p>
      <w:pPr>
        <w:pStyle w:val="Style47"/>
        <w:keepNext w:val="0"/>
        <w:keepLines w:val="0"/>
        <w:widowControl w:val="0"/>
        <w:shd w:val="clear" w:color="auto" w:fill="auto"/>
        <w:bidi w:val="0"/>
        <w:spacing w:before="0" w:after="220" w:line="240" w:lineRule="auto"/>
        <w:ind w:left="0" w:right="0" w:firstLine="440"/>
        <w:jc w:val="left"/>
      </w:pPr>
      <w:r>
        <w:rPr>
          <w:rFonts w:ascii="Times New Roman" w:eastAsia="Times New Roman" w:hAnsi="Times New Roman" w:cs="Times New Roman"/>
          <w:color w:val="000000"/>
          <w:spacing w:val="0"/>
          <w:w w:val="100"/>
          <w:position w:val="0"/>
        </w:rPr>
        <w:t>2021</w:t>
      </w:r>
      <w:r>
        <w:rPr>
          <w:color w:val="000000"/>
          <w:spacing w:val="0"/>
          <w:w w:val="100"/>
          <w:position w:val="0"/>
        </w:rPr>
        <w:t>年，公司继续将坚持以习近平新时代中国特色社会主义思想为指导，深入学习宣贯彻党的十九届</w:t>
      </w:r>
    </w:p>
    <w:p>
      <w:pPr>
        <w:pStyle w:val="Style47"/>
        <w:keepNext w:val="0"/>
        <w:keepLines w:val="0"/>
        <w:widowControl w:val="0"/>
        <w:shd w:val="clear" w:color="auto" w:fill="auto"/>
        <w:bidi w:val="0"/>
        <w:spacing w:before="0" w:after="220" w:line="240" w:lineRule="auto"/>
        <w:ind w:left="0" w:right="0" w:firstLine="0"/>
        <w:jc w:val="left"/>
      </w:pPr>
      <w:r>
        <w:rPr>
          <w:color w:val="000000"/>
          <w:spacing w:val="0"/>
          <w:w w:val="100"/>
          <w:position w:val="0"/>
        </w:rPr>
        <w:t>五中全会精神，按照四川省委省政府的指示要求，进一步提高思想认识，结合当地需要，全面抓好下一步</w:t>
      </w:r>
    </w:p>
    <w:p>
      <w:pPr>
        <w:pStyle w:val="Style47"/>
        <w:keepNext w:val="0"/>
        <w:keepLines w:val="0"/>
        <w:widowControl w:val="0"/>
        <w:shd w:val="clear" w:color="auto" w:fill="auto"/>
        <w:bidi w:val="0"/>
        <w:spacing w:before="0" w:after="420" w:line="240" w:lineRule="auto"/>
        <w:ind w:left="0" w:right="0" w:firstLine="0"/>
        <w:jc w:val="left"/>
      </w:pPr>
      <w:r>
        <w:rPr>
          <w:color w:val="000000"/>
          <w:spacing w:val="0"/>
          <w:w w:val="100"/>
          <w:position w:val="0"/>
        </w:rPr>
        <w:t>乡村振兴各项工作落实，巩固过去扶贫成果，确保扶贫对象在国家乡村振兴战略中获得新的更大的发展。</w:t>
      </w:r>
    </w:p>
    <w:p>
      <w:pPr>
        <w:pStyle w:val="Style44"/>
        <w:keepNext/>
        <w:keepLines/>
        <w:widowControl w:val="0"/>
        <w:shd w:val="clear" w:color="auto" w:fill="auto"/>
        <w:bidi w:val="0"/>
        <w:spacing w:before="0" w:after="380" w:line="240" w:lineRule="auto"/>
        <w:ind w:left="0" w:right="0" w:firstLine="0"/>
        <w:jc w:val="left"/>
      </w:pPr>
      <w:bookmarkStart w:id="509" w:name="bookmark509"/>
      <w:bookmarkStart w:id="510" w:name="bookmark510"/>
      <w:bookmarkStart w:id="511" w:name="bookmark511"/>
      <w:bookmarkStart w:id="512" w:name="bookmark512"/>
      <w:r>
        <w:rPr>
          <w:rFonts w:ascii="Times New Roman" w:eastAsia="Times New Roman" w:hAnsi="Times New Roman" w:cs="Times New Roman"/>
          <w:color w:val="000000"/>
          <w:spacing w:val="0"/>
          <w:w w:val="100"/>
          <w:position w:val="0"/>
        </w:rPr>
        <w:t>3</w:t>
      </w:r>
      <w:bookmarkEnd w:id="511"/>
      <w:r>
        <w:rPr>
          <w:color w:val="000000"/>
          <w:spacing w:val="0"/>
          <w:w w:val="100"/>
          <w:position w:val="0"/>
        </w:rPr>
        <w:t>、环境保护相关的情况</w:t>
      </w:r>
      <w:bookmarkEnd w:id="509"/>
      <w:bookmarkEnd w:id="510"/>
      <w:bookmarkEnd w:id="512"/>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上市公司及其子公司是否属于环境保护部门公布的重点排污单位</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after="220" w:line="240" w:lineRule="auto"/>
        <w:ind w:left="0" w:right="0" w:firstLine="0"/>
        <w:jc w:val="left"/>
      </w:pPr>
      <w:r>
        <w:rPr>
          <w:color w:val="000000"/>
          <w:spacing w:val="0"/>
          <w:w w:val="100"/>
          <w:position w:val="0"/>
        </w:rPr>
        <w:t>不适用</w:t>
      </w:r>
    </w:p>
    <w:p>
      <w:pPr>
        <w:pStyle w:val="Style47"/>
        <w:keepNext w:val="0"/>
        <w:keepLines w:val="0"/>
        <w:widowControl w:val="0"/>
        <w:shd w:val="clear" w:color="auto" w:fill="auto"/>
        <w:bidi w:val="0"/>
        <w:spacing w:before="0" w:after="420" w:line="240" w:lineRule="auto"/>
        <w:ind w:left="0" w:right="0" w:firstLine="0"/>
        <w:jc w:val="left"/>
      </w:pPr>
      <w:r>
        <w:rPr>
          <w:color w:val="000000"/>
          <w:spacing w:val="0"/>
          <w:w w:val="100"/>
          <w:position w:val="0"/>
        </w:rPr>
        <w:t>本公司及其子公司均不属于环境保护部门公布的重点排污单位。</w:t>
      </w:r>
    </w:p>
    <w:p>
      <w:pPr>
        <w:pStyle w:val="Style33"/>
        <w:keepNext/>
        <w:keepLines/>
        <w:widowControl w:val="0"/>
        <w:shd w:val="clear" w:color="auto" w:fill="auto"/>
        <w:bidi w:val="0"/>
        <w:spacing w:before="0" w:after="320" w:line="240" w:lineRule="auto"/>
        <w:ind w:left="0" w:right="0" w:firstLine="0"/>
        <w:jc w:val="left"/>
      </w:pPr>
      <w:bookmarkStart w:id="513" w:name="bookmark513"/>
      <w:bookmarkStart w:id="514" w:name="bookmark514"/>
      <w:bookmarkStart w:id="515" w:name="bookmark515"/>
      <w:r>
        <w:rPr>
          <w:color w:val="000000"/>
          <w:spacing w:val="0"/>
          <w:w w:val="100"/>
          <w:position w:val="0"/>
          <w:sz w:val="24"/>
          <w:szCs w:val="24"/>
        </w:rPr>
        <w:t>十八、其他重大事项的说明</w:t>
      </w:r>
      <w:bookmarkEnd w:id="513"/>
      <w:bookmarkEnd w:id="514"/>
      <w:bookmarkEnd w:id="515"/>
    </w:p>
    <w:p>
      <w:pPr>
        <w:pStyle w:val="Style3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280" w:line="240" w:lineRule="auto"/>
        <w:ind w:left="0" w:right="0" w:firstLine="0"/>
        <w:jc w:val="left"/>
      </w:pPr>
      <w:r>
        <w:rPr>
          <w:color w:val="000000"/>
          <w:spacing w:val="0"/>
          <w:w w:val="100"/>
          <w:position w:val="0"/>
        </w:rPr>
        <w:t>公司报告期不存在需要说明的其他重大事项。</w:t>
      </w:r>
    </w:p>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86"/>
        <w:keepNext w:val="0"/>
        <w:keepLines w:val="0"/>
        <w:widowControl w:val="0"/>
        <w:shd w:val="clear" w:color="auto" w:fill="auto"/>
        <w:bidi w:val="0"/>
        <w:spacing w:before="0" w:after="0" w:line="240" w:lineRule="auto"/>
        <w:ind w:left="9920" w:right="0" w:firstLine="0"/>
        <w:jc w:val="left"/>
      </w:pPr>
      <w:r>
        <w:rPr>
          <w:rFonts w:ascii="SimHei" w:eastAsia="SimHei" w:hAnsi="SimHei" w:cs="SimHei"/>
          <w:b w:val="0"/>
          <w:bCs w:val="0"/>
          <w:spacing w:val="0"/>
          <w:w w:val="100"/>
          <w:position w:val="0"/>
          <w:sz w:val="12"/>
          <w:szCs w:val="12"/>
        </w:rPr>
        <w:t>巨潮遂</w:t>
      </w:r>
      <w:r>
        <w:rPr>
          <w:spacing w:val="0"/>
          <w:w w:val="100"/>
          <w:position w:val="0"/>
        </w:rPr>
        <w:t>iH</w:t>
      </w:r>
    </w:p>
    <w:p>
      <w:pPr>
        <w:pStyle w:val="Style86"/>
        <w:keepNext w:val="0"/>
        <w:keepLines w:val="0"/>
        <w:widowControl w:val="0"/>
        <w:shd w:val="clear" w:color="auto" w:fill="auto"/>
        <w:bidi w:val="0"/>
        <w:spacing w:before="0" w:after="0" w:line="228" w:lineRule="auto"/>
        <w:ind w:left="0" w:right="0" w:firstLine="0"/>
        <w:jc w:val="right"/>
        <w:sectPr>
          <w:footnotePr>
            <w:pos w:val="pageBottom"/>
            <w:numFmt w:val="decimal"/>
            <w:numRestart w:val="continuous"/>
          </w:footnotePr>
          <w:pgSz w:w="11900" w:h="16840"/>
          <w:pgMar w:top="1436" w:right="24" w:bottom="169"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33"/>
        <w:keepNext/>
        <w:keepLines/>
        <w:widowControl w:val="0"/>
        <w:shd w:val="clear" w:color="auto" w:fill="auto"/>
        <w:bidi w:val="0"/>
        <w:spacing w:before="600" w:after="340" w:line="240" w:lineRule="auto"/>
        <w:ind w:left="0" w:right="0" w:firstLine="0"/>
        <w:jc w:val="left"/>
      </w:pPr>
      <w:bookmarkStart w:id="516" w:name="bookmark516"/>
      <w:bookmarkStart w:id="517" w:name="bookmark517"/>
      <w:bookmarkStart w:id="518" w:name="bookmark518"/>
      <w:r>
        <w:rPr>
          <w:color w:val="000000"/>
          <w:spacing w:val="0"/>
          <w:w w:val="100"/>
          <w:position w:val="0"/>
          <w:sz w:val="24"/>
          <w:szCs w:val="24"/>
        </w:rPr>
        <w:t>十九、公司子公司重大事项</w:t>
      </w:r>
      <w:bookmarkEnd w:id="516"/>
      <w:bookmarkEnd w:id="517"/>
      <w:bookmarkEnd w:id="518"/>
    </w:p>
    <w:p>
      <w:pPr>
        <w:pStyle w:val="Style3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931" w:right="24" w:bottom="946" w:left="110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15"/>
        <w:keepNext/>
        <w:keepLines/>
        <w:widowControl w:val="0"/>
        <w:shd w:val="clear" w:color="auto" w:fill="auto"/>
        <w:bidi w:val="0"/>
        <w:spacing w:before="0" w:line="240" w:lineRule="auto"/>
        <w:ind w:left="0" w:right="0" w:firstLine="0"/>
        <w:jc w:val="center"/>
      </w:pPr>
      <w:bookmarkStart w:id="519" w:name="bookmark519"/>
      <w:bookmarkStart w:id="520" w:name="bookmark520"/>
      <w:bookmarkStart w:id="521" w:name="bookmark521"/>
      <w:r>
        <w:rPr>
          <w:color w:val="000000"/>
          <w:spacing w:val="0"/>
          <w:w w:val="100"/>
          <w:position w:val="0"/>
        </w:rPr>
        <w:t>第六节股份变动及股东情况</w:t>
      </w:r>
      <w:bookmarkEnd w:id="519"/>
      <w:bookmarkEnd w:id="520"/>
      <w:bookmarkEnd w:id="521"/>
    </w:p>
    <w:p>
      <w:pPr>
        <w:pStyle w:val="Style33"/>
        <w:keepNext/>
        <w:keepLines/>
        <w:widowControl w:val="0"/>
        <w:shd w:val="clear" w:color="auto" w:fill="auto"/>
        <w:bidi w:val="0"/>
        <w:spacing w:before="0" w:after="320" w:line="240" w:lineRule="auto"/>
        <w:ind w:left="0" w:right="0" w:firstLine="0"/>
        <w:jc w:val="left"/>
      </w:pPr>
      <w:bookmarkStart w:id="522" w:name="bookmark522"/>
      <w:bookmarkStart w:id="523" w:name="bookmark523"/>
      <w:bookmarkStart w:id="524" w:name="bookmark524"/>
      <w:bookmarkStart w:id="525" w:name="bookmark525"/>
      <w:bookmarkStart w:id="526" w:name="bookmark526"/>
      <w:r>
        <w:rPr>
          <w:color w:val="000000"/>
          <w:spacing w:val="0"/>
          <w:w w:val="100"/>
          <w:position w:val="0"/>
          <w:sz w:val="24"/>
          <w:szCs w:val="24"/>
        </w:rPr>
        <w:t>一</w:t>
      </w:r>
      <w:bookmarkEnd w:id="525"/>
      <w:r>
        <w:rPr>
          <w:color w:val="000000"/>
          <w:spacing w:val="0"/>
          <w:w w:val="100"/>
          <w:position w:val="0"/>
          <w:sz w:val="24"/>
          <w:szCs w:val="24"/>
        </w:rPr>
        <w:t>、股份变动情况</w:t>
      </w:r>
      <w:bookmarkEnd w:id="523"/>
      <w:bookmarkEnd w:id="524"/>
      <w:bookmarkEnd w:id="526"/>
      <w:bookmarkEnd w:id="522"/>
    </w:p>
    <w:p>
      <w:pPr>
        <w:pStyle w:val="Style44"/>
        <w:keepNext/>
        <w:keepLines/>
        <w:widowControl w:val="0"/>
        <w:shd w:val="clear" w:color="auto" w:fill="auto"/>
        <w:bidi w:val="0"/>
        <w:spacing w:before="0" w:after="360" w:line="240" w:lineRule="auto"/>
        <w:ind w:left="0" w:right="0" w:firstLine="0"/>
        <w:jc w:val="left"/>
      </w:pPr>
      <w:bookmarkStart w:id="527" w:name="bookmark527"/>
      <w:bookmarkStart w:id="528" w:name="bookmark528"/>
      <w:bookmarkStart w:id="529" w:name="bookmark529"/>
      <w:bookmarkStart w:id="530" w:name="bookmark530"/>
      <w:r>
        <w:rPr>
          <w:rFonts w:ascii="Times New Roman" w:eastAsia="Times New Roman" w:hAnsi="Times New Roman" w:cs="Times New Roman"/>
          <w:color w:val="000000"/>
          <w:spacing w:val="0"/>
          <w:w w:val="100"/>
          <w:position w:val="0"/>
        </w:rPr>
        <w:t>1</w:t>
      </w:r>
      <w:bookmarkEnd w:id="529"/>
      <w:r>
        <w:rPr>
          <w:color w:val="000000"/>
          <w:spacing w:val="0"/>
          <w:w w:val="100"/>
          <w:position w:val="0"/>
        </w:rPr>
        <w:t>、股份变动情况</w:t>
      </w:r>
      <w:bookmarkEnd w:id="527"/>
      <w:bookmarkEnd w:id="528"/>
      <w:bookmarkEnd w:id="53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单位：股</w:t>
      </w:r>
    </w:p>
    <w:tbl>
      <w:tblPr>
        <w:tblOverlap w:val="never"/>
        <w:jc w:val="left"/>
        <w:tblLayout w:type="fixed"/>
      </w:tblPr>
      <w:tblGrid>
        <w:gridCol w:w="2232"/>
        <w:gridCol w:w="826"/>
        <w:gridCol w:w="821"/>
        <w:gridCol w:w="826"/>
        <w:gridCol w:w="821"/>
        <w:gridCol w:w="826"/>
        <w:gridCol w:w="821"/>
        <w:gridCol w:w="821"/>
        <w:gridCol w:w="792"/>
        <w:gridCol w:w="802"/>
      </w:tblGrid>
      <w:tr>
        <w:trPr>
          <w:trHeight w:val="408" w:hRule="exact"/>
        </w:trPr>
        <w:tc>
          <w:tcPr>
            <w:vMerge w:val="restart"/>
            <w:tcBorders>
              <w:top w:val="single" w:sz="4"/>
              <w:left w:val="single" w:sz="4"/>
            </w:tcBorders>
            <w:shd w:val="clear" w:color="auto" w:fill="D4D4D4"/>
            <w:vAlign w:val="top"/>
          </w:tcPr>
          <w:p>
            <w:pPr>
              <w:widowControl w:val="0"/>
              <w:rPr>
                <w:sz w:val="10"/>
                <w:szCs w:val="10"/>
              </w:rPr>
            </w:pP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本次变动前</w:t>
            </w:r>
          </w:p>
        </w:tc>
        <w:tc>
          <w:tcPr>
            <w:gridSpan w:val="5"/>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本次变动增减（</w:t>
            </w:r>
            <w:r>
              <w:rPr>
                <w:color w:val="000000"/>
                <w:spacing w:val="0"/>
                <w:w w:val="100"/>
                <w:position w:val="0"/>
                <w:sz w:val="18"/>
                <w:szCs w:val="18"/>
              </w:rPr>
              <w:t>+,一）</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本次变动后</w:t>
            </w:r>
          </w:p>
        </w:tc>
      </w:tr>
      <w:tr>
        <w:trPr>
          <w:trHeight w:val="710" w:hRule="exact"/>
        </w:trPr>
        <w:tc>
          <w:tcPr>
            <w:vMerge/>
            <w:tcBorders>
              <w:left w:val="single" w:sz="4"/>
            </w:tcBorders>
            <w:shd w:val="clear" w:color="auto" w:fill="D4D4D4"/>
            <w:vAlign w:val="top"/>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数量</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发行新股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送股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公积金转 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20" w:firstLine="0"/>
              <w:jc w:val="right"/>
              <w:rPr>
                <w:sz w:val="18"/>
                <w:szCs w:val="18"/>
              </w:rPr>
            </w:pPr>
            <w:r>
              <w:rPr>
                <w:color w:val="000000"/>
                <w:spacing w:val="0"/>
                <w:w w:val="100"/>
                <w:position w:val="0"/>
                <w:sz w:val="18"/>
                <w:szCs w:val="18"/>
              </w:rPr>
              <w:t>小计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数量</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20" w:firstLine="0"/>
              <w:jc w:val="right"/>
              <w:rPr>
                <w:sz w:val="18"/>
                <w:szCs w:val="18"/>
              </w:rPr>
            </w:pPr>
            <w:r>
              <w:rPr>
                <w:color w:val="000000"/>
                <w:spacing w:val="0"/>
                <w:w w:val="100"/>
                <w:position w:val="0"/>
                <w:sz w:val="18"/>
                <w:szCs w:val="18"/>
              </w:rPr>
              <w:t>比例</w:t>
            </w: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一、有限售条件股份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72,873,00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40.49%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-72,873,0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-72,873,0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、国家持股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、国有法人持股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64,638,00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35.91%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-64,638,0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-64,638,0</w:t>
            </w:r>
          </w:p>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、其他内资持股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4.58%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其中：境内法人持股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4.58%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境内自然人持股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、外资持股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其中：境外法人持股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境外自然人持股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二、无限售条件股份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107,127,0</w:t>
            </w:r>
          </w:p>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59.51%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72,873,00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72,873,00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180,000,0</w:t>
            </w:r>
          </w:p>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、人民币普通股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107,127,0</w:t>
            </w:r>
          </w:p>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59.51%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72,873,00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72,873,00</w:t>
            </w:r>
          </w:p>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180,000,0</w:t>
            </w:r>
          </w:p>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、境内上市的外资股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、境外上市的外资股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180,000,0</w:t>
            </w:r>
          </w:p>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180,000,0</w:t>
            </w:r>
          </w:p>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股份变动的原因</w:t>
      </w:r>
    </w:p>
    <w:p>
      <w:pPr>
        <w:pStyle w:val="Style35"/>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47"/>
        <w:keepNext w:val="0"/>
        <w:keepLines w:val="0"/>
        <w:widowControl w:val="0"/>
        <w:shd w:val="clear" w:color="auto" w:fill="auto"/>
        <w:bidi w:val="0"/>
        <w:spacing w:before="0" w:after="180" w:line="240" w:lineRule="auto"/>
        <w:ind w:left="0" w:right="0" w:firstLine="44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日，中国科学院控股有限公司、四川埃德凯森科技有限公司和全国社会保障基金理事会</w:t>
      </w:r>
    </w:p>
    <w:p>
      <w:pPr>
        <w:pStyle w:val="Style47"/>
        <w:keepNext w:val="0"/>
        <w:keepLines w:val="0"/>
        <w:widowControl w:val="0"/>
        <w:shd w:val="clear" w:color="auto" w:fill="auto"/>
        <w:bidi w:val="0"/>
        <w:spacing w:before="0" w:after="780" w:line="240" w:lineRule="auto"/>
        <w:ind w:left="0" w:right="0" w:firstLine="0"/>
        <w:jc w:val="left"/>
      </w:pPr>
      <w:r>
        <w:rPr>
          <w:color w:val="000000"/>
          <w:spacing w:val="0"/>
          <w:w w:val="100"/>
          <w:position w:val="0"/>
        </w:rPr>
        <w:t>转持一户</w:t>
      </w:r>
      <w:r>
        <w:rPr>
          <w:rFonts w:ascii="Times New Roman" w:eastAsia="Times New Roman" w:hAnsi="Times New Roman" w:cs="Times New Roman"/>
          <w:color w:val="000000"/>
          <w:spacing w:val="0"/>
          <w:w w:val="100"/>
          <w:position w:val="0"/>
        </w:rPr>
        <w:t>3</w:t>
      </w:r>
      <w:r>
        <w:rPr>
          <w:color w:val="000000"/>
          <w:spacing w:val="0"/>
          <w:w w:val="100"/>
          <w:position w:val="0"/>
        </w:rPr>
        <w:t>名股东所持首发前限售股锁定期届满，股份解除锁定，自</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日起可上市流通。具体详</w:t>
      </w:r>
    </w:p>
    <w:p>
      <w:pPr>
        <w:pStyle w:val="Style83"/>
        <w:keepNext w:val="0"/>
        <w:keepLines w:val="0"/>
        <w:widowControl w:val="0"/>
        <w:shd w:val="clear" w:color="auto" w:fill="auto"/>
        <w:bidi w:val="0"/>
        <w:spacing w:before="0" w:after="200" w:line="240" w:lineRule="auto"/>
        <w:ind w:left="0" w:right="0" w:firstLine="0"/>
        <w:jc w:val="left"/>
      </w:pPr>
      <w:r>
        <w:rPr>
          <w:spacing w:val="0"/>
          <w:w w:val="100"/>
          <w:position w:val="0"/>
        </w:rPr>
        <w:t xml:space="preserve">cninf </w:t>
      </w:r>
      <w:r>
        <w:rPr>
          <w:rFonts w:ascii="SimSun" w:eastAsia="SimSun" w:hAnsi="SimSun" w:cs="SimSun"/>
          <w:b w:val="0"/>
          <w:bCs w:val="0"/>
          <w:spacing w:val="0"/>
          <w:w w:val="100"/>
          <w:position w:val="0"/>
          <w:sz w:val="26"/>
          <w:szCs w:val="26"/>
        </w:rPr>
        <w:t xml:space="preserve">多 </w:t>
      </w:r>
      <w:r>
        <w:rPr>
          <w:rStyle w:val="CharStyle48"/>
          <w:b w:val="0"/>
          <w:bCs w:val="0"/>
        </w:rPr>
        <w:t>见公司于</w:t>
      </w:r>
      <w:r>
        <w:rPr>
          <w:rStyle w:val="CharStyle48"/>
          <w:rFonts w:ascii="Times New Roman" w:eastAsia="Times New Roman" w:hAnsi="Times New Roman" w:cs="Times New Roman"/>
          <w:b w:val="0"/>
          <w:bCs w:val="0"/>
        </w:rPr>
        <w:t>2020</w:t>
      </w:r>
      <w:r>
        <w:rPr>
          <w:rStyle w:val="CharStyle48"/>
          <w:b w:val="0"/>
          <w:bCs w:val="0"/>
        </w:rPr>
        <w:t>年</w:t>
      </w:r>
      <w:r>
        <w:rPr>
          <w:rStyle w:val="CharStyle48"/>
          <w:rFonts w:ascii="Times New Roman" w:eastAsia="Times New Roman" w:hAnsi="Times New Roman" w:cs="Times New Roman"/>
          <w:b w:val="0"/>
          <w:bCs w:val="0"/>
        </w:rPr>
        <w:t>7</w:t>
      </w:r>
      <w:r>
        <w:rPr>
          <w:rStyle w:val="CharStyle48"/>
          <w:b w:val="0"/>
          <w:bCs w:val="0"/>
        </w:rPr>
        <w:t>月</w:t>
      </w:r>
      <w:r>
        <w:rPr>
          <w:rStyle w:val="CharStyle48"/>
          <w:rFonts w:ascii="Times New Roman" w:eastAsia="Times New Roman" w:hAnsi="Times New Roman" w:cs="Times New Roman"/>
          <w:b w:val="0"/>
          <w:bCs w:val="0"/>
        </w:rPr>
        <w:t>27</w:t>
      </w:r>
      <w:r>
        <w:rPr>
          <w:rStyle w:val="CharStyle48"/>
          <w:b w:val="0"/>
          <w:bCs w:val="0"/>
        </w:rPr>
        <w:t>日在巨潮网披露的相关公告（公告编号：</w:t>
      </w:r>
      <w:r>
        <w:rPr>
          <w:rStyle w:val="CharStyle48"/>
          <w:rFonts w:ascii="Times New Roman" w:eastAsia="Times New Roman" w:hAnsi="Times New Roman" w:cs="Times New Roman"/>
          <w:b w:val="0"/>
          <w:bCs w:val="0"/>
        </w:rPr>
        <w:t>2020-081</w:t>
      </w:r>
      <w:r>
        <w:rPr>
          <w:rStyle w:val="CharStyle48"/>
          <w:b w:val="0"/>
          <w:bCs w:val="0"/>
        </w:rPr>
        <w:t>号）。</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股份变动的批准情况</w:t>
      </w:r>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股份变动的过户情况</w:t>
      </w:r>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股份回购的实施进展情况</w:t>
      </w:r>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采用集中竞价方式减持回购股份的实施进展情况</w:t>
      </w:r>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股份变动对最近一年和最近一期基本每股收益和稀释每股收益、归属于公司普通股股东的每股净资产等财务指标的影响</w:t>
      </w:r>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公司认为必要或证券监管机构要求披露的其他内容</w:t>
      </w:r>
    </w:p>
    <w:p>
      <w:pPr>
        <w:pStyle w:val="Style35"/>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bidi w:val="0"/>
        <w:spacing w:before="0" w:line="240" w:lineRule="auto"/>
        <w:ind w:left="0" w:right="0" w:firstLine="0"/>
        <w:jc w:val="both"/>
      </w:pPr>
      <w:bookmarkStart w:id="531" w:name="bookmark531"/>
      <w:bookmarkStart w:id="532" w:name="bookmark532"/>
      <w:bookmarkStart w:id="533" w:name="bookmark533"/>
      <w:bookmarkStart w:id="534" w:name="bookmark534"/>
      <w:r>
        <w:rPr>
          <w:rFonts w:ascii="Times New Roman" w:eastAsia="Times New Roman" w:hAnsi="Times New Roman" w:cs="Times New Roman"/>
          <w:color w:val="000000"/>
          <w:spacing w:val="0"/>
          <w:w w:val="100"/>
          <w:position w:val="0"/>
        </w:rPr>
        <w:t>2</w:t>
      </w:r>
      <w:bookmarkEnd w:id="533"/>
      <w:r>
        <w:rPr>
          <w:color w:val="000000"/>
          <w:spacing w:val="0"/>
          <w:w w:val="100"/>
          <w:position w:val="0"/>
        </w:rPr>
        <w:t>、限售股份变动情况</w:t>
      </w:r>
      <w:bookmarkEnd w:id="531"/>
      <w:bookmarkEnd w:id="532"/>
      <w:bookmarkEnd w:id="534"/>
    </w:p>
    <w:p>
      <w:pPr>
        <w:pStyle w:val="Style35"/>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1100" w:firstLine="0"/>
        <w:jc w:val="right"/>
      </w:pPr>
      <w:r>
        <w:rPr>
          <w:color w:val="000000"/>
          <w:spacing w:val="0"/>
          <w:w w:val="100"/>
          <w:position w:val="0"/>
        </w:rPr>
        <w:t>单位：股</w:t>
      </w:r>
    </w:p>
    <w:tbl>
      <w:tblPr>
        <w:tblOverlap w:val="never"/>
        <w:jc w:val="left"/>
        <w:tblLayout w:type="fixed"/>
      </w:tblPr>
      <w:tblGrid>
        <w:gridCol w:w="1214"/>
        <w:gridCol w:w="1488"/>
        <w:gridCol w:w="1488"/>
        <w:gridCol w:w="1488"/>
        <w:gridCol w:w="1488"/>
        <w:gridCol w:w="1200"/>
        <w:gridCol w:w="1219"/>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股东名称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期初限售股数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本期增加限售股 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本期解除限售股 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期末限售股数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限售原因</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拟解除限售日 期</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中国科学院控 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60,318,434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60,318,434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首发前限售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color w:val="000000"/>
                <w:spacing w:val="0"/>
                <w:w w:val="100"/>
                <w:position w:val="0"/>
                <w:sz w:val="18"/>
                <w:szCs w:val="18"/>
              </w:rPr>
              <w:t>已于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日解 除限售</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四川埃德凯森 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首发前限售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color w:val="000000"/>
                <w:spacing w:val="0"/>
                <w:w w:val="100"/>
                <w:position w:val="0"/>
                <w:sz w:val="18"/>
                <w:szCs w:val="18"/>
              </w:rPr>
              <w:t>已于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日解 除限售</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全国社会保障 基金理事会转 持一户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4,319,566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4,319,566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首发前限售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已于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日解 除限售</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72,873,000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72,873,000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39" w:line="1" w:lineRule="exact"/>
      </w:pPr>
    </w:p>
    <w:p>
      <w:pPr>
        <w:pStyle w:val="Style33"/>
        <w:keepNext/>
        <w:keepLines/>
        <w:widowControl w:val="0"/>
        <w:shd w:val="clear" w:color="auto" w:fill="auto"/>
        <w:bidi w:val="0"/>
        <w:spacing w:before="0" w:after="340" w:line="240" w:lineRule="auto"/>
        <w:ind w:left="0" w:right="0" w:firstLine="0"/>
        <w:jc w:val="both"/>
      </w:pPr>
      <w:bookmarkStart w:id="535" w:name="bookmark535"/>
      <w:bookmarkStart w:id="536" w:name="bookmark536"/>
      <w:bookmarkStart w:id="537" w:name="bookmark537"/>
      <w:bookmarkStart w:id="538" w:name="bookmark538"/>
      <w:r>
        <w:rPr>
          <w:color w:val="000000"/>
          <w:spacing w:val="0"/>
          <w:w w:val="100"/>
          <w:position w:val="0"/>
          <w:sz w:val="24"/>
          <w:szCs w:val="24"/>
        </w:rPr>
        <w:t>二</w:t>
      </w:r>
      <w:bookmarkEnd w:id="537"/>
      <w:r>
        <w:rPr>
          <w:color w:val="000000"/>
          <w:spacing w:val="0"/>
          <w:w w:val="100"/>
          <w:position w:val="0"/>
          <w:sz w:val="24"/>
          <w:szCs w:val="24"/>
        </w:rPr>
        <w:t>、证券发行与上市情况</w:t>
      </w:r>
      <w:bookmarkEnd w:id="535"/>
      <w:bookmarkEnd w:id="536"/>
      <w:bookmarkEnd w:id="538"/>
    </w:p>
    <w:p>
      <w:pPr>
        <w:pStyle w:val="Style44"/>
        <w:keepNext/>
        <w:keepLines/>
        <w:widowControl w:val="0"/>
        <w:shd w:val="clear" w:color="auto" w:fill="auto"/>
        <w:tabs>
          <w:tab w:pos="368" w:val="left"/>
        </w:tabs>
        <w:bidi w:val="0"/>
        <w:spacing w:before="0" w:line="240" w:lineRule="auto"/>
        <w:ind w:left="0" w:right="0" w:firstLine="0"/>
        <w:jc w:val="both"/>
      </w:pPr>
      <w:bookmarkStart w:id="539" w:name="bookmark539"/>
      <w:bookmarkStart w:id="540" w:name="bookmark540"/>
      <w:bookmarkStart w:id="541" w:name="bookmark541"/>
      <w:bookmarkStart w:id="542" w:name="bookmark542"/>
      <w:r>
        <w:rPr>
          <w:rFonts w:ascii="Times New Roman" w:eastAsia="Times New Roman" w:hAnsi="Times New Roman" w:cs="Times New Roman"/>
          <w:color w:val="000000"/>
          <w:spacing w:val="0"/>
          <w:w w:val="100"/>
          <w:position w:val="0"/>
        </w:rPr>
        <w:t>1</w:t>
      </w:r>
      <w:bookmarkEnd w:id="541"/>
      <w:r>
        <w:rPr>
          <w:color w:val="000000"/>
          <w:spacing w:val="0"/>
          <w:w w:val="100"/>
          <w:position w:val="0"/>
        </w:rPr>
        <w:t>、</w:t>
        <w:tab/>
        <w:t>报告期内证券发行（不含优先股）情况</w:t>
      </w:r>
      <w:bookmarkEnd w:id="539"/>
      <w:bookmarkEnd w:id="540"/>
      <w:bookmarkEnd w:id="542"/>
    </w:p>
    <w:p>
      <w:pPr>
        <w:pStyle w:val="Style35"/>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tabs>
          <w:tab w:pos="378" w:val="left"/>
        </w:tabs>
        <w:bidi w:val="0"/>
        <w:spacing w:before="0" w:line="240" w:lineRule="auto"/>
        <w:ind w:left="0" w:right="0" w:firstLine="0"/>
        <w:jc w:val="both"/>
      </w:pPr>
      <w:bookmarkStart w:id="543" w:name="bookmark543"/>
      <w:bookmarkStart w:id="544" w:name="bookmark544"/>
      <w:bookmarkStart w:id="545" w:name="bookmark545"/>
      <w:bookmarkStart w:id="546" w:name="bookmark546"/>
      <w:r>
        <w:rPr>
          <w:rFonts w:ascii="Times New Roman" w:eastAsia="Times New Roman" w:hAnsi="Times New Roman" w:cs="Times New Roman"/>
          <w:color w:val="000000"/>
          <w:spacing w:val="0"/>
          <w:w w:val="100"/>
          <w:position w:val="0"/>
        </w:rPr>
        <w:t>2</w:t>
      </w:r>
      <w:bookmarkEnd w:id="545"/>
      <w:r>
        <w:rPr>
          <w:color w:val="000000"/>
          <w:spacing w:val="0"/>
          <w:w w:val="100"/>
          <w:position w:val="0"/>
        </w:rPr>
        <w:t>、</w:t>
        <w:tab/>
        <w:t>公司股份总数及股东结构的变动、公司资产和负债结构的变动情况说明</w:t>
      </w:r>
      <w:bookmarkEnd w:id="543"/>
      <w:bookmarkEnd w:id="544"/>
      <w:bookmarkEnd w:id="546"/>
    </w:p>
    <w:p>
      <w:pPr>
        <w:pStyle w:val="Style35"/>
        <w:keepNext w:val="0"/>
        <w:keepLines w:val="0"/>
        <w:widowControl w:val="0"/>
        <w:shd w:val="clear" w:color="auto" w:fill="auto"/>
        <w:bidi w:val="0"/>
        <w:spacing w:before="0" w:line="240" w:lineRule="auto"/>
        <w:ind w:left="0" w:right="0" w:firstLine="0"/>
        <w:jc w:val="both"/>
        <w:sectPr>
          <w:headerReference w:type="default" r:id="rId147"/>
          <w:footerReference w:type="default" r:id="rId148"/>
          <w:headerReference w:type="even" r:id="rId149"/>
          <w:footerReference w:type="even" r:id="rId150"/>
          <w:headerReference w:type="first" r:id="rId151"/>
          <w:footerReference w:type="first" r:id="rId152"/>
          <w:footnotePr>
            <w:pos w:val="pageBottom"/>
            <w:numFmt w:val="decimal"/>
            <w:numRestart w:val="continuous"/>
          </w:footnotePr>
          <w:pgSz w:w="11900" w:h="16840"/>
          <w:pgMar w:top="931" w:right="24" w:bottom="946" w:left="1100"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bidi w:val="0"/>
        <w:spacing w:before="0" w:after="360" w:line="240" w:lineRule="auto"/>
        <w:ind w:left="0" w:right="0" w:firstLine="0"/>
        <w:jc w:val="left"/>
      </w:pPr>
      <w:bookmarkStart w:id="547" w:name="bookmark547"/>
      <w:bookmarkStart w:id="548" w:name="bookmark548"/>
      <w:bookmarkStart w:id="549" w:name="bookmark549"/>
      <w:bookmarkStart w:id="550" w:name="bookmark550"/>
      <w:r>
        <w:rPr>
          <w:rFonts w:ascii="Times New Roman" w:eastAsia="Times New Roman" w:hAnsi="Times New Roman" w:cs="Times New Roman"/>
          <w:color w:val="000000"/>
          <w:spacing w:val="0"/>
          <w:w w:val="100"/>
          <w:position w:val="0"/>
        </w:rPr>
        <w:t>3</w:t>
      </w:r>
      <w:bookmarkEnd w:id="549"/>
      <w:r>
        <w:rPr>
          <w:color w:val="000000"/>
          <w:spacing w:val="0"/>
          <w:w w:val="100"/>
          <w:position w:val="0"/>
        </w:rPr>
        <w:t>、现存的内部职工股情况</w:t>
      </w:r>
      <w:bookmarkEnd w:id="547"/>
      <w:bookmarkEnd w:id="548"/>
      <w:bookmarkEnd w:id="550"/>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20" w:line="240" w:lineRule="auto"/>
        <w:ind w:left="0" w:right="0" w:firstLine="0"/>
        <w:jc w:val="left"/>
      </w:pPr>
      <w:bookmarkStart w:id="551" w:name="bookmark551"/>
      <w:bookmarkStart w:id="552" w:name="bookmark552"/>
      <w:bookmarkStart w:id="553" w:name="bookmark553"/>
      <w:bookmarkStart w:id="554" w:name="bookmark554"/>
      <w:r>
        <w:rPr>
          <w:color w:val="000000"/>
          <w:spacing w:val="0"/>
          <w:w w:val="100"/>
          <w:position w:val="0"/>
          <w:sz w:val="24"/>
          <w:szCs w:val="24"/>
        </w:rPr>
        <w:t>三</w:t>
      </w:r>
      <w:bookmarkEnd w:id="553"/>
      <w:r>
        <w:rPr>
          <w:color w:val="000000"/>
          <w:spacing w:val="0"/>
          <w:w w:val="100"/>
          <w:position w:val="0"/>
          <w:sz w:val="24"/>
          <w:szCs w:val="24"/>
        </w:rPr>
        <w:t>、股东和实际控制人情况</w:t>
      </w:r>
      <w:bookmarkEnd w:id="551"/>
      <w:bookmarkEnd w:id="552"/>
      <w:bookmarkEnd w:id="554"/>
    </w:p>
    <w:p>
      <w:pPr>
        <w:pStyle w:val="Style44"/>
        <w:keepNext/>
        <w:keepLines/>
        <w:widowControl w:val="0"/>
        <w:shd w:val="clear" w:color="auto" w:fill="auto"/>
        <w:bidi w:val="0"/>
        <w:spacing w:before="0" w:after="360" w:line="240" w:lineRule="auto"/>
        <w:ind w:left="0" w:right="0" w:firstLine="0"/>
        <w:jc w:val="left"/>
      </w:pPr>
      <w:bookmarkStart w:id="555" w:name="bookmark555"/>
      <w:bookmarkStart w:id="556" w:name="bookmark556"/>
      <w:bookmarkStart w:id="557" w:name="bookmark557"/>
      <w:bookmarkStart w:id="558" w:name="bookmark558"/>
      <w:r>
        <w:rPr>
          <w:rFonts w:ascii="Times New Roman" w:eastAsia="Times New Roman" w:hAnsi="Times New Roman" w:cs="Times New Roman"/>
          <w:color w:val="000000"/>
          <w:spacing w:val="0"/>
          <w:w w:val="100"/>
          <w:position w:val="0"/>
        </w:rPr>
        <w:t>1</w:t>
      </w:r>
      <w:bookmarkEnd w:id="557"/>
      <w:r>
        <w:rPr>
          <w:color w:val="000000"/>
          <w:spacing w:val="0"/>
          <w:w w:val="100"/>
          <w:position w:val="0"/>
        </w:rPr>
        <w:t>、公司股东数量及持股情况</w:t>
      </w:r>
      <w:bookmarkEnd w:id="555"/>
      <w:bookmarkEnd w:id="556"/>
      <w:bookmarkEnd w:id="55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单位：股</w:t>
      </w:r>
    </w:p>
    <w:tbl>
      <w:tblPr>
        <w:tblOverlap w:val="never"/>
        <w:jc w:val="left"/>
        <w:tblLayout w:type="fixed"/>
      </w:tblPr>
      <w:tblGrid>
        <w:gridCol w:w="1210"/>
        <w:gridCol w:w="1195"/>
        <w:gridCol w:w="926"/>
        <w:gridCol w:w="1066"/>
        <w:gridCol w:w="1061"/>
        <w:gridCol w:w="1066"/>
        <w:gridCol w:w="926"/>
        <w:gridCol w:w="1066"/>
        <w:gridCol w:w="1070"/>
      </w:tblGrid>
      <w:tr>
        <w:trPr>
          <w:trHeight w:val="1656"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报告期末普通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股股东总数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22,425</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年度报告 披露日前 上一月末 普通股股 东总数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21,366</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9" w:lineRule="exact"/>
              <w:ind w:left="0" w:right="0" w:firstLine="0"/>
              <w:jc w:val="left"/>
              <w:rPr>
                <w:sz w:val="18"/>
                <w:szCs w:val="18"/>
              </w:rPr>
            </w:pPr>
            <w:r>
              <w:rPr>
                <w:color w:val="000000"/>
                <w:spacing w:val="0"/>
                <w:w w:val="100"/>
                <w:position w:val="0"/>
                <w:sz w:val="18"/>
                <w:szCs w:val="18"/>
              </w:rPr>
              <w:t>报告期末表 决权恢复的 优先股股东 总数（如有）</w:t>
            </w:r>
          </w:p>
          <w:p>
            <w:pPr>
              <w:pStyle w:val="Style2"/>
              <w:keepNext w:val="0"/>
              <w:keepLines w:val="0"/>
              <w:widowControl w:val="0"/>
              <w:shd w:val="clear" w:color="auto" w:fill="auto"/>
              <w:bidi w:val="0"/>
              <w:spacing w:before="0" w:after="0" w:line="309" w:lineRule="exact"/>
              <w:ind w:left="0" w:right="0" w:firstLine="0"/>
              <w:jc w:val="left"/>
              <w:rPr>
                <w:sz w:val="18"/>
                <w:szCs w:val="18"/>
              </w:rPr>
            </w:pPr>
            <w:r>
              <w:rPr>
                <w:color w:val="000000"/>
                <w:spacing w:val="0"/>
                <w:w w:val="100"/>
                <w:position w:val="0"/>
                <w:sz w:val="18"/>
                <w:szCs w:val="18"/>
              </w:rPr>
              <w:t>（参见注</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年度报告披露日前上一 月末表决权恢复的优先 股股东总数（如有）（参 见注</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gridSpan w:val="9"/>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持股</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以上的股东或前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名股东持股情况</w:t>
            </w:r>
          </w:p>
        </w:tc>
      </w:tr>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股东名称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股东性质</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持股比例</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报告期末持 股数量</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报告期内增 减变动情况</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8"/>
                <w:szCs w:val="18"/>
              </w:rPr>
              <w:t>持有有限售</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8"/>
                <w:szCs w:val="18"/>
              </w:rPr>
              <w:t>条件的股份</w:t>
            </w:r>
          </w:p>
          <w:p>
            <w:pPr>
              <w:pStyle w:val="Style2"/>
              <w:keepNext w:val="0"/>
              <w:keepLines w:val="0"/>
              <w:widowControl w:val="0"/>
              <w:shd w:val="clear" w:color="auto" w:fill="auto"/>
              <w:bidi w:val="0"/>
              <w:spacing w:before="0" w:after="100" w:line="240" w:lineRule="auto"/>
              <w:ind w:left="0" w:right="340" w:firstLine="0"/>
              <w:jc w:val="right"/>
              <w:rPr>
                <w:sz w:val="18"/>
                <w:szCs w:val="18"/>
              </w:rPr>
            </w:pPr>
            <w:r>
              <w:rPr>
                <w:color w:val="000000"/>
                <w:spacing w:val="0"/>
                <w:w w:val="100"/>
                <w:position w:val="0"/>
                <w:sz w:val="18"/>
                <w:szCs w:val="18"/>
              </w:rPr>
              <w:t>数量</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持有无限 售条件的 股份数量</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质押或冻结情况</w:t>
            </w:r>
          </w:p>
        </w:tc>
      </w:tr>
      <w:tr>
        <w:trPr>
          <w:trHeight w:val="624"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股份状态</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340" w:firstLine="0"/>
              <w:jc w:val="right"/>
              <w:rPr>
                <w:sz w:val="18"/>
                <w:szCs w:val="18"/>
              </w:rPr>
            </w:pPr>
            <w:r>
              <w:rPr>
                <w:color w:val="000000"/>
                <w:spacing w:val="0"/>
                <w:w w:val="100"/>
                <w:position w:val="0"/>
                <w:sz w:val="18"/>
                <w:szCs w:val="18"/>
              </w:rPr>
              <w:t>数量</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中国科学院控 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国有法人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33.51%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60,318,434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60,318,434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rPr>
                <w:sz w:val="18"/>
                <w:szCs w:val="18"/>
              </w:rPr>
            </w:pPr>
            <w:r>
              <w:rPr>
                <w:color w:val="000000"/>
                <w:spacing w:val="0"/>
                <w:w w:val="100"/>
                <w:position w:val="0"/>
                <w:sz w:val="18"/>
                <w:szCs w:val="18"/>
              </w:rPr>
              <w:t>荷泽宇中企业 管理咨询中心</w:t>
            </w:r>
          </w:p>
          <w:p>
            <w:pPr>
              <w:pStyle w:val="Style2"/>
              <w:keepNext w:val="0"/>
              <w:keepLines w:val="0"/>
              <w:widowControl w:val="0"/>
              <w:shd w:val="clear" w:color="auto" w:fill="auto"/>
              <w:bidi w:val="0"/>
              <w:spacing w:before="0" w:after="0" w:line="298" w:lineRule="exact"/>
              <w:ind w:left="0" w:right="0" w:firstLine="0"/>
              <w:jc w:val="left"/>
              <w:rPr>
                <w:sz w:val="18"/>
                <w:szCs w:val="18"/>
              </w:rPr>
            </w:pPr>
            <w:r>
              <w:rPr>
                <w:color w:val="000000"/>
                <w:spacing w:val="0"/>
                <w:w w:val="100"/>
                <w:position w:val="0"/>
                <w:sz w:val="18"/>
                <w:szCs w:val="18"/>
              </w:rPr>
              <w:t>（有限合伙）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境内非国有法</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19.06%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34,304,468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-11290101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34,304,468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四川埃德凯森 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境内非国有法</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张建飞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3,590,000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全国社会保障 基金理事会转 持一户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国有法人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719,566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-3600000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719,566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林强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716,400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716400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716,400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马文明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385,120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176300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385,120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鹏华基金管理 有限公司一社 保基金</w:t>
            </w:r>
            <w:r>
              <w:rPr>
                <w:rFonts w:ascii="Times New Roman" w:eastAsia="Times New Roman" w:hAnsi="Times New Roman" w:cs="Times New Roman"/>
                <w:color w:val="000000"/>
                <w:spacing w:val="0"/>
                <w:w w:val="100"/>
                <w:position w:val="0"/>
                <w:sz w:val="18"/>
                <w:szCs w:val="18"/>
              </w:rPr>
              <w:t xml:space="preserve">17031 </w:t>
            </w:r>
            <w:r>
              <w:rPr>
                <w:color w:val="000000"/>
                <w:spacing w:val="0"/>
                <w:w w:val="100"/>
                <w:position w:val="0"/>
                <w:sz w:val="18"/>
                <w:szCs w:val="18"/>
              </w:rPr>
              <w:t>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372,061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372,061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372,061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高辉臣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343,800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-60860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343,800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蒋道清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境内自然人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338,540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338540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338,540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gridSpan w:val="2"/>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战略投资者或一般法人因配售 新股成为前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名股东的情况</w:t>
            </w:r>
          </w:p>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（如有）（参见注</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w:t>
            </w:r>
          </w:p>
        </w:tc>
        <w:tc>
          <w:tcPr>
            <w:gridSpan w:val="7"/>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bl>
    <w:p>
      <w:pPr>
        <w:widowControl w:val="0"/>
        <w:spacing w:after="899" w:line="1" w:lineRule="exact"/>
      </w:pPr>
    </w:p>
    <w:p>
      <w:pPr>
        <w:pStyle w:val="Style83"/>
        <w:keepNext w:val="0"/>
        <w:keepLines w:val="0"/>
        <w:widowControl w:val="0"/>
        <w:shd w:val="clear" w:color="auto" w:fill="auto"/>
        <w:bidi w:val="0"/>
        <w:spacing w:before="0" w:after="360" w:line="240" w:lineRule="auto"/>
        <w:ind w:left="0" w:right="0" w:firstLine="0"/>
        <w:jc w:val="right"/>
        <w:rPr>
          <w:sz w:val="26"/>
          <w:szCs w:val="26"/>
        </w:rPr>
        <w:sectPr>
          <w:headerReference w:type="default" r:id="rId153"/>
          <w:footerReference w:type="default" r:id="rId154"/>
          <w:headerReference w:type="even" r:id="rId155"/>
          <w:footerReference w:type="even" r:id="rId156"/>
          <w:footnotePr>
            <w:pos w:val="pageBottom"/>
            <w:numFmt w:val="decimal"/>
            <w:numRestart w:val="continuous"/>
          </w:footnotePr>
          <w:pgSz w:w="11900" w:h="16840"/>
          <w:pgMar w:top="1450" w:right="24"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2405"/>
        <w:gridCol w:w="5045"/>
        <w:gridCol w:w="1066"/>
        <w:gridCol w:w="1070"/>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上述股东关联关系或一致行动 的说明</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上述股东涉及委托</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受托表决 权、放弃表决权情况的说明</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398" w:hRule="exact"/>
        </w:trPr>
        <w:tc>
          <w:tcPr>
            <w:gridSpan w:val="4"/>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名无限售条件股东持股情况</w:t>
            </w:r>
          </w:p>
        </w:tc>
      </w:tr>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股东名称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报告期末持有无限售条件股份数量</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股份种类</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股份种类</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340" w:firstLine="0"/>
              <w:jc w:val="right"/>
              <w:rPr>
                <w:sz w:val="18"/>
                <w:szCs w:val="18"/>
              </w:rPr>
            </w:pPr>
            <w:r>
              <w:rPr>
                <w:color w:val="000000"/>
                <w:spacing w:val="0"/>
                <w:w w:val="100"/>
                <w:position w:val="0"/>
                <w:sz w:val="18"/>
                <w:szCs w:val="18"/>
              </w:rPr>
              <w:t>数量</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60,318,434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60,318,434</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荷泽宇中企业管理咨询中心</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（有限合伙）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34,304,468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34,304,468</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四川埃德凯森科技有限公司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8,235,000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张建飞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全国社会保障基金理事会转持 一户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20" w:right="0" w:firstLine="0"/>
              <w:jc w:val="left"/>
              <w:rPr>
                <w:sz w:val="18"/>
                <w:szCs w:val="18"/>
              </w:rPr>
            </w:pPr>
            <w:r>
              <w:rPr>
                <w:rFonts w:ascii="Times New Roman" w:eastAsia="Times New Roman" w:hAnsi="Times New Roman" w:cs="Times New Roman"/>
                <w:color w:val="000000"/>
                <w:spacing w:val="0"/>
                <w:w w:val="100"/>
                <w:position w:val="0"/>
                <w:sz w:val="18"/>
                <w:szCs w:val="18"/>
              </w:rPr>
              <w:t>719,566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719,566</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林强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20" w:right="0" w:firstLine="0"/>
              <w:jc w:val="left"/>
              <w:rPr>
                <w:sz w:val="18"/>
                <w:szCs w:val="18"/>
              </w:rPr>
            </w:pPr>
            <w:r>
              <w:rPr>
                <w:rFonts w:ascii="Times New Roman" w:eastAsia="Times New Roman" w:hAnsi="Times New Roman" w:cs="Times New Roman"/>
                <w:color w:val="000000"/>
                <w:spacing w:val="0"/>
                <w:w w:val="100"/>
                <w:position w:val="0"/>
                <w:sz w:val="18"/>
                <w:szCs w:val="18"/>
              </w:rPr>
              <w:t>716,400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716,400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马文明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20" w:right="0" w:firstLine="0"/>
              <w:jc w:val="left"/>
              <w:rPr>
                <w:sz w:val="18"/>
                <w:szCs w:val="18"/>
              </w:rPr>
            </w:pPr>
            <w:r>
              <w:rPr>
                <w:rFonts w:ascii="Times New Roman" w:eastAsia="Times New Roman" w:hAnsi="Times New Roman" w:cs="Times New Roman"/>
                <w:color w:val="000000"/>
                <w:spacing w:val="0"/>
                <w:w w:val="100"/>
                <w:position w:val="0"/>
                <w:sz w:val="18"/>
                <w:szCs w:val="18"/>
              </w:rPr>
              <w:t>385,120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385,120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rPr>
                <w:sz w:val="18"/>
                <w:szCs w:val="18"/>
              </w:rPr>
            </w:pPr>
            <w:r>
              <w:rPr>
                <w:color w:val="000000"/>
                <w:spacing w:val="0"/>
                <w:w w:val="100"/>
                <w:position w:val="0"/>
                <w:sz w:val="18"/>
                <w:szCs w:val="18"/>
              </w:rPr>
              <w:t>鹏华基金管理有限公司一社保 基金</w:t>
            </w:r>
            <w:r>
              <w:rPr>
                <w:rFonts w:ascii="Times New Roman" w:eastAsia="Times New Roman" w:hAnsi="Times New Roman" w:cs="Times New Roman"/>
                <w:color w:val="000000"/>
                <w:spacing w:val="0"/>
                <w:w w:val="100"/>
                <w:position w:val="0"/>
                <w:sz w:val="18"/>
                <w:szCs w:val="18"/>
              </w:rPr>
              <w:t>17031</w:t>
            </w:r>
            <w:r>
              <w:rPr>
                <w:color w:val="000000"/>
                <w:spacing w:val="0"/>
                <w:w w:val="100"/>
                <w:position w:val="0"/>
                <w:sz w:val="18"/>
                <w:szCs w:val="18"/>
              </w:rPr>
              <w:t>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20" w:right="0" w:firstLine="0"/>
              <w:jc w:val="left"/>
              <w:rPr>
                <w:sz w:val="18"/>
                <w:szCs w:val="18"/>
              </w:rPr>
            </w:pPr>
            <w:r>
              <w:rPr>
                <w:rFonts w:ascii="Times New Roman" w:eastAsia="Times New Roman" w:hAnsi="Times New Roman" w:cs="Times New Roman"/>
                <w:color w:val="000000"/>
                <w:spacing w:val="0"/>
                <w:w w:val="100"/>
                <w:position w:val="0"/>
                <w:sz w:val="18"/>
                <w:szCs w:val="18"/>
              </w:rPr>
              <w:t>372,061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372,061</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高辉臣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20" w:right="0" w:firstLine="0"/>
              <w:jc w:val="left"/>
              <w:rPr>
                <w:sz w:val="18"/>
                <w:szCs w:val="18"/>
              </w:rPr>
            </w:pPr>
            <w:r>
              <w:rPr>
                <w:rFonts w:ascii="Times New Roman" w:eastAsia="Times New Roman" w:hAnsi="Times New Roman" w:cs="Times New Roman"/>
                <w:color w:val="000000"/>
                <w:spacing w:val="0"/>
                <w:w w:val="100"/>
                <w:position w:val="0"/>
                <w:sz w:val="18"/>
                <w:szCs w:val="18"/>
              </w:rPr>
              <w:t>343,800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343,800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蒋道清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20" w:right="0" w:firstLine="0"/>
              <w:jc w:val="left"/>
              <w:rPr>
                <w:sz w:val="18"/>
                <w:szCs w:val="18"/>
              </w:rPr>
            </w:pPr>
            <w:r>
              <w:rPr>
                <w:rFonts w:ascii="Times New Roman" w:eastAsia="Times New Roman" w:hAnsi="Times New Roman" w:cs="Times New Roman"/>
                <w:color w:val="000000"/>
                <w:spacing w:val="0"/>
                <w:w w:val="100"/>
                <w:position w:val="0"/>
                <w:sz w:val="18"/>
                <w:szCs w:val="18"/>
              </w:rPr>
              <w:t>338,540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人民币普通</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338,540</w:t>
            </w:r>
          </w:p>
        </w:tc>
      </w:tr>
      <w:tr>
        <w:trPr>
          <w:trHeight w:val="1339"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名无限售流通股股东之 间，以及前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名无限售流通股 股东和前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名股东之间关联 关系或一致行动的说明</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参与融资融券业务股东情况说 明（如有）（参见注</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公司股东马文明通过普通证券账户持有</w:t>
            </w:r>
            <w:r>
              <w:rPr>
                <w:rFonts w:ascii="Times New Roman" w:eastAsia="Times New Roman" w:hAnsi="Times New Roman" w:cs="Times New Roman"/>
                <w:color w:val="000000"/>
                <w:spacing w:val="0"/>
                <w:w w:val="100"/>
                <w:position w:val="0"/>
                <w:sz w:val="18"/>
                <w:szCs w:val="18"/>
              </w:rPr>
              <w:t>44,000</w:t>
            </w:r>
            <w:r>
              <w:rPr>
                <w:color w:val="000000"/>
                <w:spacing w:val="0"/>
                <w:w w:val="100"/>
                <w:position w:val="0"/>
                <w:sz w:val="18"/>
                <w:szCs w:val="18"/>
              </w:rPr>
              <w:t>股</w:t>
            </w:r>
            <w:r>
              <w:rPr>
                <w:color w:val="000000"/>
                <w:spacing w:val="0"/>
                <w:w w:val="100"/>
                <w:position w:val="0"/>
                <w:sz w:val="18"/>
                <w:szCs w:val="18"/>
              </w:rPr>
              <w:t>，</w:t>
            </w:r>
            <w:r>
              <w:rPr>
                <w:color w:val="000000"/>
                <w:spacing w:val="0"/>
                <w:w w:val="100"/>
                <w:position w:val="0"/>
                <w:sz w:val="18"/>
                <w:szCs w:val="18"/>
              </w:rPr>
              <w:t>通过中国中金财富证券有限公司客户信 用交易担保证券账户持有</w:t>
            </w:r>
            <w:r>
              <w:rPr>
                <w:rFonts w:ascii="Times New Roman" w:eastAsia="Times New Roman" w:hAnsi="Times New Roman" w:cs="Times New Roman"/>
                <w:color w:val="000000"/>
                <w:spacing w:val="0"/>
                <w:w w:val="100"/>
                <w:position w:val="0"/>
                <w:sz w:val="18"/>
                <w:szCs w:val="18"/>
              </w:rPr>
              <w:t>341,120</w:t>
            </w:r>
            <w:r>
              <w:rPr>
                <w:color w:val="000000"/>
                <w:spacing w:val="0"/>
                <w:w w:val="100"/>
                <w:position w:val="0"/>
                <w:sz w:val="18"/>
                <w:szCs w:val="18"/>
              </w:rPr>
              <w:t>股</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实际合计持有</w:t>
            </w:r>
            <w:r>
              <w:rPr>
                <w:rFonts w:ascii="Times New Roman" w:eastAsia="Times New Roman" w:hAnsi="Times New Roman" w:cs="Times New Roman"/>
                <w:color w:val="000000"/>
                <w:spacing w:val="0"/>
                <w:w w:val="100"/>
                <w:position w:val="0"/>
                <w:sz w:val="18"/>
                <w:szCs w:val="18"/>
              </w:rPr>
              <w:t>385,120</w:t>
            </w:r>
            <w:r>
              <w:rPr>
                <w:color w:val="000000"/>
                <w:spacing w:val="0"/>
                <w:w w:val="100"/>
                <w:position w:val="0"/>
                <w:sz w:val="18"/>
                <w:szCs w:val="18"/>
              </w:rPr>
              <w:t>股。</w:t>
            </w:r>
          </w:p>
        </w:tc>
      </w:tr>
    </w:tbl>
    <w:p>
      <w:pPr>
        <w:pStyle w:val="Style35"/>
        <w:keepNext w:val="0"/>
        <w:keepLines w:val="0"/>
        <w:widowControl w:val="0"/>
        <w:shd w:val="clear" w:color="auto" w:fill="auto"/>
        <w:bidi w:val="0"/>
        <w:spacing w:before="0" w:after="0" w:line="346"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 xml:space="preserve">名无限售条件普通股股东在报告期内是否进行约定购回交易 </w:t>
      </w: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after="1820" w:line="346" w:lineRule="exact"/>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rPr>
        <w:t>10</w:t>
      </w:r>
      <w:r>
        <w:rPr>
          <w:color w:val="000000"/>
          <w:spacing w:val="0"/>
          <w:w w:val="100"/>
          <w:position w:val="0"/>
        </w:rPr>
        <w:t>名无限售条件普通股股东在报告期内未进行约定购回交易。</w:t>
      </w:r>
    </w:p>
    <w:p>
      <w:pPr>
        <w:pStyle w:val="Style83"/>
        <w:keepNext w:val="0"/>
        <w:keepLines w:val="0"/>
        <w:widowControl w:val="0"/>
        <w:shd w:val="clear" w:color="auto" w:fill="auto"/>
        <w:bidi w:val="0"/>
        <w:spacing w:before="0" w:after="0" w:line="240" w:lineRule="auto"/>
        <w:ind w:left="0" w:right="0" w:firstLine="0"/>
        <w:jc w:val="right"/>
        <w:rPr>
          <w:sz w:val="26"/>
          <w:szCs w:val="26"/>
        </w:rPr>
        <w:sectPr>
          <w:footnotePr>
            <w:pos w:val="pageBottom"/>
            <w:numFmt w:val="decimal"/>
            <w:numRestart w:val="continuous"/>
          </w:footnotePr>
          <w:pgSz w:w="11900" w:h="16840"/>
          <w:pgMar w:top="1436" w:right="24"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4"/>
        <w:keepNext/>
        <w:keepLines/>
        <w:widowControl w:val="0"/>
        <w:shd w:val="clear" w:color="auto" w:fill="auto"/>
        <w:bidi w:val="0"/>
        <w:spacing w:before="0" w:after="360" w:line="240" w:lineRule="auto"/>
        <w:ind w:left="0" w:right="0" w:firstLine="0"/>
        <w:jc w:val="left"/>
      </w:pPr>
      <w:bookmarkStart w:id="559" w:name="bookmark559"/>
      <w:bookmarkStart w:id="560" w:name="bookmark560"/>
      <w:bookmarkStart w:id="561" w:name="bookmark561"/>
      <w:bookmarkStart w:id="562" w:name="bookmark562"/>
      <w:r>
        <w:rPr>
          <w:rFonts w:ascii="Times New Roman" w:eastAsia="Times New Roman" w:hAnsi="Times New Roman" w:cs="Times New Roman"/>
          <w:color w:val="000000"/>
          <w:spacing w:val="0"/>
          <w:w w:val="100"/>
          <w:position w:val="0"/>
        </w:rPr>
        <w:t>2</w:t>
      </w:r>
      <w:bookmarkEnd w:id="561"/>
      <w:r>
        <w:rPr>
          <w:color w:val="000000"/>
          <w:spacing w:val="0"/>
          <w:w w:val="100"/>
          <w:position w:val="0"/>
        </w:rPr>
        <w:t>、公司控股股东情况</w:t>
      </w:r>
      <w:bookmarkEnd w:id="559"/>
      <w:bookmarkEnd w:id="560"/>
      <w:bookmarkEnd w:id="562"/>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控股股东性质：中央国有控股</w:t>
      </w: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控股股东类型：法人</w:t>
      </w:r>
    </w:p>
    <w:tbl>
      <w:tblPr>
        <w:tblOverlap w:val="never"/>
        <w:jc w:val="left"/>
        <w:tblLayout w:type="fixed"/>
      </w:tblPr>
      <w:tblGrid>
        <w:gridCol w:w="2208"/>
        <w:gridCol w:w="1790"/>
        <w:gridCol w:w="1594"/>
        <w:gridCol w:w="1752"/>
        <w:gridCol w:w="2242"/>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控股股东名称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法定代表人</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单位负责</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成立日期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组织机构代码</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主要经营业务</w:t>
            </w:r>
          </w:p>
        </w:tc>
      </w:tr>
      <w:tr>
        <w:trPr>
          <w:trHeight w:val="22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索继栓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2002</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91110000736450952Q</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国有资产的管理与经营；项 目投资；投资管理；投资咨 询；企业管理咨询；高新技 术项目的研发；技术开发； 技术转让；技术咨询；技术 服务；技术推广；技术推广 培训；技术中介服务。</w:t>
            </w:r>
          </w:p>
        </w:tc>
      </w:tr>
      <w:tr>
        <w:trPr>
          <w:trHeight w:val="1661"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控股股东报告期内控股和 参股的其他境内外上市公 司的股权情况</w:t>
            </w:r>
          </w:p>
        </w:tc>
        <w:tc>
          <w:tcPr>
            <w:gridSpan w:val="4"/>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中国科学院控股有限公司参股联想控股股份有限公司，截至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日持股</w:t>
            </w:r>
            <w:r>
              <w:rPr>
                <w:rFonts w:ascii="Times New Roman" w:eastAsia="Times New Roman" w:hAnsi="Times New Roman" w:cs="Times New Roman"/>
                <w:color w:val="000000"/>
                <w:spacing w:val="0"/>
                <w:w w:val="100"/>
                <w:position w:val="0"/>
                <w:sz w:val="18"/>
                <w:szCs w:val="18"/>
              </w:rPr>
              <w:t xml:space="preserve">60,318,434 </w:t>
            </w:r>
            <w:r>
              <w:rPr>
                <w:color w:val="000000"/>
                <w:spacing w:val="0"/>
                <w:w w:val="100"/>
                <w:position w:val="0"/>
                <w:sz w:val="18"/>
                <w:szCs w:val="18"/>
              </w:rPr>
              <w:t>股；中国科学院控股有限公司参股中国科技出版传媒股份有限公司，截至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 持股</w:t>
            </w:r>
            <w:r>
              <w:rPr>
                <w:rFonts w:ascii="Times New Roman" w:eastAsia="Times New Roman" w:hAnsi="Times New Roman" w:cs="Times New Roman"/>
                <w:color w:val="000000"/>
                <w:spacing w:val="0"/>
                <w:w w:val="100"/>
                <w:position w:val="0"/>
                <w:sz w:val="18"/>
                <w:szCs w:val="18"/>
              </w:rPr>
              <w:t>5,881,364</w:t>
            </w:r>
            <w:r>
              <w:rPr>
                <w:color w:val="000000"/>
                <w:spacing w:val="0"/>
                <w:w w:val="100"/>
                <w:position w:val="0"/>
                <w:sz w:val="18"/>
                <w:szCs w:val="18"/>
              </w:rPr>
              <w:t>股。中国科学院控股有限公司参股科大国盾量子技术股份有限公司，截至</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日持股</w:t>
            </w:r>
            <w:r>
              <w:rPr>
                <w:rFonts w:ascii="Times New Roman" w:eastAsia="Times New Roman" w:hAnsi="Times New Roman" w:cs="Times New Roman"/>
                <w:color w:val="000000"/>
                <w:spacing w:val="0"/>
                <w:w w:val="100"/>
                <w:position w:val="0"/>
                <w:sz w:val="18"/>
                <w:szCs w:val="18"/>
              </w:rPr>
              <w:t>4560,000</w:t>
            </w:r>
            <w:r>
              <w:rPr>
                <w:color w:val="000000"/>
                <w:spacing w:val="0"/>
                <w:w w:val="100"/>
                <w:position w:val="0"/>
                <w:sz w:val="18"/>
                <w:szCs w:val="18"/>
              </w:rPr>
              <w:t>股；中国科学院控股有限公司参股联泓新材料科技股份有限公司， 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日持股</w:t>
            </w:r>
            <w:r>
              <w:rPr>
                <w:rFonts w:ascii="Times New Roman" w:eastAsia="Times New Roman" w:hAnsi="Times New Roman" w:cs="Times New Roman"/>
                <w:color w:val="000000"/>
                <w:spacing w:val="0"/>
                <w:w w:val="100"/>
                <w:position w:val="0"/>
                <w:sz w:val="18"/>
                <w:szCs w:val="18"/>
              </w:rPr>
              <w:t>259,600,000</w:t>
            </w:r>
            <w:r>
              <w:rPr>
                <w:color w:val="000000"/>
                <w:spacing w:val="0"/>
                <w:w w:val="100"/>
                <w:position w:val="0"/>
                <w:sz w:val="18"/>
                <w:szCs w:val="18"/>
              </w:rPr>
              <w:t>股。</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控股股东报告期内变更</w:t>
      </w:r>
    </w:p>
    <w:p>
      <w:pPr>
        <w:pStyle w:val="Style35"/>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公司报告期控股股东未发生变更。</w:t>
      </w:r>
    </w:p>
    <w:p>
      <w:pPr>
        <w:pStyle w:val="Style44"/>
        <w:keepNext/>
        <w:keepLines/>
        <w:widowControl w:val="0"/>
        <w:shd w:val="clear" w:color="auto" w:fill="auto"/>
        <w:bidi w:val="0"/>
        <w:spacing w:before="0" w:after="360" w:line="240" w:lineRule="auto"/>
        <w:ind w:left="0" w:right="0" w:firstLine="0"/>
        <w:jc w:val="left"/>
      </w:pPr>
      <w:bookmarkStart w:id="563" w:name="bookmark563"/>
      <w:bookmarkStart w:id="564" w:name="bookmark564"/>
      <w:bookmarkStart w:id="565" w:name="bookmark565"/>
      <w:bookmarkStart w:id="566" w:name="bookmark566"/>
      <w:r>
        <w:rPr>
          <w:rFonts w:ascii="Times New Roman" w:eastAsia="Times New Roman" w:hAnsi="Times New Roman" w:cs="Times New Roman"/>
          <w:color w:val="000000"/>
          <w:spacing w:val="0"/>
          <w:w w:val="100"/>
          <w:position w:val="0"/>
        </w:rPr>
        <w:t>3</w:t>
      </w:r>
      <w:bookmarkEnd w:id="565"/>
      <w:r>
        <w:rPr>
          <w:color w:val="000000"/>
          <w:spacing w:val="0"/>
          <w:w w:val="100"/>
          <w:position w:val="0"/>
        </w:rPr>
        <w:t>、公司实际控制人及其一致行动人</w:t>
      </w:r>
      <w:bookmarkEnd w:id="563"/>
      <w:bookmarkEnd w:id="564"/>
      <w:bookmarkEnd w:id="566"/>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实际控制人性质：中央国资管理机构</w:t>
      </w: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实际控制人类型：法人</w:t>
      </w:r>
    </w:p>
    <w:tbl>
      <w:tblPr>
        <w:tblOverlap w:val="never"/>
        <w:jc w:val="left"/>
        <w:tblLayout w:type="fixed"/>
      </w:tblPr>
      <w:tblGrid>
        <w:gridCol w:w="2208"/>
        <w:gridCol w:w="1790"/>
        <w:gridCol w:w="1430"/>
        <w:gridCol w:w="1598"/>
        <w:gridCol w:w="2558"/>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实际控制人名称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法定代表人</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单位负责</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成立日期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组织机构代码</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主要经营业务</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索继栓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2002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04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91110000736450952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Q</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国有资产的管理与经营；项目投 资；投资管理；投资咨询；企业 管理咨询；高新技术项目的研 究；技术开发；技术转让；技术 咨询；技术服务；技术推广；技 术推广培训；技术中介服务。</w:t>
            </w:r>
          </w:p>
        </w:tc>
      </w:tr>
      <w:tr>
        <w:trPr>
          <w:trHeight w:val="1661"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实际控制人报告期内控制 的其他境内外上市公司的 股权情况</w:t>
            </w:r>
          </w:p>
        </w:tc>
        <w:tc>
          <w:tcPr>
            <w:gridSpan w:val="4"/>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中国科学院控股有限公司参股联想控股股份有限公司，截至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日持股</w:t>
            </w:r>
            <w:r>
              <w:rPr>
                <w:rFonts w:ascii="Times New Roman" w:eastAsia="Times New Roman" w:hAnsi="Times New Roman" w:cs="Times New Roman"/>
                <w:color w:val="000000"/>
                <w:spacing w:val="0"/>
                <w:w w:val="100"/>
                <w:position w:val="0"/>
                <w:sz w:val="18"/>
                <w:szCs w:val="18"/>
              </w:rPr>
              <w:t xml:space="preserve">60,318,434 </w:t>
            </w:r>
            <w:r>
              <w:rPr>
                <w:color w:val="000000"/>
                <w:spacing w:val="0"/>
                <w:w w:val="100"/>
                <w:position w:val="0"/>
                <w:sz w:val="18"/>
                <w:szCs w:val="18"/>
              </w:rPr>
              <w:t>股；中国科学院控股有限公司参股中国科技出版传媒股份有限公司，截至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 持股</w:t>
            </w:r>
            <w:r>
              <w:rPr>
                <w:rFonts w:ascii="Times New Roman" w:eastAsia="Times New Roman" w:hAnsi="Times New Roman" w:cs="Times New Roman"/>
                <w:color w:val="000000"/>
                <w:spacing w:val="0"/>
                <w:w w:val="100"/>
                <w:position w:val="0"/>
                <w:sz w:val="18"/>
                <w:szCs w:val="18"/>
              </w:rPr>
              <w:t>5,881,364</w:t>
            </w:r>
            <w:r>
              <w:rPr>
                <w:color w:val="000000"/>
                <w:spacing w:val="0"/>
                <w:w w:val="100"/>
                <w:position w:val="0"/>
                <w:sz w:val="18"/>
                <w:szCs w:val="18"/>
              </w:rPr>
              <w:t>股。中国科学院控股有限公司参股科大国盾量子技术股份有限公司，截至</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日持股</w:t>
            </w:r>
            <w:r>
              <w:rPr>
                <w:rFonts w:ascii="Times New Roman" w:eastAsia="Times New Roman" w:hAnsi="Times New Roman" w:cs="Times New Roman"/>
                <w:color w:val="000000"/>
                <w:spacing w:val="0"/>
                <w:w w:val="100"/>
                <w:position w:val="0"/>
                <w:sz w:val="18"/>
                <w:szCs w:val="18"/>
              </w:rPr>
              <w:t>4560,000</w:t>
            </w:r>
            <w:r>
              <w:rPr>
                <w:color w:val="000000"/>
                <w:spacing w:val="0"/>
                <w:w w:val="100"/>
                <w:position w:val="0"/>
                <w:sz w:val="18"/>
                <w:szCs w:val="18"/>
              </w:rPr>
              <w:t>股；中国科学院控股有限公司参股联泓新材料科技股份有限公司， 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日持股</w:t>
            </w:r>
            <w:r>
              <w:rPr>
                <w:rFonts w:ascii="Times New Roman" w:eastAsia="Times New Roman" w:hAnsi="Times New Roman" w:cs="Times New Roman"/>
                <w:color w:val="000000"/>
                <w:spacing w:val="0"/>
                <w:w w:val="100"/>
                <w:position w:val="0"/>
                <w:sz w:val="18"/>
                <w:szCs w:val="18"/>
              </w:rPr>
              <w:t>259,600,000</w:t>
            </w:r>
            <w:r>
              <w:rPr>
                <w:color w:val="000000"/>
                <w:spacing w:val="0"/>
                <w:w w:val="100"/>
                <w:position w:val="0"/>
                <w:sz w:val="18"/>
                <w:szCs w:val="18"/>
              </w:rPr>
              <w:t>股。</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实际控制人报告期内变更</w:t>
      </w:r>
    </w:p>
    <w:p>
      <w:pPr>
        <w:pStyle w:val="Style35"/>
        <w:keepNext w:val="0"/>
        <w:keepLines w:val="0"/>
        <w:widowControl w:val="0"/>
        <w:shd w:val="clear" w:color="auto" w:fill="auto"/>
        <w:bidi w:val="0"/>
        <w:spacing w:before="0" w:after="102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83"/>
        <w:keepNext w:val="0"/>
        <w:keepLines w:val="0"/>
        <w:widowControl w:val="0"/>
        <w:shd w:val="clear" w:color="auto" w:fill="auto"/>
        <w:bidi w:val="0"/>
        <w:spacing w:before="0" w:after="100" w:line="240" w:lineRule="auto"/>
        <w:ind w:left="0" w:right="0" w:firstLine="0"/>
        <w:jc w:val="right"/>
        <w:rPr>
          <w:sz w:val="26"/>
          <w:szCs w:val="26"/>
        </w:rPr>
        <w:sectPr>
          <w:footnotePr>
            <w:pos w:val="pageBottom"/>
            <w:numFmt w:val="decimal"/>
            <w:numRestart w:val="continuous"/>
          </w:footnotePr>
          <w:pgSz w:w="11900" w:h="16840"/>
          <w:pgMar w:top="1450" w:right="24"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公司报告期实际控制人未发生变更。</w:t>
      </w:r>
    </w:p>
    <w:p>
      <w:pPr>
        <w:pStyle w:val="Style35"/>
        <w:keepNext w:val="0"/>
        <w:keepLines w:val="0"/>
        <w:widowControl w:val="0"/>
        <w:shd w:val="clear" w:color="auto" w:fill="auto"/>
        <w:bidi w:val="0"/>
        <w:spacing w:before="0" w:after="708" w:line="240" w:lineRule="auto"/>
        <w:ind w:left="0" w:right="0" w:firstLine="0"/>
        <w:jc w:val="left"/>
      </w:pPr>
      <w:r>
        <w:rPr>
          <w:color w:val="000000"/>
          <w:spacing w:val="0"/>
          <w:w w:val="100"/>
          <w:position w:val="0"/>
        </w:rPr>
        <w:t>公司与实际控制人之间的产权及控制关系的方框图</w:t>
      </w:r>
    </w:p>
    <w:p>
      <w:pPr>
        <w:pStyle w:val="Style13"/>
        <w:keepNext w:val="0"/>
        <w:keepLines w:val="0"/>
        <w:widowControl w:val="0"/>
        <w:pBdr>
          <w:top w:val="single" w:sz="4" w:space="16" w:color="5683BA"/>
          <w:left w:val="single" w:sz="4" w:space="0" w:color="5683BA"/>
          <w:bottom w:val="single" w:sz="4" w:space="12" w:color="5683BA"/>
          <w:right w:val="single" w:sz="4" w:space="0" w:color="5683BA"/>
        </w:pBdr>
        <w:shd w:val="clear" w:color="auto" w:fill="5683BA"/>
        <w:bidi w:val="0"/>
        <w:spacing w:before="0" w:after="230" w:line="240" w:lineRule="auto"/>
        <w:ind w:left="0" w:right="0" w:firstLine="0"/>
        <w:jc w:val="center"/>
      </w:pPr>
      <w:r>
        <w:drawing>
          <wp:anchor distT="0" distB="0" distL="114300" distR="114300" simplePos="0" relativeHeight="125829383" behindDoc="0" locked="0" layoutInCell="1" allowOverlap="1">
            <wp:simplePos x="0" y="0"/>
            <wp:positionH relativeFrom="page">
              <wp:posOffset>3286125</wp:posOffset>
            </wp:positionH>
            <wp:positionV relativeFrom="paragraph">
              <wp:posOffset>444500</wp:posOffset>
            </wp:positionV>
            <wp:extent cx="524510" cy="311150"/>
            <wp:wrapSquare wrapText="right"/>
            <wp:docPr id="577" name="Shape 577"/>
            <a:graphic xmlns:a="http://schemas.openxmlformats.org/drawingml/2006/main">
              <a:graphicData uri="http://schemas.openxmlformats.org/drawingml/2006/picture">
                <pic:pic xmlns:pic="http://schemas.openxmlformats.org/drawingml/2006/picture">
                  <pic:nvPicPr>
                    <pic:cNvPr id="578" name="Picture box 578"/>
                    <pic:cNvPicPr/>
                  </pic:nvPicPr>
                  <pic:blipFill>
                    <a:blip r:embed="rId157"/>
                    <a:stretch/>
                  </pic:blipFill>
                  <pic:spPr>
                    <a:xfrm>
                      <a:ext cx="524510" cy="311150"/>
                    </a:xfrm>
                    <a:prstGeom prst="rect"/>
                  </pic:spPr>
                </pic:pic>
              </a:graphicData>
            </a:graphic>
          </wp:anchor>
        </w:drawing>
      </w:r>
      <w:r>
        <w:rPr>
          <w:b w:val="0"/>
          <w:bCs w:val="0"/>
          <w:color w:val="CAE6F4"/>
          <w:spacing w:val="0"/>
          <w:w w:val="100"/>
          <w:position w:val="0"/>
        </w:rPr>
        <w:t>中国科学院控股有限公司</w:t>
      </w:r>
    </w:p>
    <w:p>
      <w:pPr>
        <w:pStyle w:val="Style90"/>
        <w:keepNext w:val="0"/>
        <w:keepLines w:val="0"/>
        <w:widowControl w:val="0"/>
        <w:shd w:val="clear" w:color="auto" w:fill="auto"/>
        <w:bidi w:val="0"/>
        <w:spacing w:before="0" w:after="167" w:line="240" w:lineRule="auto"/>
        <w:ind w:left="0" w:right="0" w:firstLine="0"/>
        <w:jc w:val="center"/>
      </w:pPr>
      <w:r>
        <w:rPr>
          <w:spacing w:val="0"/>
          <w:w w:val="100"/>
          <w:position w:val="0"/>
        </w:rPr>
        <w:t>33.51%</w:t>
      </w:r>
    </w:p>
    <w:p>
      <w:pPr>
        <w:pStyle w:val="Style13"/>
        <w:keepNext w:val="0"/>
        <w:keepLines w:val="0"/>
        <w:widowControl w:val="0"/>
        <w:pBdr>
          <w:top w:val="single" w:sz="0" w:space="9" w:color="4DABC5"/>
          <w:left w:val="single" w:sz="0" w:space="0" w:color="4DABC5"/>
          <w:bottom w:val="single" w:sz="0" w:space="18" w:color="4DABC5"/>
          <w:right w:val="single" w:sz="0" w:space="0" w:color="4DABC5"/>
        </w:pBdr>
        <w:shd w:val="clear" w:color="auto" w:fill="4DABC5"/>
        <w:bidi w:val="0"/>
        <w:spacing w:before="0" w:after="1075" w:line="240" w:lineRule="auto"/>
        <w:ind w:left="0" w:right="0" w:firstLine="0"/>
        <w:jc w:val="center"/>
        <w:rPr>
          <w:sz w:val="26"/>
          <w:szCs w:val="26"/>
        </w:rPr>
      </w:pPr>
      <w:r>
        <w:rPr>
          <w:b w:val="0"/>
          <w:bCs w:val="0"/>
          <w:color w:val="CAE6F4"/>
          <w:spacing w:val="0"/>
          <w:w w:val="100"/>
          <w:position w:val="0"/>
          <w:sz w:val="26"/>
          <w:szCs w:val="26"/>
        </w:rPr>
        <w:t>中利院成郡信息技术媵份有限公司</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实际控制人通过信托或其他资产管理方式控制公司</w:t>
      </w:r>
    </w:p>
    <w:p>
      <w:pPr>
        <w:pStyle w:val="Style35"/>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bidi w:val="0"/>
        <w:spacing w:before="0" w:line="240" w:lineRule="auto"/>
        <w:ind w:left="0" w:right="0" w:firstLine="0"/>
        <w:jc w:val="both"/>
      </w:pPr>
      <w:bookmarkStart w:id="567" w:name="bookmark567"/>
      <w:bookmarkStart w:id="568" w:name="bookmark568"/>
      <w:bookmarkStart w:id="569" w:name="bookmark569"/>
      <w:bookmarkStart w:id="570" w:name="bookmark570"/>
      <w:r>
        <w:rPr>
          <w:rFonts w:ascii="Times New Roman" w:eastAsia="Times New Roman" w:hAnsi="Times New Roman" w:cs="Times New Roman"/>
          <w:color w:val="000000"/>
          <w:spacing w:val="0"/>
          <w:w w:val="100"/>
          <w:position w:val="0"/>
        </w:rPr>
        <w:t>4</w:t>
      </w:r>
      <w:bookmarkEnd w:id="569"/>
      <w:r>
        <w:rPr>
          <w:color w:val="000000"/>
          <w:spacing w:val="0"/>
          <w:w w:val="100"/>
          <w:position w:val="0"/>
        </w:rPr>
        <w:t>、其他持股在</w:t>
      </w:r>
      <w:r>
        <w:rPr>
          <w:rFonts w:ascii="Times New Roman" w:eastAsia="Times New Roman" w:hAnsi="Times New Roman" w:cs="Times New Roman"/>
          <w:color w:val="000000"/>
          <w:spacing w:val="0"/>
          <w:w w:val="100"/>
          <w:position w:val="0"/>
        </w:rPr>
        <w:t>10%</w:t>
      </w:r>
      <w:r>
        <w:rPr>
          <w:color w:val="000000"/>
          <w:spacing w:val="0"/>
          <w:w w:val="100"/>
          <w:position w:val="0"/>
        </w:rPr>
        <w:t>以上的法人股东</w:t>
      </w:r>
      <w:bookmarkEnd w:id="567"/>
      <w:bookmarkEnd w:id="568"/>
      <w:bookmarkEnd w:id="570"/>
    </w:p>
    <w:p>
      <w:pPr>
        <w:pStyle w:val="Style35"/>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tbl>
      <w:tblPr>
        <w:tblOverlap w:val="never"/>
        <w:jc w:val="left"/>
        <w:tblLayout w:type="fixed"/>
      </w:tblPr>
      <w:tblGrid>
        <w:gridCol w:w="2587"/>
        <w:gridCol w:w="1814"/>
        <w:gridCol w:w="1416"/>
        <w:gridCol w:w="1632"/>
        <w:gridCol w:w="2136"/>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法人股东名称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法定代表人</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单位负责</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成立日期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注册资本</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主要经营业务或管理活动</w:t>
            </w:r>
          </w:p>
        </w:tc>
      </w:tr>
      <w:tr>
        <w:trPr>
          <w:trHeight w:val="228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荷泽宇中企业管理咨询中心（有 限合伙）</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08</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23,883,356.73 </w:t>
            </w:r>
            <w:r>
              <w:rPr>
                <w:color w:val="000000"/>
                <w:spacing w:val="0"/>
                <w:w w:val="100"/>
                <w:position w:val="0"/>
                <w:sz w:val="18"/>
                <w:szCs w:val="18"/>
              </w:rPr>
              <w:t>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企业管理服务；会议服务， 展览展示服务，计算机技 术咨询、技术推广服务， 翻译服务，电子商务信息 咨询服务；品牌管理；市 场调查；设计、制作、代 理、发布广告。</w:t>
            </w:r>
          </w:p>
        </w:tc>
      </w:tr>
    </w:tbl>
    <w:p>
      <w:pPr>
        <w:widowControl w:val="0"/>
        <w:spacing w:after="339" w:line="1" w:lineRule="exact"/>
      </w:pPr>
    </w:p>
    <w:p>
      <w:pPr>
        <w:pStyle w:val="Style44"/>
        <w:keepNext/>
        <w:keepLines/>
        <w:widowControl w:val="0"/>
        <w:shd w:val="clear" w:color="auto" w:fill="auto"/>
        <w:bidi w:val="0"/>
        <w:spacing w:before="0" w:line="240" w:lineRule="auto"/>
        <w:ind w:left="0" w:right="0" w:firstLine="0"/>
        <w:jc w:val="both"/>
      </w:pPr>
      <w:bookmarkStart w:id="571" w:name="bookmark571"/>
      <w:bookmarkStart w:id="572" w:name="bookmark572"/>
      <w:bookmarkStart w:id="573" w:name="bookmark573"/>
      <w:bookmarkStart w:id="574" w:name="bookmark574"/>
      <w:r>
        <w:rPr>
          <w:rFonts w:ascii="Times New Roman" w:eastAsia="Times New Roman" w:hAnsi="Times New Roman" w:cs="Times New Roman"/>
          <w:color w:val="000000"/>
          <w:spacing w:val="0"/>
          <w:w w:val="100"/>
          <w:position w:val="0"/>
        </w:rPr>
        <w:t>5</w:t>
      </w:r>
      <w:bookmarkEnd w:id="573"/>
      <w:r>
        <w:rPr>
          <w:color w:val="000000"/>
          <w:spacing w:val="0"/>
          <w:w w:val="100"/>
          <w:position w:val="0"/>
        </w:rPr>
        <w:t>、控股股东、实际控制人、重组方及其他承诺主体股份限制减持情况</w:t>
      </w:r>
      <w:bookmarkEnd w:id="571"/>
      <w:bookmarkEnd w:id="572"/>
      <w:bookmarkEnd w:id="574"/>
    </w:p>
    <w:p>
      <w:pPr>
        <w:pStyle w:val="Style35"/>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pgSz w:w="11900" w:h="16840"/>
          <w:pgMar w:top="1484" w:right="24" w:bottom="1158" w:left="1100" w:header="0" w:footer="3" w:gutter="0"/>
          <w:cols w:space="720"/>
          <w:noEndnote/>
          <w:rtlGutter w:val="0"/>
          <w:docGrid w:linePitch="360"/>
        </w:sectPr>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57" w:right="0" w:bottom="1158" w:left="0" w:header="0" w:footer="3" w:gutter="0"/>
          <w:cols w:space="720"/>
          <w:noEndnote/>
          <w:rtlGutter w:val="0"/>
          <w:docGrid w:linePitch="360"/>
        </w:sectPr>
      </w:pPr>
    </w:p>
    <w:p>
      <w:pPr>
        <w:pStyle w:val="Style83"/>
        <w:keepNext w:val="0"/>
        <w:keepLines w:val="0"/>
        <w:framePr w:w="931" w:h="374" w:wrap="none" w:vAnchor="text" w:hAnchor="page" w:x="10840" w:y="21"/>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widowControl w:val="0"/>
        <w:spacing w:after="0" w:line="1" w:lineRule="exact"/>
      </w:pPr>
    </w:p>
    <w:p>
      <w:pPr>
        <w:widowControl w:val="0"/>
        <w:spacing w:line="1" w:lineRule="exact"/>
        <w:sectPr>
          <w:footnotePr>
            <w:pos w:val="pageBottom"/>
            <w:numFmt w:val="decimal"/>
            <w:numRestart w:val="continuous"/>
          </w:footnotePr>
          <w:type w:val="continuous"/>
          <w:pgSz w:w="11900" w:h="16840"/>
          <w:pgMar w:top="1157" w:right="24" w:bottom="1158" w:left="1100" w:header="0" w:footer="3" w:gutter="0"/>
          <w:cols w:space="720"/>
          <w:noEndnote/>
          <w:rtlGutter w:val="0"/>
          <w:docGrid w:linePitch="360"/>
        </w:sectPr>
      </w:pPr>
    </w:p>
    <w:p>
      <w:pPr>
        <w:widowControl w:val="0"/>
        <w:spacing w:line="1" w:lineRule="exact"/>
      </w:pPr>
      <w:r>
        <mc:AlternateContent>
          <mc:Choice Requires="wps">
            <w:drawing>
              <wp:anchor distT="0" distB="266700" distL="0" distR="0" simplePos="0" relativeHeight="125829384" behindDoc="0" locked="0" layoutInCell="1" allowOverlap="1">
                <wp:simplePos x="0" y="0"/>
                <wp:positionH relativeFrom="page">
                  <wp:posOffset>2689225</wp:posOffset>
                </wp:positionH>
                <wp:positionV relativeFrom="paragraph">
                  <wp:posOffset>0</wp:posOffset>
                </wp:positionV>
                <wp:extent cx="2170430" cy="247015"/>
                <wp:wrapTopAndBottom/>
                <wp:docPr id="579" name="Shape 579"/>
                <a:graphic xmlns:a="http://schemas.openxmlformats.org/drawingml/2006/main">
                  <a:graphicData uri="http://schemas.microsoft.com/office/word/2010/wordprocessingShape">
                    <wps:wsp>
                      <wps:cNvSpPr txBox="1"/>
                      <wps:spPr>
                        <a:xfrm>
                          <a:ext cx="2170430" cy="247015"/>
                        </a:xfrm>
                        <a:prstGeom prst="rect"/>
                        <a:noFill/>
                      </wps:spPr>
                      <wps:txbx>
                        <w:txbxContent>
                          <w:p>
                            <w:pPr>
                              <w:pStyle w:val="Style15"/>
                              <w:keepNext/>
                              <w:keepLines/>
                              <w:widowControl w:val="0"/>
                              <w:shd w:val="clear" w:color="auto" w:fill="auto"/>
                              <w:bidi w:val="0"/>
                              <w:spacing w:before="0" w:after="0" w:line="240" w:lineRule="auto"/>
                              <w:ind w:left="0" w:right="0" w:firstLine="0"/>
                              <w:jc w:val="center"/>
                            </w:pPr>
                            <w:bookmarkStart w:id="575" w:name="bookmark575"/>
                            <w:bookmarkStart w:id="576" w:name="bookmark576"/>
                            <w:bookmarkStart w:id="577" w:name="bookmark577"/>
                            <w:r>
                              <w:rPr>
                                <w:color w:val="000000"/>
                                <w:spacing w:val="0"/>
                                <w:w w:val="100"/>
                                <w:position w:val="0"/>
                              </w:rPr>
                              <w:t>第七节优先股相关情况</w:t>
                            </w:r>
                            <w:bookmarkEnd w:id="575"/>
                            <w:bookmarkEnd w:id="576"/>
                            <w:bookmarkEnd w:id="577"/>
                          </w:p>
                        </w:txbxContent>
                      </wps:txbx>
                      <wps:bodyPr wrap="none" lIns="0" tIns="0" rIns="0" bIns="0">
                        <a:noAutoFit/>
                      </wps:bodyPr>
                    </wps:wsp>
                  </a:graphicData>
                </a:graphic>
              </wp:anchor>
            </w:drawing>
          </mc:Choice>
          <mc:Fallback>
            <w:pict>
              <v:shape id="_x0000_s1605" type="#_x0000_t202" style="position:absolute;margin-left:211.75pt;margin-top:0;width:170.90000000000001pt;height:19.449999999999999pt;z-index:-125829369;mso-wrap-distance-left:0;mso-wrap-distance-right:0;mso-wrap-distance-bottom:21.pt;mso-position-horizontal-relative:page" filled="f" stroked="f">
                <v:textbox inset="0,0,0,0">
                  <w:txbxContent>
                    <w:p>
                      <w:pPr>
                        <w:pStyle w:val="Style15"/>
                        <w:keepNext/>
                        <w:keepLines/>
                        <w:widowControl w:val="0"/>
                        <w:shd w:val="clear" w:color="auto" w:fill="auto"/>
                        <w:bidi w:val="0"/>
                        <w:spacing w:before="0" w:after="0" w:line="240" w:lineRule="auto"/>
                        <w:ind w:left="0" w:right="0" w:firstLine="0"/>
                        <w:jc w:val="center"/>
                      </w:pPr>
                      <w:bookmarkStart w:id="575" w:name="bookmark575"/>
                      <w:bookmarkStart w:id="576" w:name="bookmark576"/>
                      <w:bookmarkStart w:id="577" w:name="bookmark577"/>
                      <w:r>
                        <w:rPr>
                          <w:color w:val="000000"/>
                          <w:spacing w:val="0"/>
                          <w:w w:val="100"/>
                          <w:position w:val="0"/>
                        </w:rPr>
                        <w:t>第七节优先股相关情况</w:t>
                      </w:r>
                      <w:bookmarkEnd w:id="575"/>
                      <w:bookmarkEnd w:id="576"/>
                      <w:bookmarkEnd w:id="577"/>
                    </w:p>
                  </w:txbxContent>
                </v:textbox>
                <w10:wrap type="topAndBottom" anchorx="page"/>
              </v:shape>
            </w:pict>
          </mc:Fallback>
        </mc:AlternateContent>
      </w:r>
    </w:p>
    <w:p>
      <w:pPr>
        <w:pStyle w:val="Style35"/>
        <w:keepNext w:val="0"/>
        <w:keepLines w:val="0"/>
        <w:widowControl w:val="0"/>
        <w:shd w:val="clear" w:color="auto" w:fill="auto"/>
        <w:bidi w:val="0"/>
        <w:spacing w:before="0" w:line="240" w:lineRule="auto"/>
        <w:ind w:left="0" w:right="0" w:firstLine="0"/>
        <w:jc w:val="left"/>
      </w:pPr>
      <w:bookmarkStart w:id="578" w:name="bookmark578"/>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bookmarkEnd w:id="578"/>
    </w:p>
    <w:p>
      <w:pPr>
        <w:pStyle w:val="Style35"/>
        <w:keepNext w:val="0"/>
        <w:keepLines w:val="0"/>
        <w:widowControl w:val="0"/>
        <w:shd w:val="clear" w:color="auto" w:fill="auto"/>
        <w:bidi w:val="0"/>
        <w:spacing w:before="0" w:after="0" w:line="240" w:lineRule="auto"/>
        <w:ind w:left="0" w:right="0" w:firstLine="0"/>
        <w:jc w:val="left"/>
        <w:sectPr>
          <w:headerReference w:type="default" r:id="rId159"/>
          <w:footerReference w:type="default" r:id="rId160"/>
          <w:headerReference w:type="even" r:id="rId161"/>
          <w:footerReference w:type="even" r:id="rId162"/>
          <w:footnotePr>
            <w:pos w:val="pageBottom"/>
            <w:numFmt w:val="decimal"/>
            <w:numRestart w:val="continuous"/>
          </w:footnotePr>
          <w:pgSz w:w="11900" w:h="16840"/>
          <w:pgMar w:top="1930" w:right="3604" w:bottom="1930" w:left="1105" w:header="0" w:footer="3" w:gutter="0"/>
          <w:cols w:space="720"/>
          <w:noEndnote/>
          <w:rtlGutter w:val="0"/>
          <w:docGrid w:linePitch="360"/>
        </w:sectPr>
      </w:pPr>
      <w:r>
        <w:rPr>
          <w:color w:val="000000"/>
          <w:spacing w:val="0"/>
          <w:w w:val="100"/>
          <w:position w:val="0"/>
        </w:rPr>
        <w:t>报告期公司不存在优先股。</w:t>
      </w:r>
    </w:p>
    <w:p>
      <w:pPr>
        <w:pStyle w:val="Style15"/>
        <w:keepNext/>
        <w:keepLines/>
        <w:widowControl w:val="0"/>
        <w:shd w:val="clear" w:color="auto" w:fill="auto"/>
        <w:bidi w:val="0"/>
        <w:spacing w:before="500" w:line="240" w:lineRule="auto"/>
        <w:ind w:left="0" w:right="0" w:firstLine="0"/>
        <w:jc w:val="center"/>
      </w:pPr>
      <w:bookmarkStart w:id="579" w:name="bookmark579"/>
      <w:bookmarkStart w:id="580" w:name="bookmark580"/>
      <w:bookmarkStart w:id="581" w:name="bookmark581"/>
      <w:r>
        <w:rPr>
          <w:color w:val="000000"/>
          <w:spacing w:val="0"/>
          <w:w w:val="100"/>
          <w:position w:val="0"/>
        </w:rPr>
        <w:t>第八节可转换公司债券相关情况</w:t>
      </w:r>
      <w:bookmarkEnd w:id="579"/>
      <w:bookmarkEnd w:id="580"/>
      <w:bookmarkEnd w:id="581"/>
    </w:p>
    <w:p>
      <w:pPr>
        <w:pStyle w:val="Style35"/>
        <w:keepNext w:val="0"/>
        <w:keepLines w:val="0"/>
        <w:widowControl w:val="0"/>
        <w:shd w:val="clear" w:color="auto" w:fill="auto"/>
        <w:bidi w:val="0"/>
        <w:spacing w:before="0" w:line="240" w:lineRule="auto"/>
        <w:ind w:left="0" w:right="0" w:firstLine="0"/>
        <w:jc w:val="left"/>
      </w:pPr>
      <w:bookmarkStart w:id="582" w:name="bookmark582"/>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bookmarkEnd w:id="582"/>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报告期公司不存在可转换公司债券。</w:t>
      </w:r>
      <w:r>
        <w:br w:type="page"/>
      </w:r>
    </w:p>
    <w:p>
      <w:pPr>
        <w:pStyle w:val="Style15"/>
        <w:keepNext/>
        <w:keepLines/>
        <w:widowControl w:val="0"/>
        <w:shd w:val="clear" w:color="auto" w:fill="auto"/>
        <w:bidi w:val="0"/>
        <w:spacing w:before="0" w:line="240" w:lineRule="auto"/>
        <w:ind w:left="0" w:right="0" w:firstLine="0"/>
        <w:jc w:val="center"/>
      </w:pPr>
      <w:bookmarkStart w:id="583" w:name="bookmark583"/>
      <w:bookmarkStart w:id="584" w:name="bookmark584"/>
      <w:bookmarkStart w:id="585" w:name="bookmark585"/>
      <w:r>
        <w:rPr>
          <w:color w:val="000000"/>
          <w:spacing w:val="0"/>
          <w:w w:val="100"/>
          <w:position w:val="0"/>
        </w:rPr>
        <w:t>第九节董事、监事、高级管理人员和员工情况</w:t>
      </w:r>
      <w:bookmarkEnd w:id="583"/>
      <w:bookmarkEnd w:id="584"/>
      <w:bookmarkEnd w:id="585"/>
    </w:p>
    <w:p>
      <w:pPr>
        <w:pStyle w:val="Style33"/>
        <w:keepNext/>
        <w:keepLines/>
        <w:widowControl w:val="0"/>
        <w:shd w:val="clear" w:color="auto" w:fill="auto"/>
        <w:bidi w:val="0"/>
        <w:spacing w:before="0" w:after="300" w:line="240" w:lineRule="auto"/>
        <w:ind w:left="0" w:right="0" w:firstLine="0"/>
        <w:jc w:val="left"/>
      </w:pPr>
      <w:bookmarkStart w:id="586" w:name="bookmark586"/>
      <w:bookmarkStart w:id="587" w:name="bookmark587"/>
      <w:bookmarkStart w:id="588" w:name="bookmark588"/>
      <w:bookmarkStart w:id="589" w:name="bookmark589"/>
      <w:bookmarkStart w:id="590" w:name="bookmark590"/>
      <w:r>
        <w:rPr>
          <w:color w:val="000000"/>
          <w:spacing w:val="0"/>
          <w:w w:val="100"/>
          <w:position w:val="0"/>
          <w:sz w:val="24"/>
          <w:szCs w:val="24"/>
        </w:rPr>
        <w:t>一</w:t>
      </w:r>
      <w:bookmarkEnd w:id="589"/>
      <w:r>
        <w:rPr>
          <w:color w:val="000000"/>
          <w:spacing w:val="0"/>
          <w:w w:val="100"/>
          <w:position w:val="0"/>
          <w:sz w:val="24"/>
          <w:szCs w:val="24"/>
        </w:rPr>
        <w:t>、董事、监事和高级管理人员持股变动</w:t>
      </w:r>
      <w:bookmarkEnd w:id="587"/>
      <w:bookmarkEnd w:id="588"/>
      <w:bookmarkEnd w:id="590"/>
      <w:bookmarkEnd w:id="586"/>
    </w:p>
    <w:tbl>
      <w:tblPr>
        <w:tblOverlap w:val="never"/>
        <w:jc w:val="center"/>
        <w:tblLayout w:type="fixed"/>
      </w:tblPr>
      <w:tblGrid>
        <w:gridCol w:w="806"/>
        <w:gridCol w:w="797"/>
        <w:gridCol w:w="797"/>
        <w:gridCol w:w="797"/>
        <w:gridCol w:w="797"/>
        <w:gridCol w:w="797"/>
        <w:gridCol w:w="797"/>
        <w:gridCol w:w="797"/>
        <w:gridCol w:w="802"/>
        <w:gridCol w:w="797"/>
        <w:gridCol w:w="802"/>
        <w:gridCol w:w="802"/>
      </w:tblGrid>
      <w:tr>
        <w:trPr>
          <w:trHeight w:val="103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姓名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职务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任职状态</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性别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年龄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220" w:right="0" w:hanging="220"/>
              <w:jc w:val="both"/>
              <w:rPr>
                <w:sz w:val="18"/>
                <w:szCs w:val="18"/>
              </w:rPr>
            </w:pPr>
            <w:r>
              <w:rPr>
                <w:color w:val="000000"/>
                <w:spacing w:val="0"/>
                <w:w w:val="100"/>
                <w:position w:val="0"/>
                <w:sz w:val="18"/>
                <w:szCs w:val="18"/>
              </w:rPr>
              <w:t>任期起始 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220" w:right="0" w:hanging="220"/>
              <w:jc w:val="both"/>
              <w:rPr>
                <w:sz w:val="18"/>
                <w:szCs w:val="18"/>
              </w:rPr>
            </w:pPr>
            <w:r>
              <w:rPr>
                <w:color w:val="000000"/>
                <w:spacing w:val="0"/>
                <w:w w:val="100"/>
                <w:position w:val="0"/>
                <w:sz w:val="18"/>
                <w:szCs w:val="18"/>
              </w:rPr>
              <w:t>任期终止 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8"/>
                <w:szCs w:val="18"/>
              </w:rPr>
              <w:t>期初持股</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数（股）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302" w:lineRule="exact"/>
              <w:ind w:left="0" w:right="0" w:firstLine="0"/>
              <w:jc w:val="both"/>
              <w:rPr>
                <w:sz w:val="18"/>
                <w:szCs w:val="18"/>
              </w:rPr>
            </w:pPr>
            <w:r>
              <w:rPr>
                <w:color w:val="000000"/>
                <w:spacing w:val="0"/>
                <w:w w:val="100"/>
                <w:position w:val="0"/>
                <w:sz w:val="18"/>
                <w:szCs w:val="18"/>
              </w:rPr>
              <w:t>本期增持 股份数量</w:t>
            </w:r>
          </w:p>
          <w:p>
            <w:pPr>
              <w:pStyle w:val="Style2"/>
              <w:keepNext w:val="0"/>
              <w:keepLines w:val="0"/>
              <w:widowControl w:val="0"/>
              <w:shd w:val="clear" w:color="auto" w:fill="auto"/>
              <w:bidi w:val="0"/>
              <w:spacing w:before="0" w:after="0" w:line="302" w:lineRule="exact"/>
              <w:ind w:left="0" w:right="0" w:firstLine="0"/>
              <w:jc w:val="right"/>
              <w:rPr>
                <w:sz w:val="18"/>
                <w:szCs w:val="18"/>
              </w:rPr>
            </w:pPr>
            <w:r>
              <w:rPr>
                <w:color w:val="000000"/>
                <w:spacing w:val="0"/>
                <w:w w:val="100"/>
                <w:position w:val="0"/>
                <w:sz w:val="18"/>
                <w:szCs w:val="18"/>
              </w:rPr>
              <w:t>（股）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312" w:lineRule="exact"/>
              <w:ind w:left="0" w:right="0" w:firstLine="0"/>
              <w:jc w:val="left"/>
              <w:rPr>
                <w:sz w:val="18"/>
                <w:szCs w:val="18"/>
              </w:rPr>
            </w:pPr>
            <w:r>
              <w:rPr>
                <w:color w:val="000000"/>
                <w:spacing w:val="0"/>
                <w:w w:val="100"/>
                <w:position w:val="0"/>
                <w:sz w:val="18"/>
                <w:szCs w:val="18"/>
              </w:rPr>
              <w:t>本期减持 股份数量</w:t>
            </w:r>
          </w:p>
          <w:p>
            <w:pPr>
              <w:pStyle w:val="Style2"/>
              <w:keepNext w:val="0"/>
              <w:keepLines w:val="0"/>
              <w:widowControl w:val="0"/>
              <w:shd w:val="clear" w:color="auto" w:fill="auto"/>
              <w:bidi w:val="0"/>
              <w:spacing w:before="0" w:after="0" w:line="312" w:lineRule="exact"/>
              <w:ind w:left="0" w:right="0" w:firstLine="0"/>
              <w:jc w:val="right"/>
              <w:rPr>
                <w:sz w:val="18"/>
                <w:szCs w:val="18"/>
              </w:rPr>
            </w:pPr>
            <w:r>
              <w:rPr>
                <w:color w:val="000000"/>
                <w:spacing w:val="0"/>
                <w:w w:val="100"/>
                <w:position w:val="0"/>
                <w:sz w:val="18"/>
                <w:szCs w:val="18"/>
              </w:rPr>
              <w:t>（股）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其他增减 变动（股）</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期末持股 数（股）</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29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498,420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498,420</w:t>
            </w:r>
          </w:p>
        </w:tc>
      </w:tr>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18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3,987,180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3,758,880</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董事、副</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18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2,093,220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1,934,920</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18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18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李志蜀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29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曹德骏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29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索继栓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18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21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杨红梅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离任</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女</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spacing w:lineRule="exact" w:line="1"/>
        <w:rPr>
          <w:sz w:val="2"/>
          <w:szCs w:val="2"/>
        </w:rPr>
      </w:pPr>
      <w:r>
        <w:br w:type="page"/>
      </w:r>
    </w:p>
    <w:tbl>
      <w:tblPr>
        <w:tblOverlap w:val="never"/>
        <w:jc w:val="center"/>
        <w:tblLayout w:type="fixed"/>
      </w:tblPr>
      <w:tblGrid>
        <w:gridCol w:w="806"/>
        <w:gridCol w:w="797"/>
        <w:gridCol w:w="797"/>
        <w:gridCol w:w="797"/>
        <w:gridCol w:w="797"/>
        <w:gridCol w:w="797"/>
        <w:gridCol w:w="797"/>
        <w:gridCol w:w="797"/>
        <w:gridCol w:w="802"/>
        <w:gridCol w:w="797"/>
        <w:gridCol w:w="802"/>
        <w:gridCol w:w="802"/>
      </w:tblGrid>
      <w:tr>
        <w:trPr>
          <w:trHeight w:val="68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21</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帅红涛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监事会主</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29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496,352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496,352</w:t>
            </w: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56</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5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肖帆</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508,362</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38,700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469,662</w:t>
            </w:r>
          </w:p>
        </w:tc>
      </w:tr>
      <w:tr>
        <w:trPr>
          <w:trHeight w:val="3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尹邦明</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理、董事</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49</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288,900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72,300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216,600</w:t>
            </w:r>
          </w:p>
        </w:tc>
      </w:tr>
      <w:tr>
        <w:trPr>
          <w:trHeight w:val="355"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会秘书</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钟勇</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55</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523,683</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38,700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484,983</w:t>
            </w:r>
          </w:p>
        </w:tc>
      </w:tr>
      <w:tr>
        <w:trPr>
          <w:trHeight w:val="346"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王晓东</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48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443,020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25,000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418,020</w:t>
            </w:r>
          </w:p>
        </w:tc>
      </w:tr>
      <w:tr>
        <w:trPr>
          <w:trHeight w:val="346"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方伟</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29</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99,681</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5,900</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93,781</w:t>
            </w:r>
          </w:p>
        </w:tc>
      </w:tr>
      <w:tr>
        <w:trPr>
          <w:trHeight w:val="3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8"/>
                <w:szCs w:val="18"/>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刘小兵</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财务总监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486,000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486,000</w:t>
            </w:r>
          </w:p>
        </w:tc>
      </w:tr>
      <w:tr>
        <w:trPr>
          <w:trHeight w:val="350"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9,424,818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567,200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8,857,618</w:t>
            </w:r>
          </w:p>
        </w:tc>
      </w:tr>
    </w:tbl>
    <w:p>
      <w:pPr>
        <w:widowControl w:val="0"/>
        <w:spacing w:after="319" w:line="1" w:lineRule="exact"/>
      </w:pPr>
    </w:p>
    <w:p>
      <w:pPr>
        <w:pStyle w:val="Style33"/>
        <w:keepNext/>
        <w:keepLines/>
        <w:widowControl w:val="0"/>
        <w:shd w:val="clear" w:color="auto" w:fill="auto"/>
        <w:bidi w:val="0"/>
        <w:spacing w:before="0" w:after="320" w:line="240" w:lineRule="auto"/>
        <w:ind w:left="0" w:right="0" w:firstLine="0"/>
        <w:jc w:val="left"/>
      </w:pPr>
      <w:bookmarkStart w:id="591" w:name="bookmark591"/>
      <w:bookmarkStart w:id="592" w:name="bookmark592"/>
      <w:bookmarkStart w:id="593" w:name="bookmark593"/>
      <w:bookmarkStart w:id="594" w:name="bookmark594"/>
      <w:r>
        <w:rPr>
          <w:color w:val="000000"/>
          <w:spacing w:val="0"/>
          <w:w w:val="100"/>
          <w:position w:val="0"/>
          <w:sz w:val="24"/>
          <w:szCs w:val="24"/>
        </w:rPr>
        <w:t>二</w:t>
      </w:r>
      <w:bookmarkEnd w:id="593"/>
      <w:r>
        <w:rPr>
          <w:color w:val="000000"/>
          <w:spacing w:val="0"/>
          <w:w w:val="100"/>
          <w:position w:val="0"/>
          <w:sz w:val="24"/>
          <w:szCs w:val="24"/>
        </w:rPr>
        <w:t>、公司董事、监事、高级管理人员变动情况</w:t>
      </w:r>
      <w:bookmarkEnd w:id="591"/>
      <w:bookmarkEnd w:id="592"/>
      <w:bookmarkEnd w:id="594"/>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寸</w:t>
      </w:r>
      <w:r>
        <w:rPr>
          <w:b w:val="0"/>
          <w:bCs w:val="0"/>
          <w:color w:val="000000"/>
          <w:spacing w:val="0"/>
          <w:w w:val="100"/>
          <w:position w:val="0"/>
          <w:sz w:val="18"/>
          <w:szCs w:val="18"/>
        </w:rPr>
        <w:t>适用</w:t>
      </w:r>
      <w:r>
        <w:rPr>
          <w:b w:val="0"/>
          <w:bCs w:val="0"/>
          <w:color w:val="000000"/>
          <w:spacing w:val="0"/>
          <w:w w:val="100"/>
          <w:position w:val="0"/>
          <w:sz w:val="18"/>
          <w:szCs w:val="18"/>
        </w:rPr>
        <w:t>口</w:t>
      </w:r>
      <w:r>
        <w:rPr>
          <w:b w:val="0"/>
          <w:bCs w:val="0"/>
          <w:color w:val="000000"/>
          <w:spacing w:val="0"/>
          <w:w w:val="100"/>
          <w:position w:val="0"/>
          <w:sz w:val="18"/>
          <w:szCs w:val="18"/>
        </w:rPr>
        <w:t>不适用</w:t>
      </w:r>
    </w:p>
    <w:tbl>
      <w:tblPr>
        <w:tblOverlap w:val="never"/>
        <w:jc w:val="center"/>
        <w:tblLayout w:type="fixed"/>
      </w:tblPr>
      <w:tblGrid>
        <w:gridCol w:w="1339"/>
        <w:gridCol w:w="1325"/>
        <w:gridCol w:w="1330"/>
        <w:gridCol w:w="1334"/>
        <w:gridCol w:w="4258"/>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姓名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担任的职务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类型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日期</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原因</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索继栓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在控股股东中国科学院控股有限公司的工作职责调整</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杨红梅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在控股股东中国科学院控股有限公司的工作职责调整</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被选举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07</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选举非独立董事</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被选举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07</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选举非独立董事</w:t>
            </w:r>
          </w:p>
        </w:tc>
      </w:tr>
    </w:tbl>
    <w:p>
      <w:pPr>
        <w:sectPr>
          <w:footnotePr>
            <w:pos w:val="pageBottom"/>
            <w:numFmt w:val="decimal"/>
            <w:numRestart w:val="continuous"/>
          </w:footnotePr>
          <w:pgSz w:w="11900" w:h="16840"/>
          <w:pgMar w:top="1436" w:right="1199" w:bottom="1570" w:left="1105" w:header="0" w:footer="3" w:gutter="0"/>
          <w:cols w:space="720"/>
          <w:noEndnote/>
          <w:rtlGutter w:val="0"/>
          <w:docGrid w:linePitch="360"/>
        </w:sectPr>
      </w:pPr>
    </w:p>
    <w:p>
      <w:pPr>
        <w:pStyle w:val="Style33"/>
        <w:keepNext/>
        <w:keepLines/>
        <w:widowControl w:val="0"/>
        <w:shd w:val="clear" w:color="auto" w:fill="auto"/>
        <w:bidi w:val="0"/>
        <w:spacing w:before="0" w:after="360" w:line="240" w:lineRule="auto"/>
        <w:ind w:left="0" w:right="0" w:firstLine="0"/>
        <w:jc w:val="both"/>
      </w:pPr>
      <w:bookmarkStart w:id="595" w:name="bookmark595"/>
      <w:bookmarkStart w:id="596" w:name="bookmark596"/>
      <w:bookmarkStart w:id="597" w:name="bookmark597"/>
      <w:bookmarkStart w:id="598" w:name="bookmark598"/>
      <w:r>
        <w:rPr>
          <w:color w:val="000000"/>
          <w:spacing w:val="0"/>
          <w:w w:val="100"/>
          <w:position w:val="0"/>
          <w:sz w:val="24"/>
          <w:szCs w:val="24"/>
        </w:rPr>
        <w:t>三</w:t>
      </w:r>
      <w:bookmarkEnd w:id="597"/>
      <w:r>
        <w:rPr>
          <w:color w:val="000000"/>
          <w:spacing w:val="0"/>
          <w:w w:val="100"/>
          <w:position w:val="0"/>
          <w:sz w:val="24"/>
          <w:szCs w:val="24"/>
        </w:rPr>
        <w:t>、任职情况</w:t>
      </w:r>
      <w:bookmarkEnd w:id="595"/>
      <w:bookmarkEnd w:id="596"/>
      <w:bookmarkEnd w:id="598"/>
    </w:p>
    <w:p>
      <w:pPr>
        <w:pStyle w:val="Style35"/>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公司现任董事、监事、高级管理人员专业背景、主要工作经历以及目前在公司的主要职责</w:t>
      </w:r>
    </w:p>
    <w:p>
      <w:pPr>
        <w:pStyle w:val="Style47"/>
        <w:keepNext w:val="0"/>
        <w:keepLines w:val="0"/>
        <w:widowControl w:val="0"/>
        <w:shd w:val="clear" w:color="auto" w:fill="auto"/>
        <w:bidi w:val="0"/>
        <w:spacing w:before="0" w:after="0" w:line="469" w:lineRule="exact"/>
        <w:ind w:left="0" w:right="0" w:firstLine="0"/>
        <w:jc w:val="both"/>
      </w:pPr>
      <w:r>
        <w:rPr>
          <w:b/>
          <w:bCs/>
          <w:color w:val="000000"/>
          <w:spacing w:val="0"/>
          <w:w w:val="100"/>
          <w:position w:val="0"/>
        </w:rPr>
        <w:t>董事：</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史志明先生：</w:t>
      </w:r>
      <w:r>
        <w:rPr>
          <w:color w:val="000000"/>
          <w:spacing w:val="0"/>
          <w:w w:val="100"/>
          <w:position w:val="0"/>
        </w:rPr>
        <w:t>1977</w:t>
      </w:r>
      <w:r>
        <w:rPr>
          <w:color w:val="000000"/>
          <w:spacing w:val="0"/>
          <w:w w:val="100"/>
          <w:position w:val="0"/>
        </w:rPr>
        <w:t>年出生，无境外永久居留权，四川大学信息管理系本科毕业，西南财经大学工商管 理硕士，正研级高级工程师。历任中科院成都信息技术有限公司办公自动化事业部经理、总经理助理、常 务副总经理等职。现任中科院成都信息技术股份有限公司党委书记、董事长、总经理，中科院成都信息技 术股份有限公司北京分公司负责人，成都中科信息技术有限公司法定代表人、执行董事兼总经理，成都中 科信息技术有限公司上海分公司负责人，成都中科石油工程技术股份有限公司法定代表人、董事长，香港 领立智选科技有限公司董事，深圳中钞科信金融科技有限公司董事。</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付忠良先生：</w:t>
      </w:r>
      <w:r>
        <w:rPr>
          <w:color w:val="000000"/>
          <w:spacing w:val="0"/>
          <w:w w:val="100"/>
          <w:position w:val="0"/>
        </w:rPr>
        <w:t>1967</w:t>
      </w:r>
      <w:r>
        <w:rPr>
          <w:color w:val="000000"/>
          <w:spacing w:val="0"/>
          <w:w w:val="100"/>
          <w:position w:val="0"/>
        </w:rPr>
        <w:t>年出生，无境外永久居留权，中科院成都计算所硕士研究生毕业，研究员，享受国 务院政府特殊津贴专家。历任中科院成都信息技术有限公司工业计算机应用事业部经理、副总经理、常务 副总经理、董事、总经理等职。现任中科院成都信息技术股份有限公司副董事长、董事，成都中科石油工 程技术股份有限公司董事，滨州科忠企业管理咨询中心执行事务合伙人，中科院金华信息技术有限公司执 行董事兼法定代表人，深圳中钞科信金融科技有限公司副董事长，中国科学院大学博士生导师。</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杨建华先生：</w:t>
      </w:r>
      <w:r>
        <w:rPr>
          <w:color w:val="000000"/>
          <w:spacing w:val="0"/>
          <w:w w:val="100"/>
          <w:position w:val="0"/>
        </w:rPr>
        <w:t>1970</w:t>
      </w:r>
      <w:r>
        <w:rPr>
          <w:color w:val="000000"/>
          <w:spacing w:val="0"/>
          <w:w w:val="100"/>
          <w:position w:val="0"/>
        </w:rPr>
        <w:t>年出生，无境外永久居留权，中国科技大学毕业，管理学硕士，中国浦东干部学院 兼职教授。</w:t>
      </w:r>
      <w:r>
        <w:rPr>
          <w:color w:val="000000"/>
          <w:spacing w:val="0"/>
          <w:w w:val="100"/>
          <w:position w:val="0"/>
        </w:rPr>
        <w:t>2002</w:t>
      </w:r>
      <w:r>
        <w:rPr>
          <w:color w:val="000000"/>
          <w:spacing w:val="0"/>
          <w:w w:val="100"/>
          <w:position w:val="0"/>
        </w:rPr>
        <w:t>年至</w:t>
      </w:r>
      <w:r>
        <w:rPr>
          <w:color w:val="000000"/>
          <w:spacing w:val="0"/>
          <w:w w:val="100"/>
          <w:position w:val="0"/>
        </w:rPr>
        <w:t>2003</w:t>
      </w:r>
      <w:r>
        <w:rPr>
          <w:color w:val="000000"/>
          <w:spacing w:val="0"/>
          <w:w w:val="100"/>
          <w:position w:val="0"/>
        </w:rPr>
        <w:t>年在美国哈佛大学肯尼迪政府学院从事高级访问研究。历任中国科学院办公厅 秘书、院团委副书记、书记，中国科学院研究生院（现中国科学院大学）院长助理，中国科学院科学时报 社（现中国科学报社）副社长、党委副书记、书记，中关村科技园区管委会党组成员、副主任（正局级）， 中国科学院广州分院副院长（正局级）、分党组成员，中国科学院深圳先进技术研究院党委书记、中科院 京区企业党委副书记。现任中国科学院控股有限公司党委副书记、副董事长、总经理，联想控股股份有限 公司监事，东方科仪控股集团有限公司、中国科技产业投资管理有限公司、中科院资本管理有限公司、中 国科技出版传媒股份有限公司、国科嘉和（北京）投资管理有限公司、中国科学院成都有机化学有限公司董 事，中国科技出版传媒集团有限公司、国科量子通信网络有限公司董事长。</w:t>
      </w:r>
    </w:p>
    <w:p>
      <w:pPr>
        <w:pStyle w:val="Style47"/>
        <w:keepNext w:val="0"/>
        <w:keepLines w:val="0"/>
        <w:widowControl w:val="0"/>
        <w:shd w:val="clear" w:color="auto" w:fill="auto"/>
        <w:bidi w:val="0"/>
        <w:spacing w:before="0" w:after="1180" w:line="469" w:lineRule="exact"/>
        <w:ind w:left="0" w:right="0" w:firstLine="440"/>
        <w:jc w:val="both"/>
      </w:pPr>
      <w:r>
        <w:rPr>
          <w:color w:val="000000"/>
          <w:spacing w:val="0"/>
          <w:w w:val="100"/>
          <w:position w:val="0"/>
        </w:rPr>
        <w:t>张勇先生：</w:t>
      </w:r>
      <w:r>
        <w:rPr>
          <w:color w:val="000000"/>
          <w:spacing w:val="0"/>
          <w:w w:val="100"/>
          <w:position w:val="0"/>
        </w:rPr>
        <w:t>1970</w:t>
      </w:r>
      <w:r>
        <w:rPr>
          <w:color w:val="000000"/>
          <w:spacing w:val="0"/>
          <w:w w:val="100"/>
          <w:position w:val="0"/>
        </w:rPr>
        <w:t>年出生，无境外永久居留权，清华大学毕业，工商管理硕士。历任北京中科科仪技术 发展有限责任公司董事兼总经理，国科控股监事、股权管理部总经理，中国科学院沈阳科学仪器股份有限 公司、中科院南京天文仪器有限公司、北京中科科仪股份有限公司董事，中科院创业投资管理有限公司董 事长等职。现任国科控股副总经理，中科院成都信息技术股份有限公司、中科实业集团（控股）有限公司、 中国科技出版传媒集团有限公司、东方科仪控股集团有限公司、中国科技产业投资管理有限公司、国科嘉 和（北京）投资管理有限公司、中国科技出版传媒股份有限公司、上海联升创业投资有限公司、广东国科</w:t>
      </w:r>
    </w:p>
    <w:p>
      <w:pPr>
        <w:pStyle w:val="Style83"/>
        <w:keepNext w:val="0"/>
        <w:keepLines w:val="0"/>
        <w:widowControl w:val="0"/>
        <w:shd w:val="clear" w:color="auto" w:fill="auto"/>
        <w:bidi w:val="0"/>
        <w:spacing w:before="0" w:after="0" w:line="240" w:lineRule="auto"/>
        <w:ind w:left="0" w:right="0" w:firstLine="0"/>
        <w:jc w:val="right"/>
        <w:rPr>
          <w:sz w:val="26"/>
          <w:szCs w:val="26"/>
        </w:rPr>
        <w:sectPr>
          <w:headerReference w:type="default" r:id="rId163"/>
          <w:footerReference w:type="default" r:id="rId164"/>
          <w:headerReference w:type="even" r:id="rId165"/>
          <w:footerReference w:type="even" r:id="rId166"/>
          <w:footnotePr>
            <w:pos w:val="pageBottom"/>
            <w:numFmt w:val="decimal"/>
            <w:numRestart w:val="continuous"/>
          </w:footnotePr>
          <w:pgSz w:w="11900" w:h="16840"/>
          <w:pgMar w:top="1460" w:right="24"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7"/>
        <w:keepNext w:val="0"/>
        <w:keepLines w:val="0"/>
        <w:widowControl w:val="0"/>
        <w:shd w:val="clear" w:color="auto" w:fill="auto"/>
        <w:bidi w:val="0"/>
        <w:spacing w:before="0" w:after="0" w:line="469" w:lineRule="exact"/>
        <w:ind w:left="0" w:right="0" w:firstLine="0"/>
        <w:jc w:val="both"/>
      </w:pPr>
      <w:r>
        <w:rPr>
          <w:color w:val="000000"/>
          <w:spacing w:val="0"/>
          <w:w w:val="100"/>
          <w:position w:val="0"/>
        </w:rPr>
        <w:t>创业投资有限公司、上海联升承业创业投资有限公司董事，国科羲裕（上海）投资管理有限公司执行董事 兼总经理、法定代表人，中信国科资产管理有限公司监事会主席，中科院资本管理有限公司董事长。</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王晓宇先生：</w:t>
      </w:r>
      <w:r>
        <w:rPr>
          <w:color w:val="000000"/>
          <w:spacing w:val="0"/>
          <w:w w:val="100"/>
          <w:position w:val="0"/>
        </w:rPr>
        <w:t>1955</w:t>
      </w:r>
      <w:r>
        <w:rPr>
          <w:color w:val="000000"/>
          <w:spacing w:val="0"/>
          <w:w w:val="100"/>
          <w:position w:val="0"/>
        </w:rPr>
        <w:t>年出生，无境外永久居留权，电子科技大学经济管理学院研究生毕业，工商管理硕 士，研究员，享受国务院政府特殊津贴专家。历任中科院成都信息技术有限公司副总经理、总经理、董事 长，成都中科石油工程技术股份有限公司董事长等职。现任中国科学院控股有限公司监事、中科院成都信 息技术股份有限公司董事，滨州蓉智企业管理咨询中心执行事务合伙人，荷泽宇中企业管理咨询中心法定 代表人，中国科学院曼谷创新合作中心常务理事，四川省计算机学会理事长。于</w:t>
      </w:r>
      <w:r>
        <w:rPr>
          <w:color w:val="000000"/>
          <w:spacing w:val="0"/>
          <w:w w:val="100"/>
          <w:position w:val="0"/>
        </w:rPr>
        <w:t>2020</w:t>
      </w:r>
      <w:r>
        <w:rPr>
          <w:color w:val="000000"/>
          <w:spacing w:val="0"/>
          <w:w w:val="100"/>
          <w:position w:val="0"/>
        </w:rPr>
        <w:t>年</w:t>
      </w:r>
      <w:r>
        <w:rPr>
          <w:color w:val="000000"/>
          <w:spacing w:val="0"/>
          <w:w w:val="100"/>
          <w:position w:val="0"/>
        </w:rPr>
        <w:t>2</w:t>
      </w:r>
      <w:r>
        <w:rPr>
          <w:color w:val="000000"/>
          <w:spacing w:val="0"/>
          <w:w w:val="100"/>
          <w:position w:val="0"/>
        </w:rPr>
        <w:t>月</w:t>
      </w:r>
      <w:r>
        <w:rPr>
          <w:color w:val="000000"/>
          <w:spacing w:val="0"/>
          <w:w w:val="100"/>
          <w:position w:val="0"/>
        </w:rPr>
        <w:t>12</w:t>
      </w:r>
      <w:r>
        <w:rPr>
          <w:color w:val="000000"/>
          <w:spacing w:val="0"/>
          <w:w w:val="100"/>
          <w:position w:val="0"/>
        </w:rPr>
        <w:t>日起，不再 担任成都中科石油工程技术股份有限公司董事长。</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赵自强先生：</w:t>
      </w:r>
      <w:r>
        <w:rPr>
          <w:color w:val="000000"/>
          <w:spacing w:val="0"/>
          <w:w w:val="100"/>
          <w:position w:val="0"/>
        </w:rPr>
        <w:t>1975</w:t>
      </w:r>
      <w:r>
        <w:rPr>
          <w:color w:val="000000"/>
          <w:spacing w:val="0"/>
          <w:w w:val="100"/>
          <w:position w:val="0"/>
        </w:rPr>
        <w:t>年，无境外永久居留权，中国人民大学毕业，工商管理硕士，高级经济师。历任北 京中科科仪股份有限公司企业发展部经理、总裁办主任、董事会秘书，北京中科科美科技股份有限公司副 总经理、财务负责人、董事会秘书，北京求是联合管理咨询有限公司高级咨询顾问、项目经理，北京国科 航天发射科技有限公司、北京科益虹源光电技术有限公司董事。现任中国科学院控股有限公司股权管理部 总经理，国科科仪控股有限公司、中国科学院成都有机化学有限公司、中科院南京天文仪器有限公司、国 科华路航天科技有限公司、北京中科资源有限公司、喀斯玛控股有限公司、中国科技出版传媒集团有限公 司、东方科仪控股集团有限公司、中国科学院沈阳计算技术研究所有限公司、沈阳中科数控技术股份有限 公司、北京中科院软件中心有限公司董事。</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李志蜀先生：</w:t>
      </w:r>
      <w:r>
        <w:rPr>
          <w:color w:val="000000"/>
          <w:spacing w:val="0"/>
          <w:w w:val="100"/>
          <w:position w:val="0"/>
        </w:rPr>
        <w:t>1946</w:t>
      </w:r>
      <w:r>
        <w:rPr>
          <w:color w:val="000000"/>
          <w:spacing w:val="0"/>
          <w:w w:val="100"/>
          <w:position w:val="0"/>
        </w:rPr>
        <w:t>年出生，无境外永久居留权，四川大学无线电系研究生毕业。历任四川大学计算机 系讲师、副教授、教授、博士生导师、计算机系主任、计算机学院院长，国家教委高等学校工科本科计算 机课程教学指导委员会委员等职</w:t>
      </w:r>
      <w:r>
        <w:rPr>
          <w:color w:val="000000"/>
          <w:spacing w:val="0"/>
          <w:w w:val="100"/>
          <w:position w:val="0"/>
        </w:rPr>
        <w:t>（2011</w:t>
      </w:r>
      <w:r>
        <w:rPr>
          <w:color w:val="000000"/>
          <w:spacing w:val="0"/>
          <w:w w:val="100"/>
          <w:position w:val="0"/>
        </w:rPr>
        <w:t>年</w:t>
      </w:r>
      <w:r>
        <w:rPr>
          <w:color w:val="000000"/>
          <w:spacing w:val="0"/>
          <w:w w:val="100"/>
          <w:position w:val="0"/>
        </w:rPr>
        <w:t>3</w:t>
      </w:r>
      <w:r>
        <w:rPr>
          <w:color w:val="000000"/>
          <w:spacing w:val="0"/>
          <w:w w:val="100"/>
          <w:position w:val="0"/>
        </w:rPr>
        <w:t>月退休），成都万联传感网络技术有限公司董事长。现任成都 万联传感网络技术有限公司董事，中科院成都信息技术股份有限公司独立董事。</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曹德骏先生：</w:t>
      </w:r>
      <w:r>
        <w:rPr>
          <w:color w:val="000000"/>
          <w:spacing w:val="0"/>
          <w:w w:val="100"/>
          <w:position w:val="0"/>
        </w:rPr>
        <w:t>1953</w:t>
      </w:r>
      <w:r>
        <w:rPr>
          <w:color w:val="000000"/>
          <w:spacing w:val="0"/>
          <w:w w:val="100"/>
          <w:position w:val="0"/>
        </w:rPr>
        <w:t>年出生，无境外永久居留权，西南财经大学企业管理博士，西南财经大学教授、博 导。历任西南财经大学外语系副主任，旅游管理学院副院长，国际商学院副院长，西南财经大学国际商学 院教授委员会主席，西南财经大学外事处处长，西南财经大学一纽约州立奥尔巴尼大学孔子学院中方院长， 中国企业管理研究会常务理事，四川省政府参事，卫士通公司独立董事。现任西南财经大学中东欧与巴尔 干地区研究中心主任，四川省政府参事室特约研究员，中科院成都信息技术股份有限公司独立董事。</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周玮先生：</w:t>
      </w:r>
      <w:r>
        <w:rPr>
          <w:color w:val="000000"/>
          <w:spacing w:val="0"/>
          <w:w w:val="100"/>
          <w:position w:val="0"/>
        </w:rPr>
        <w:t>1980</w:t>
      </w:r>
      <w:r>
        <w:rPr>
          <w:color w:val="000000"/>
          <w:spacing w:val="0"/>
          <w:w w:val="100"/>
          <w:position w:val="0"/>
        </w:rPr>
        <w:t>年出生，无境外永久居留权，西南财经大学博士研究生毕业，会计学副研究员。现任 西南财经大学金融学院专业教师，四川大西洋焊接材料股份有限公司、成都卫士通信息产业股份有限公司、 成都彩虹电器（集团）股份有限公司独立董事，中科院成都信息技术股份有限公司独立董事。</w:t>
      </w:r>
    </w:p>
    <w:p>
      <w:pPr>
        <w:pStyle w:val="Style47"/>
        <w:keepNext w:val="0"/>
        <w:keepLines w:val="0"/>
        <w:widowControl w:val="0"/>
        <w:shd w:val="clear" w:color="auto" w:fill="auto"/>
        <w:bidi w:val="0"/>
        <w:spacing w:before="0" w:after="0" w:line="469" w:lineRule="exact"/>
        <w:ind w:left="0" w:right="0" w:firstLine="0"/>
        <w:jc w:val="left"/>
      </w:pPr>
      <w:r>
        <w:rPr>
          <w:b/>
          <w:bCs/>
          <w:color w:val="000000"/>
          <w:spacing w:val="0"/>
          <w:w w:val="100"/>
          <w:position w:val="0"/>
        </w:rPr>
        <w:t>监事：</w:t>
      </w:r>
    </w:p>
    <w:p>
      <w:pPr>
        <w:pStyle w:val="Style47"/>
        <w:keepNext w:val="0"/>
        <w:keepLines w:val="0"/>
        <w:widowControl w:val="0"/>
        <w:shd w:val="clear" w:color="auto" w:fill="auto"/>
        <w:bidi w:val="0"/>
        <w:spacing w:before="0" w:after="800" w:line="469" w:lineRule="exact"/>
        <w:ind w:left="0" w:right="0" w:firstLine="440"/>
        <w:jc w:val="both"/>
      </w:pPr>
      <w:r>
        <w:rPr>
          <w:color w:val="000000"/>
          <w:spacing w:val="0"/>
          <w:w w:val="100"/>
          <w:position w:val="0"/>
        </w:rPr>
        <w:t>帅红涛先生：</w:t>
      </w:r>
      <w:r>
        <w:rPr>
          <w:color w:val="000000"/>
          <w:spacing w:val="0"/>
          <w:w w:val="100"/>
          <w:position w:val="0"/>
        </w:rPr>
        <w:t>1966</w:t>
      </w:r>
      <w:r>
        <w:rPr>
          <w:color w:val="000000"/>
          <w:spacing w:val="0"/>
          <w:w w:val="100"/>
          <w:position w:val="0"/>
        </w:rPr>
        <w:t>年</w:t>
      </w:r>
      <w:r>
        <w:rPr>
          <w:color w:val="000000"/>
          <w:spacing w:val="0"/>
          <w:w w:val="100"/>
          <w:position w:val="0"/>
        </w:rPr>
        <w:t>4</w:t>
      </w:r>
      <w:r>
        <w:rPr>
          <w:color w:val="000000"/>
          <w:spacing w:val="0"/>
          <w:w w:val="100"/>
          <w:position w:val="0"/>
        </w:rPr>
        <w:t>月出生，无境外永久居留权，清华大学自动化系硕士研究生毕业，副研究员。</w:t>
      </w:r>
    </w:p>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86"/>
        <w:keepNext w:val="0"/>
        <w:keepLines w:val="0"/>
        <w:widowControl w:val="0"/>
        <w:shd w:val="clear" w:color="auto" w:fill="auto"/>
        <w:bidi w:val="0"/>
        <w:spacing w:before="0" w:after="0" w:line="240" w:lineRule="auto"/>
        <w:ind w:left="0" w:right="0" w:firstLine="0"/>
        <w:jc w:val="right"/>
      </w:pPr>
      <w:r>
        <w:rPr>
          <w:rFonts w:ascii="SimHei" w:eastAsia="SimHei" w:hAnsi="SimHei" w:cs="SimHei"/>
          <w:b w:val="0"/>
          <w:bCs w:val="0"/>
          <w:spacing w:val="0"/>
          <w:w w:val="100"/>
          <w:position w:val="0"/>
          <w:sz w:val="12"/>
          <w:szCs w:val="12"/>
        </w:rPr>
        <w:t>巨潮遂</w:t>
      </w:r>
      <w:r>
        <w:rPr>
          <w:spacing w:val="0"/>
          <w:w w:val="100"/>
          <w:position w:val="0"/>
        </w:rPr>
        <w:t>iH</w:t>
      </w:r>
    </w:p>
    <w:p>
      <w:pPr>
        <w:pStyle w:val="Style86"/>
        <w:keepNext w:val="0"/>
        <w:keepLines w:val="0"/>
        <w:widowControl w:val="0"/>
        <w:shd w:val="clear" w:color="auto" w:fill="auto"/>
        <w:bidi w:val="0"/>
        <w:spacing w:before="0" w:after="0" w:line="228" w:lineRule="auto"/>
        <w:ind w:left="0" w:right="0" w:firstLine="0"/>
        <w:jc w:val="right"/>
        <w:sectPr>
          <w:headerReference w:type="default" r:id="rId167"/>
          <w:footerReference w:type="default" r:id="rId168"/>
          <w:headerReference w:type="even" r:id="rId169"/>
          <w:footerReference w:type="even" r:id="rId170"/>
          <w:footnotePr>
            <w:pos w:val="pageBottom"/>
            <w:numFmt w:val="decimal"/>
            <w:numRestart w:val="continuous"/>
          </w:footnotePr>
          <w:pgSz w:w="11900" w:h="16840"/>
          <w:pgMar w:top="1326" w:right="24" w:bottom="169"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47"/>
        <w:keepNext w:val="0"/>
        <w:keepLines w:val="0"/>
        <w:widowControl w:val="0"/>
        <w:shd w:val="clear" w:color="auto" w:fill="auto"/>
        <w:bidi w:val="0"/>
        <w:spacing w:before="0" w:after="0" w:line="472" w:lineRule="exact"/>
        <w:ind w:left="0" w:right="0" w:firstLine="0"/>
        <w:jc w:val="both"/>
      </w:pPr>
      <w:r>
        <w:rPr>
          <w:color w:val="000000"/>
          <w:spacing w:val="0"/>
          <w:w w:val="100"/>
          <w:position w:val="0"/>
        </w:rPr>
        <w:t>历任中国科学院成都计算机应用研究所综合部副主任，中科院成都信息技术有限公司工业部副经理、企业 管理部经理、职工监事、董事等职。现任中科院成都信息技术股份有限公司党委副书记、纪委书记、监事 会主席，中科院成都信息技术股份有限公司工会主席，成都中科石油工程技术股份有限公司监事会主席。</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傅敏先生：</w:t>
      </w:r>
      <w:r>
        <w:rPr>
          <w:color w:val="000000"/>
          <w:spacing w:val="0"/>
          <w:w w:val="100"/>
          <w:position w:val="0"/>
        </w:rPr>
        <w:t>1965</w:t>
      </w:r>
      <w:r>
        <w:rPr>
          <w:color w:val="000000"/>
          <w:spacing w:val="0"/>
          <w:w w:val="100"/>
          <w:position w:val="0"/>
        </w:rPr>
        <w:t>年出生，无境外永久居留权，中国科学院力学研究所博士研究生毕业，高级工程师。 历任中国科学院院部机关处长，江西省科学院副院长、党组成员，中国科学院京区企业党委办公室主任等 职。现任中国科学院控股有限公司党委办公室主任，中科院成都信息技术股份有限公司、国科科仪控股有 限公司监事，中科院建筑设计研究院有限公司、北京中科院软件中心有限公司、中科院广州电子技术有限 公司董事。</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肖帆先生：</w:t>
      </w:r>
      <w:r>
        <w:rPr>
          <w:color w:val="000000"/>
          <w:spacing w:val="0"/>
          <w:w w:val="100"/>
          <w:position w:val="0"/>
        </w:rPr>
        <w:t>1963</w:t>
      </w:r>
      <w:r>
        <w:rPr>
          <w:color w:val="000000"/>
          <w:spacing w:val="0"/>
          <w:w w:val="100"/>
          <w:position w:val="0"/>
        </w:rPr>
        <w:t>年出生，无境外永久居留权，中国科学院研究生院研究生毕业，理学硕士，高级工程 师。历任中科院成都信息技术有限公司市场部常务副经理、经理等职。现任中科院成都信息技术股份有限 公司职工代表监事兼市场部经理，成都中科信息技术有限公司监事。</w:t>
      </w:r>
    </w:p>
    <w:p>
      <w:pPr>
        <w:pStyle w:val="Style47"/>
        <w:keepNext w:val="0"/>
        <w:keepLines w:val="0"/>
        <w:widowControl w:val="0"/>
        <w:shd w:val="clear" w:color="auto" w:fill="auto"/>
        <w:bidi w:val="0"/>
        <w:spacing w:before="0" w:after="0" w:line="472" w:lineRule="exact"/>
        <w:ind w:left="0" w:right="0" w:firstLine="0"/>
        <w:jc w:val="both"/>
      </w:pPr>
      <w:r>
        <w:rPr>
          <w:b/>
          <w:bCs/>
          <w:color w:val="000000"/>
          <w:spacing w:val="0"/>
          <w:w w:val="100"/>
          <w:position w:val="0"/>
        </w:rPr>
        <w:t>高级管理人员：</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史志明先生：简历见上述董事会成员介绍。</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付忠良先生：简历见上述董事会成员介绍。</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尹邦明先生：</w:t>
      </w:r>
      <w:r>
        <w:rPr>
          <w:color w:val="000000"/>
          <w:spacing w:val="0"/>
          <w:w w:val="100"/>
          <w:position w:val="0"/>
        </w:rPr>
        <w:t>1972</w:t>
      </w:r>
      <w:r>
        <w:rPr>
          <w:color w:val="000000"/>
          <w:spacing w:val="0"/>
          <w:w w:val="100"/>
          <w:position w:val="0"/>
        </w:rPr>
        <w:t>年出生，无境外永久居留权，兰州大学中文系毕业，文学学士。历任中铁二局五公 司秘书、团委书记，中科院成都信息技术有限公司办公室副主任、董事会秘书、总经理助理等职。现任中 科院成都信息技术股份有限公司副总经理、董事会秘书，深圳中钞科信金融科技有限公司董事。</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钟勇先生：</w:t>
      </w:r>
      <w:r>
        <w:rPr>
          <w:color w:val="000000"/>
          <w:spacing w:val="0"/>
          <w:w w:val="100"/>
          <w:position w:val="0"/>
        </w:rPr>
        <w:t>1966</w:t>
      </w:r>
      <w:r>
        <w:rPr>
          <w:color w:val="000000"/>
          <w:spacing w:val="0"/>
          <w:w w:val="100"/>
          <w:position w:val="0"/>
        </w:rPr>
        <w:t>年出生，无境外永久居留权，中国科学院研究生院博士研究生毕业，研究员。历任中 科院成都信息技术有限公司总工程师等职。现任中科院成都信息技术股份有限公司副总经理、总工程师， 中国科学院大学博士生导师。</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王晓东先生：</w:t>
      </w:r>
      <w:r>
        <w:rPr>
          <w:color w:val="000000"/>
          <w:spacing w:val="0"/>
          <w:w w:val="100"/>
          <w:position w:val="0"/>
        </w:rPr>
        <w:t>1973</w:t>
      </w:r>
      <w:r>
        <w:rPr>
          <w:color w:val="000000"/>
          <w:spacing w:val="0"/>
          <w:w w:val="100"/>
          <w:position w:val="0"/>
        </w:rPr>
        <w:t>年出生，无境外永久居留权，北京航空航天大学本科毕业，正研级高级工程师。历 任中科院成都信息技术有限公司总经理助理等职。现任中科院成都信息技术股份有限公司副总经理兼工业 计算机应用事业部经理，中科院金华信息技术有限公司监事。</w:t>
      </w:r>
    </w:p>
    <w:p>
      <w:pPr>
        <w:pStyle w:val="Style47"/>
        <w:keepNext w:val="0"/>
        <w:keepLines w:val="0"/>
        <w:widowControl w:val="0"/>
        <w:shd w:val="clear" w:color="auto" w:fill="auto"/>
        <w:bidi w:val="0"/>
        <w:spacing w:before="0" w:after="0" w:line="472" w:lineRule="exact"/>
        <w:ind w:left="0" w:right="0" w:firstLine="440"/>
        <w:jc w:val="both"/>
      </w:pPr>
      <w:r>
        <w:rPr>
          <w:color w:val="000000"/>
          <w:spacing w:val="0"/>
          <w:w w:val="100"/>
          <w:position w:val="0"/>
        </w:rPr>
        <w:t>方伟先生：</w:t>
      </w:r>
      <w:r>
        <w:rPr>
          <w:color w:val="000000"/>
          <w:spacing w:val="0"/>
          <w:w w:val="100"/>
          <w:position w:val="0"/>
        </w:rPr>
        <w:t>1970</w:t>
      </w:r>
      <w:r>
        <w:rPr>
          <w:color w:val="000000"/>
          <w:spacing w:val="0"/>
          <w:w w:val="100"/>
          <w:position w:val="0"/>
        </w:rPr>
        <w:t>年</w:t>
      </w:r>
      <w:r>
        <w:rPr>
          <w:color w:val="000000"/>
          <w:spacing w:val="0"/>
          <w:w w:val="100"/>
          <w:position w:val="0"/>
        </w:rPr>
        <w:t>3</w:t>
      </w:r>
      <w:r>
        <w:rPr>
          <w:color w:val="000000"/>
          <w:spacing w:val="0"/>
          <w:w w:val="100"/>
          <w:position w:val="0"/>
        </w:rPr>
        <w:t>月出生，无境外永久居留权，四川大学物理系毕业，理学学士，高级工程师。历 任成都电子研究所技术员、托普软件股份有限公司社保事业部高级经理、成都激动数码科技有限公司市场 部经理，中科院成都信息技术有限公司市场部客户经理、油气市场部副经理、油气信息化事业部副经理、 油气信息化事业部经理。现任中科院成都信息技术股份有限公司副总经理兼油气事业部经理、成都中科石 油工程技术股份有限公司董事、总经理。</w:t>
      </w:r>
    </w:p>
    <w:p>
      <w:pPr>
        <w:pStyle w:val="Style47"/>
        <w:keepNext w:val="0"/>
        <w:keepLines w:val="0"/>
        <w:widowControl w:val="0"/>
        <w:shd w:val="clear" w:color="auto" w:fill="auto"/>
        <w:bidi w:val="0"/>
        <w:spacing w:before="0" w:after="720" w:line="472" w:lineRule="exact"/>
        <w:ind w:left="0" w:right="0" w:firstLine="440"/>
        <w:jc w:val="both"/>
      </w:pPr>
      <w:r>
        <w:rPr>
          <w:color w:val="000000"/>
          <w:spacing w:val="0"/>
          <w:w w:val="100"/>
          <w:position w:val="0"/>
        </w:rPr>
        <w:t>刘小兵先生：</w:t>
      </w:r>
      <w:r>
        <w:rPr>
          <w:color w:val="000000"/>
          <w:spacing w:val="0"/>
          <w:w w:val="100"/>
          <w:position w:val="0"/>
        </w:rPr>
        <w:t>1970</w:t>
      </w:r>
      <w:r>
        <w:rPr>
          <w:color w:val="000000"/>
          <w:spacing w:val="0"/>
          <w:w w:val="100"/>
          <w:position w:val="0"/>
        </w:rPr>
        <w:t>年出生，无境外永久居留权，四川大学本科毕业。历任中科院成都信息技术有限公 司财务部副经理、财务副总监兼财务部经理等职。现任中科院成都信息技术股份有限公司财务总监，成都</w:t>
      </w:r>
    </w:p>
    <w:p>
      <w:pPr>
        <w:pStyle w:val="Style83"/>
        <w:keepNext w:val="0"/>
        <w:keepLines w:val="0"/>
        <w:widowControl w:val="0"/>
        <w:shd w:val="clear" w:color="auto" w:fill="auto"/>
        <w:bidi w:val="0"/>
        <w:spacing w:before="0" w:after="0" w:line="240" w:lineRule="auto"/>
        <w:ind w:left="0" w:right="0" w:firstLine="0"/>
        <w:jc w:val="right"/>
        <w:rPr>
          <w:sz w:val="26"/>
          <w:szCs w:val="26"/>
        </w:rPr>
        <w:sectPr>
          <w:headerReference w:type="default" r:id="rId171"/>
          <w:footerReference w:type="default" r:id="rId172"/>
          <w:headerReference w:type="even" r:id="rId173"/>
          <w:footerReference w:type="even" r:id="rId174"/>
          <w:footnotePr>
            <w:pos w:val="pageBottom"/>
            <w:numFmt w:val="decimal"/>
            <w:numRestart w:val="continuous"/>
          </w:footnotePr>
          <w:pgSz w:w="11900" w:h="16840"/>
          <w:pgMar w:top="1321" w:right="24"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7"/>
        <w:keepNext w:val="0"/>
        <w:keepLines w:val="0"/>
        <w:widowControl w:val="0"/>
        <w:shd w:val="clear" w:color="auto" w:fill="auto"/>
        <w:bidi w:val="0"/>
        <w:spacing w:before="0" w:after="680" w:line="461" w:lineRule="exact"/>
        <w:ind w:left="0" w:right="0" w:firstLine="0"/>
        <w:jc w:val="both"/>
      </w:pPr>
      <w:r>
        <w:rPr>
          <w:color w:val="000000"/>
          <w:spacing w:val="0"/>
          <w:w w:val="100"/>
          <w:position w:val="0"/>
        </w:rPr>
        <w:t>中科信息技术有限公司财务经理，中科院金华信息技术有限公司财务经理，深圳中钞科信金融科技有限公 司监事长。</w:t>
      </w:r>
    </w:p>
    <w:p>
      <w:pPr>
        <w:pStyle w:val="Style3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在股东单位任职情况</w:t>
      </w:r>
    </w:p>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适用</w:t>
      </w:r>
      <w:r>
        <w:rPr>
          <w:b w:val="0"/>
          <w:bCs w:val="0"/>
          <w:color w:val="000000"/>
          <w:spacing w:val="0"/>
          <w:w w:val="100"/>
          <w:position w:val="0"/>
          <w:sz w:val="18"/>
          <w:szCs w:val="18"/>
        </w:rPr>
        <w:t>口</w:t>
      </w:r>
      <w:r>
        <w:rPr>
          <w:b w:val="0"/>
          <w:bCs w:val="0"/>
          <w:color w:val="000000"/>
          <w:spacing w:val="0"/>
          <w:w w:val="100"/>
          <w:position w:val="0"/>
          <w:sz w:val="18"/>
          <w:szCs w:val="18"/>
        </w:rPr>
        <w:t>不适用</w:t>
      </w:r>
    </w:p>
    <w:tbl>
      <w:tblPr>
        <w:tblOverlap w:val="never"/>
        <w:jc w:val="left"/>
        <w:tblLayout w:type="fixed"/>
      </w:tblPr>
      <w:tblGrid>
        <w:gridCol w:w="1210"/>
        <w:gridCol w:w="3187"/>
        <w:gridCol w:w="1066"/>
        <w:gridCol w:w="1195"/>
        <w:gridCol w:w="1330"/>
        <w:gridCol w:w="1598"/>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任职人员姓名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股东单位名称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在股东单位</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担任的职务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任期起始日期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任期终止日期</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在股东单位是否领 取报酬津贴</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部门总经理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在股东单位任</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职情况的说明</w:t>
            </w:r>
          </w:p>
        </w:tc>
        <w:tc>
          <w:tcPr>
            <w:gridSpan w:val="5"/>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在其他单位任职情况</w:t>
      </w:r>
    </w:p>
    <w:p>
      <w:pPr>
        <w:widowControl w:val="0"/>
        <w:spacing w:after="99" w:line="1" w:lineRule="exact"/>
      </w:pPr>
    </w:p>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适用</w:t>
      </w:r>
      <w:r>
        <w:rPr>
          <w:b w:val="0"/>
          <w:bCs w:val="0"/>
          <w:color w:val="000000"/>
          <w:spacing w:val="0"/>
          <w:w w:val="100"/>
          <w:position w:val="0"/>
          <w:sz w:val="18"/>
          <w:szCs w:val="18"/>
        </w:rPr>
        <w:t>口</w:t>
      </w:r>
      <w:r>
        <w:rPr>
          <w:b w:val="0"/>
          <w:bCs w:val="0"/>
          <w:color w:val="000000"/>
          <w:spacing w:val="0"/>
          <w:w w:val="100"/>
          <w:position w:val="0"/>
          <w:sz w:val="18"/>
          <w:szCs w:val="18"/>
        </w:rPr>
        <w:t>不适用</w:t>
      </w:r>
    </w:p>
    <w:tbl>
      <w:tblPr>
        <w:tblOverlap w:val="never"/>
        <w:jc w:val="left"/>
        <w:tblLayout w:type="fixed"/>
      </w:tblPr>
      <w:tblGrid>
        <w:gridCol w:w="1210"/>
        <w:gridCol w:w="3187"/>
        <w:gridCol w:w="1066"/>
        <w:gridCol w:w="1195"/>
        <w:gridCol w:w="1325"/>
        <w:gridCol w:w="1603"/>
      </w:tblGrid>
      <w:tr>
        <w:trPr>
          <w:trHeight w:val="72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任职人员姓名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其他单位名称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在其他单位</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担任的职务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任期起始日期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任期终止日期</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在其他单位是否领 取报酬津贴</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rPr>
                <w:sz w:val="18"/>
                <w:szCs w:val="18"/>
              </w:rPr>
            </w:pPr>
            <w:r>
              <w:rPr>
                <w:color w:val="000000"/>
                <w:spacing w:val="0"/>
                <w:w w:val="100"/>
                <w:position w:val="0"/>
                <w:sz w:val="18"/>
                <w:szCs w:val="18"/>
              </w:rPr>
              <w:t>执行董事兼 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成都中科信息技术有限公司上海分公司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中科院成都信息技术股份有限公司北京 分公司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负责人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香港领立智选科技有限公司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深圳中钞科信金融科技有限公司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联想控股股份有限公司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杨建华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东方科仪控股集团有限公司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bl>
    <w:p>
      <w:pPr>
        <w:widowControl w:val="0"/>
        <w:spacing w:after="1039" w:line="1" w:lineRule="exact"/>
      </w:pPr>
    </w:p>
    <w:p>
      <w:pPr>
        <w:pStyle w:val="Style83"/>
        <w:keepNext w:val="0"/>
        <w:keepLines w:val="0"/>
        <w:widowControl w:val="0"/>
        <w:shd w:val="clear" w:color="auto" w:fill="auto"/>
        <w:bidi w:val="0"/>
        <w:spacing w:before="0" w:after="380" w:line="240" w:lineRule="auto"/>
        <w:ind w:left="0" w:right="0" w:firstLine="0"/>
        <w:jc w:val="right"/>
        <w:rPr>
          <w:sz w:val="26"/>
          <w:szCs w:val="26"/>
        </w:rPr>
        <w:sectPr>
          <w:footnotePr>
            <w:pos w:val="pageBottom"/>
            <w:numFmt w:val="decimal"/>
            <w:numRestart w:val="continuous"/>
          </w:footnotePr>
          <w:pgSz w:w="11900" w:h="16840"/>
          <w:pgMar w:top="1335" w:right="24"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left"/>
        <w:tblLayout w:type="fixed"/>
      </w:tblPr>
      <w:tblGrid>
        <w:gridCol w:w="1210"/>
        <w:gridCol w:w="3187"/>
        <w:gridCol w:w="1066"/>
        <w:gridCol w:w="1195"/>
        <w:gridCol w:w="1325"/>
        <w:gridCol w:w="1603"/>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中国科技产业投资管理有限公司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中科院资本管理有限公司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中国科技出版传媒股份有限公司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国科嘉和</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北京</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中国科技出版传媒集团有限公司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中国科学院成都有机化学有限公司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国科量子通信网络有限公司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中科实业集团（控股）有限公司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中国科技出版传媒集团有限公司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东方科仪控股集团有限公司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中国科技产业投资管理有限公司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中国科学院沈阳科学仪器股份有限公司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中科院南京天文仪器有限公司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03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15</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国科嘉和（北京）投资管理有限公司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国科羲裕（上海）投资管理有限公司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董事、总经 理、法定代表 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上海联升创业投资有限公司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广东国科创业投资有限公司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上海联升承业创业投资有限公司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张勇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中信国科资产管理有限公司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bl>
    <w:p>
      <w:pPr>
        <w:spacing w:lineRule="exact" w:line="1"/>
        <w:rPr>
          <w:sz w:val="2"/>
          <w:szCs w:val="2"/>
        </w:rPr>
      </w:pPr>
      <w:r>
        <w:br w:type="page"/>
      </w:r>
    </w:p>
    <w:tbl>
      <w:tblPr>
        <w:tblOverlap w:val="never"/>
        <w:jc w:val="center"/>
        <w:tblLayout w:type="fixed"/>
      </w:tblPr>
      <w:tblGrid>
        <w:gridCol w:w="1210"/>
        <w:gridCol w:w="3187"/>
        <w:gridCol w:w="1066"/>
        <w:gridCol w:w="1195"/>
        <w:gridCol w:w="1325"/>
        <w:gridCol w:w="1603"/>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中国科技出版传媒股份有限公司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北京中科科仪股份有限公司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14</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中科院资本管理有限公司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中科院创业投资管理有限公司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四川省计算机学会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理事长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荷泽市蓉信企业管理咨询中心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执行事务合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伙人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滨州蓉智企业管理咨询中心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执行事务合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伙人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荷泽宇中企业管理咨询中心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法定代表人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中国科学院曼谷创新合作中心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常务理事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02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国科科仪控股有限公司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中国科学院成都有机化学有限公司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中科院南京天文仪器有限公司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国科华路航天科技有限公司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北京国科航天发射科技有限公司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11</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北京科益虹源光电技术有限公司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29</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12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北京中科资源有限公司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喀斯玛控股有限公司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中国科技出版传媒集团有限公司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bl>
    <w:p>
      <w:pPr>
        <w:spacing w:lineRule="exact" w:line="1"/>
        <w:rPr>
          <w:sz w:val="2"/>
          <w:szCs w:val="2"/>
        </w:rPr>
      </w:pPr>
      <w:r>
        <w:br w:type="page"/>
      </w:r>
    </w:p>
    <w:tbl>
      <w:tblPr>
        <w:tblOverlap w:val="never"/>
        <w:jc w:val="center"/>
        <w:tblLayout w:type="fixed"/>
      </w:tblPr>
      <w:tblGrid>
        <w:gridCol w:w="1210"/>
        <w:gridCol w:w="3187"/>
        <w:gridCol w:w="1066"/>
        <w:gridCol w:w="1195"/>
        <w:gridCol w:w="1325"/>
        <w:gridCol w:w="1603"/>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东方科仪控股集团有限公司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中国科学院沈阳计算技术研究所有限公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沈阳中科数控技术股份有限公司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北京中科院软件中心有限公司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荷泽科诚企业管理咨询中心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执行事务合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伙人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28</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滨州科忠企业管理咨询中心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执行事务合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伙人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中科院金华信息技术有限公司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执行董事兼</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法定代表人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深圳中钞科信金融科技有限公司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副董事长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中国科学院大学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博士生导师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李志蜀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成都万联传感网络技术有限公司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李志蜀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成都万联传感网络技术有限公司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曹德骏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西南财经大学中东欧与巴尔干地区研究 中心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曹德骏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四川省政府参事室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特约研究员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西南财经大学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教师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四川大西洋焊接材料股份有限公司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成都卫士通信息产业股份有限公司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成都彩虹电器（集团）股份有限公司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是</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帅红涛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监事会主席</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bl>
    <w:p>
      <w:pPr>
        <w:sectPr>
          <w:headerReference w:type="default" r:id="rId175"/>
          <w:footerReference w:type="default" r:id="rId176"/>
          <w:headerReference w:type="even" r:id="rId177"/>
          <w:footerReference w:type="even" r:id="rId178"/>
          <w:footnotePr>
            <w:pos w:val="pageBottom"/>
            <w:numFmt w:val="decimal"/>
            <w:numRestart w:val="continuous"/>
          </w:footnotePr>
          <w:pgSz w:w="11900" w:h="16840"/>
          <w:pgMar w:top="1436" w:right="586" w:bottom="1508" w:left="537" w:header="0" w:footer="3" w:gutter="0"/>
          <w:cols w:space="720"/>
          <w:noEndnote/>
          <w:rtlGutter w:val="0"/>
          <w:docGrid w:linePitch="360"/>
        </w:sectPr>
      </w:pPr>
    </w:p>
    <w:tbl>
      <w:tblPr>
        <w:tblOverlap w:val="never"/>
        <w:jc w:val="center"/>
        <w:tblLayout w:type="fixed"/>
      </w:tblPr>
      <w:tblGrid>
        <w:gridCol w:w="1210"/>
        <w:gridCol w:w="3187"/>
        <w:gridCol w:w="1066"/>
        <w:gridCol w:w="1195"/>
        <w:gridCol w:w="1325"/>
        <w:gridCol w:w="1603"/>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国科科仪控股有限公司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中科院建筑设计研究院有限公司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02</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北京中科院软件中心有限公司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29</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中科院广州电子技术有限公司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中科院沈阳科学仪器股份有限公司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sz w:val="18"/>
                <w:szCs w:val="18"/>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8"/>
                <w:szCs w:val="18"/>
              </w:rPr>
              <w:t xml:space="preserve">月 </w:t>
            </w:r>
            <w:r>
              <w:rPr>
                <w:rFonts w:ascii="Times New Roman" w:eastAsia="Times New Roman" w:hAnsi="Times New Roman" w:cs="Times New Roman"/>
                <w:color w:val="000000"/>
                <w:spacing w:val="0"/>
                <w:w w:val="100"/>
                <w:position w:val="0"/>
                <w:sz w:val="18"/>
                <w:szCs w:val="18"/>
              </w:rPr>
              <w:t>06</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肖帆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尹邦明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深圳中钞科信金融科技有限公司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刘小兵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刘小兵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刘小兵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中科院金华信息技术有限公司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刘小兵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深圳中钞科信金融科技有限公司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钟勇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中国科学院大学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博士生导师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2005</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中国科学院大学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硕士生导师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06</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中科院金华信息技术有限公司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方伟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月</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在其他单位任</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职情况的说明</w:t>
            </w:r>
          </w:p>
        </w:tc>
        <w:tc>
          <w:tcPr>
            <w:gridSpan w:val="5"/>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公司现任及报告期内离任董事、监事和高级管理人员近三年证券监管机构处罚的情况</w:t>
      </w:r>
    </w:p>
    <w:p>
      <w:pPr>
        <w:widowControl w:val="0"/>
        <w:spacing w:after="99" w:line="1" w:lineRule="exact"/>
      </w:pPr>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60" w:line="240" w:lineRule="auto"/>
        <w:ind w:left="0" w:right="0" w:firstLine="0"/>
        <w:jc w:val="left"/>
      </w:pPr>
      <w:bookmarkStart w:id="599" w:name="bookmark599"/>
      <w:bookmarkStart w:id="600" w:name="bookmark600"/>
      <w:bookmarkStart w:id="601" w:name="bookmark601"/>
      <w:bookmarkStart w:id="602" w:name="bookmark602"/>
      <w:r>
        <w:rPr>
          <w:color w:val="000000"/>
          <w:spacing w:val="0"/>
          <w:w w:val="100"/>
          <w:position w:val="0"/>
          <w:sz w:val="24"/>
          <w:szCs w:val="24"/>
        </w:rPr>
        <w:t>四</w:t>
      </w:r>
      <w:bookmarkEnd w:id="601"/>
      <w:r>
        <w:rPr>
          <w:color w:val="000000"/>
          <w:spacing w:val="0"/>
          <w:w w:val="100"/>
          <w:position w:val="0"/>
          <w:sz w:val="24"/>
          <w:szCs w:val="24"/>
        </w:rPr>
        <w:t>、董事、监事、高级管理人员报酬情况</w:t>
      </w:r>
      <w:bookmarkEnd w:id="599"/>
      <w:bookmarkEnd w:id="600"/>
      <w:bookmarkEnd w:id="602"/>
    </w:p>
    <w:p>
      <w:pPr>
        <w:pStyle w:val="Style35"/>
        <w:keepNext w:val="0"/>
        <w:keepLines w:val="0"/>
        <w:widowControl w:val="0"/>
        <w:shd w:val="clear" w:color="auto" w:fill="auto"/>
        <w:bidi w:val="0"/>
        <w:spacing w:before="0" w:after="220" w:line="240" w:lineRule="auto"/>
        <w:ind w:left="0" w:right="0" w:firstLine="0"/>
        <w:jc w:val="left"/>
      </w:pPr>
      <w:r>
        <w:rPr>
          <w:color w:val="000000"/>
          <w:spacing w:val="0"/>
          <w:w w:val="100"/>
          <w:position w:val="0"/>
        </w:rPr>
        <w:t>董事、监事、高级管理人员报酬的决策程序、确定依据、实际支付情况</w:t>
      </w:r>
    </w:p>
    <w:p>
      <w:pPr>
        <w:pStyle w:val="Style47"/>
        <w:keepNext w:val="0"/>
        <w:keepLines w:val="0"/>
        <w:widowControl w:val="0"/>
        <w:shd w:val="clear" w:color="auto" w:fill="auto"/>
        <w:bidi w:val="0"/>
        <w:spacing w:before="0" w:after="900" w:line="240" w:lineRule="auto"/>
        <w:ind w:left="0" w:right="0" w:firstLine="440"/>
        <w:jc w:val="left"/>
      </w:pPr>
      <w:bookmarkStart w:id="603" w:name="bookmark603"/>
      <w:r>
        <w:rPr>
          <w:color w:val="000000"/>
          <w:spacing w:val="0"/>
          <w:w w:val="100"/>
          <w:position w:val="0"/>
        </w:rPr>
        <w:t>（</w:t>
      </w:r>
      <w:bookmarkEnd w:id="603"/>
      <w:r>
        <w:rPr>
          <w:color w:val="000000"/>
          <w:spacing w:val="0"/>
          <w:w w:val="100"/>
          <w:position w:val="0"/>
        </w:rPr>
        <w:t>一）由股东提名但不在公司担任具体管理职务的董事和监事，均不在公司领取薪酬。</w:t>
      </w:r>
    </w:p>
    <w:p>
      <w:pPr>
        <w:pStyle w:val="Style83"/>
        <w:keepNext w:val="0"/>
        <w:keepLines w:val="0"/>
        <w:widowControl w:val="0"/>
        <w:shd w:val="clear" w:color="auto" w:fill="auto"/>
        <w:bidi w:val="0"/>
        <w:spacing w:before="0" w:after="360" w:line="240" w:lineRule="auto"/>
        <w:ind w:left="0" w:right="0" w:firstLine="0"/>
        <w:jc w:val="right"/>
        <w:rPr>
          <w:sz w:val="26"/>
          <w:szCs w:val="26"/>
        </w:rPr>
        <w:sectPr>
          <w:headerReference w:type="default" r:id="rId179"/>
          <w:footerReference w:type="default" r:id="rId180"/>
          <w:headerReference w:type="even" r:id="rId181"/>
          <w:footerReference w:type="even" r:id="rId182"/>
          <w:footnotePr>
            <w:pos w:val="pageBottom"/>
            <w:numFmt w:val="decimal"/>
            <w:numRestart w:val="continuous"/>
          </w:footnotePr>
          <w:pgSz w:w="11900" w:h="16840"/>
          <w:pgMar w:top="1436" w:right="1199" w:bottom="946"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7"/>
        <w:keepNext w:val="0"/>
        <w:keepLines w:val="0"/>
        <w:widowControl w:val="0"/>
        <w:shd w:val="clear" w:color="auto" w:fill="auto"/>
        <w:tabs>
          <w:tab w:pos="1009" w:val="left"/>
        </w:tabs>
        <w:bidi w:val="0"/>
        <w:spacing w:before="0" w:after="0" w:line="472" w:lineRule="exact"/>
        <w:ind w:left="0" w:right="0" w:firstLine="420"/>
        <w:jc w:val="both"/>
      </w:pPr>
      <w:bookmarkStart w:id="604" w:name="bookmark604"/>
      <w:r>
        <w:rPr>
          <w:color w:val="000000"/>
          <w:spacing w:val="0"/>
          <w:w w:val="100"/>
          <w:position w:val="0"/>
        </w:rPr>
        <w:t>（</w:t>
      </w:r>
      <w:bookmarkEnd w:id="604"/>
      <w:r>
        <w:rPr>
          <w:color w:val="000000"/>
          <w:spacing w:val="0"/>
          <w:w w:val="100"/>
          <w:position w:val="0"/>
        </w:rPr>
        <w:t>二）</w:t>
        <w:tab/>
        <w:t>经公司</w:t>
      </w:r>
      <w:r>
        <w:rPr>
          <w:color w:val="000000"/>
          <w:spacing w:val="0"/>
          <w:w w:val="100"/>
          <w:position w:val="0"/>
        </w:rPr>
        <w:t>2019</w:t>
      </w:r>
      <w:r>
        <w:rPr>
          <w:color w:val="000000"/>
          <w:spacing w:val="0"/>
          <w:w w:val="100"/>
          <w:position w:val="0"/>
        </w:rPr>
        <w:t>年第一次临时股东大会审议通过，向独立董事每人发放</w:t>
      </w:r>
      <w:r>
        <w:rPr>
          <w:color w:val="000000"/>
          <w:spacing w:val="0"/>
          <w:w w:val="100"/>
          <w:position w:val="0"/>
        </w:rPr>
        <w:t>7</w:t>
      </w:r>
      <w:r>
        <w:rPr>
          <w:color w:val="000000"/>
          <w:spacing w:val="0"/>
          <w:w w:val="100"/>
          <w:position w:val="0"/>
        </w:rPr>
        <w:t>万元</w:t>
      </w:r>
      <w:r>
        <w:rPr>
          <w:color w:val="000000"/>
          <w:spacing w:val="0"/>
          <w:w w:val="100"/>
          <w:position w:val="0"/>
        </w:rPr>
        <w:t>/</w:t>
      </w:r>
      <w:r>
        <w:rPr>
          <w:color w:val="000000"/>
          <w:spacing w:val="0"/>
          <w:w w:val="100"/>
          <w:position w:val="0"/>
        </w:rPr>
        <w:t>年的独立董事津贴。</w:t>
      </w:r>
    </w:p>
    <w:p>
      <w:pPr>
        <w:pStyle w:val="Style47"/>
        <w:keepNext w:val="0"/>
        <w:keepLines w:val="0"/>
        <w:widowControl w:val="0"/>
        <w:shd w:val="clear" w:color="auto" w:fill="auto"/>
        <w:tabs>
          <w:tab w:pos="1122" w:val="left"/>
        </w:tabs>
        <w:bidi w:val="0"/>
        <w:spacing w:before="0" w:after="0" w:line="472" w:lineRule="exact"/>
        <w:ind w:left="0" w:right="0" w:firstLine="420"/>
        <w:jc w:val="both"/>
      </w:pPr>
      <w:bookmarkStart w:id="605" w:name="bookmark605"/>
      <w:r>
        <w:rPr>
          <w:color w:val="000000"/>
          <w:spacing w:val="0"/>
          <w:w w:val="100"/>
          <w:position w:val="0"/>
        </w:rPr>
        <w:t>（</w:t>
      </w:r>
      <w:bookmarkEnd w:id="605"/>
      <w:r>
        <w:rPr>
          <w:color w:val="000000"/>
          <w:spacing w:val="0"/>
          <w:w w:val="100"/>
          <w:position w:val="0"/>
        </w:rPr>
        <w:t>三）</w:t>
        <w:tab/>
        <w:t>在本公司担任职务的职工监事，根据公司《岗位薪酬制度》及其在所担任的行政职务发放薪级 工资，年终依据公司对个人的考评结果发放绩效薪酬。</w:t>
      </w:r>
    </w:p>
    <w:p>
      <w:pPr>
        <w:pStyle w:val="Style47"/>
        <w:keepNext w:val="0"/>
        <w:keepLines w:val="0"/>
        <w:widowControl w:val="0"/>
        <w:shd w:val="clear" w:color="auto" w:fill="auto"/>
        <w:tabs>
          <w:tab w:pos="1126" w:val="left"/>
        </w:tabs>
        <w:bidi w:val="0"/>
        <w:spacing w:before="0" w:after="0" w:line="472" w:lineRule="exact"/>
        <w:ind w:left="0" w:right="0" w:firstLine="420"/>
        <w:jc w:val="both"/>
      </w:pPr>
      <w:bookmarkStart w:id="606" w:name="bookmark606"/>
      <w:r>
        <w:rPr>
          <w:color w:val="000000"/>
          <w:spacing w:val="0"/>
          <w:w w:val="100"/>
          <w:position w:val="0"/>
        </w:rPr>
        <w:t>（</w:t>
      </w:r>
      <w:bookmarkEnd w:id="606"/>
      <w:r>
        <w:rPr>
          <w:color w:val="000000"/>
          <w:spacing w:val="0"/>
          <w:w w:val="100"/>
          <w:position w:val="0"/>
        </w:rPr>
        <w:t>四）</w:t>
        <w:tab/>
        <w:t>根据</w:t>
      </w:r>
      <w:r>
        <w:rPr>
          <w:color w:val="000000"/>
          <w:spacing w:val="0"/>
          <w:w w:val="100"/>
          <w:position w:val="0"/>
        </w:rPr>
        <w:t>2017</w:t>
      </w:r>
      <w:r>
        <w:rPr>
          <w:color w:val="000000"/>
          <w:spacing w:val="0"/>
          <w:w w:val="100"/>
          <w:position w:val="0"/>
        </w:rPr>
        <w:t>年度股东大会审议通过的《高管人员经营业绩考核暂行办法》，对公司高管人员实施 年薪制（公司</w:t>
      </w:r>
      <w:r>
        <w:rPr>
          <w:rFonts w:ascii="Times New Roman" w:eastAsia="Times New Roman" w:hAnsi="Times New Roman" w:cs="Times New Roman"/>
          <w:color w:val="000000"/>
          <w:spacing w:val="0"/>
          <w:w w:val="100"/>
          <w:position w:val="0"/>
        </w:rPr>
        <w:t>“</w:t>
      </w:r>
      <w:r>
        <w:rPr>
          <w:color w:val="000000"/>
          <w:spacing w:val="0"/>
          <w:w w:val="100"/>
          <w:position w:val="0"/>
        </w:rPr>
        <w:t>高管人员</w:t>
      </w:r>
      <w:r>
        <w:rPr>
          <w:color w:val="000000"/>
          <w:spacing w:val="0"/>
          <w:w w:val="100"/>
          <w:position w:val="0"/>
        </w:rPr>
        <w:t>''</w:t>
      </w:r>
      <w:r>
        <w:rPr>
          <w:color w:val="000000"/>
          <w:spacing w:val="0"/>
          <w:w w:val="100"/>
          <w:position w:val="0"/>
        </w:rPr>
        <w:t>特指：在本公司支取薪酬的董事（不包括独立董事）、监事会主席、党委书记、 党委副书记、纪委书记，董事会聘任的总经理、副总经理、董事会秘书、财务负责人及公司章程认定的其 他高级管理人员）。上述高管人员经营业绩考核以年度考核为主，辅以任期考核，任期考核以激励为主， 考核结果与年度薪酬和任期激励挂钩。经营业绩考核工作遵循以下原则：</w:t>
      </w:r>
    </w:p>
    <w:p>
      <w:pPr>
        <w:pStyle w:val="Style47"/>
        <w:keepNext w:val="0"/>
        <w:keepLines w:val="0"/>
        <w:widowControl w:val="0"/>
        <w:shd w:val="clear" w:color="auto" w:fill="auto"/>
        <w:tabs>
          <w:tab w:pos="778" w:val="left"/>
        </w:tabs>
        <w:bidi w:val="0"/>
        <w:spacing w:before="0" w:after="0" w:line="472" w:lineRule="exact"/>
        <w:ind w:left="0" w:right="0" w:firstLine="420"/>
        <w:jc w:val="both"/>
      </w:pPr>
      <w:bookmarkStart w:id="607" w:name="bookmark607"/>
      <w:r>
        <w:rPr>
          <w:rFonts w:ascii="Times New Roman" w:eastAsia="Times New Roman" w:hAnsi="Times New Roman" w:cs="Times New Roman"/>
          <w:color w:val="000000"/>
          <w:spacing w:val="0"/>
          <w:w w:val="100"/>
          <w:position w:val="0"/>
        </w:rPr>
        <w:t>1</w:t>
      </w:r>
      <w:bookmarkEnd w:id="607"/>
      <w:r>
        <w:rPr>
          <w:color w:val="000000"/>
          <w:spacing w:val="0"/>
          <w:w w:val="100"/>
          <w:position w:val="0"/>
        </w:rPr>
        <w:t>、</w:t>
        <w:tab/>
        <w:t>有利于国有资产保值增值和公司价值最大化。</w:t>
      </w:r>
    </w:p>
    <w:p>
      <w:pPr>
        <w:pStyle w:val="Style47"/>
        <w:keepNext w:val="0"/>
        <w:keepLines w:val="0"/>
        <w:widowControl w:val="0"/>
        <w:shd w:val="clear" w:color="auto" w:fill="auto"/>
        <w:tabs>
          <w:tab w:pos="798" w:val="left"/>
        </w:tabs>
        <w:bidi w:val="0"/>
        <w:spacing w:before="0" w:after="0" w:line="472" w:lineRule="exact"/>
        <w:ind w:left="0" w:right="0" w:firstLine="420"/>
        <w:jc w:val="both"/>
      </w:pPr>
      <w:bookmarkStart w:id="608" w:name="bookmark608"/>
      <w:r>
        <w:rPr>
          <w:rFonts w:ascii="Times New Roman" w:eastAsia="Times New Roman" w:hAnsi="Times New Roman" w:cs="Times New Roman"/>
          <w:color w:val="000000"/>
          <w:spacing w:val="0"/>
          <w:w w:val="100"/>
          <w:position w:val="0"/>
        </w:rPr>
        <w:t>2</w:t>
      </w:r>
      <w:bookmarkEnd w:id="608"/>
      <w:r>
        <w:rPr>
          <w:color w:val="000000"/>
          <w:spacing w:val="0"/>
          <w:w w:val="100"/>
          <w:position w:val="0"/>
        </w:rPr>
        <w:t>、</w:t>
        <w:tab/>
        <w:t>有利于公司提高战略管理能力和自主创新水平，不断增强公司核心竞争力和可持续发展能力。</w:t>
      </w:r>
    </w:p>
    <w:p>
      <w:pPr>
        <w:pStyle w:val="Style47"/>
        <w:keepNext w:val="0"/>
        <w:keepLines w:val="0"/>
        <w:widowControl w:val="0"/>
        <w:shd w:val="clear" w:color="auto" w:fill="auto"/>
        <w:tabs>
          <w:tab w:pos="795" w:val="left"/>
        </w:tabs>
        <w:bidi w:val="0"/>
        <w:spacing w:before="0" w:after="0" w:line="472" w:lineRule="exact"/>
        <w:ind w:left="0" w:right="0" w:firstLine="420"/>
        <w:jc w:val="both"/>
      </w:pPr>
      <w:bookmarkStart w:id="609" w:name="bookmark609"/>
      <w:r>
        <w:rPr>
          <w:rFonts w:ascii="Times New Roman" w:eastAsia="Times New Roman" w:hAnsi="Times New Roman" w:cs="Times New Roman"/>
          <w:color w:val="000000"/>
          <w:spacing w:val="0"/>
          <w:w w:val="100"/>
          <w:position w:val="0"/>
        </w:rPr>
        <w:t>3</w:t>
      </w:r>
      <w:bookmarkEnd w:id="609"/>
      <w:r>
        <w:rPr>
          <w:color w:val="000000"/>
          <w:spacing w:val="0"/>
          <w:w w:val="100"/>
          <w:position w:val="0"/>
        </w:rPr>
        <w:t>、</w:t>
        <w:tab/>
        <w:t>有利于推动公司建立健全绩效管理体系，增强公司管控力和执行力，确保国有资产保值增值责任 层层落实。</w:t>
      </w:r>
    </w:p>
    <w:p>
      <w:pPr>
        <w:pStyle w:val="Style47"/>
        <w:keepNext w:val="0"/>
        <w:keepLines w:val="0"/>
        <w:widowControl w:val="0"/>
        <w:shd w:val="clear" w:color="auto" w:fill="auto"/>
        <w:tabs>
          <w:tab w:pos="798" w:val="left"/>
        </w:tabs>
        <w:bidi w:val="0"/>
        <w:spacing w:before="0" w:after="0" w:line="472" w:lineRule="exact"/>
        <w:ind w:left="0" w:right="0" w:firstLine="420"/>
        <w:jc w:val="both"/>
      </w:pPr>
      <w:bookmarkStart w:id="610" w:name="bookmark610"/>
      <w:r>
        <w:rPr>
          <w:rFonts w:ascii="Times New Roman" w:eastAsia="Times New Roman" w:hAnsi="Times New Roman" w:cs="Times New Roman"/>
          <w:color w:val="000000"/>
          <w:spacing w:val="0"/>
          <w:w w:val="100"/>
          <w:position w:val="0"/>
        </w:rPr>
        <w:t>4</w:t>
      </w:r>
      <w:bookmarkEnd w:id="610"/>
      <w:r>
        <w:rPr>
          <w:color w:val="000000"/>
          <w:spacing w:val="0"/>
          <w:w w:val="100"/>
          <w:position w:val="0"/>
        </w:rPr>
        <w:t>、</w:t>
        <w:tab/>
        <w:t>有利于落实公司发展规划，提高考核的针对性和有效性。</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上述高管人员年度经营业绩考核程序为：</w:t>
      </w:r>
    </w:p>
    <w:p>
      <w:pPr>
        <w:pStyle w:val="Style47"/>
        <w:keepNext w:val="0"/>
        <w:keepLines w:val="0"/>
        <w:widowControl w:val="0"/>
        <w:shd w:val="clear" w:color="auto" w:fill="auto"/>
        <w:tabs>
          <w:tab w:pos="790" w:val="left"/>
        </w:tabs>
        <w:bidi w:val="0"/>
        <w:spacing w:before="0" w:after="0" w:line="472" w:lineRule="exact"/>
        <w:ind w:left="0" w:right="0" w:firstLine="420"/>
        <w:jc w:val="both"/>
      </w:pPr>
      <w:bookmarkStart w:id="611" w:name="bookmark611"/>
      <w:r>
        <w:rPr>
          <w:rFonts w:ascii="Times New Roman" w:eastAsia="Times New Roman" w:hAnsi="Times New Roman" w:cs="Times New Roman"/>
          <w:color w:val="000000"/>
          <w:spacing w:val="0"/>
          <w:w w:val="100"/>
          <w:position w:val="0"/>
        </w:rPr>
        <w:t>1</w:t>
      </w:r>
      <w:bookmarkEnd w:id="611"/>
      <w:r>
        <w:rPr>
          <w:color w:val="000000"/>
          <w:spacing w:val="0"/>
          <w:w w:val="100"/>
          <w:position w:val="0"/>
        </w:rPr>
        <w:t>、</w:t>
        <w:tab/>
        <w:t>在相关董事会会议召开前，董事会薪酬与考核委员会应将审核后的公司年度经营业绩考核结果提 交监事会主席复核，监事会主席在复核后的考核结果书面文件上签字确认。</w:t>
      </w:r>
    </w:p>
    <w:p>
      <w:pPr>
        <w:pStyle w:val="Style47"/>
        <w:keepNext w:val="0"/>
        <w:keepLines w:val="0"/>
        <w:widowControl w:val="0"/>
        <w:shd w:val="clear" w:color="auto" w:fill="auto"/>
        <w:tabs>
          <w:tab w:pos="790" w:val="left"/>
        </w:tabs>
        <w:bidi w:val="0"/>
        <w:spacing w:before="0" w:after="0" w:line="472" w:lineRule="exact"/>
        <w:ind w:left="0" w:right="0" w:firstLine="420"/>
        <w:jc w:val="both"/>
      </w:pPr>
      <w:bookmarkStart w:id="612" w:name="bookmark612"/>
      <w:r>
        <w:rPr>
          <w:rFonts w:ascii="Times New Roman" w:eastAsia="Times New Roman" w:hAnsi="Times New Roman" w:cs="Times New Roman"/>
          <w:color w:val="000000"/>
          <w:spacing w:val="0"/>
          <w:w w:val="100"/>
          <w:position w:val="0"/>
        </w:rPr>
        <w:t>2</w:t>
      </w:r>
      <w:bookmarkEnd w:id="612"/>
      <w:r>
        <w:rPr>
          <w:color w:val="000000"/>
          <w:spacing w:val="0"/>
          <w:w w:val="100"/>
          <w:position w:val="0"/>
        </w:rPr>
        <w:t>、</w:t>
        <w:tab/>
        <w:t>董事会薪酬与考核委员会根据考核结果及董事长、总经理的相关奖惩提议，提出正式的考核与奖 惩专项议案提交董事会议审议通过后执行。</w:t>
      </w:r>
    </w:p>
    <w:p>
      <w:pPr>
        <w:pStyle w:val="Style47"/>
        <w:keepNext w:val="0"/>
        <w:keepLines w:val="0"/>
        <w:widowControl w:val="0"/>
        <w:shd w:val="clear" w:color="auto" w:fill="auto"/>
        <w:tabs>
          <w:tab w:pos="795" w:val="left"/>
        </w:tabs>
        <w:bidi w:val="0"/>
        <w:spacing w:before="0" w:after="220" w:line="472" w:lineRule="exact"/>
        <w:ind w:left="0" w:right="0" w:firstLine="420"/>
        <w:jc w:val="both"/>
      </w:pPr>
      <w:bookmarkStart w:id="613" w:name="bookmark613"/>
      <w:r>
        <w:rPr>
          <w:rFonts w:ascii="Times New Roman" w:eastAsia="Times New Roman" w:hAnsi="Times New Roman" w:cs="Times New Roman"/>
          <w:color w:val="000000"/>
          <w:spacing w:val="0"/>
          <w:w w:val="100"/>
          <w:position w:val="0"/>
        </w:rPr>
        <w:t>3</w:t>
      </w:r>
      <w:bookmarkEnd w:id="613"/>
      <w:r>
        <w:rPr>
          <w:color w:val="000000"/>
          <w:spacing w:val="0"/>
          <w:w w:val="100"/>
          <w:position w:val="0"/>
        </w:rPr>
        <w:t>、</w:t>
        <w:tab/>
        <w:t>董事会应指定专人将董事会最终审定的考核与奖惩结果反馈给上述高管人员。高管人员对考核结 果有异议的，可在</w:t>
      </w:r>
      <w:r>
        <w:rPr>
          <w:rFonts w:ascii="Times New Roman" w:eastAsia="Times New Roman" w:hAnsi="Times New Roman" w:cs="Times New Roman"/>
          <w:color w:val="000000"/>
          <w:spacing w:val="0"/>
          <w:w w:val="100"/>
          <w:position w:val="0"/>
        </w:rPr>
        <w:t>10</w:t>
      </w:r>
      <w:r>
        <w:rPr>
          <w:color w:val="000000"/>
          <w:spacing w:val="0"/>
          <w:w w:val="100"/>
          <w:position w:val="0"/>
        </w:rPr>
        <w:t>日内向董事会或监事会书面反映，董事会须根据反映情况或监事会提议及时作出书面 答复。</w:t>
      </w:r>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公司报告期内董事、监事和高级管理人员报酬情况</w:t>
      </w:r>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单位：万元</w:t>
      </w:r>
    </w:p>
    <w:tbl>
      <w:tblPr>
        <w:tblOverlap w:val="never"/>
        <w:jc w:val="center"/>
        <w:tblLayout w:type="fixed"/>
      </w:tblPr>
      <w:tblGrid>
        <w:gridCol w:w="1373"/>
        <w:gridCol w:w="1368"/>
        <w:gridCol w:w="1368"/>
        <w:gridCol w:w="1368"/>
        <w:gridCol w:w="1368"/>
        <w:gridCol w:w="1363"/>
        <w:gridCol w:w="1378"/>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姓名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职务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性别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年龄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任职状态</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从公司获得的税 前报酬总额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0"/>
              <w:jc w:val="center"/>
              <w:rPr>
                <w:sz w:val="18"/>
                <w:szCs w:val="18"/>
              </w:rPr>
            </w:pPr>
            <w:r>
              <w:rPr>
                <w:color w:val="000000"/>
                <w:spacing w:val="0"/>
                <w:w w:val="100"/>
                <w:position w:val="0"/>
                <w:sz w:val="18"/>
                <w:szCs w:val="18"/>
              </w:rPr>
              <w:t>是否在公司关联 方获取报酬</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史志明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付忠良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董事、副董事长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杨建华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张勇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赵自强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现任</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bl>
    <w:p>
      <w:pPr>
        <w:widowControl w:val="0"/>
        <w:spacing w:after="939" w:line="1" w:lineRule="exact"/>
      </w:pPr>
    </w:p>
    <w:p>
      <w:pPr>
        <w:pStyle w:val="Style83"/>
        <w:keepNext w:val="0"/>
        <w:keepLines w:val="0"/>
        <w:widowControl w:val="0"/>
        <w:shd w:val="clear" w:color="auto" w:fill="auto"/>
        <w:bidi w:val="0"/>
        <w:spacing w:before="0" w:after="0" w:line="240" w:lineRule="auto"/>
        <w:ind w:left="0" w:right="0" w:firstLine="0"/>
        <w:jc w:val="right"/>
        <w:rPr>
          <w:sz w:val="26"/>
          <w:szCs w:val="26"/>
        </w:rPr>
        <w:sectPr>
          <w:footnotePr>
            <w:pos w:val="pageBottom"/>
            <w:numFmt w:val="decimal"/>
            <w:numRestart w:val="continuous"/>
          </w:footnotePr>
          <w:pgSz w:w="11900" w:h="16840"/>
          <w:pgMar w:top="1311" w:right="1089" w:bottom="946"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1373"/>
        <w:gridCol w:w="1368"/>
        <w:gridCol w:w="1368"/>
        <w:gridCol w:w="1368"/>
        <w:gridCol w:w="1368"/>
        <w:gridCol w:w="1363"/>
        <w:gridCol w:w="1378"/>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索继栓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杨红梅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李志蜀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曹德骏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帅红涛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监事会主席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傅敏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肖帆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职工代表监事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尹邦明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副总经理兼董事</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会秘书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钟勇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74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王晓东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刘小兵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方伟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408.97</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59" w:line="1" w:lineRule="exact"/>
      </w:pP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公司董事、高级管理人员报告期内被授予的股权激励情况</w:t>
      </w:r>
    </w:p>
    <w:p>
      <w:pPr>
        <w:pStyle w:val="Style35"/>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20" w:line="240" w:lineRule="auto"/>
        <w:ind w:left="0" w:right="0" w:firstLine="0"/>
        <w:jc w:val="left"/>
      </w:pPr>
      <w:bookmarkStart w:id="614" w:name="bookmark614"/>
      <w:bookmarkStart w:id="615" w:name="bookmark615"/>
      <w:bookmarkStart w:id="616" w:name="bookmark616"/>
      <w:bookmarkStart w:id="617" w:name="bookmark617"/>
      <w:r>
        <w:rPr>
          <w:color w:val="000000"/>
          <w:spacing w:val="0"/>
          <w:w w:val="100"/>
          <w:position w:val="0"/>
          <w:sz w:val="24"/>
          <w:szCs w:val="24"/>
        </w:rPr>
        <w:t>五</w:t>
      </w:r>
      <w:bookmarkEnd w:id="616"/>
      <w:r>
        <w:rPr>
          <w:color w:val="000000"/>
          <w:spacing w:val="0"/>
          <w:w w:val="100"/>
          <w:position w:val="0"/>
          <w:sz w:val="24"/>
          <w:szCs w:val="24"/>
        </w:rPr>
        <w:t>、公司员工情况</w:t>
      </w:r>
      <w:bookmarkEnd w:id="614"/>
      <w:bookmarkEnd w:id="615"/>
      <w:bookmarkEnd w:id="617"/>
    </w:p>
    <w:p>
      <w:pPr>
        <w:pStyle w:val="Style44"/>
        <w:keepNext/>
        <w:keepLines/>
        <w:widowControl w:val="0"/>
        <w:shd w:val="clear" w:color="auto" w:fill="auto"/>
        <w:bidi w:val="0"/>
        <w:spacing w:before="0" w:after="320" w:line="240" w:lineRule="auto"/>
        <w:ind w:left="0" w:right="0" w:firstLine="0"/>
        <w:jc w:val="left"/>
      </w:pPr>
      <w:bookmarkStart w:id="618" w:name="bookmark618"/>
      <w:bookmarkStart w:id="619" w:name="bookmark619"/>
      <w:bookmarkStart w:id="620" w:name="bookmark620"/>
      <w:bookmarkStart w:id="621" w:name="bookmark621"/>
      <w:r>
        <w:rPr>
          <w:rFonts w:ascii="Times New Roman" w:eastAsia="Times New Roman" w:hAnsi="Times New Roman" w:cs="Times New Roman"/>
          <w:color w:val="000000"/>
          <w:spacing w:val="0"/>
          <w:w w:val="100"/>
          <w:position w:val="0"/>
        </w:rPr>
        <w:t>1</w:t>
      </w:r>
      <w:bookmarkEnd w:id="620"/>
      <w:r>
        <w:rPr>
          <w:color w:val="000000"/>
          <w:spacing w:val="0"/>
          <w:w w:val="100"/>
          <w:position w:val="0"/>
        </w:rPr>
        <w:t>、员工数量、专业构成及教育程度</w:t>
      </w:r>
      <w:bookmarkEnd w:id="618"/>
      <w:bookmarkEnd w:id="619"/>
      <w:bookmarkEnd w:id="621"/>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母公司在职员工的数量（人）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177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主要子公司在职员工的数量（人）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329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在职员工的数量合计（人）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506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当期领取薪酬员工总人数（人）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506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母公司及主要子公司需承担费用的离退休职工人数（人）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224</w:t>
            </w:r>
          </w:p>
        </w:tc>
      </w:tr>
      <w:tr>
        <w:trPr>
          <w:trHeight w:val="403" w:hRule="exact"/>
        </w:trPr>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专业构成</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专业构成类别</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专业构成人数（人）</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生产人员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销售人员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314</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财务人员</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w:t>
            </w:r>
          </w:p>
        </w:tc>
      </w:tr>
    </w:tbl>
    <w:p>
      <w:pPr>
        <w:widowControl w:val="0"/>
        <w:spacing w:after="979" w:line="1" w:lineRule="exact"/>
      </w:pPr>
    </w:p>
    <w:p>
      <w:pPr>
        <w:pStyle w:val="Style83"/>
        <w:keepNext w:val="0"/>
        <w:keepLines w:val="0"/>
        <w:widowControl w:val="0"/>
        <w:shd w:val="clear" w:color="auto" w:fill="auto"/>
        <w:bidi w:val="0"/>
        <w:spacing w:before="0" w:after="320" w:line="240" w:lineRule="auto"/>
        <w:ind w:left="0" w:right="0" w:firstLine="0"/>
        <w:jc w:val="right"/>
        <w:rPr>
          <w:sz w:val="26"/>
          <w:szCs w:val="26"/>
        </w:rPr>
        <w:sectPr>
          <w:footnotePr>
            <w:pos w:val="pageBottom"/>
            <w:numFmt w:val="decimal"/>
            <w:numRestart w:val="continuous"/>
          </w:footnotePr>
          <w:pgSz w:w="11900" w:h="16840"/>
          <w:pgMar w:top="1436" w:right="1200" w:bottom="946" w:left="111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行政人员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151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506</w:t>
            </w:r>
          </w:p>
        </w:tc>
      </w:tr>
      <w:tr>
        <w:trPr>
          <w:trHeight w:val="403" w:hRule="exact"/>
        </w:trPr>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教育程度</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教育程度类别</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数量（人）</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本科及以上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445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大专及以下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80" w:right="0" w:firstLine="0"/>
              <w:jc w:val="left"/>
              <w:rPr>
                <w:sz w:val="18"/>
                <w:szCs w:val="18"/>
              </w:rPr>
            </w:pPr>
            <w:r>
              <w:rPr>
                <w:rFonts w:ascii="Times New Roman" w:eastAsia="Times New Roman" w:hAnsi="Times New Roman" w:cs="Times New Roman"/>
                <w:color w:val="000000"/>
                <w:spacing w:val="0"/>
                <w:w w:val="100"/>
                <w:position w:val="0"/>
                <w:sz w:val="18"/>
                <w:szCs w:val="18"/>
              </w:rPr>
              <w:t>506</w:t>
            </w:r>
          </w:p>
        </w:tc>
      </w:tr>
    </w:tbl>
    <w:p>
      <w:pPr>
        <w:widowControl w:val="0"/>
        <w:spacing w:after="99" w:line="1" w:lineRule="exact"/>
      </w:pPr>
    </w:p>
    <w:p>
      <w:pPr>
        <w:pStyle w:val="Style44"/>
        <w:keepNext/>
        <w:keepLines/>
        <w:widowControl w:val="0"/>
        <w:shd w:val="clear" w:color="auto" w:fill="auto"/>
        <w:bidi w:val="0"/>
        <w:spacing w:before="0" w:after="200" w:line="469" w:lineRule="exact"/>
        <w:ind w:left="0" w:right="0" w:firstLine="0"/>
        <w:jc w:val="left"/>
      </w:pPr>
      <w:bookmarkStart w:id="622" w:name="bookmark622"/>
      <w:bookmarkStart w:id="623" w:name="bookmark623"/>
      <w:bookmarkStart w:id="624" w:name="bookmark624"/>
      <w:bookmarkStart w:id="625" w:name="bookmark625"/>
      <w:r>
        <w:rPr>
          <w:rFonts w:ascii="Times New Roman" w:eastAsia="Times New Roman" w:hAnsi="Times New Roman" w:cs="Times New Roman"/>
          <w:color w:val="000000"/>
          <w:spacing w:val="0"/>
          <w:w w:val="100"/>
          <w:position w:val="0"/>
        </w:rPr>
        <w:t>2</w:t>
      </w:r>
      <w:bookmarkEnd w:id="624"/>
      <w:r>
        <w:rPr>
          <w:color w:val="000000"/>
          <w:spacing w:val="0"/>
          <w:w w:val="100"/>
          <w:position w:val="0"/>
        </w:rPr>
        <w:t>、薪酬政策</w:t>
      </w:r>
      <w:bookmarkEnd w:id="622"/>
      <w:bookmarkEnd w:id="623"/>
      <w:bookmarkEnd w:id="625"/>
    </w:p>
    <w:p>
      <w:pPr>
        <w:pStyle w:val="Style47"/>
        <w:keepNext w:val="0"/>
        <w:keepLines w:val="0"/>
        <w:widowControl w:val="0"/>
        <w:shd w:val="clear" w:color="auto" w:fill="auto"/>
        <w:bidi w:val="0"/>
        <w:spacing w:before="0" w:after="0" w:line="469" w:lineRule="exact"/>
        <w:ind w:left="0" w:right="0" w:firstLine="440"/>
        <w:jc w:val="left"/>
      </w:pPr>
      <w:r>
        <w:rPr>
          <w:color w:val="000000"/>
          <w:spacing w:val="0"/>
          <w:w w:val="100"/>
          <w:position w:val="0"/>
        </w:rPr>
        <w:t>公司薪酬与考核体系严格遵守国家法律规定，根据公司战略发展方向及人力资源职能战略要求，结合 公司发展现状制定。在制定过程中，我们以地区薪酬水平为基础，广泛参考了同行业高科技企业的薪酬水 平，同时结合公司业务战略的预期目标，使公司整体薪酬政策体现出了综合竞争性，以此稳定和吸引人才。 为建立内部公平性，公司主要根据员工从事岗位的绩效情况，员工所具备的业务技能水平以及对公司的长 期贡献度，综合确定员工的薪酬水平，体现出稳定性、差异性和合理性。同时，作为一家上市高科技企业, 公司积极鼓励员工创新，设计创新激励方案，实行创新专项奖励，以推动公司各项工作的创新水平不断发 展。</w:t>
      </w:r>
    </w:p>
    <w:p>
      <w:pPr>
        <w:pStyle w:val="Style35"/>
        <w:keepNext w:val="0"/>
        <w:keepLines w:val="0"/>
        <w:widowControl w:val="0"/>
        <w:shd w:val="clear" w:color="auto" w:fill="auto"/>
        <w:bidi w:val="0"/>
        <w:spacing w:before="0" w:after="0" w:line="475"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47"/>
        <w:keepNext w:val="0"/>
        <w:keepLines w:val="0"/>
        <w:widowControl w:val="0"/>
        <w:shd w:val="clear" w:color="auto" w:fill="auto"/>
        <w:bidi w:val="0"/>
        <w:spacing w:before="0" w:after="420" w:line="475" w:lineRule="exact"/>
        <w:ind w:left="0" w:right="0" w:firstLine="440"/>
        <w:jc w:val="left"/>
      </w:pPr>
      <w:r>
        <w:rPr>
          <w:color w:val="000000"/>
          <w:spacing w:val="0"/>
          <w:w w:val="100"/>
          <w:position w:val="0"/>
        </w:rPr>
        <w:t>报告期内，</w:t>
      </w:r>
      <w:r>
        <w:rPr>
          <w:color w:val="000000"/>
          <w:spacing w:val="0"/>
          <w:w w:val="100"/>
          <w:position w:val="0"/>
        </w:rPr>
        <w:t>2020</w:t>
      </w:r>
      <w:r>
        <w:rPr>
          <w:color w:val="000000"/>
          <w:spacing w:val="0"/>
          <w:w w:val="100"/>
          <w:position w:val="0"/>
        </w:rPr>
        <w:t>年，公司人工成本占营业成本比重为</w:t>
      </w:r>
      <w:r>
        <w:rPr>
          <w:color w:val="000000"/>
          <w:spacing w:val="0"/>
          <w:w w:val="100"/>
          <w:position w:val="0"/>
        </w:rPr>
        <w:t xml:space="preserve">15.46 </w:t>
      </w:r>
      <w:r>
        <w:rPr>
          <w:color w:val="000000"/>
          <w:spacing w:val="0"/>
          <w:w w:val="100"/>
          <w:position w:val="0"/>
        </w:rPr>
        <w:t>%，</w:t>
      </w:r>
      <w:r>
        <w:rPr>
          <w:color w:val="000000"/>
          <w:spacing w:val="0"/>
          <w:w w:val="100"/>
          <w:position w:val="0"/>
        </w:rPr>
        <w:t>同比增加</w:t>
      </w:r>
      <w:r>
        <w:rPr>
          <w:color w:val="000000"/>
          <w:spacing w:val="0"/>
          <w:w w:val="100"/>
          <w:position w:val="0"/>
        </w:rPr>
        <w:t>1</w:t>
      </w:r>
      <w:r>
        <w:rPr>
          <w:color w:val="000000"/>
          <w:spacing w:val="0"/>
          <w:w w:val="100"/>
          <w:position w:val="0"/>
        </w:rPr>
        <w:t>.41</w:t>
      </w:r>
      <w:r>
        <w:rPr>
          <w:color w:val="000000"/>
          <w:spacing w:val="0"/>
          <w:w w:val="100"/>
          <w:position w:val="0"/>
        </w:rPr>
        <w:t>个百分点。核心人员数 量占员工总数的</w:t>
      </w:r>
      <w:r>
        <w:rPr>
          <w:color w:val="000000"/>
          <w:spacing w:val="0"/>
          <w:w w:val="100"/>
          <w:position w:val="0"/>
        </w:rPr>
        <w:t>1</w:t>
      </w:r>
      <w:r>
        <w:rPr>
          <w:color w:val="000000"/>
          <w:spacing w:val="0"/>
          <w:w w:val="100"/>
          <w:position w:val="0"/>
        </w:rPr>
        <w:t xml:space="preserve">.58 </w:t>
      </w:r>
      <w:r>
        <w:rPr>
          <w:color w:val="000000"/>
          <w:spacing w:val="0"/>
          <w:w w:val="100"/>
          <w:position w:val="0"/>
        </w:rPr>
        <w:t>%，</w:t>
      </w:r>
      <w:r>
        <w:rPr>
          <w:color w:val="000000"/>
          <w:spacing w:val="0"/>
          <w:w w:val="100"/>
          <w:position w:val="0"/>
        </w:rPr>
        <w:t>核心人员薪酬占员工薪酬总数比重为</w:t>
      </w:r>
      <w:r>
        <w:rPr>
          <w:color w:val="000000"/>
          <w:spacing w:val="0"/>
          <w:w w:val="100"/>
          <w:position w:val="0"/>
        </w:rPr>
        <w:t xml:space="preserve">7.82 </w:t>
      </w:r>
      <w:r>
        <w:rPr>
          <w:color w:val="000000"/>
          <w:spacing w:val="0"/>
          <w:w w:val="100"/>
          <w:position w:val="0"/>
        </w:rPr>
        <w:t>%</w:t>
      </w:r>
      <w:r>
        <w:rPr>
          <w:color w:val="000000"/>
          <w:spacing w:val="0"/>
          <w:w w:val="100"/>
          <w:position w:val="0"/>
        </w:rPr>
        <w:t>。</w:t>
      </w:r>
    </w:p>
    <w:p>
      <w:pPr>
        <w:pStyle w:val="Style44"/>
        <w:keepNext/>
        <w:keepLines/>
        <w:widowControl w:val="0"/>
        <w:shd w:val="clear" w:color="auto" w:fill="auto"/>
        <w:bidi w:val="0"/>
        <w:spacing w:before="0" w:after="320" w:line="240" w:lineRule="auto"/>
        <w:ind w:left="0" w:right="0" w:firstLine="0"/>
        <w:jc w:val="left"/>
      </w:pPr>
      <w:bookmarkStart w:id="626" w:name="bookmark626"/>
      <w:bookmarkStart w:id="627" w:name="bookmark627"/>
      <w:bookmarkStart w:id="628" w:name="bookmark628"/>
      <w:bookmarkStart w:id="629" w:name="bookmark629"/>
      <w:r>
        <w:rPr>
          <w:rFonts w:ascii="Times New Roman" w:eastAsia="Times New Roman" w:hAnsi="Times New Roman" w:cs="Times New Roman"/>
          <w:color w:val="000000"/>
          <w:spacing w:val="0"/>
          <w:w w:val="100"/>
          <w:position w:val="0"/>
        </w:rPr>
        <w:t>3</w:t>
      </w:r>
      <w:bookmarkEnd w:id="628"/>
      <w:r>
        <w:rPr>
          <w:color w:val="000000"/>
          <w:spacing w:val="0"/>
          <w:w w:val="100"/>
          <w:position w:val="0"/>
        </w:rPr>
        <w:t>、培训计划</w:t>
      </w:r>
      <w:bookmarkEnd w:id="626"/>
      <w:bookmarkEnd w:id="627"/>
      <w:bookmarkEnd w:id="629"/>
    </w:p>
    <w:tbl>
      <w:tblPr>
        <w:tblOverlap w:val="never"/>
        <w:jc w:val="center"/>
        <w:tblLayout w:type="fixed"/>
      </w:tblPr>
      <w:tblGrid>
        <w:gridCol w:w="634"/>
        <w:gridCol w:w="619"/>
        <w:gridCol w:w="1272"/>
        <w:gridCol w:w="1498"/>
        <w:gridCol w:w="2227"/>
        <w:gridCol w:w="994"/>
        <w:gridCol w:w="1474"/>
        <w:gridCol w:w="686"/>
      </w:tblGrid>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类别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序号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培训名称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培训目的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培训内容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培训对象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预计经费</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备注</w:t>
            </w:r>
          </w:p>
        </w:tc>
      </w:tr>
      <w:tr>
        <w:trPr>
          <w:trHeight w:val="1598" w:hRule="exact"/>
        </w:trPr>
        <w:tc>
          <w:tcPr>
            <w:vMerge w:val="restart"/>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b/>
                <w:bCs/>
                <w:color w:val="000000"/>
                <w:spacing w:val="0"/>
                <w:w w:val="100"/>
                <w:position w:val="0"/>
                <w:sz w:val="18"/>
                <w:szCs w:val="18"/>
              </w:rPr>
              <w:t>内 部 培 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新员工入职培 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促进新入职员工融 入企业文化，了解 企业制度，提升岗 位胜任能力。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培训时间为新员工集中入职 的第一周，一般在</w:t>
            </w:r>
            <w:r>
              <w:rPr>
                <w:color w:val="000000"/>
                <w:spacing w:val="0"/>
                <w:w w:val="100"/>
                <w:position w:val="0"/>
                <w:sz w:val="18"/>
                <w:szCs w:val="18"/>
              </w:rPr>
              <w:t>7</w:t>
            </w:r>
            <w:r>
              <w:rPr>
                <w:color w:val="000000"/>
                <w:spacing w:val="0"/>
                <w:w w:val="100"/>
                <w:position w:val="0"/>
                <w:sz w:val="18"/>
                <w:szCs w:val="18"/>
              </w:rPr>
              <w:t>月上旬。 课程内容为企业文化、规章 制度、安全和保密教育、职 场素养及户外拓展训练等。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2019</w:t>
            </w:r>
            <w:r>
              <w:rPr>
                <w:color w:val="000000"/>
                <w:spacing w:val="0"/>
                <w:w w:val="100"/>
                <w:position w:val="0"/>
                <w:sz w:val="18"/>
                <w:szCs w:val="18"/>
              </w:rPr>
              <w:t>年</w:t>
            </w:r>
            <w:r>
              <w:rPr>
                <w:color w:val="000000"/>
                <w:spacing w:val="0"/>
                <w:w w:val="100"/>
                <w:position w:val="0"/>
                <w:sz w:val="18"/>
                <w:szCs w:val="18"/>
              </w:rPr>
              <w:t>7</w:t>
            </w:r>
            <w:r>
              <w:rPr>
                <w:color w:val="000000"/>
                <w:spacing w:val="0"/>
                <w:w w:val="100"/>
                <w:position w:val="0"/>
                <w:sz w:val="18"/>
                <w:szCs w:val="18"/>
              </w:rPr>
              <w:t xml:space="preserve">月 </w:t>
            </w:r>
            <w:r>
              <w:rPr>
                <w:color w:val="000000"/>
                <w:spacing w:val="0"/>
                <w:w w:val="100"/>
                <w:position w:val="0"/>
                <w:sz w:val="18"/>
                <w:szCs w:val="18"/>
              </w:rPr>
              <w:t>~2020</w:t>
            </w:r>
            <w:r>
              <w:rPr>
                <w:color w:val="000000"/>
                <w:spacing w:val="0"/>
                <w:w w:val="100"/>
                <w:position w:val="0"/>
                <w:sz w:val="18"/>
                <w:szCs w:val="18"/>
              </w:rPr>
              <w:t>年</w:t>
            </w:r>
            <w:r>
              <w:rPr>
                <w:color w:val="000000"/>
                <w:spacing w:val="0"/>
                <w:w w:val="100"/>
                <w:position w:val="0"/>
                <w:sz w:val="18"/>
                <w:szCs w:val="18"/>
              </w:rPr>
              <w:t>7</w:t>
            </w:r>
            <w:r>
              <w:rPr>
                <w:color w:val="000000"/>
                <w:spacing w:val="0"/>
                <w:w w:val="100"/>
                <w:position w:val="0"/>
                <w:sz w:val="18"/>
                <w:szCs w:val="18"/>
              </w:rPr>
              <w:t>月 入职新员工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9" w:lineRule="exact"/>
              <w:ind w:left="0" w:right="0" w:firstLine="0"/>
              <w:jc w:val="left"/>
              <w:rPr>
                <w:sz w:val="18"/>
                <w:szCs w:val="18"/>
              </w:rPr>
            </w:pPr>
            <w:r>
              <w:rPr>
                <w:color w:val="000000"/>
                <w:spacing w:val="0"/>
                <w:w w:val="100"/>
                <w:position w:val="0"/>
                <w:sz w:val="18"/>
                <w:szCs w:val="18"/>
              </w:rPr>
              <w:t>根据</w:t>
            </w:r>
            <w:r>
              <w:rPr>
                <w:color w:val="000000"/>
                <w:spacing w:val="0"/>
                <w:w w:val="100"/>
                <w:position w:val="0"/>
                <w:sz w:val="18"/>
                <w:szCs w:val="18"/>
              </w:rPr>
              <w:t>2019</w:t>
            </w:r>
            <w:r>
              <w:rPr>
                <w:color w:val="000000"/>
                <w:spacing w:val="0"/>
                <w:w w:val="100"/>
                <w:position w:val="0"/>
                <w:sz w:val="18"/>
                <w:szCs w:val="18"/>
              </w:rPr>
              <w:t>年</w:t>
            </w:r>
            <w:r>
              <w:rPr>
                <w:color w:val="000000"/>
                <w:spacing w:val="0"/>
                <w:w w:val="100"/>
                <w:position w:val="0"/>
                <w:sz w:val="18"/>
                <w:szCs w:val="18"/>
              </w:rPr>
              <w:t>7</w:t>
            </w:r>
            <w:r>
              <w:rPr>
                <w:color w:val="000000"/>
                <w:spacing w:val="0"/>
                <w:w w:val="100"/>
                <w:position w:val="0"/>
                <w:sz w:val="18"/>
                <w:szCs w:val="18"/>
              </w:rPr>
              <w:t xml:space="preserve">月 </w:t>
            </w:r>
            <w:r>
              <w:rPr>
                <w:color w:val="000000"/>
                <w:spacing w:val="0"/>
                <w:w w:val="100"/>
                <w:position w:val="0"/>
                <w:sz w:val="18"/>
                <w:szCs w:val="18"/>
              </w:rPr>
              <w:t>~2020</w:t>
            </w:r>
            <w:r>
              <w:rPr>
                <w:color w:val="000000"/>
                <w:spacing w:val="0"/>
                <w:w w:val="100"/>
                <w:position w:val="0"/>
                <w:sz w:val="18"/>
                <w:szCs w:val="18"/>
              </w:rPr>
              <w:t>年</w:t>
            </w:r>
            <w:r>
              <w:rPr>
                <w:color w:val="000000"/>
                <w:spacing w:val="0"/>
                <w:w w:val="100"/>
                <w:position w:val="0"/>
                <w:sz w:val="18"/>
                <w:szCs w:val="18"/>
              </w:rPr>
              <w:t>7</w:t>
            </w:r>
            <w:r>
              <w:rPr>
                <w:color w:val="000000"/>
                <w:spacing w:val="0"/>
                <w:w w:val="100"/>
                <w:position w:val="0"/>
                <w:sz w:val="18"/>
                <w:szCs w:val="18"/>
              </w:rPr>
              <w:t>月入职新 员工人数确定。</w:t>
            </w:r>
          </w:p>
        </w:tc>
        <w:tc>
          <w:tcPr>
            <w:tcBorders>
              <w:top w:val="single" w:sz="4"/>
              <w:left w:val="single" w:sz="4"/>
              <w:right w:val="single" w:sz="4"/>
            </w:tcBorders>
            <w:shd w:val="clear" w:color="auto" w:fill="FFFFFF"/>
            <w:vAlign w:val="top"/>
          </w:tcPr>
          <w:p>
            <w:pPr>
              <w:widowControl w:val="0"/>
              <w:rPr>
                <w:sz w:val="10"/>
                <w:szCs w:val="10"/>
              </w:rPr>
            </w:pPr>
          </w:p>
        </w:tc>
      </w:tr>
      <w:tr>
        <w:trPr>
          <w:trHeight w:val="221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分享会、交流 会、研讨会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促进公司战略落 地，支撑年度经营 任务完成，促进员 工间的知识与经验 交流，提升员工对 行业技术和发展趋 势的关注等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视企业发展和员工成长需要 适时开展。培训内容为技能 传授、管理能力、经验分享、 前沿技术探讨等。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公司员工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按照现行讲师和课</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程的管理办法执行</w:t>
            </w: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内训会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根据公司战略规划</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视战略规划和经营工作要求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管理干部、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在总额不超过去年</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634"/>
        <w:gridCol w:w="619"/>
        <w:gridCol w:w="1272"/>
        <w:gridCol w:w="1498"/>
        <w:gridCol w:w="2227"/>
        <w:gridCol w:w="994"/>
        <w:gridCol w:w="1474"/>
        <w:gridCol w:w="686"/>
      </w:tblGrid>
      <w:tr>
        <w:trPr>
          <w:trHeight w:val="1291"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和年度经营目标， 针对一些亟需提升 的迫切重大领域开 展集中内训。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而定。如绩效管理、管理技 能等等。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骨干员工 等，视需要 确定。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总经费的前提下， 根据具体情况确 定。</w:t>
            </w:r>
          </w:p>
        </w:tc>
        <w:tc>
          <w:tcPr>
            <w:tcBorders>
              <w:top w:val="single" w:sz="4"/>
              <w:left w:val="single" w:sz="4"/>
              <w:right w:val="single" w:sz="4"/>
            </w:tcBorders>
            <w:shd w:val="clear" w:color="auto" w:fill="FFFFFF"/>
            <w:vAlign w:val="top"/>
          </w:tcPr>
          <w:p>
            <w:pPr>
              <w:widowControl w:val="0"/>
              <w:rPr>
                <w:sz w:val="10"/>
                <w:szCs w:val="10"/>
              </w:rPr>
            </w:pPr>
          </w:p>
        </w:tc>
      </w:tr>
      <w:tr>
        <w:trPr>
          <w:trHeight w:val="65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资质培训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both"/>
              <w:rPr>
                <w:sz w:val="18"/>
                <w:szCs w:val="18"/>
              </w:rPr>
            </w:pPr>
            <w:r>
              <w:rPr>
                <w:color w:val="000000"/>
                <w:spacing w:val="0"/>
                <w:w w:val="100"/>
                <w:position w:val="0"/>
                <w:sz w:val="18"/>
                <w:szCs w:val="18"/>
              </w:rPr>
              <w:t>ISO90001</w:t>
            </w:r>
            <w:r>
              <w:rPr>
                <w:color w:val="000000"/>
                <w:spacing w:val="0"/>
                <w:w w:val="100"/>
                <w:position w:val="0"/>
                <w:sz w:val="18"/>
                <w:szCs w:val="18"/>
              </w:rPr>
              <w:t>等资质相 关知识培训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根据国家相关法规确定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相关员工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内训为主</w:t>
            </w:r>
          </w:p>
        </w:tc>
        <w:tc>
          <w:tcPr>
            <w:tcBorders>
              <w:top w:val="single" w:sz="4"/>
              <w:left w:val="single" w:sz="4"/>
              <w:right w:val="single" w:sz="4"/>
            </w:tcBorders>
            <w:shd w:val="clear" w:color="auto" w:fill="FFFFFF"/>
            <w:vAlign w:val="top"/>
          </w:tcPr>
          <w:p>
            <w:pPr>
              <w:widowControl w:val="0"/>
              <w:rPr>
                <w:sz w:val="10"/>
                <w:szCs w:val="10"/>
              </w:rPr>
            </w:pPr>
          </w:p>
        </w:tc>
      </w:tr>
      <w:tr>
        <w:trPr>
          <w:trHeight w:val="221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保密教育和培 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根据保密工作和涉 密资质的管理要求 开展</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国家保密工作法规和公司保 密工作规则制度。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全体员工， 重点针对公 司、子公司 的涉密人员 和专、兼职 保密管理工 作人员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3" w:lineRule="exact"/>
              <w:ind w:left="0" w:right="0" w:firstLine="0"/>
              <w:jc w:val="center"/>
              <w:rPr>
                <w:sz w:val="18"/>
                <w:szCs w:val="18"/>
              </w:rPr>
            </w:pPr>
            <w:r>
              <w:rPr>
                <w:color w:val="000000"/>
                <w:spacing w:val="0"/>
                <w:w w:val="100"/>
                <w:position w:val="0"/>
                <w:sz w:val="18"/>
                <w:szCs w:val="18"/>
              </w:rPr>
              <w:t>按照《中科院成都 信息技术股份有限 公司培训管理制 度》中关于讲师和 课程的管理办法执 行</w:t>
            </w:r>
          </w:p>
        </w:tc>
        <w:tc>
          <w:tcPr>
            <w:tcBorders>
              <w:top w:val="single" w:sz="4"/>
              <w:left w:val="single" w:sz="4"/>
              <w:right w:val="single" w:sz="4"/>
            </w:tcBorders>
            <w:shd w:val="clear" w:color="auto" w:fill="FFFFFF"/>
            <w:vAlign w:val="top"/>
          </w:tcPr>
          <w:p>
            <w:pPr>
              <w:widowControl w:val="0"/>
              <w:rPr>
                <w:sz w:val="10"/>
                <w:szCs w:val="10"/>
              </w:rPr>
            </w:pPr>
          </w:p>
        </w:tc>
      </w:tr>
      <w:tr>
        <w:trPr>
          <w:trHeight w:val="1680" w:hRule="exact"/>
        </w:trPr>
        <w:tc>
          <w:tcPr>
            <w:vMerge w:val="restart"/>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b/>
                <w:bCs/>
                <w:color w:val="000000"/>
                <w:spacing w:val="0"/>
                <w:w w:val="100"/>
                <w:position w:val="0"/>
                <w:sz w:val="18"/>
                <w:szCs w:val="18"/>
              </w:rPr>
              <w:t>其 他 培 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企业讲坛</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打造学习型组织， 丰富企业文化，促 进企业内部知识传 递。</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企业文化、工作技能、思维 方法、团队建设，管理工具 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公司员工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按照相应管理办法 执行</w:t>
            </w:r>
          </w:p>
        </w:tc>
        <w:tc>
          <w:tcPr>
            <w:tcBorders>
              <w:top w:val="single" w:sz="4"/>
              <w:left w:val="single" w:sz="4"/>
              <w:right w:val="single" w:sz="4"/>
            </w:tcBorders>
            <w:shd w:val="clear" w:color="auto" w:fill="FFFFFF"/>
            <w:vAlign w:val="top"/>
          </w:tcPr>
          <w:p>
            <w:pPr>
              <w:widowControl w:val="0"/>
              <w:rPr>
                <w:sz w:val="10"/>
                <w:szCs w:val="10"/>
              </w:rPr>
            </w:pPr>
          </w:p>
        </w:tc>
      </w:tr>
      <w:tr>
        <w:trPr>
          <w:trHeight w:val="3634"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员工读书会</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tabs>
                <w:tab w:pos="226" w:val="left"/>
              </w:tabs>
              <w:bidi w:val="0"/>
              <w:spacing w:before="0" w:after="0" w:line="309" w:lineRule="exact"/>
              <w:ind w:left="0" w:right="0" w:firstLine="0"/>
              <w:jc w:val="both"/>
              <w:rPr>
                <w:sz w:val="18"/>
                <w:szCs w:val="18"/>
              </w:rPr>
            </w:pPr>
            <w:r>
              <w:rPr>
                <w:color w:val="000000"/>
                <w:spacing w:val="0"/>
                <w:w w:val="100"/>
                <w:position w:val="0"/>
                <w:sz w:val="18"/>
                <w:szCs w:val="18"/>
              </w:rPr>
              <w:t>1</w:t>
            </w:r>
            <w:r>
              <w:rPr>
                <w:color w:val="000000"/>
                <w:spacing w:val="0"/>
                <w:w w:val="100"/>
                <w:position w:val="0"/>
                <w:sz w:val="18"/>
                <w:szCs w:val="18"/>
              </w:rPr>
              <w:t>、</w:t>
              <w:tab/>
              <w:t>帮助新员工融入 团队，培养新员工 对公司文化的认同 感。</w:t>
            </w:r>
          </w:p>
          <w:p>
            <w:pPr>
              <w:pStyle w:val="Style2"/>
              <w:keepNext w:val="0"/>
              <w:keepLines w:val="0"/>
              <w:widowControl w:val="0"/>
              <w:shd w:val="clear" w:color="auto" w:fill="auto"/>
              <w:tabs>
                <w:tab w:pos="221" w:val="left"/>
              </w:tabs>
              <w:bidi w:val="0"/>
              <w:spacing w:before="0" w:after="0" w:line="322" w:lineRule="exact"/>
              <w:ind w:left="0" w:right="0" w:firstLine="0"/>
              <w:jc w:val="both"/>
              <w:rPr>
                <w:sz w:val="18"/>
                <w:szCs w:val="18"/>
              </w:rPr>
            </w:pPr>
            <w:r>
              <w:rPr>
                <w:color w:val="000000"/>
                <w:spacing w:val="0"/>
                <w:w w:val="100"/>
                <w:position w:val="0"/>
                <w:sz w:val="18"/>
                <w:szCs w:val="18"/>
              </w:rPr>
              <w:t>2</w:t>
            </w:r>
            <w:r>
              <w:rPr>
                <w:color w:val="000000"/>
                <w:spacing w:val="0"/>
                <w:w w:val="100"/>
                <w:position w:val="0"/>
                <w:sz w:val="18"/>
                <w:szCs w:val="18"/>
              </w:rPr>
              <w:t>、</w:t>
              <w:tab/>
              <w:t>培养新员工的学 习能力和交流能 力，</w:t>
            </w:r>
          </w:p>
          <w:p>
            <w:pPr>
              <w:pStyle w:val="Style2"/>
              <w:keepNext w:val="0"/>
              <w:keepLines w:val="0"/>
              <w:widowControl w:val="0"/>
              <w:shd w:val="clear" w:color="auto" w:fill="auto"/>
              <w:tabs>
                <w:tab w:pos="274" w:val="left"/>
              </w:tabs>
              <w:bidi w:val="0"/>
              <w:spacing w:before="0" w:after="0" w:line="322" w:lineRule="exact"/>
              <w:ind w:left="0" w:right="0" w:firstLine="0"/>
              <w:jc w:val="both"/>
              <w:rPr>
                <w:sz w:val="18"/>
                <w:szCs w:val="18"/>
              </w:rPr>
            </w:pPr>
            <w:r>
              <w:rPr>
                <w:color w:val="000000"/>
                <w:spacing w:val="0"/>
                <w:w w:val="100"/>
                <w:position w:val="0"/>
                <w:sz w:val="18"/>
                <w:szCs w:val="18"/>
              </w:rPr>
              <w:t>3</w:t>
            </w:r>
            <w:r>
              <w:rPr>
                <w:color w:val="000000"/>
                <w:spacing w:val="0"/>
                <w:w w:val="100"/>
                <w:position w:val="0"/>
                <w:sz w:val="18"/>
                <w:szCs w:val="18"/>
              </w:rPr>
              <w:t>、</w:t>
              <w:tab/>
              <w:t>丰富企业文化， 营造企业内部学习 氛围。</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05" w:lineRule="exact"/>
              <w:ind w:left="0" w:right="0" w:firstLine="0"/>
              <w:jc w:val="both"/>
              <w:rPr>
                <w:sz w:val="18"/>
                <w:szCs w:val="18"/>
              </w:rPr>
            </w:pPr>
            <w:r>
              <w:rPr>
                <w:color w:val="000000"/>
                <w:spacing w:val="0"/>
                <w:w w:val="100"/>
                <w:position w:val="0"/>
                <w:sz w:val="18"/>
                <w:szCs w:val="18"/>
              </w:rPr>
              <w:t>根据每期分享的图书内容确 定，一般为价值观、工作技 能、思维方法、管理工具等</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8"/>
                <w:szCs w:val="18"/>
              </w:rPr>
              <w:t>以新员工为 主，所有员 工都可参 与。</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员工读书会经费主 要为图书购置费 用。</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99" w:line="1" w:lineRule="exact"/>
      </w:pPr>
    </w:p>
    <w:p>
      <w:pPr>
        <w:pStyle w:val="Style44"/>
        <w:keepNext/>
        <w:keepLines/>
        <w:widowControl w:val="0"/>
        <w:shd w:val="clear" w:color="auto" w:fill="auto"/>
        <w:bidi w:val="0"/>
        <w:spacing w:before="0" w:after="360" w:line="240" w:lineRule="auto"/>
        <w:ind w:left="0" w:right="0" w:firstLine="0"/>
        <w:jc w:val="left"/>
      </w:pPr>
      <w:bookmarkStart w:id="630" w:name="bookmark630"/>
      <w:bookmarkStart w:id="631" w:name="bookmark631"/>
      <w:bookmarkStart w:id="632" w:name="bookmark632"/>
      <w:bookmarkStart w:id="633" w:name="bookmark633"/>
      <w:r>
        <w:rPr>
          <w:rFonts w:ascii="Times New Roman" w:eastAsia="Times New Roman" w:hAnsi="Times New Roman" w:cs="Times New Roman"/>
          <w:color w:val="000000"/>
          <w:spacing w:val="0"/>
          <w:w w:val="100"/>
          <w:position w:val="0"/>
        </w:rPr>
        <w:t>4</w:t>
      </w:r>
      <w:bookmarkEnd w:id="632"/>
      <w:r>
        <w:rPr>
          <w:color w:val="000000"/>
          <w:spacing w:val="0"/>
          <w:w w:val="100"/>
          <w:position w:val="0"/>
        </w:rPr>
        <w:t>、劳务外包情况</w:t>
      </w:r>
      <w:bookmarkEnd w:id="630"/>
      <w:bookmarkEnd w:id="631"/>
      <w:bookmarkEnd w:id="633"/>
    </w:p>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寸</w:t>
      </w:r>
      <w:r>
        <w:rPr>
          <w:b w:val="0"/>
          <w:bCs w:val="0"/>
          <w:color w:val="000000"/>
          <w:spacing w:val="0"/>
          <w:w w:val="100"/>
          <w:position w:val="0"/>
          <w:sz w:val="18"/>
          <w:szCs w:val="18"/>
        </w:rPr>
        <w:t>适用</w:t>
      </w:r>
      <w:r>
        <w:rPr>
          <w:b w:val="0"/>
          <w:bCs w:val="0"/>
          <w:color w:val="000000"/>
          <w:spacing w:val="0"/>
          <w:w w:val="100"/>
          <w:position w:val="0"/>
          <w:sz w:val="18"/>
          <w:szCs w:val="18"/>
        </w:rPr>
        <w:t>口</w:t>
      </w:r>
      <w:r>
        <w:rPr>
          <w:b w:val="0"/>
          <w:bCs w:val="0"/>
          <w:color w:val="000000"/>
          <w:spacing w:val="0"/>
          <w:w w:val="100"/>
          <w:position w:val="0"/>
          <w:sz w:val="18"/>
          <w:szCs w:val="18"/>
        </w:rPr>
        <w:t>不适用</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劳务外包的工时总数（小时）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2,250</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劳务外包支付的报酬总额（元）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65,000.00</w:t>
            </w:r>
          </w:p>
        </w:tc>
      </w:tr>
    </w:tbl>
    <w:p>
      <w:pPr>
        <w:sectPr>
          <w:headerReference w:type="default" r:id="rId183"/>
          <w:footerReference w:type="default" r:id="rId184"/>
          <w:headerReference w:type="even" r:id="rId185"/>
          <w:footerReference w:type="even" r:id="rId186"/>
          <w:footnotePr>
            <w:pos w:val="pageBottom"/>
            <w:numFmt w:val="decimal"/>
            <w:numRestart w:val="continuous"/>
          </w:footnotePr>
          <w:pgSz w:w="11900" w:h="16840"/>
          <w:pgMar w:top="1436" w:right="1095" w:bottom="1546" w:left="1071" w:header="0" w:footer="3" w:gutter="0"/>
          <w:cols w:space="720"/>
          <w:noEndnote/>
          <w:rtlGutter w:val="0"/>
          <w:docGrid w:linePitch="360"/>
        </w:sectPr>
      </w:pPr>
    </w:p>
    <w:p>
      <w:pPr>
        <w:pStyle w:val="Style15"/>
        <w:keepNext/>
        <w:keepLines/>
        <w:widowControl w:val="0"/>
        <w:shd w:val="clear" w:color="auto" w:fill="auto"/>
        <w:bidi w:val="0"/>
        <w:spacing w:before="0" w:after="560" w:line="240" w:lineRule="auto"/>
        <w:ind w:left="0" w:right="0" w:firstLine="0"/>
        <w:jc w:val="center"/>
      </w:pPr>
      <w:bookmarkStart w:id="634" w:name="bookmark634"/>
      <w:bookmarkStart w:id="635" w:name="bookmark635"/>
      <w:bookmarkStart w:id="636" w:name="bookmark636"/>
      <w:r>
        <w:rPr>
          <w:color w:val="000000"/>
          <w:spacing w:val="0"/>
          <w:w w:val="100"/>
          <w:position w:val="0"/>
        </w:rPr>
        <w:t>第十节公司治理</w:t>
      </w:r>
      <w:bookmarkEnd w:id="634"/>
      <w:bookmarkEnd w:id="635"/>
      <w:bookmarkEnd w:id="636"/>
    </w:p>
    <w:p>
      <w:pPr>
        <w:pStyle w:val="Style33"/>
        <w:keepNext/>
        <w:keepLines/>
        <w:widowControl w:val="0"/>
        <w:shd w:val="clear" w:color="auto" w:fill="auto"/>
        <w:bidi w:val="0"/>
        <w:spacing w:before="0" w:after="180" w:line="240" w:lineRule="auto"/>
        <w:ind w:left="0" w:right="0" w:firstLine="0"/>
        <w:jc w:val="both"/>
      </w:pPr>
      <w:bookmarkStart w:id="637" w:name="bookmark637"/>
      <w:bookmarkStart w:id="638" w:name="bookmark638"/>
      <w:bookmarkStart w:id="639" w:name="bookmark639"/>
      <w:bookmarkStart w:id="640" w:name="bookmark640"/>
      <w:bookmarkStart w:id="641" w:name="bookmark641"/>
      <w:r>
        <w:rPr>
          <w:color w:val="000000"/>
          <w:spacing w:val="0"/>
          <w:w w:val="100"/>
          <w:position w:val="0"/>
          <w:sz w:val="24"/>
          <w:szCs w:val="24"/>
        </w:rPr>
        <w:t>一</w:t>
      </w:r>
      <w:bookmarkEnd w:id="640"/>
      <w:r>
        <w:rPr>
          <w:color w:val="000000"/>
          <w:spacing w:val="0"/>
          <w:w w:val="100"/>
          <w:position w:val="0"/>
          <w:sz w:val="24"/>
          <w:szCs w:val="24"/>
        </w:rPr>
        <w:t>、公司治理的基本状况</w:t>
      </w:r>
      <w:bookmarkEnd w:id="638"/>
      <w:bookmarkEnd w:id="639"/>
      <w:bookmarkEnd w:id="641"/>
      <w:bookmarkEnd w:id="637"/>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报告期内，公司严格按照《中华人民共和国公司法》（以下简称《公司法》）、《中华人民共和国证 券法》（以下简称《证券法》）、《上市公司治理准则》、《深圳证券交易所创业板股票上市规则》、《深 圳证券交易所创业板上市公司规范运作指引》及其他相关法律、法规、规范性文件，建立了科学规范的法 人治理结构、健全的内部控制制度，促进公司规范运作。督促公司董事、监事、经理等高级管理人员加强 对相关法律、法规及规范性文件的学习，使其明确应当遵循的基本行为准则和职业道德。切实保护投资者 权利，真实、准确、完整、及时、公平地披露信息，公司规范运作水平不断提高。</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公司按照监管法规持续健全</w:t>
      </w:r>
      <w:r>
        <w:rPr>
          <w:rFonts w:ascii="Times New Roman" w:eastAsia="Times New Roman" w:hAnsi="Times New Roman" w:cs="Times New Roman"/>
          <w:color w:val="000000"/>
          <w:spacing w:val="0"/>
          <w:w w:val="100"/>
          <w:position w:val="0"/>
        </w:rPr>
        <w:t>“</w:t>
      </w:r>
      <w:r>
        <w:rPr>
          <w:color w:val="000000"/>
          <w:spacing w:val="0"/>
          <w:w w:val="100"/>
          <w:position w:val="0"/>
        </w:rPr>
        <w:t>四会一层''的公司治理结构，实行党委班子与董事会、监事会成员间</w:t>
      </w:r>
      <w:r>
        <w:rPr>
          <w:rFonts w:ascii="Times New Roman" w:eastAsia="Times New Roman" w:hAnsi="Times New Roman" w:cs="Times New Roman"/>
          <w:color w:val="000000"/>
          <w:spacing w:val="0"/>
          <w:w w:val="100"/>
          <w:position w:val="0"/>
        </w:rPr>
        <w:t>“</w:t>
      </w:r>
      <w:r>
        <w:rPr>
          <w:color w:val="000000"/>
          <w:spacing w:val="0"/>
          <w:w w:val="100"/>
          <w:position w:val="0"/>
        </w:rPr>
        <w:t>双向 进入、交叉任职</w:t>
      </w:r>
      <w:r>
        <w:rPr>
          <w:color w:val="000000"/>
          <w:spacing w:val="0"/>
          <w:w w:val="100"/>
          <w:position w:val="0"/>
        </w:rPr>
        <w:t>''，</w:t>
      </w:r>
      <w:r>
        <w:rPr>
          <w:color w:val="000000"/>
          <w:spacing w:val="0"/>
          <w:w w:val="100"/>
          <w:position w:val="0"/>
        </w:rPr>
        <w:t>确保党组织</w:t>
      </w:r>
      <w:r>
        <w:rPr>
          <w:rFonts w:ascii="Times New Roman" w:eastAsia="Times New Roman" w:hAnsi="Times New Roman" w:cs="Times New Roman"/>
          <w:color w:val="000000"/>
          <w:spacing w:val="0"/>
          <w:w w:val="100"/>
          <w:position w:val="0"/>
        </w:rPr>
        <w:t>“</w:t>
      </w:r>
      <w:r>
        <w:rPr>
          <w:color w:val="000000"/>
          <w:spacing w:val="0"/>
          <w:w w:val="100"/>
          <w:position w:val="0"/>
        </w:rPr>
        <w:t>把方向、管大局、保落实制定印发《</w:t>
      </w:r>
      <w:r>
        <w:rPr>
          <w:rFonts w:ascii="Times New Roman" w:eastAsia="Times New Roman" w:hAnsi="Times New Roman" w:cs="Times New Roman"/>
          <w:color w:val="000000"/>
          <w:spacing w:val="0"/>
          <w:w w:val="100"/>
          <w:position w:val="0"/>
        </w:rPr>
        <w:t>“</w:t>
      </w:r>
      <w:r>
        <w:rPr>
          <w:color w:val="000000"/>
          <w:spacing w:val="0"/>
          <w:w w:val="100"/>
          <w:position w:val="0"/>
        </w:rPr>
        <w:t>三重一大</w:t>
      </w:r>
      <w:r>
        <w:rPr>
          <w:color w:val="000000"/>
          <w:spacing w:val="0"/>
          <w:w w:val="100"/>
          <w:position w:val="0"/>
        </w:rPr>
        <w:t>''</w:t>
      </w:r>
      <w:r>
        <w:rPr>
          <w:color w:val="000000"/>
          <w:spacing w:val="0"/>
          <w:w w:val="100"/>
          <w:position w:val="0"/>
        </w:rPr>
        <w:t>议事决策制度实施办法》 和事项清单，进一步厘清</w:t>
      </w:r>
      <w:r>
        <w:rPr>
          <w:rFonts w:ascii="Times New Roman" w:eastAsia="Times New Roman" w:hAnsi="Times New Roman" w:cs="Times New Roman"/>
          <w:color w:val="000000"/>
          <w:spacing w:val="0"/>
          <w:w w:val="100"/>
          <w:position w:val="0"/>
        </w:rPr>
        <w:t>“</w:t>
      </w:r>
      <w:r>
        <w:rPr>
          <w:color w:val="000000"/>
          <w:spacing w:val="0"/>
          <w:w w:val="100"/>
          <w:position w:val="0"/>
        </w:rPr>
        <w:t>四会一层</w:t>
      </w:r>
      <w:r>
        <w:rPr>
          <w:rFonts w:ascii="Times New Roman" w:eastAsia="Times New Roman" w:hAnsi="Times New Roman" w:cs="Times New Roman"/>
          <w:color w:val="000000"/>
          <w:spacing w:val="0"/>
          <w:w w:val="100"/>
          <w:position w:val="0"/>
        </w:rPr>
        <w:t>”</w:t>
      </w:r>
      <w:r>
        <w:rPr>
          <w:color w:val="000000"/>
          <w:spacing w:val="0"/>
          <w:w w:val="100"/>
          <w:position w:val="0"/>
        </w:rPr>
        <w:t>在决策过程中的权责和流程，完善</w:t>
      </w:r>
      <w:r>
        <w:rPr>
          <w:rFonts w:ascii="Times New Roman" w:eastAsia="Times New Roman" w:hAnsi="Times New Roman" w:cs="Times New Roman"/>
          <w:color w:val="000000"/>
          <w:spacing w:val="0"/>
          <w:w w:val="100"/>
          <w:position w:val="0"/>
        </w:rPr>
        <w:t>“</w:t>
      </w:r>
      <w:r>
        <w:rPr>
          <w:color w:val="000000"/>
          <w:spacing w:val="0"/>
          <w:w w:val="100"/>
          <w:position w:val="0"/>
        </w:rPr>
        <w:t>四会一层</w:t>
      </w:r>
      <w:r>
        <w:rPr>
          <w:rFonts w:ascii="Times New Roman" w:eastAsia="Times New Roman" w:hAnsi="Times New Roman" w:cs="Times New Roman"/>
          <w:color w:val="000000"/>
          <w:spacing w:val="0"/>
          <w:w w:val="100"/>
          <w:position w:val="0"/>
        </w:rPr>
        <w:t>”</w:t>
      </w:r>
      <w:r>
        <w:rPr>
          <w:color w:val="000000"/>
          <w:spacing w:val="0"/>
          <w:w w:val="100"/>
          <w:position w:val="0"/>
        </w:rPr>
        <w:t>治理架构。严格按照党 委会、股东大会、董事会、监事会、经理层的权责边界及决策流程，形成了重大事项由</w:t>
      </w:r>
      <w:r>
        <w:rPr>
          <w:rFonts w:ascii="Times New Roman" w:eastAsia="Times New Roman" w:hAnsi="Times New Roman" w:cs="Times New Roman"/>
          <w:color w:val="000000"/>
          <w:spacing w:val="0"/>
          <w:w w:val="100"/>
          <w:position w:val="0"/>
        </w:rPr>
        <w:t>“</w:t>
      </w:r>
      <w:r>
        <w:rPr>
          <w:color w:val="000000"/>
          <w:spacing w:val="0"/>
          <w:w w:val="100"/>
          <w:position w:val="0"/>
        </w:rPr>
        <w:t>党委先议、董事 会决策、经理层执行、监事会监督，职代会、工会等群团组织</w:t>
      </w:r>
      <w:r>
        <w:rPr>
          <w:rFonts w:ascii="Times New Roman" w:eastAsia="Times New Roman" w:hAnsi="Times New Roman" w:cs="Times New Roman"/>
          <w:color w:val="000000"/>
          <w:spacing w:val="0"/>
          <w:w w:val="100"/>
          <w:position w:val="0"/>
        </w:rPr>
        <w:t>“</w:t>
      </w:r>
      <w:r>
        <w:rPr>
          <w:color w:val="000000"/>
          <w:spacing w:val="0"/>
          <w:w w:val="100"/>
          <w:position w:val="0"/>
        </w:rPr>
        <w:t>融民心、听民意''的</w:t>
      </w:r>
      <w:r>
        <w:rPr>
          <w:rFonts w:ascii="Times New Roman" w:eastAsia="Times New Roman" w:hAnsi="Times New Roman" w:cs="Times New Roman"/>
          <w:color w:val="000000"/>
          <w:spacing w:val="0"/>
          <w:w w:val="100"/>
          <w:position w:val="0"/>
        </w:rPr>
        <w:t>“</w:t>
      </w:r>
      <w:r>
        <w:rPr>
          <w:color w:val="000000"/>
          <w:spacing w:val="0"/>
          <w:w w:val="100"/>
          <w:position w:val="0"/>
        </w:rPr>
        <w:t>五位一体''权责格局， 为高质量发展提供坚强政治保障。</w:t>
      </w:r>
      <w:r>
        <w:rPr>
          <w:rFonts w:ascii="Times New Roman" w:eastAsia="Times New Roman" w:hAnsi="Times New Roman" w:cs="Times New Roman"/>
          <w:color w:val="000000"/>
          <w:spacing w:val="0"/>
          <w:w w:val="100"/>
          <w:position w:val="0"/>
        </w:rPr>
        <w:t>2020</w:t>
      </w:r>
      <w:r>
        <w:rPr>
          <w:color w:val="000000"/>
          <w:spacing w:val="0"/>
          <w:w w:val="100"/>
          <w:position w:val="0"/>
        </w:rPr>
        <w:t>年共召开党委会</w:t>
      </w:r>
      <w:r>
        <w:rPr>
          <w:rFonts w:ascii="Times New Roman" w:eastAsia="Times New Roman" w:hAnsi="Times New Roman" w:cs="Times New Roman"/>
          <w:color w:val="000000"/>
          <w:spacing w:val="0"/>
          <w:w w:val="100"/>
          <w:position w:val="0"/>
        </w:rPr>
        <w:t>15</w:t>
      </w:r>
      <w:r>
        <w:rPr>
          <w:color w:val="000000"/>
          <w:spacing w:val="0"/>
          <w:w w:val="100"/>
          <w:position w:val="0"/>
        </w:rPr>
        <w:t>次，研究</w:t>
      </w:r>
      <w:r>
        <w:rPr>
          <w:rFonts w:ascii="Times New Roman" w:eastAsia="Times New Roman" w:hAnsi="Times New Roman" w:cs="Times New Roman"/>
          <w:color w:val="000000"/>
          <w:spacing w:val="0"/>
          <w:w w:val="100"/>
          <w:position w:val="0"/>
        </w:rPr>
        <w:t>“</w:t>
      </w:r>
      <w:r>
        <w:rPr>
          <w:color w:val="000000"/>
          <w:spacing w:val="0"/>
          <w:w w:val="100"/>
          <w:position w:val="0"/>
        </w:rPr>
        <w:t>三重一大''事项</w:t>
      </w:r>
      <w:r>
        <w:rPr>
          <w:rFonts w:ascii="Times New Roman" w:eastAsia="Times New Roman" w:hAnsi="Times New Roman" w:cs="Times New Roman"/>
          <w:color w:val="000000"/>
          <w:spacing w:val="0"/>
          <w:w w:val="100"/>
          <w:position w:val="0"/>
        </w:rPr>
        <w:t>19</w:t>
      </w:r>
      <w:r>
        <w:rPr>
          <w:color w:val="000000"/>
          <w:spacing w:val="0"/>
          <w:w w:val="100"/>
          <w:position w:val="0"/>
        </w:rPr>
        <w:t>项，对重大事项决策, 党委坚持民主集中、科学决策、依法决策，有效防范了重大风险。报告期内，</w:t>
      </w:r>
      <w:r>
        <w:rPr>
          <w:rFonts w:ascii="Times New Roman" w:eastAsia="Times New Roman" w:hAnsi="Times New Roman" w:cs="Times New Roman"/>
          <w:color w:val="000000"/>
          <w:spacing w:val="0"/>
          <w:w w:val="100"/>
          <w:position w:val="0"/>
        </w:rPr>
        <w:t>“</w:t>
      </w:r>
      <w:r>
        <w:rPr>
          <w:color w:val="000000"/>
          <w:spacing w:val="0"/>
          <w:w w:val="100"/>
          <w:position w:val="0"/>
        </w:rPr>
        <w:t>四会一层''科学分工、相互 制衡、权责分明，按其职责行使权力。党委会、股东大会、董事会、监事会会议的召开程序、提案审议程 序、表决、公告等程序均符合相关法律法规及中国证监会、深圳证券交易所发布的有关上市公司治理的规 范性文件要求。</w:t>
      </w:r>
    </w:p>
    <w:p>
      <w:pPr>
        <w:pStyle w:val="Style47"/>
        <w:keepNext w:val="0"/>
        <w:keepLines w:val="0"/>
        <w:widowControl w:val="0"/>
        <w:shd w:val="clear" w:color="auto" w:fill="auto"/>
        <w:bidi w:val="0"/>
        <w:spacing w:before="0" w:after="0" w:line="469" w:lineRule="exact"/>
        <w:ind w:left="0" w:right="0" w:firstLine="420"/>
        <w:jc w:val="both"/>
      </w:pPr>
      <w:bookmarkStart w:id="642" w:name="bookmark642"/>
      <w:r>
        <w:rPr>
          <w:color w:val="000000"/>
          <w:spacing w:val="0"/>
          <w:w w:val="100"/>
          <w:position w:val="0"/>
        </w:rPr>
        <w:t>（</w:t>
      </w:r>
      <w:bookmarkEnd w:id="642"/>
      <w:r>
        <w:rPr>
          <w:color w:val="000000"/>
          <w:spacing w:val="0"/>
          <w:w w:val="100"/>
          <w:position w:val="0"/>
        </w:rPr>
        <w:t>一）股东与股东大会</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公司严格遵守《公司法》、《上市公司治理准则》等法规和公司《章程》、《股东大会议事规则》的 规定和要求，规范执行股东大会的召集、召开、表决程序，请见证律师进行了全程现场见证并出具了法律 意见书，确保会议全部程序符合相关法律法规的规定、出席会议人员和召集人的资格有效，表决程序和表 决结果合法有效。公司对股东大会中每一项需要审议的事项均安排充裕的时间给股东发表意见，保证了全 体股东，特别是中小股东享有平等地位、平等权利，充分行使自己的权利，并承担相应的义务。</w:t>
      </w:r>
    </w:p>
    <w:p>
      <w:pPr>
        <w:pStyle w:val="Style47"/>
        <w:keepNext w:val="0"/>
        <w:keepLines w:val="0"/>
        <w:widowControl w:val="0"/>
        <w:shd w:val="clear" w:color="auto" w:fill="auto"/>
        <w:bidi w:val="0"/>
        <w:spacing w:before="0" w:after="360" w:line="469" w:lineRule="exact"/>
        <w:ind w:left="0" w:right="0" w:firstLine="420"/>
        <w:jc w:val="both"/>
        <w:sectPr>
          <w:headerReference w:type="default" r:id="rId187"/>
          <w:footerReference w:type="default" r:id="rId188"/>
          <w:headerReference w:type="even" r:id="rId189"/>
          <w:footerReference w:type="even" r:id="rId190"/>
          <w:footnotePr>
            <w:pos w:val="pageBottom"/>
            <w:numFmt w:val="decimal"/>
            <w:numRestart w:val="continuous"/>
          </w:footnotePr>
          <w:type w:val="continuous"/>
          <w:pgSz w:w="11900" w:h="16840"/>
          <w:pgMar w:top="1436" w:right="1095" w:bottom="1546" w:left="1071" w:header="0" w:footer="3" w:gutter="0"/>
          <w:cols w:space="720"/>
          <w:noEndnote/>
          <w:rtlGutter w:val="0"/>
          <w:docGrid w:linePitch="360"/>
        </w:sectPr>
      </w:pPr>
      <w:r>
        <w:rPr>
          <w:color w:val="000000"/>
          <w:spacing w:val="0"/>
          <w:w w:val="100"/>
          <w:position w:val="0"/>
        </w:rPr>
        <w:t>报告期内，公司共召开了</w:t>
      </w:r>
      <w:r>
        <w:rPr>
          <w:rFonts w:ascii="Times New Roman" w:eastAsia="Times New Roman" w:hAnsi="Times New Roman" w:cs="Times New Roman"/>
          <w:color w:val="000000"/>
          <w:spacing w:val="0"/>
          <w:w w:val="100"/>
          <w:position w:val="0"/>
        </w:rPr>
        <w:t>3</w:t>
      </w:r>
      <w:r>
        <w:rPr>
          <w:color w:val="000000"/>
          <w:spacing w:val="0"/>
          <w:w w:val="100"/>
          <w:position w:val="0"/>
        </w:rPr>
        <w:t>次股东大会，均由董事会召集，审议并通过议案共计</w:t>
      </w:r>
      <w:r>
        <w:rPr>
          <w:rFonts w:ascii="Times New Roman" w:eastAsia="Times New Roman" w:hAnsi="Times New Roman" w:cs="Times New Roman"/>
          <w:color w:val="000000"/>
          <w:spacing w:val="0"/>
          <w:w w:val="100"/>
          <w:position w:val="0"/>
        </w:rPr>
        <w:t>14</w:t>
      </w:r>
      <w:r>
        <w:rPr>
          <w:color w:val="000000"/>
          <w:spacing w:val="0"/>
          <w:w w:val="100"/>
          <w:position w:val="0"/>
        </w:rPr>
        <w:t>项。其中</w:t>
      </w:r>
      <w:r>
        <w:rPr>
          <w:rFonts w:ascii="Times New Roman" w:eastAsia="Times New Roman" w:hAnsi="Times New Roman" w:cs="Times New Roman"/>
          <w:color w:val="000000"/>
          <w:spacing w:val="0"/>
          <w:w w:val="100"/>
          <w:position w:val="0"/>
        </w:rPr>
        <w:t>2020</w:t>
      </w:r>
      <w:r>
        <w:rPr>
          <w:color w:val="000000"/>
          <w:spacing w:val="0"/>
          <w:w w:val="100"/>
          <w:position w:val="0"/>
        </w:rPr>
        <w:t>年第 二次临时股东大会，审议通过了《关于选举杨建华、赵自强为非独立董事的议案》、《关于修订公司章程 的议案》、《关于修订〈募集资金管理制度〉和〈信息披露管理办法〉的议案》，完成了因非独立董事索</w:t>
      </w:r>
    </w:p>
    <w:p>
      <w:pPr>
        <w:pStyle w:val="Style47"/>
        <w:keepNext w:val="0"/>
        <w:keepLines w:val="0"/>
        <w:widowControl w:val="0"/>
        <w:shd w:val="clear" w:color="auto" w:fill="auto"/>
        <w:bidi w:val="0"/>
        <w:spacing w:before="0" w:after="0" w:line="468" w:lineRule="exact"/>
        <w:ind w:left="0" w:right="0" w:firstLine="0"/>
        <w:jc w:val="both"/>
      </w:pPr>
      <w:r>
        <w:rPr>
          <w:color w:val="000000"/>
          <w:spacing w:val="0"/>
          <w:w w:val="100"/>
          <w:position w:val="0"/>
        </w:rPr>
        <w:t>继栓、杨红梅辞职而进行的新董事会成员选举，并根据《公司法》、《上市公司治理准则》的新要求对公 司《章程》及相关制度做了相应修改完善。</w:t>
      </w:r>
    </w:p>
    <w:p>
      <w:pPr>
        <w:pStyle w:val="Style47"/>
        <w:keepNext w:val="0"/>
        <w:keepLines w:val="0"/>
        <w:widowControl w:val="0"/>
        <w:shd w:val="clear" w:color="auto" w:fill="auto"/>
        <w:tabs>
          <w:tab w:pos="977" w:val="left"/>
        </w:tabs>
        <w:bidi w:val="0"/>
        <w:spacing w:before="0" w:after="0" w:line="468" w:lineRule="exact"/>
        <w:ind w:left="0" w:right="0" w:firstLine="420"/>
        <w:jc w:val="both"/>
      </w:pPr>
      <w:bookmarkStart w:id="643" w:name="bookmark643"/>
      <w:r>
        <w:rPr>
          <w:color w:val="000000"/>
          <w:spacing w:val="0"/>
          <w:w w:val="100"/>
          <w:position w:val="0"/>
        </w:rPr>
        <w:t>（</w:t>
      </w:r>
      <w:bookmarkEnd w:id="643"/>
      <w:r>
        <w:rPr>
          <w:color w:val="000000"/>
          <w:spacing w:val="0"/>
          <w:w w:val="100"/>
          <w:position w:val="0"/>
        </w:rPr>
        <w:t>二）</w:t>
        <w:tab/>
        <w:t>关联交易、对外投资、对外担保</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为更好地规范公司运作，严格执行相关法律法规和公司《关联交易管理制度》、《对外投资管理制度》、 《对外担保制度》的要求，加强对关联交易、对外投资、担保决策与披露的监督，确保合法合规。报告期 内，公司无对外投资、担保事项，涉及关联交易事项均按照相关监管规则和公司制度履行了相关决策程序。</w:t>
      </w:r>
    </w:p>
    <w:p>
      <w:pPr>
        <w:pStyle w:val="Style47"/>
        <w:keepNext w:val="0"/>
        <w:keepLines w:val="0"/>
        <w:widowControl w:val="0"/>
        <w:shd w:val="clear" w:color="auto" w:fill="auto"/>
        <w:tabs>
          <w:tab w:pos="977" w:val="left"/>
        </w:tabs>
        <w:bidi w:val="0"/>
        <w:spacing w:before="0" w:after="0" w:line="468" w:lineRule="exact"/>
        <w:ind w:left="0" w:right="0" w:firstLine="420"/>
        <w:jc w:val="both"/>
      </w:pPr>
      <w:bookmarkStart w:id="644" w:name="bookmark644"/>
      <w:r>
        <w:rPr>
          <w:color w:val="000000"/>
          <w:spacing w:val="0"/>
          <w:w w:val="100"/>
          <w:position w:val="0"/>
        </w:rPr>
        <w:t>（</w:t>
      </w:r>
      <w:bookmarkEnd w:id="644"/>
      <w:r>
        <w:rPr>
          <w:color w:val="000000"/>
          <w:spacing w:val="0"/>
          <w:w w:val="100"/>
          <w:position w:val="0"/>
        </w:rPr>
        <w:t>三）</w:t>
        <w:tab/>
        <w:t>董事与董事会</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公司董事会设董事</w:t>
      </w:r>
      <w:r>
        <w:rPr>
          <w:rFonts w:ascii="Times New Roman" w:eastAsia="Times New Roman" w:hAnsi="Times New Roman" w:cs="Times New Roman"/>
          <w:color w:val="000000"/>
          <w:spacing w:val="0"/>
          <w:w w:val="100"/>
          <w:position w:val="0"/>
        </w:rPr>
        <w:t>9</w:t>
      </w:r>
      <w:r>
        <w:rPr>
          <w:color w:val="000000"/>
          <w:spacing w:val="0"/>
          <w:w w:val="100"/>
          <w:position w:val="0"/>
        </w:rPr>
        <w:t>名，其中独立董事</w:t>
      </w:r>
      <w:r>
        <w:rPr>
          <w:rFonts w:ascii="Times New Roman" w:eastAsia="Times New Roman" w:hAnsi="Times New Roman" w:cs="Times New Roman"/>
          <w:color w:val="000000"/>
          <w:spacing w:val="0"/>
          <w:w w:val="100"/>
          <w:position w:val="0"/>
        </w:rPr>
        <w:t>3</w:t>
      </w:r>
      <w:r>
        <w:rPr>
          <w:color w:val="000000"/>
          <w:spacing w:val="0"/>
          <w:w w:val="100"/>
          <w:position w:val="0"/>
        </w:rPr>
        <w:t>名，董事选聘程序、董事会人数及人员构成均符合法律、法规 和公司《章程》的要求。报告期内，董事会成员变动情况详见本报告第九节之</w:t>
      </w:r>
      <w:r>
        <w:rPr>
          <w:rFonts w:ascii="Times New Roman" w:eastAsia="Times New Roman" w:hAnsi="Times New Roman" w:cs="Times New Roman"/>
          <w:color w:val="000000"/>
          <w:spacing w:val="0"/>
          <w:w w:val="100"/>
          <w:position w:val="0"/>
        </w:rPr>
        <w:t>“</w:t>
      </w:r>
      <w:r>
        <w:rPr>
          <w:color w:val="000000"/>
          <w:spacing w:val="0"/>
          <w:w w:val="100"/>
          <w:position w:val="0"/>
        </w:rPr>
        <w:t>二、公司董事、监事、高 级管理人员变动情况公司全体董事能够依照公司《深圳证券交易所创业板上市公司规范运作指引》、</w:t>
      </w:r>
    </w:p>
    <w:p>
      <w:pPr>
        <w:pStyle w:val="Style47"/>
        <w:keepNext w:val="0"/>
        <w:keepLines w:val="0"/>
        <w:widowControl w:val="0"/>
        <w:shd w:val="clear" w:color="auto" w:fill="auto"/>
        <w:bidi w:val="0"/>
        <w:spacing w:before="0" w:after="0" w:line="468" w:lineRule="exact"/>
        <w:ind w:left="0" w:right="0" w:firstLine="0"/>
        <w:jc w:val="both"/>
      </w:pPr>
      <w:r>
        <w:rPr>
          <w:color w:val="000000"/>
          <w:spacing w:val="0"/>
          <w:w w:val="100"/>
          <w:position w:val="0"/>
        </w:rPr>
        <w:t xml:space="preserve">《董事会议事规则》、《独立董事工作制度》规范地开展工作，勤勉尽责，积极履行职责和义务，按时出 席董事会和股东大会，坚持参加有关培训，学习法律法规及各类规范指引的要求，推进公司规范运作。报 告期内，公司共召开了 </w:t>
      </w:r>
      <w:r>
        <w:rPr>
          <w:rFonts w:ascii="Times New Roman" w:eastAsia="Times New Roman" w:hAnsi="Times New Roman" w:cs="Times New Roman"/>
          <w:color w:val="000000"/>
          <w:spacing w:val="0"/>
          <w:w w:val="100"/>
          <w:position w:val="0"/>
        </w:rPr>
        <w:t>8</w:t>
      </w:r>
      <w:r>
        <w:rPr>
          <w:color w:val="000000"/>
          <w:spacing w:val="0"/>
          <w:w w:val="100"/>
          <w:position w:val="0"/>
        </w:rPr>
        <w:t>次董事会会议，审议并通过议案共计</w:t>
      </w:r>
      <w:r>
        <w:rPr>
          <w:rFonts w:ascii="Times New Roman" w:eastAsia="Times New Roman" w:hAnsi="Times New Roman" w:cs="Times New Roman"/>
          <w:color w:val="000000"/>
          <w:spacing w:val="0"/>
          <w:w w:val="100"/>
          <w:position w:val="0"/>
        </w:rPr>
        <w:t>83</w:t>
      </w:r>
      <w:r>
        <w:rPr>
          <w:color w:val="000000"/>
          <w:spacing w:val="0"/>
          <w:w w:val="100"/>
          <w:position w:val="0"/>
        </w:rPr>
        <w:t>项。</w:t>
      </w:r>
    </w:p>
    <w:p>
      <w:pPr>
        <w:pStyle w:val="Style47"/>
        <w:keepNext w:val="0"/>
        <w:keepLines w:val="0"/>
        <w:widowControl w:val="0"/>
        <w:shd w:val="clear" w:color="auto" w:fill="auto"/>
        <w:tabs>
          <w:tab w:pos="997" w:val="left"/>
        </w:tabs>
        <w:bidi w:val="0"/>
        <w:spacing w:before="0" w:after="0" w:line="468" w:lineRule="exact"/>
        <w:ind w:left="0" w:right="0" w:firstLine="440"/>
        <w:jc w:val="both"/>
      </w:pPr>
      <w:bookmarkStart w:id="645" w:name="bookmark645"/>
      <w:r>
        <w:rPr>
          <w:color w:val="000000"/>
          <w:spacing w:val="0"/>
          <w:w w:val="100"/>
          <w:position w:val="0"/>
        </w:rPr>
        <w:t>（</w:t>
      </w:r>
      <w:bookmarkEnd w:id="645"/>
      <w:r>
        <w:rPr>
          <w:color w:val="000000"/>
          <w:spacing w:val="0"/>
          <w:w w:val="100"/>
          <w:position w:val="0"/>
        </w:rPr>
        <w:t>四）</w:t>
        <w:tab/>
        <w:t>监事与监事会</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公司监事会由</w:t>
      </w:r>
      <w:r>
        <w:rPr>
          <w:rFonts w:ascii="Times New Roman" w:eastAsia="Times New Roman" w:hAnsi="Times New Roman" w:cs="Times New Roman"/>
          <w:color w:val="000000"/>
          <w:spacing w:val="0"/>
          <w:w w:val="100"/>
          <w:position w:val="0"/>
        </w:rPr>
        <w:t>3</w:t>
      </w:r>
      <w:r>
        <w:rPr>
          <w:color w:val="000000"/>
          <w:spacing w:val="0"/>
          <w:w w:val="100"/>
          <w:position w:val="0"/>
        </w:rPr>
        <w:t>名监事组成，其中职工监事</w:t>
      </w:r>
      <w:r>
        <w:rPr>
          <w:rFonts w:ascii="Times New Roman" w:eastAsia="Times New Roman" w:hAnsi="Times New Roman" w:cs="Times New Roman"/>
          <w:color w:val="000000"/>
          <w:spacing w:val="0"/>
          <w:w w:val="100"/>
          <w:position w:val="0"/>
        </w:rPr>
        <w:t>1</w:t>
      </w:r>
      <w:r>
        <w:rPr>
          <w:color w:val="000000"/>
          <w:spacing w:val="0"/>
          <w:w w:val="100"/>
          <w:position w:val="0"/>
        </w:rPr>
        <w:t>名，监事会的人数和构成符合法律、法规和公司《章程》 的要求。报告期内，监事会成员变动情况详见本报告第九节之《二、公司董事、监事、高级管理人员变动 情况》。公司全体监事能够按照《监事会议事规则》的要求，认真履行职责，积极参加相关培训，对董事 会决策程序、决议事项、公司依法运作情况、公司董事和高级管理人员履行职责的合法合规性进行了有效 监督。对公司重大事项、关联交易、财务状况的合法合规性进行监督。报告期内，公司共召开了</w:t>
      </w:r>
      <w:r>
        <w:rPr>
          <w:rFonts w:ascii="Times New Roman" w:eastAsia="Times New Roman" w:hAnsi="Times New Roman" w:cs="Times New Roman"/>
          <w:color w:val="000000"/>
          <w:spacing w:val="0"/>
          <w:w w:val="100"/>
          <w:position w:val="0"/>
        </w:rPr>
        <w:t>6</w:t>
      </w:r>
      <w:r>
        <w:rPr>
          <w:color w:val="000000"/>
          <w:spacing w:val="0"/>
          <w:w w:val="100"/>
          <w:position w:val="0"/>
        </w:rPr>
        <w:t>次监事 会会议，审议并通过议案共计</w:t>
      </w:r>
      <w:r>
        <w:rPr>
          <w:rFonts w:ascii="Times New Roman" w:eastAsia="Times New Roman" w:hAnsi="Times New Roman" w:cs="Times New Roman"/>
          <w:color w:val="000000"/>
          <w:spacing w:val="0"/>
          <w:w w:val="100"/>
          <w:position w:val="0"/>
        </w:rPr>
        <w:t>34</w:t>
      </w:r>
      <w:r>
        <w:rPr>
          <w:color w:val="000000"/>
          <w:spacing w:val="0"/>
          <w:w w:val="100"/>
          <w:position w:val="0"/>
        </w:rPr>
        <w:t>项。</w:t>
      </w:r>
    </w:p>
    <w:p>
      <w:pPr>
        <w:pStyle w:val="Style47"/>
        <w:keepNext w:val="0"/>
        <w:keepLines w:val="0"/>
        <w:widowControl w:val="0"/>
        <w:shd w:val="clear" w:color="auto" w:fill="auto"/>
        <w:tabs>
          <w:tab w:pos="997" w:val="left"/>
        </w:tabs>
        <w:bidi w:val="0"/>
        <w:spacing w:before="0" w:after="0" w:line="468" w:lineRule="exact"/>
        <w:ind w:left="0" w:right="0" w:firstLine="440"/>
        <w:jc w:val="both"/>
      </w:pPr>
      <w:bookmarkStart w:id="646" w:name="bookmark646"/>
      <w:r>
        <w:rPr>
          <w:color w:val="000000"/>
          <w:spacing w:val="0"/>
          <w:w w:val="100"/>
          <w:position w:val="0"/>
        </w:rPr>
        <w:t>（</w:t>
      </w:r>
      <w:bookmarkEnd w:id="646"/>
      <w:r>
        <w:rPr>
          <w:color w:val="000000"/>
          <w:spacing w:val="0"/>
          <w:w w:val="100"/>
          <w:position w:val="0"/>
        </w:rPr>
        <w:t>五）</w:t>
        <w:tab/>
        <w:t>绩效评价和激励约束机制</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公司《章程》明确规定了董事、监事和高级管理人员的聘任、履职行为、权限和职责，报告期内，公 司严格执行《高管人员经营业绩考核暂行办法》、《董事、监事薪酬待遇管理办法》，按规定标准发放董 事、监事薪酬，对公司实施年薪制的高管人员采用定量与定性相结合的方式进行年度考评。董事会、监事 会、独立董事向股东大会报告年度工作情况、绩效评价结果及薪酬情况，并予以了披露，做到了公正、透 明。</w:t>
      </w:r>
    </w:p>
    <w:p>
      <w:pPr>
        <w:pStyle w:val="Style47"/>
        <w:keepNext w:val="0"/>
        <w:keepLines w:val="0"/>
        <w:widowControl w:val="0"/>
        <w:shd w:val="clear" w:color="auto" w:fill="auto"/>
        <w:tabs>
          <w:tab w:pos="997" w:val="left"/>
        </w:tabs>
        <w:bidi w:val="0"/>
        <w:spacing w:before="0" w:after="0" w:line="468" w:lineRule="exact"/>
        <w:ind w:left="0" w:right="0" w:firstLine="440"/>
        <w:jc w:val="both"/>
      </w:pPr>
      <w:bookmarkStart w:id="647" w:name="bookmark647"/>
      <w:r>
        <w:rPr>
          <w:color w:val="000000"/>
          <w:spacing w:val="0"/>
          <w:w w:val="100"/>
          <w:position w:val="0"/>
        </w:rPr>
        <w:t>（</w:t>
      </w:r>
      <w:bookmarkEnd w:id="647"/>
      <w:r>
        <w:rPr>
          <w:color w:val="000000"/>
          <w:spacing w:val="0"/>
          <w:w w:val="100"/>
          <w:position w:val="0"/>
        </w:rPr>
        <w:t>六）</w:t>
        <w:tab/>
        <w:t>信息披露与透明度</w:t>
      </w:r>
    </w:p>
    <w:p>
      <w:pPr>
        <w:pStyle w:val="Style47"/>
        <w:keepNext w:val="0"/>
        <w:keepLines w:val="0"/>
        <w:widowControl w:val="0"/>
        <w:shd w:val="clear" w:color="auto" w:fill="auto"/>
        <w:bidi w:val="0"/>
        <w:spacing w:before="0" w:after="740" w:line="468" w:lineRule="exact"/>
        <w:ind w:left="0" w:right="0" w:firstLine="440"/>
        <w:jc w:val="both"/>
      </w:pPr>
      <w:r>
        <w:rPr>
          <w:color w:val="000000"/>
          <w:spacing w:val="0"/>
          <w:w w:val="100"/>
          <w:position w:val="0"/>
        </w:rPr>
        <w:t>公司高度重视投资者关系管理工作，严格执行《证券法》和《深圳证券交易所创业板股票上市规则》 等法规和公司《信息披露管理办法》、《投资者关系管理制度》等规定，指定公司董事会秘书负责信息披 露与投资者关系管理工作。报告期内，公司新颁布实施《信息披露暂缓与豁免业务管理制度》等</w:t>
      </w:r>
      <w:r>
        <w:rPr>
          <w:rFonts w:ascii="Times New Roman" w:eastAsia="Times New Roman" w:hAnsi="Times New Roman" w:cs="Times New Roman"/>
          <w:color w:val="000000"/>
          <w:spacing w:val="0"/>
          <w:w w:val="100"/>
          <w:position w:val="0"/>
        </w:rPr>
        <w:t>4</w:t>
      </w:r>
      <w:r>
        <w:rPr>
          <w:color w:val="000000"/>
          <w:spacing w:val="0"/>
          <w:w w:val="100"/>
          <w:position w:val="0"/>
        </w:rPr>
        <w:t>个基本</w:t>
      </w:r>
    </w:p>
    <w:p>
      <w:pPr>
        <w:pStyle w:val="Style83"/>
        <w:keepNext w:val="0"/>
        <w:keepLines w:val="0"/>
        <w:widowControl w:val="0"/>
        <w:shd w:val="clear" w:color="auto" w:fill="auto"/>
        <w:bidi w:val="0"/>
        <w:spacing w:before="0" w:after="0" w:line="240" w:lineRule="auto"/>
        <w:ind w:left="0" w:right="0" w:firstLine="0"/>
        <w:jc w:val="right"/>
        <w:rPr>
          <w:sz w:val="26"/>
          <w:szCs w:val="26"/>
        </w:rPr>
        <w:sectPr>
          <w:headerReference w:type="default" r:id="rId191"/>
          <w:footerReference w:type="default" r:id="rId192"/>
          <w:headerReference w:type="even" r:id="rId193"/>
          <w:footerReference w:type="even" r:id="rId194"/>
          <w:footnotePr>
            <w:pos w:val="pageBottom"/>
            <w:numFmt w:val="decimal"/>
            <w:numRestart w:val="continuous"/>
          </w:footnotePr>
          <w:pgSz w:w="11900" w:h="16840"/>
          <w:pgMar w:top="1321" w:right="1065" w:bottom="946"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7"/>
        <w:keepNext w:val="0"/>
        <w:keepLines w:val="0"/>
        <w:widowControl w:val="0"/>
        <w:shd w:val="clear" w:color="auto" w:fill="auto"/>
        <w:bidi w:val="0"/>
        <w:spacing w:before="0" w:after="0" w:line="468" w:lineRule="exact"/>
        <w:ind w:left="0" w:right="0" w:firstLine="0"/>
        <w:jc w:val="both"/>
      </w:pPr>
      <w:r>
        <w:rPr>
          <w:color w:val="000000"/>
          <w:spacing w:val="0"/>
          <w:w w:val="100"/>
          <w:position w:val="0"/>
        </w:rPr>
        <w:t>管理制度；根据监管机构要求及公司经营管理需要对公司《股东大会网络投票实施细则》、《募集资金管 理制度和信息披露管理办法》、《股东大会议事规则》等</w:t>
      </w:r>
      <w:r>
        <w:rPr>
          <w:rFonts w:ascii="Times New Roman" w:eastAsia="Times New Roman" w:hAnsi="Times New Roman" w:cs="Times New Roman"/>
          <w:color w:val="000000"/>
          <w:spacing w:val="0"/>
          <w:w w:val="100"/>
          <w:position w:val="0"/>
        </w:rPr>
        <w:t>5</w:t>
      </w:r>
      <w:r>
        <w:rPr>
          <w:color w:val="000000"/>
          <w:spacing w:val="0"/>
          <w:w w:val="100"/>
          <w:position w:val="0"/>
        </w:rPr>
        <w:t>个基本管理制度进行了修订，对完善公司治理 和规范经营，有效防控经营风险提供了制度保障。</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公司高度重视内幕信息管理，加强内幕信息保密工作，维护信息披露公开、公平、公正，保护广大投 资者的合法权益。报告期内，公司在内幕信息知情人的管理方面，严格遵照相关法律法规指引及公司《内 幕信息知情人管理制度》，坚持</w:t>
      </w:r>
      <w:r>
        <w:rPr>
          <w:rFonts w:ascii="Times New Roman" w:eastAsia="Times New Roman" w:hAnsi="Times New Roman" w:cs="Times New Roman"/>
          <w:color w:val="000000"/>
          <w:spacing w:val="0"/>
          <w:w w:val="100"/>
          <w:position w:val="0"/>
        </w:rPr>
        <w:t>“</w:t>
      </w:r>
      <w:r>
        <w:rPr>
          <w:color w:val="000000"/>
          <w:spacing w:val="0"/>
          <w:w w:val="100"/>
          <w:position w:val="0"/>
        </w:rPr>
        <w:t>一事一记</w:t>
      </w:r>
      <w:r>
        <w:rPr>
          <w:color w:val="000000"/>
          <w:spacing w:val="0"/>
          <w:w w:val="100"/>
          <w:position w:val="0"/>
        </w:rPr>
        <w:t>''</w:t>
      </w:r>
      <w:r>
        <w:rPr>
          <w:color w:val="000000"/>
          <w:spacing w:val="0"/>
          <w:w w:val="100"/>
          <w:position w:val="0"/>
        </w:rPr>
        <w:t>原则，及时做好每次定期报告与重大事项保密义务通知及内幕 信息知情人档案登记工作；对在定期报告前对外报送信息的情况，将所报送的外部单位相关人员列入了内 幕知情人备案范围。所有登记信息均按照深交所要求，做到详细、完整，符合规范，不存在不真实、不准 确、不完整、不及时现象，有效控制了内幕交易风险。</w:t>
      </w:r>
    </w:p>
    <w:p>
      <w:pPr>
        <w:pStyle w:val="Style47"/>
        <w:keepNext w:val="0"/>
        <w:keepLines w:val="0"/>
        <w:widowControl w:val="0"/>
        <w:shd w:val="clear" w:color="auto" w:fill="auto"/>
        <w:tabs>
          <w:tab w:pos="949" w:val="left"/>
        </w:tabs>
        <w:bidi w:val="0"/>
        <w:spacing w:before="0" w:after="0" w:line="468" w:lineRule="exact"/>
        <w:ind w:left="0" w:right="0" w:firstLine="420"/>
        <w:jc w:val="both"/>
      </w:pPr>
      <w:bookmarkStart w:id="648" w:name="bookmark648"/>
      <w:r>
        <w:rPr>
          <w:color w:val="000000"/>
          <w:spacing w:val="0"/>
          <w:w w:val="100"/>
          <w:position w:val="0"/>
        </w:rPr>
        <w:t>（</w:t>
      </w:r>
      <w:bookmarkEnd w:id="648"/>
      <w:r>
        <w:rPr>
          <w:color w:val="000000"/>
          <w:spacing w:val="0"/>
          <w:w w:val="100"/>
          <w:position w:val="0"/>
        </w:rPr>
        <w:t>七）</w:t>
        <w:tab/>
        <w:t>投资者关系</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公司通过与投资者之间保持良好的双向沟通，促进投资者对公司的了解和认同，确保所有股东有公平 获得信息的机会，保障投资者的知情权。公司还通过深交所互动易平台、投资者专线电话、新闻媒体、网 站专栏、现场接待等渠道（方式）与各类投资者、中介机构的行研人员及中小投资者保持经常性联系，方 便投资者及时知悉、查询和咨询公司信息。按时公布公司定期报告，并制作出印刷版存放在公司证券事务 管理部门供投资者查阅。公司在报告期内通过</w:t>
      </w:r>
      <w:r>
        <w:rPr>
          <w:rFonts w:ascii="Times New Roman" w:eastAsia="Times New Roman" w:hAnsi="Times New Roman" w:cs="Times New Roman"/>
          <w:color w:val="000000"/>
          <w:spacing w:val="0"/>
          <w:w w:val="100"/>
          <w:position w:val="0"/>
        </w:rPr>
        <w:t>“</w:t>
      </w:r>
      <w:r>
        <w:rPr>
          <w:color w:val="000000"/>
          <w:spacing w:val="0"/>
          <w:w w:val="100"/>
          <w:position w:val="0"/>
        </w:rPr>
        <w:t>互动易''平台收到有效提问</w:t>
      </w:r>
      <w:r>
        <w:rPr>
          <w:rFonts w:ascii="Times New Roman" w:eastAsia="Times New Roman" w:hAnsi="Times New Roman" w:cs="Times New Roman"/>
          <w:color w:val="000000"/>
          <w:spacing w:val="0"/>
          <w:w w:val="100"/>
          <w:position w:val="0"/>
        </w:rPr>
        <w:t>237</w:t>
      </w:r>
      <w:r>
        <w:rPr>
          <w:color w:val="000000"/>
          <w:spacing w:val="0"/>
          <w:w w:val="100"/>
          <w:position w:val="0"/>
        </w:rPr>
        <w:t>条，在第一时间做了客观、耐 心的答复，回复率</w:t>
      </w:r>
      <w:r>
        <w:rPr>
          <w:rFonts w:ascii="Times New Roman" w:eastAsia="Times New Roman" w:hAnsi="Times New Roman" w:cs="Times New Roman"/>
          <w:color w:val="000000"/>
          <w:spacing w:val="0"/>
          <w:w w:val="100"/>
          <w:position w:val="0"/>
        </w:rPr>
        <w:t>100%</w:t>
      </w:r>
      <w:r>
        <w:rPr>
          <w:color w:val="000000"/>
          <w:spacing w:val="0"/>
          <w:w w:val="100"/>
          <w:position w:val="0"/>
        </w:rPr>
        <w:t>。热情、周到地接听投资者专线电话</w:t>
      </w:r>
      <w:r>
        <w:rPr>
          <w:rFonts w:ascii="Times New Roman" w:eastAsia="Times New Roman" w:hAnsi="Times New Roman" w:cs="Times New Roman"/>
          <w:color w:val="000000"/>
          <w:spacing w:val="0"/>
          <w:w w:val="100"/>
          <w:position w:val="0"/>
        </w:rPr>
        <w:t>450</w:t>
      </w:r>
      <w:r>
        <w:rPr>
          <w:color w:val="000000"/>
          <w:spacing w:val="0"/>
          <w:w w:val="100"/>
          <w:position w:val="0"/>
        </w:rPr>
        <w:t>人次，筹备举办年度业绩说明会</w:t>
      </w:r>
      <w:r>
        <w:rPr>
          <w:rFonts w:ascii="Times New Roman" w:eastAsia="Times New Roman" w:hAnsi="Times New Roman" w:cs="Times New Roman"/>
          <w:color w:val="000000"/>
          <w:spacing w:val="0"/>
          <w:w w:val="100"/>
          <w:position w:val="0"/>
        </w:rPr>
        <w:t>1</w:t>
      </w:r>
      <w:r>
        <w:rPr>
          <w:color w:val="000000"/>
          <w:spacing w:val="0"/>
          <w:w w:val="100"/>
          <w:position w:val="0"/>
        </w:rPr>
        <w:t>次，接待 投资机构线上调研</w:t>
      </w:r>
      <w:r>
        <w:rPr>
          <w:rFonts w:ascii="Times New Roman" w:eastAsia="Times New Roman" w:hAnsi="Times New Roman" w:cs="Times New Roman"/>
          <w:color w:val="000000"/>
          <w:spacing w:val="0"/>
          <w:w w:val="100"/>
          <w:position w:val="0"/>
        </w:rPr>
        <w:t>1</w:t>
      </w:r>
      <w:r>
        <w:rPr>
          <w:color w:val="000000"/>
          <w:spacing w:val="0"/>
          <w:w w:val="100"/>
          <w:position w:val="0"/>
        </w:rPr>
        <w:t>次，投资者网上集体接待日</w:t>
      </w:r>
      <w:r>
        <w:rPr>
          <w:rFonts w:ascii="Times New Roman" w:eastAsia="Times New Roman" w:hAnsi="Times New Roman" w:cs="Times New Roman"/>
          <w:color w:val="000000"/>
          <w:spacing w:val="0"/>
          <w:w w:val="100"/>
          <w:position w:val="0"/>
        </w:rPr>
        <w:t>1</w:t>
      </w:r>
      <w:r>
        <w:rPr>
          <w:color w:val="000000"/>
          <w:spacing w:val="0"/>
          <w:w w:val="100"/>
          <w:position w:val="0"/>
        </w:rPr>
        <w:t>次，客观、耐心地回答各种提问，未出现投资者投诉情况, 也未发生因信息披露不规范而受到监管部门批评的情形。</w:t>
      </w:r>
    </w:p>
    <w:p>
      <w:pPr>
        <w:pStyle w:val="Style47"/>
        <w:keepNext w:val="0"/>
        <w:keepLines w:val="0"/>
        <w:widowControl w:val="0"/>
        <w:shd w:val="clear" w:color="auto" w:fill="auto"/>
        <w:tabs>
          <w:tab w:pos="949" w:val="left"/>
        </w:tabs>
        <w:bidi w:val="0"/>
        <w:spacing w:before="0" w:after="0" w:line="468" w:lineRule="exact"/>
        <w:ind w:left="0" w:right="0" w:firstLine="420"/>
        <w:jc w:val="both"/>
      </w:pPr>
      <w:bookmarkStart w:id="649" w:name="bookmark649"/>
      <w:r>
        <w:rPr>
          <w:color w:val="000000"/>
          <w:spacing w:val="0"/>
          <w:w w:val="100"/>
          <w:position w:val="0"/>
        </w:rPr>
        <w:t>（</w:t>
      </w:r>
      <w:bookmarkEnd w:id="649"/>
      <w:r>
        <w:rPr>
          <w:color w:val="000000"/>
          <w:spacing w:val="0"/>
          <w:w w:val="100"/>
          <w:position w:val="0"/>
        </w:rPr>
        <w:t>八）</w:t>
        <w:tab/>
        <w:t>相关利益者</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公司充分尊重和维护相关利益者的合法权益，实现公司与客户、供应商、员工、股东、监管机构、政 府相关部门、社会相关方面等各方利益的协调平衡，加强与各方的沟通与交流，共同推动公司持续、稳健 发展。公司高度重视精准扶贫工作，每年均制定年度计划，认真部署，扎实推进，力争取得实效。同时， 力所能及地参与社会公益事业，特别是在新冠疫情期间，积极投身科技抗疫，在做好员工自身防护的同时, 第一时间响应客户需求，实现现场业务支撑不间断；运用大数据统计、数据深度挖掘分析等技术为地方政 府做好疫情阻击防控和辅助应急指挥决策、复工复产经济监测等起到积极作用，展现了国有上市企业应有 的社会担当和责任。</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公司治理的实际状况与中国证监会发布的有关上市公司治理的规范性文件是否存在重大差异</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after="1480" w:line="240" w:lineRule="auto"/>
        <w:ind w:left="0" w:right="0" w:firstLine="0"/>
        <w:jc w:val="left"/>
      </w:pPr>
      <w:r>
        <w:rPr>
          <w:color w:val="000000"/>
          <w:spacing w:val="0"/>
          <w:w w:val="100"/>
          <w:position w:val="0"/>
        </w:rPr>
        <w:t>公司治理的实际状况与中国证监会发布的有关上市公司治理的规范性文件不存在重大差异。</w:t>
      </w:r>
    </w:p>
    <w:p>
      <w:pPr>
        <w:pStyle w:val="Style83"/>
        <w:keepNext w:val="0"/>
        <w:keepLines w:val="0"/>
        <w:widowControl w:val="0"/>
        <w:shd w:val="clear" w:color="auto" w:fill="auto"/>
        <w:bidi w:val="0"/>
        <w:spacing w:before="0" w:after="160" w:line="240" w:lineRule="auto"/>
        <w:ind w:left="0" w:right="0" w:firstLine="0"/>
        <w:jc w:val="right"/>
        <w:rPr>
          <w:sz w:val="26"/>
          <w:szCs w:val="26"/>
        </w:rPr>
        <w:sectPr>
          <w:footnotePr>
            <w:pos w:val="pageBottom"/>
            <w:numFmt w:val="decimal"/>
            <w:numRestart w:val="continuous"/>
          </w:footnotePr>
          <w:pgSz w:w="11900" w:h="16840"/>
          <w:pgMar w:top="1326" w:right="1065" w:bottom="946" w:left="110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33"/>
        <w:keepNext/>
        <w:keepLines/>
        <w:widowControl w:val="0"/>
        <w:shd w:val="clear" w:color="auto" w:fill="auto"/>
        <w:bidi w:val="0"/>
        <w:spacing w:before="0" w:after="200" w:line="240" w:lineRule="auto"/>
        <w:ind w:left="0" w:right="0" w:firstLine="0"/>
        <w:jc w:val="left"/>
      </w:pPr>
      <w:bookmarkStart w:id="650" w:name="bookmark650"/>
      <w:bookmarkStart w:id="651" w:name="bookmark651"/>
      <w:bookmarkStart w:id="652" w:name="bookmark652"/>
      <w:bookmarkStart w:id="653" w:name="bookmark653"/>
      <w:r>
        <w:rPr>
          <w:color w:val="000000"/>
          <w:spacing w:val="0"/>
          <w:w w:val="100"/>
          <w:position w:val="0"/>
          <w:sz w:val="24"/>
          <w:szCs w:val="24"/>
        </w:rPr>
        <w:t>二</w:t>
      </w:r>
      <w:bookmarkEnd w:id="652"/>
      <w:r>
        <w:rPr>
          <w:color w:val="000000"/>
          <w:spacing w:val="0"/>
          <w:w w:val="100"/>
          <w:position w:val="0"/>
          <w:sz w:val="24"/>
          <w:szCs w:val="24"/>
        </w:rPr>
        <w:t>、公司相对于控股股东在业务、人员、资产、机构、财务等方面的独立情况</w:t>
      </w:r>
      <w:bookmarkEnd w:id="650"/>
      <w:bookmarkEnd w:id="651"/>
      <w:bookmarkEnd w:id="653"/>
    </w:p>
    <w:p>
      <w:pPr>
        <w:pStyle w:val="Style47"/>
        <w:keepNext w:val="0"/>
        <w:keepLines w:val="0"/>
        <w:widowControl w:val="0"/>
        <w:shd w:val="clear" w:color="auto" w:fill="auto"/>
        <w:tabs>
          <w:tab w:pos="977" w:val="left"/>
        </w:tabs>
        <w:bidi w:val="0"/>
        <w:spacing w:before="0" w:after="0" w:line="469" w:lineRule="exact"/>
        <w:ind w:left="0" w:right="0" w:firstLine="440"/>
        <w:jc w:val="both"/>
      </w:pPr>
      <w:bookmarkStart w:id="654" w:name="bookmark654"/>
      <w:r>
        <w:rPr>
          <w:color w:val="000000"/>
          <w:spacing w:val="0"/>
          <w:w w:val="100"/>
          <w:position w:val="0"/>
        </w:rPr>
        <w:t>（</w:t>
      </w:r>
      <w:bookmarkEnd w:id="654"/>
      <w:r>
        <w:rPr>
          <w:color w:val="000000"/>
          <w:spacing w:val="0"/>
          <w:w w:val="100"/>
          <w:position w:val="0"/>
        </w:rPr>
        <w:t>一）</w:t>
        <w:tab/>
        <w:t>业务独立情况</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报告期内，公司主营业务突出，拥有独立完整的研发、采购、实施和销售业务体系，独立采购所需原 材料，独立组织项目实施，独立销售产品和提供售后服务。不存在依赖股东及其他关联方的情况，与控股 股东不存在同业竞争情况。</w:t>
      </w:r>
    </w:p>
    <w:p>
      <w:pPr>
        <w:pStyle w:val="Style47"/>
        <w:keepNext w:val="0"/>
        <w:keepLines w:val="0"/>
        <w:widowControl w:val="0"/>
        <w:shd w:val="clear" w:color="auto" w:fill="auto"/>
        <w:tabs>
          <w:tab w:pos="977" w:val="left"/>
        </w:tabs>
        <w:bidi w:val="0"/>
        <w:spacing w:before="0" w:after="0" w:line="469" w:lineRule="exact"/>
        <w:ind w:left="0" w:right="0" w:firstLine="440"/>
        <w:jc w:val="both"/>
      </w:pPr>
      <w:bookmarkStart w:id="655" w:name="bookmark655"/>
      <w:r>
        <w:rPr>
          <w:color w:val="000000"/>
          <w:spacing w:val="0"/>
          <w:w w:val="100"/>
          <w:position w:val="0"/>
        </w:rPr>
        <w:t>（</w:t>
      </w:r>
      <w:bookmarkEnd w:id="655"/>
      <w:r>
        <w:rPr>
          <w:color w:val="000000"/>
          <w:spacing w:val="0"/>
          <w:w w:val="100"/>
          <w:position w:val="0"/>
        </w:rPr>
        <w:t>二）</w:t>
        <w:tab/>
        <w:t>人员独立情况</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公司与全体在册职工分别签定了劳动合同，员工的劳动、人事、工资关系与控股股东及其关联方完全 分离；公司董事长、副董事长、监事会主席、总经理、副总经理、财务负责人及董事会秘书等高级管理人 员均专职在公司工作并领取薪酬，没有在控股股东及其关联方中担任职务，没有在关联方领薪；公司的财 务人员没有在控股股东及其关联方中兼职。公司董事、监事及高级管理人员的任职，均严格按照《公司法》 及其他法律、法规、规范性文件和公司章程规定的程序推选和任免，不存在股东超越公司股东大会和董事 会做出人事任免决定的情况。</w:t>
      </w:r>
    </w:p>
    <w:p>
      <w:pPr>
        <w:pStyle w:val="Style47"/>
        <w:keepNext w:val="0"/>
        <w:keepLines w:val="0"/>
        <w:widowControl w:val="0"/>
        <w:shd w:val="clear" w:color="auto" w:fill="auto"/>
        <w:tabs>
          <w:tab w:pos="977" w:val="left"/>
        </w:tabs>
        <w:bidi w:val="0"/>
        <w:spacing w:before="0" w:after="0" w:line="469" w:lineRule="exact"/>
        <w:ind w:left="0" w:right="0" w:firstLine="440"/>
        <w:jc w:val="both"/>
      </w:pPr>
      <w:bookmarkStart w:id="656" w:name="bookmark656"/>
      <w:r>
        <w:rPr>
          <w:color w:val="000000"/>
          <w:spacing w:val="0"/>
          <w:w w:val="100"/>
          <w:position w:val="0"/>
        </w:rPr>
        <w:t>（</w:t>
      </w:r>
      <w:bookmarkEnd w:id="656"/>
      <w:r>
        <w:rPr>
          <w:color w:val="000000"/>
          <w:spacing w:val="0"/>
          <w:w w:val="100"/>
          <w:position w:val="0"/>
        </w:rPr>
        <w:t>三）</w:t>
        <w:tab/>
        <w:t>资产独立情况</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公司拥有独立完整的采购、实施、销售系统及辅助运营设施，与经营相关的房产等固定资产、土地使 用权以及商标、专利等无形资产的权属均为公司所有，不存在控股股东及其关联方违规占用公司资金、资 产和其他资源的情形，不存在以承包、委托经营、租赁或其他类似方式依赖控股股东及其关联方进行经营 的情况，与经营有关的业务体系及主要相关资产不存在产权界定不清晰的情况。</w:t>
      </w:r>
    </w:p>
    <w:p>
      <w:pPr>
        <w:pStyle w:val="Style47"/>
        <w:keepNext w:val="0"/>
        <w:keepLines w:val="0"/>
        <w:widowControl w:val="0"/>
        <w:shd w:val="clear" w:color="auto" w:fill="auto"/>
        <w:tabs>
          <w:tab w:pos="977" w:val="left"/>
        </w:tabs>
        <w:bidi w:val="0"/>
        <w:spacing w:before="0" w:after="0" w:line="469" w:lineRule="exact"/>
        <w:ind w:left="0" w:right="0" w:firstLine="440"/>
        <w:jc w:val="both"/>
      </w:pPr>
      <w:bookmarkStart w:id="657" w:name="bookmark657"/>
      <w:r>
        <w:rPr>
          <w:color w:val="000000"/>
          <w:spacing w:val="0"/>
          <w:w w:val="100"/>
          <w:position w:val="0"/>
        </w:rPr>
        <w:t>（</w:t>
      </w:r>
      <w:bookmarkEnd w:id="657"/>
      <w:r>
        <w:rPr>
          <w:color w:val="000000"/>
          <w:spacing w:val="0"/>
          <w:w w:val="100"/>
          <w:position w:val="0"/>
        </w:rPr>
        <w:t>四）</w:t>
        <w:tab/>
        <w:t>机构独立情况</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公司建立健全了党委会、股东大会、董事会、监事会及总经理负责的经理层等组织机构，颁布实施了 相应的议事规则和工作细则，形成了完善的</w:t>
      </w:r>
      <w:r>
        <w:rPr>
          <w:rFonts w:ascii="Times New Roman" w:eastAsia="Times New Roman" w:hAnsi="Times New Roman" w:cs="Times New Roman"/>
          <w:color w:val="000000"/>
          <w:spacing w:val="0"/>
          <w:w w:val="100"/>
          <w:position w:val="0"/>
        </w:rPr>
        <w:t>“</w:t>
      </w:r>
      <w:r>
        <w:rPr>
          <w:color w:val="000000"/>
          <w:spacing w:val="0"/>
          <w:w w:val="100"/>
          <w:position w:val="0"/>
        </w:rPr>
        <w:t>四会一层</w:t>
      </w:r>
      <w:r>
        <w:rPr>
          <w:color w:val="000000"/>
          <w:spacing w:val="0"/>
          <w:w w:val="100"/>
          <w:position w:val="0"/>
        </w:rPr>
        <w:t>''</w:t>
      </w:r>
      <w:r>
        <w:rPr>
          <w:color w:val="000000"/>
          <w:spacing w:val="0"/>
          <w:w w:val="100"/>
          <w:position w:val="0"/>
        </w:rPr>
        <w:t>法人治理结构和规范化的运作体系。根据经营发展 需要，发行人建立了符合公司实际情况的各级管理部门等机构，独立行使经营管理职权。发行人的经营和 办公场所与控股股东、实际控制人及其控制的其他企业严格分开，不存在与控股股东、实际控制人及其控 制的其他企业混合经营、合署办公的情形，不存在受控股股东及其他任何单位或个人干预的情形。</w:t>
      </w:r>
    </w:p>
    <w:p>
      <w:pPr>
        <w:pStyle w:val="Style47"/>
        <w:keepNext w:val="0"/>
        <w:keepLines w:val="0"/>
        <w:widowControl w:val="0"/>
        <w:shd w:val="clear" w:color="auto" w:fill="auto"/>
        <w:tabs>
          <w:tab w:pos="977" w:val="left"/>
        </w:tabs>
        <w:bidi w:val="0"/>
        <w:spacing w:before="0" w:after="0" w:line="469" w:lineRule="exact"/>
        <w:ind w:left="0" w:right="0" w:firstLine="440"/>
        <w:jc w:val="both"/>
      </w:pPr>
      <w:bookmarkStart w:id="658" w:name="bookmark658"/>
      <w:r>
        <w:rPr>
          <w:color w:val="000000"/>
          <w:spacing w:val="0"/>
          <w:w w:val="100"/>
          <w:position w:val="0"/>
        </w:rPr>
        <w:t>（</w:t>
      </w:r>
      <w:bookmarkEnd w:id="658"/>
      <w:r>
        <w:rPr>
          <w:color w:val="000000"/>
          <w:spacing w:val="0"/>
          <w:w w:val="100"/>
          <w:position w:val="0"/>
        </w:rPr>
        <w:t>五）</w:t>
        <w:tab/>
        <w:t>财务独立情况</w:t>
      </w:r>
    </w:p>
    <w:p>
      <w:pPr>
        <w:pStyle w:val="Style47"/>
        <w:keepNext w:val="0"/>
        <w:keepLines w:val="0"/>
        <w:widowControl w:val="0"/>
        <w:shd w:val="clear" w:color="auto" w:fill="auto"/>
        <w:bidi w:val="0"/>
        <w:spacing w:before="0" w:after="0" w:line="469" w:lineRule="exact"/>
        <w:ind w:left="0" w:right="0" w:firstLine="440"/>
        <w:jc w:val="both"/>
        <w:sectPr>
          <w:headerReference w:type="default" r:id="rId195"/>
          <w:footerReference w:type="default" r:id="rId196"/>
          <w:headerReference w:type="even" r:id="rId197"/>
          <w:footerReference w:type="even" r:id="rId198"/>
          <w:footnotePr>
            <w:pos w:val="pageBottom"/>
            <w:numFmt w:val="decimal"/>
            <w:numRestart w:val="continuous"/>
          </w:footnotePr>
          <w:pgSz w:w="11900" w:h="16840"/>
          <w:pgMar w:top="1450" w:right="1065" w:bottom="1450" w:left="1105" w:header="0" w:footer="3" w:gutter="0"/>
          <w:cols w:space="720"/>
          <w:noEndnote/>
          <w:rtlGutter w:val="0"/>
          <w:docGrid w:linePitch="360"/>
        </w:sectPr>
      </w:pPr>
      <w:r>
        <w:rPr>
          <w:color w:val="000000"/>
          <w:spacing w:val="0"/>
          <w:w w:val="100"/>
          <w:position w:val="0"/>
        </w:rPr>
        <w:t>公司按照企业会计准则的要求建立了一套独立、完整、规范的财务会计核算体系和财务管理制度，并 建立了相应的内部控制制度，能根据法律法规及公司《章程》的相关规定并结合自身的情况独立做出财务 决策。公司设立了独立的财务部门及内部审计部门，配备了专职财务人员及内审人员；公司在银行单独开 立账户，拥有独立的银行账号，不存在与控股股东共用账户的情况。公司作为独立的纳税人，依法独立纳 税。公司控股股东未以任何形式占用公司货币资金或其他资产。</w:t>
      </w:r>
    </w:p>
    <w:p>
      <w:pPr>
        <w:pStyle w:val="Style33"/>
        <w:keepNext/>
        <w:keepLines/>
        <w:widowControl w:val="0"/>
        <w:shd w:val="clear" w:color="auto" w:fill="auto"/>
        <w:bidi w:val="0"/>
        <w:spacing w:before="0" w:after="340" w:line="240" w:lineRule="auto"/>
        <w:ind w:left="0" w:right="0" w:firstLine="0"/>
        <w:jc w:val="left"/>
      </w:pPr>
      <w:bookmarkStart w:id="659" w:name="bookmark659"/>
      <w:bookmarkStart w:id="660" w:name="bookmark660"/>
      <w:bookmarkStart w:id="661" w:name="bookmark661"/>
      <w:bookmarkStart w:id="662" w:name="bookmark662"/>
      <w:r>
        <w:rPr>
          <w:color w:val="000000"/>
          <w:spacing w:val="0"/>
          <w:w w:val="100"/>
          <w:position w:val="0"/>
          <w:sz w:val="24"/>
          <w:szCs w:val="24"/>
        </w:rPr>
        <w:t>三</w:t>
      </w:r>
      <w:bookmarkEnd w:id="661"/>
      <w:r>
        <w:rPr>
          <w:color w:val="000000"/>
          <w:spacing w:val="0"/>
          <w:w w:val="100"/>
          <w:position w:val="0"/>
          <w:sz w:val="24"/>
          <w:szCs w:val="24"/>
        </w:rPr>
        <w:t>、同业竞争情况</w:t>
      </w:r>
      <w:bookmarkEnd w:id="659"/>
      <w:bookmarkEnd w:id="660"/>
      <w:bookmarkEnd w:id="662"/>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0"/>
        <w:jc w:val="left"/>
      </w:pPr>
      <w:bookmarkStart w:id="663" w:name="bookmark663"/>
      <w:bookmarkStart w:id="664" w:name="bookmark664"/>
      <w:bookmarkStart w:id="665" w:name="bookmark665"/>
      <w:bookmarkStart w:id="666" w:name="bookmark666"/>
      <w:r>
        <w:rPr>
          <w:color w:val="000000"/>
          <w:spacing w:val="0"/>
          <w:w w:val="100"/>
          <w:position w:val="0"/>
          <w:sz w:val="24"/>
          <w:szCs w:val="24"/>
        </w:rPr>
        <w:t>四</w:t>
      </w:r>
      <w:bookmarkEnd w:id="665"/>
      <w:r>
        <w:rPr>
          <w:color w:val="000000"/>
          <w:spacing w:val="0"/>
          <w:w w:val="100"/>
          <w:position w:val="0"/>
          <w:sz w:val="24"/>
          <w:szCs w:val="24"/>
        </w:rPr>
        <w:t>、报告期内召开的年度股东大会和临时股东大会的有关情况</w:t>
      </w:r>
      <w:bookmarkEnd w:id="663"/>
      <w:bookmarkEnd w:id="664"/>
      <w:bookmarkEnd w:id="666"/>
    </w:p>
    <w:p>
      <w:pPr>
        <w:pStyle w:val="Style44"/>
        <w:keepNext/>
        <w:keepLines/>
        <w:widowControl w:val="0"/>
        <w:shd w:val="clear" w:color="auto" w:fill="auto"/>
        <w:bidi w:val="0"/>
        <w:spacing w:before="0" w:line="240" w:lineRule="auto"/>
        <w:ind w:left="0" w:right="0" w:firstLine="0"/>
        <w:jc w:val="left"/>
      </w:pPr>
      <w:bookmarkStart w:id="667" w:name="bookmark667"/>
      <w:bookmarkStart w:id="668" w:name="bookmark668"/>
      <w:bookmarkStart w:id="669" w:name="bookmark669"/>
      <w:bookmarkStart w:id="670" w:name="bookmark670"/>
      <w:r>
        <w:rPr>
          <w:rFonts w:ascii="Times New Roman" w:eastAsia="Times New Roman" w:hAnsi="Times New Roman" w:cs="Times New Roman"/>
          <w:color w:val="000000"/>
          <w:spacing w:val="0"/>
          <w:w w:val="100"/>
          <w:position w:val="0"/>
        </w:rPr>
        <w:t>1</w:t>
      </w:r>
      <w:bookmarkEnd w:id="669"/>
      <w:r>
        <w:rPr>
          <w:color w:val="000000"/>
          <w:spacing w:val="0"/>
          <w:w w:val="100"/>
          <w:position w:val="0"/>
        </w:rPr>
        <w:t>、本报告期股东大会情况</w:t>
      </w:r>
      <w:bookmarkEnd w:id="667"/>
      <w:bookmarkEnd w:id="668"/>
      <w:bookmarkEnd w:id="670"/>
    </w:p>
    <w:tbl>
      <w:tblPr>
        <w:tblOverlap w:val="never"/>
        <w:jc w:val="center"/>
        <w:tblLayout w:type="fixed"/>
      </w:tblPr>
      <w:tblGrid>
        <w:gridCol w:w="1603"/>
        <w:gridCol w:w="1594"/>
        <w:gridCol w:w="1594"/>
        <w:gridCol w:w="1594"/>
        <w:gridCol w:w="1594"/>
        <w:gridCol w:w="1608"/>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会议届次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会议类型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color w:val="000000"/>
                <w:spacing w:val="0"/>
                <w:w w:val="100"/>
                <w:position w:val="0"/>
                <w:sz w:val="18"/>
                <w:szCs w:val="18"/>
              </w:rPr>
              <w:t>投资者参与比例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召开日期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披露日期</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披露索引</w:t>
            </w:r>
          </w:p>
        </w:tc>
      </w:tr>
      <w:tr>
        <w:trPr>
          <w:trHeight w:val="352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年第一次临时 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58.14%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详见中国证监会指 定的创业板信息披 露网站</w:t>
            </w:r>
          </w:p>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http://www. cninfo .com.cn</w:t>
            </w:r>
            <w:r>
              <w:rPr>
                <w:color w:val="000000"/>
                <w:spacing w:val="0"/>
                <w:w w:val="100"/>
                <w:position w:val="0"/>
                <w:sz w:val="18"/>
                <w:szCs w:val="18"/>
              </w:rPr>
              <w:t>)刊登的</w:t>
            </w:r>
          </w:p>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 xml:space="preserve">《中科院成都信息 技术股份有限公司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 xml:space="preserve">年第一次临时 股东大会决议公 告》(公告编号 </w:t>
            </w:r>
            <w:r>
              <w:rPr>
                <w:rFonts w:ascii="Times New Roman" w:eastAsia="Times New Roman" w:hAnsi="Times New Roman" w:cs="Times New Roman"/>
                <w:color w:val="000000"/>
                <w:spacing w:val="0"/>
                <w:w w:val="100"/>
                <w:position w:val="0"/>
                <w:sz w:val="18"/>
                <w:szCs w:val="18"/>
              </w:rPr>
              <w:t>2020-015</w:t>
            </w:r>
            <w:r>
              <w:rPr>
                <w:color w:val="000000"/>
                <w:spacing w:val="0"/>
                <w:w w:val="100"/>
                <w:position w:val="0"/>
                <w:sz w:val="18"/>
                <w:szCs w:val="18"/>
              </w:rPr>
              <w:t>)</w:t>
            </w:r>
          </w:p>
        </w:tc>
      </w:tr>
      <w:tr>
        <w:trPr>
          <w:trHeight w:val="32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57.69%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sz w:val="18"/>
                <w:szCs w:val="18"/>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sz w:val="18"/>
                <w:szCs w:val="18"/>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详见中国证监会指 定的创业板信息披 露网站</w:t>
            </w:r>
          </w:p>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http://www. cninfo .com.cn</w:t>
            </w:r>
            <w:r>
              <w:rPr>
                <w:color w:val="000000"/>
                <w:spacing w:val="0"/>
                <w:w w:val="100"/>
                <w:position w:val="0"/>
                <w:sz w:val="18"/>
                <w:szCs w:val="18"/>
              </w:rPr>
              <w:t>)刊登的</w:t>
            </w:r>
          </w:p>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 xml:space="preserve">《中科院成都信息 技术股份有限公司 </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 xml:space="preserve">年度股东大会 决议公告》(公告编 号 </w:t>
            </w:r>
            <w:r>
              <w:rPr>
                <w:rFonts w:ascii="Times New Roman" w:eastAsia="Times New Roman" w:hAnsi="Times New Roman" w:cs="Times New Roman"/>
                <w:color w:val="000000"/>
                <w:spacing w:val="0"/>
                <w:w w:val="100"/>
                <w:position w:val="0"/>
                <w:sz w:val="18"/>
                <w:szCs w:val="18"/>
              </w:rPr>
              <w:t>2020-061</w:t>
            </w:r>
            <w:r>
              <w:rPr>
                <w:color w:val="000000"/>
                <w:spacing w:val="0"/>
                <w:w w:val="100"/>
                <w:position w:val="0"/>
                <w:sz w:val="18"/>
                <w:szCs w:val="18"/>
              </w:rPr>
              <w:t>)</w:t>
            </w:r>
          </w:p>
        </w:tc>
      </w:tr>
      <w:tr>
        <w:trPr>
          <w:trHeight w:val="353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年第二次临时 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临时股东大会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55.14%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sz w:val="18"/>
                <w:szCs w:val="18"/>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详见中国证监会指 定的创业板信息披 露网站</w:t>
            </w:r>
          </w:p>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http://www. cninfo .com.cn</w:t>
            </w:r>
            <w:r>
              <w:rPr>
                <w:color w:val="000000"/>
                <w:spacing w:val="0"/>
                <w:w w:val="100"/>
                <w:position w:val="0"/>
                <w:sz w:val="18"/>
                <w:szCs w:val="18"/>
              </w:rPr>
              <w:t>)刊登的</w:t>
            </w:r>
          </w:p>
          <w:p>
            <w:pPr>
              <w:pStyle w:val="Style2"/>
              <w:keepNext w:val="0"/>
              <w:keepLines w:val="0"/>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8"/>
                <w:szCs w:val="18"/>
              </w:rPr>
              <w:t xml:space="preserve">《中科院成都信息 技术股份有限公司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 xml:space="preserve">年第二次临时 股东大会决议公 告》(公告编号 </w:t>
            </w:r>
            <w:r>
              <w:rPr>
                <w:rFonts w:ascii="Times New Roman" w:eastAsia="Times New Roman" w:hAnsi="Times New Roman" w:cs="Times New Roman"/>
                <w:color w:val="000000"/>
                <w:spacing w:val="0"/>
                <w:w w:val="100"/>
                <w:position w:val="0"/>
                <w:sz w:val="18"/>
                <w:szCs w:val="18"/>
              </w:rPr>
              <w:t>2020-078</w:t>
            </w:r>
            <w:r>
              <w:rPr>
                <w:color w:val="000000"/>
                <w:spacing w:val="0"/>
                <w:w w:val="100"/>
                <w:position w:val="0"/>
                <w:sz w:val="18"/>
                <w:szCs w:val="18"/>
              </w:rPr>
              <w:t>)</w:t>
            </w:r>
          </w:p>
        </w:tc>
      </w:tr>
    </w:tbl>
    <w:p>
      <w:pPr>
        <w:widowControl w:val="0"/>
        <w:spacing w:after="1539" w:line="1" w:lineRule="exact"/>
      </w:pPr>
    </w:p>
    <w:p>
      <w:pPr>
        <w:pStyle w:val="Style83"/>
        <w:keepNext w:val="0"/>
        <w:keepLines w:val="0"/>
        <w:widowControl w:val="0"/>
        <w:shd w:val="clear" w:color="auto" w:fill="auto"/>
        <w:bidi w:val="0"/>
        <w:spacing w:before="0" w:after="340" w:line="240" w:lineRule="auto"/>
        <w:ind w:left="0" w:right="0" w:firstLine="0"/>
        <w:jc w:val="right"/>
        <w:rPr>
          <w:sz w:val="26"/>
          <w:szCs w:val="26"/>
        </w:rPr>
        <w:sectPr>
          <w:headerReference w:type="default" r:id="rId199"/>
          <w:footerReference w:type="default" r:id="rId200"/>
          <w:headerReference w:type="even" r:id="rId201"/>
          <w:footerReference w:type="even" r:id="rId202"/>
          <w:footnotePr>
            <w:pos w:val="pageBottom"/>
            <w:numFmt w:val="decimal"/>
            <w:numRestart w:val="continuous"/>
          </w:footnotePr>
          <w:pgSz w:w="11900" w:h="16840"/>
          <w:pgMar w:top="1460" w:right="1200" w:bottom="946" w:left="111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44"/>
        <w:keepNext/>
        <w:keepLines/>
        <w:widowControl w:val="0"/>
        <w:shd w:val="clear" w:color="auto" w:fill="auto"/>
        <w:bidi w:val="0"/>
        <w:spacing w:before="0" w:line="240" w:lineRule="auto"/>
        <w:ind w:left="0" w:right="0" w:firstLine="0"/>
        <w:jc w:val="left"/>
      </w:pPr>
      <w:bookmarkStart w:id="671" w:name="bookmark671"/>
      <w:bookmarkStart w:id="672" w:name="bookmark672"/>
      <w:bookmarkStart w:id="673" w:name="bookmark673"/>
      <w:bookmarkStart w:id="674" w:name="bookmark674"/>
      <w:r>
        <w:rPr>
          <w:rFonts w:ascii="Times New Roman" w:eastAsia="Times New Roman" w:hAnsi="Times New Roman" w:cs="Times New Roman"/>
          <w:color w:val="000000"/>
          <w:spacing w:val="0"/>
          <w:w w:val="100"/>
          <w:position w:val="0"/>
        </w:rPr>
        <w:t>2</w:t>
      </w:r>
      <w:bookmarkEnd w:id="673"/>
      <w:r>
        <w:rPr>
          <w:color w:val="000000"/>
          <w:spacing w:val="0"/>
          <w:w w:val="100"/>
          <w:position w:val="0"/>
        </w:rPr>
        <w:t>、表决权恢复的优先股股东请求召开临时股东大会</w:t>
      </w:r>
      <w:bookmarkEnd w:id="671"/>
      <w:bookmarkEnd w:id="672"/>
      <w:bookmarkEnd w:id="674"/>
    </w:p>
    <w:p>
      <w:pPr>
        <w:pStyle w:val="Style35"/>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40" w:line="240" w:lineRule="auto"/>
        <w:ind w:left="0" w:right="0" w:firstLine="0"/>
        <w:jc w:val="left"/>
      </w:pPr>
      <w:bookmarkStart w:id="675" w:name="bookmark675"/>
      <w:bookmarkStart w:id="676" w:name="bookmark676"/>
      <w:bookmarkStart w:id="677" w:name="bookmark677"/>
      <w:bookmarkStart w:id="678" w:name="bookmark678"/>
      <w:r>
        <w:rPr>
          <w:color w:val="000000"/>
          <w:spacing w:val="0"/>
          <w:w w:val="100"/>
          <w:position w:val="0"/>
          <w:sz w:val="24"/>
          <w:szCs w:val="24"/>
        </w:rPr>
        <w:t>五</w:t>
      </w:r>
      <w:bookmarkEnd w:id="677"/>
      <w:r>
        <w:rPr>
          <w:color w:val="000000"/>
          <w:spacing w:val="0"/>
          <w:w w:val="100"/>
          <w:position w:val="0"/>
          <w:sz w:val="24"/>
          <w:szCs w:val="24"/>
        </w:rPr>
        <w:t>、报告期内独立董事履行职责的情况</w:t>
      </w:r>
      <w:bookmarkEnd w:id="675"/>
      <w:bookmarkEnd w:id="676"/>
      <w:bookmarkEnd w:id="678"/>
    </w:p>
    <w:p>
      <w:pPr>
        <w:pStyle w:val="Style44"/>
        <w:keepNext/>
        <w:keepLines/>
        <w:widowControl w:val="0"/>
        <w:shd w:val="clear" w:color="auto" w:fill="auto"/>
        <w:bidi w:val="0"/>
        <w:spacing w:before="0" w:line="240" w:lineRule="auto"/>
        <w:ind w:left="0" w:right="0" w:firstLine="0"/>
        <w:jc w:val="left"/>
      </w:pPr>
      <w:bookmarkStart w:id="679" w:name="bookmark679"/>
      <w:bookmarkStart w:id="680" w:name="bookmark680"/>
      <w:bookmarkStart w:id="681" w:name="bookmark681"/>
      <w:bookmarkStart w:id="682" w:name="bookmark682"/>
      <w:r>
        <w:rPr>
          <w:rFonts w:ascii="Times New Roman" w:eastAsia="Times New Roman" w:hAnsi="Times New Roman" w:cs="Times New Roman"/>
          <w:color w:val="000000"/>
          <w:spacing w:val="0"/>
          <w:w w:val="100"/>
          <w:position w:val="0"/>
        </w:rPr>
        <w:t>1</w:t>
      </w:r>
      <w:bookmarkEnd w:id="681"/>
      <w:r>
        <w:rPr>
          <w:color w:val="000000"/>
          <w:spacing w:val="0"/>
          <w:w w:val="100"/>
          <w:position w:val="0"/>
        </w:rPr>
        <w:t>、独立董事出席董事会及股东大会的情况</w:t>
      </w:r>
      <w:bookmarkEnd w:id="679"/>
      <w:bookmarkEnd w:id="680"/>
      <w:bookmarkEnd w:id="682"/>
    </w:p>
    <w:tbl>
      <w:tblPr>
        <w:tblOverlap w:val="never"/>
        <w:jc w:val="center"/>
        <w:tblLayout w:type="fixed"/>
      </w:tblPr>
      <w:tblGrid>
        <w:gridCol w:w="1435"/>
        <w:gridCol w:w="1162"/>
        <w:gridCol w:w="1166"/>
        <w:gridCol w:w="1162"/>
        <w:gridCol w:w="1166"/>
        <w:gridCol w:w="1157"/>
        <w:gridCol w:w="1166"/>
        <w:gridCol w:w="1171"/>
      </w:tblGrid>
      <w:tr>
        <w:trPr>
          <w:trHeight w:val="403" w:hRule="exact"/>
        </w:trPr>
        <w:tc>
          <w:tcPr>
            <w:gridSpan w:val="8"/>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独立董事出席董事会及股东大会的情况</w:t>
            </w: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独立董事姓名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本报告期应参</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加董事会次数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0"/>
              <w:jc w:val="center"/>
              <w:rPr>
                <w:sz w:val="18"/>
                <w:szCs w:val="18"/>
              </w:rPr>
            </w:pPr>
            <w:r>
              <w:rPr>
                <w:color w:val="000000"/>
                <w:spacing w:val="0"/>
                <w:w w:val="100"/>
                <w:position w:val="0"/>
                <w:sz w:val="18"/>
                <w:szCs w:val="18"/>
              </w:rPr>
              <w:t>现场出席董事 会次数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right"/>
              <w:rPr>
                <w:sz w:val="18"/>
                <w:szCs w:val="18"/>
              </w:rPr>
            </w:pPr>
            <w:r>
              <w:rPr>
                <w:color w:val="000000"/>
                <w:spacing w:val="0"/>
                <w:w w:val="100"/>
                <w:position w:val="0"/>
                <w:sz w:val="18"/>
                <w:szCs w:val="18"/>
              </w:rPr>
              <w:t>以通讯方式参 加董事会次数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委托出席董事 会次数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缺席董事会次 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是否连续两次 未亲自参加董 事会会议</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出席股东大会 次数</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李志蜀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曹德骏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连续两次未亲自出席董事会的说明</w:t>
      </w:r>
    </w:p>
    <w:p>
      <w:pPr>
        <w:widowControl w:val="0"/>
        <w:spacing w:after="139" w:line="1" w:lineRule="exact"/>
      </w:pPr>
    </w:p>
    <w:p>
      <w:pPr>
        <w:pStyle w:val="Style44"/>
        <w:keepNext/>
        <w:keepLines/>
        <w:widowControl w:val="0"/>
        <w:shd w:val="clear" w:color="auto" w:fill="auto"/>
        <w:tabs>
          <w:tab w:pos="378" w:val="left"/>
        </w:tabs>
        <w:bidi w:val="0"/>
        <w:spacing w:before="0" w:line="468" w:lineRule="exact"/>
        <w:ind w:left="0" w:right="0" w:firstLine="0"/>
        <w:jc w:val="left"/>
      </w:pPr>
      <w:bookmarkStart w:id="683" w:name="bookmark683"/>
      <w:bookmarkStart w:id="684" w:name="bookmark684"/>
      <w:bookmarkStart w:id="685" w:name="bookmark685"/>
      <w:bookmarkStart w:id="686" w:name="bookmark686"/>
      <w:r>
        <w:rPr>
          <w:rFonts w:ascii="Times New Roman" w:eastAsia="Times New Roman" w:hAnsi="Times New Roman" w:cs="Times New Roman"/>
          <w:color w:val="000000"/>
          <w:spacing w:val="0"/>
          <w:w w:val="100"/>
          <w:position w:val="0"/>
        </w:rPr>
        <w:t>2</w:t>
      </w:r>
      <w:bookmarkEnd w:id="685"/>
      <w:r>
        <w:rPr>
          <w:color w:val="000000"/>
          <w:spacing w:val="0"/>
          <w:w w:val="100"/>
          <w:position w:val="0"/>
        </w:rPr>
        <w:t>、</w:t>
        <w:tab/>
        <w:t>独立董事对公司有关事项提出异议的情况</w:t>
      </w:r>
      <w:bookmarkEnd w:id="683"/>
      <w:bookmarkEnd w:id="684"/>
      <w:bookmarkEnd w:id="686"/>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独立董事对公司有关事项是否提出异议</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报告期内独立董事对公司有关事项未提出异议。</w:t>
      </w:r>
    </w:p>
    <w:p>
      <w:pPr>
        <w:pStyle w:val="Style44"/>
        <w:keepNext/>
        <w:keepLines/>
        <w:widowControl w:val="0"/>
        <w:shd w:val="clear" w:color="auto" w:fill="auto"/>
        <w:tabs>
          <w:tab w:pos="378" w:val="left"/>
        </w:tabs>
        <w:bidi w:val="0"/>
        <w:spacing w:before="0" w:line="468" w:lineRule="exact"/>
        <w:ind w:left="0" w:right="0" w:firstLine="0"/>
        <w:jc w:val="left"/>
      </w:pPr>
      <w:bookmarkStart w:id="687" w:name="bookmark687"/>
      <w:bookmarkStart w:id="688" w:name="bookmark688"/>
      <w:bookmarkStart w:id="689" w:name="bookmark689"/>
      <w:bookmarkStart w:id="690" w:name="bookmark690"/>
      <w:r>
        <w:rPr>
          <w:rFonts w:ascii="Times New Roman" w:eastAsia="Times New Roman" w:hAnsi="Times New Roman" w:cs="Times New Roman"/>
          <w:color w:val="000000"/>
          <w:spacing w:val="0"/>
          <w:w w:val="100"/>
          <w:position w:val="0"/>
        </w:rPr>
        <w:t>3</w:t>
      </w:r>
      <w:bookmarkEnd w:id="689"/>
      <w:r>
        <w:rPr>
          <w:color w:val="000000"/>
          <w:spacing w:val="0"/>
          <w:w w:val="100"/>
          <w:position w:val="0"/>
        </w:rPr>
        <w:t>、</w:t>
        <w:tab/>
        <w:t>独立董事履行职责的其他说明</w:t>
      </w:r>
      <w:bookmarkEnd w:id="687"/>
      <w:bookmarkEnd w:id="688"/>
      <w:bookmarkEnd w:id="690"/>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独立董事对公司有关建议是否被采纳</w:t>
      </w:r>
    </w:p>
    <w:p>
      <w:pPr>
        <w:pStyle w:val="Style3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独立董事对公司有关建议被采纳或未被采纳的说明</w:t>
      </w:r>
    </w:p>
    <w:p>
      <w:pPr>
        <w:pStyle w:val="Style47"/>
        <w:keepNext w:val="0"/>
        <w:keepLines w:val="0"/>
        <w:widowControl w:val="0"/>
        <w:shd w:val="clear" w:color="auto" w:fill="auto"/>
        <w:bidi w:val="0"/>
        <w:spacing w:before="0" w:after="1680" w:line="468" w:lineRule="exact"/>
        <w:ind w:left="0" w:right="0" w:firstLine="440"/>
        <w:jc w:val="both"/>
      </w:pPr>
      <w:r>
        <w:rPr>
          <w:color w:val="000000"/>
          <w:spacing w:val="0"/>
          <w:w w:val="100"/>
          <w:position w:val="0"/>
        </w:rPr>
        <w:t>报告期内，公司独立董事能够严格按照《深圳证券交易所创业板上市公司规范运作指引》等法律法规 以及《公司章程》、《独立董事工作制度》等规定，本着对公司、股东负责的态度，忠实、勤勉地履行职 责，按时出席相关会议，认真审议各项议案，客观地发表自己的看法及观点，通过电话、邮件及现场调查 等形式，与公司其他董事、高级管理人员及相关人员保持沟通，积极了解公司的生产经营情况及财务状况, 为公司的发展战略、完善公司治理等方面提出了积极建议。对公司定期报告、控股股东及其他关联方资金 占用和对外担保、关联交易等事项发表了独立意见，有效保证了公司董事会决策的公正性和客观性，认真 履行应有的监督职能，维护了公司整体利益和广大中小股东的合法权益，为公司的规范运作和健康发展发 挥了积极作用。</w:t>
      </w:r>
    </w:p>
    <w:p>
      <w:pPr>
        <w:pStyle w:val="Style83"/>
        <w:keepNext w:val="0"/>
        <w:keepLines w:val="0"/>
        <w:widowControl w:val="0"/>
        <w:shd w:val="clear" w:color="auto" w:fill="auto"/>
        <w:bidi w:val="0"/>
        <w:spacing w:before="0" w:after="340" w:line="240" w:lineRule="auto"/>
        <w:ind w:left="0" w:right="0" w:firstLine="0"/>
        <w:jc w:val="right"/>
        <w:rPr>
          <w:sz w:val="26"/>
          <w:szCs w:val="26"/>
        </w:rPr>
        <w:sectPr>
          <w:footnotePr>
            <w:pos w:val="pageBottom"/>
            <w:numFmt w:val="decimal"/>
            <w:numRestart w:val="continuous"/>
          </w:footnotePr>
          <w:pgSz w:w="11900" w:h="16840"/>
          <w:pgMar w:top="1450" w:right="1065"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33"/>
        <w:keepNext/>
        <w:keepLines/>
        <w:widowControl w:val="0"/>
        <w:shd w:val="clear" w:color="auto" w:fill="auto"/>
        <w:tabs>
          <w:tab w:pos="517" w:val="left"/>
        </w:tabs>
        <w:bidi w:val="0"/>
        <w:spacing w:before="0" w:after="200" w:line="240" w:lineRule="auto"/>
        <w:ind w:left="0" w:right="0" w:firstLine="0"/>
        <w:jc w:val="left"/>
      </w:pPr>
      <w:bookmarkStart w:id="691" w:name="bookmark691"/>
      <w:bookmarkStart w:id="692" w:name="bookmark692"/>
      <w:bookmarkStart w:id="693" w:name="bookmark693"/>
      <w:bookmarkStart w:id="694" w:name="bookmark694"/>
      <w:r>
        <w:rPr>
          <w:color w:val="000000"/>
          <w:spacing w:val="0"/>
          <w:w w:val="100"/>
          <w:position w:val="0"/>
          <w:sz w:val="24"/>
          <w:szCs w:val="24"/>
        </w:rPr>
        <w:t>六</w:t>
      </w:r>
      <w:bookmarkEnd w:id="693"/>
      <w:r>
        <w:rPr>
          <w:color w:val="000000"/>
          <w:spacing w:val="0"/>
          <w:w w:val="100"/>
          <w:position w:val="0"/>
          <w:sz w:val="24"/>
          <w:szCs w:val="24"/>
        </w:rPr>
        <w:t>、</w:t>
        <w:tab/>
        <w:t>董事会下设专门委员会在报告期内履行职责情况</w:t>
      </w:r>
      <w:bookmarkEnd w:id="691"/>
      <w:bookmarkEnd w:id="692"/>
      <w:bookmarkEnd w:id="694"/>
    </w:p>
    <w:p>
      <w:pPr>
        <w:pStyle w:val="Style47"/>
        <w:keepNext w:val="0"/>
        <w:keepLines w:val="0"/>
        <w:widowControl w:val="0"/>
        <w:shd w:val="clear" w:color="auto" w:fill="auto"/>
        <w:tabs>
          <w:tab w:pos="1029" w:val="left"/>
        </w:tabs>
        <w:bidi w:val="0"/>
        <w:spacing w:before="0" w:after="0" w:line="466" w:lineRule="exact"/>
        <w:ind w:left="0" w:right="0" w:firstLine="440"/>
        <w:jc w:val="both"/>
      </w:pPr>
      <w:bookmarkStart w:id="695" w:name="bookmark695"/>
      <w:r>
        <w:rPr>
          <w:color w:val="000000"/>
          <w:spacing w:val="0"/>
          <w:w w:val="100"/>
          <w:position w:val="0"/>
        </w:rPr>
        <w:t>（</w:t>
      </w:r>
      <w:bookmarkEnd w:id="695"/>
      <w:r>
        <w:rPr>
          <w:color w:val="000000"/>
          <w:spacing w:val="0"/>
          <w:w w:val="100"/>
          <w:position w:val="0"/>
        </w:rPr>
        <w:t>一）</w:t>
        <w:tab/>
        <w:t>审计委员会的履职情况</w:t>
      </w:r>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报告期内，审计委员会根据《审计委员会工作细则》要求，充分发挥了审核与监督作用，主要负责公 司财务监督和核查工作及外部审计机构的沟通、协调工作。对公司内部控制情况进行了核查，认为公司已 经建立的内控制度体系符合相关法规的规定，并能有效控制相关风险。审计委员会在</w:t>
      </w:r>
      <w:r>
        <w:rPr>
          <w:rFonts w:ascii="Times New Roman" w:eastAsia="Times New Roman" w:hAnsi="Times New Roman" w:cs="Times New Roman"/>
          <w:color w:val="000000"/>
          <w:spacing w:val="0"/>
          <w:w w:val="100"/>
          <w:position w:val="0"/>
        </w:rPr>
        <w:t>2020</w:t>
      </w:r>
      <w:r>
        <w:rPr>
          <w:color w:val="000000"/>
          <w:spacing w:val="0"/>
          <w:w w:val="100"/>
          <w:position w:val="0"/>
        </w:rPr>
        <w:t>年共计召开</w:t>
      </w:r>
      <w:r>
        <w:rPr>
          <w:rFonts w:ascii="Times New Roman" w:eastAsia="Times New Roman" w:hAnsi="Times New Roman" w:cs="Times New Roman"/>
          <w:color w:val="000000"/>
          <w:spacing w:val="0"/>
          <w:w w:val="100"/>
          <w:position w:val="0"/>
        </w:rPr>
        <w:t>4</w:t>
      </w:r>
      <w:r>
        <w:rPr>
          <w:color w:val="000000"/>
          <w:spacing w:val="0"/>
          <w:w w:val="100"/>
          <w:position w:val="0"/>
        </w:rPr>
        <w:t>次 会议，对公司《关于闲置募集资金永久补充流动资金的议案》、《关于</w:t>
      </w:r>
      <w:r>
        <w:rPr>
          <w:rFonts w:ascii="Times New Roman" w:eastAsia="Times New Roman" w:hAnsi="Times New Roman" w:cs="Times New Roman"/>
          <w:color w:val="000000"/>
          <w:spacing w:val="0"/>
          <w:w w:val="100"/>
          <w:position w:val="0"/>
        </w:rPr>
        <w:t>2019</w:t>
      </w:r>
      <w:r>
        <w:rPr>
          <w:color w:val="000000"/>
          <w:spacing w:val="0"/>
          <w:w w:val="100"/>
          <w:position w:val="0"/>
        </w:rPr>
        <w:t>年年度报告全文及摘要的议案》、 《关于</w:t>
      </w:r>
      <w:r>
        <w:rPr>
          <w:rFonts w:ascii="Times New Roman" w:eastAsia="Times New Roman" w:hAnsi="Times New Roman" w:cs="Times New Roman"/>
          <w:color w:val="000000"/>
          <w:spacing w:val="0"/>
          <w:w w:val="100"/>
          <w:position w:val="0"/>
        </w:rPr>
        <w:t>2019</w:t>
      </w:r>
      <w:r>
        <w:rPr>
          <w:color w:val="000000"/>
          <w:spacing w:val="0"/>
          <w:w w:val="100"/>
          <w:position w:val="0"/>
        </w:rPr>
        <w:t>内部控制自我评价报告的议案》、《关于</w:t>
      </w:r>
      <w:r>
        <w:rPr>
          <w:rFonts w:ascii="Times New Roman" w:eastAsia="Times New Roman" w:hAnsi="Times New Roman" w:cs="Times New Roman"/>
          <w:color w:val="000000"/>
          <w:spacing w:val="0"/>
          <w:w w:val="100"/>
          <w:position w:val="0"/>
        </w:rPr>
        <w:t>2019</w:t>
      </w:r>
      <w:r>
        <w:rPr>
          <w:color w:val="000000"/>
          <w:spacing w:val="0"/>
          <w:w w:val="100"/>
          <w:position w:val="0"/>
        </w:rPr>
        <w:t>控股股东及其他关联方资金占用情况专项报告的 议案》等共计</w:t>
      </w:r>
      <w:r>
        <w:rPr>
          <w:rFonts w:ascii="Times New Roman" w:eastAsia="Times New Roman" w:hAnsi="Times New Roman" w:cs="Times New Roman"/>
          <w:color w:val="000000"/>
          <w:spacing w:val="0"/>
          <w:w w:val="100"/>
          <w:position w:val="0"/>
        </w:rPr>
        <w:t>15</w:t>
      </w:r>
      <w:r>
        <w:rPr>
          <w:color w:val="000000"/>
          <w:spacing w:val="0"/>
          <w:w w:val="100"/>
          <w:position w:val="0"/>
        </w:rPr>
        <w:t>项议案进行了审议并提交董事会审议。</w:t>
      </w:r>
    </w:p>
    <w:p>
      <w:pPr>
        <w:pStyle w:val="Style47"/>
        <w:keepNext w:val="0"/>
        <w:keepLines w:val="0"/>
        <w:widowControl w:val="0"/>
        <w:shd w:val="clear" w:color="auto" w:fill="auto"/>
        <w:tabs>
          <w:tab w:pos="1029" w:val="left"/>
        </w:tabs>
        <w:bidi w:val="0"/>
        <w:spacing w:before="0" w:after="0" w:line="466" w:lineRule="exact"/>
        <w:ind w:left="0" w:right="0" w:firstLine="440"/>
        <w:jc w:val="both"/>
      </w:pPr>
      <w:bookmarkStart w:id="696" w:name="bookmark696"/>
      <w:r>
        <w:rPr>
          <w:color w:val="000000"/>
          <w:spacing w:val="0"/>
          <w:w w:val="100"/>
          <w:position w:val="0"/>
        </w:rPr>
        <w:t>（</w:t>
      </w:r>
      <w:bookmarkEnd w:id="696"/>
      <w:r>
        <w:rPr>
          <w:color w:val="000000"/>
          <w:spacing w:val="0"/>
          <w:w w:val="100"/>
          <w:position w:val="0"/>
        </w:rPr>
        <w:t>二）</w:t>
        <w:tab/>
        <w:t>薪酬与考核委员会的履职情况</w:t>
      </w:r>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报告期内，公司董事会薪酬与考核委员会依照相关法规及公司《章程》、《薪酬与考核委员会工作细 则》的规定，审查了公司董事及高级管理人员的履行职责情况等相关职责。</w:t>
      </w:r>
      <w:r>
        <w:rPr>
          <w:rFonts w:ascii="Times New Roman" w:eastAsia="Times New Roman" w:hAnsi="Times New Roman" w:cs="Times New Roman"/>
          <w:color w:val="000000"/>
          <w:spacing w:val="0"/>
          <w:w w:val="100"/>
          <w:position w:val="0"/>
        </w:rPr>
        <w:t>2020</w:t>
      </w:r>
      <w:r>
        <w:rPr>
          <w:color w:val="000000"/>
          <w:spacing w:val="0"/>
          <w:w w:val="100"/>
          <w:position w:val="0"/>
        </w:rPr>
        <w:t>年，薪酬与考核委员会共 召开</w:t>
      </w:r>
      <w:r>
        <w:rPr>
          <w:rFonts w:ascii="Times New Roman" w:eastAsia="Times New Roman" w:hAnsi="Times New Roman" w:cs="Times New Roman"/>
          <w:color w:val="000000"/>
          <w:spacing w:val="0"/>
          <w:w w:val="100"/>
          <w:position w:val="0"/>
        </w:rPr>
        <w:t>1</w:t>
      </w:r>
      <w:r>
        <w:rPr>
          <w:color w:val="000000"/>
          <w:spacing w:val="0"/>
          <w:w w:val="100"/>
          <w:position w:val="0"/>
        </w:rPr>
        <w:t>次会议，对公司《关于高管人员</w:t>
      </w:r>
      <w:r>
        <w:rPr>
          <w:rFonts w:ascii="Times New Roman" w:eastAsia="Times New Roman" w:hAnsi="Times New Roman" w:cs="Times New Roman"/>
          <w:color w:val="000000"/>
          <w:spacing w:val="0"/>
          <w:w w:val="100"/>
          <w:position w:val="0"/>
        </w:rPr>
        <w:t>2019</w:t>
      </w:r>
      <w:r>
        <w:rPr>
          <w:color w:val="000000"/>
          <w:spacing w:val="0"/>
          <w:w w:val="100"/>
          <w:position w:val="0"/>
        </w:rPr>
        <w:t>年度经营业绩考核结果与奖惩的议案》、《关于</w:t>
      </w:r>
      <w:r>
        <w:rPr>
          <w:rFonts w:ascii="Times New Roman" w:eastAsia="Times New Roman" w:hAnsi="Times New Roman" w:cs="Times New Roman"/>
          <w:color w:val="000000"/>
          <w:spacing w:val="0"/>
          <w:w w:val="100"/>
          <w:position w:val="0"/>
        </w:rPr>
        <w:t>2020</w:t>
      </w:r>
      <w:r>
        <w:rPr>
          <w:color w:val="000000"/>
          <w:spacing w:val="0"/>
          <w:w w:val="100"/>
          <w:position w:val="0"/>
        </w:rPr>
        <w:t>年度高管 人员经营业绩考核目标的议案》共计</w:t>
      </w:r>
      <w:r>
        <w:rPr>
          <w:rFonts w:ascii="Times New Roman" w:eastAsia="Times New Roman" w:hAnsi="Times New Roman" w:cs="Times New Roman"/>
          <w:color w:val="000000"/>
          <w:spacing w:val="0"/>
          <w:w w:val="100"/>
          <w:position w:val="0"/>
        </w:rPr>
        <w:t>2</w:t>
      </w:r>
      <w:r>
        <w:rPr>
          <w:color w:val="000000"/>
          <w:spacing w:val="0"/>
          <w:w w:val="100"/>
          <w:position w:val="0"/>
        </w:rPr>
        <w:t>项议案进行了审议并提交董事会审议。</w:t>
      </w:r>
    </w:p>
    <w:p>
      <w:pPr>
        <w:pStyle w:val="Style47"/>
        <w:keepNext w:val="0"/>
        <w:keepLines w:val="0"/>
        <w:widowControl w:val="0"/>
        <w:shd w:val="clear" w:color="auto" w:fill="auto"/>
        <w:tabs>
          <w:tab w:pos="1029" w:val="left"/>
        </w:tabs>
        <w:bidi w:val="0"/>
        <w:spacing w:before="0" w:after="0" w:line="466" w:lineRule="exact"/>
        <w:ind w:left="0" w:right="0" w:firstLine="440"/>
        <w:jc w:val="both"/>
      </w:pPr>
      <w:bookmarkStart w:id="697" w:name="bookmark697"/>
      <w:r>
        <w:rPr>
          <w:color w:val="000000"/>
          <w:spacing w:val="0"/>
          <w:w w:val="100"/>
          <w:position w:val="0"/>
        </w:rPr>
        <w:t>（</w:t>
      </w:r>
      <w:bookmarkEnd w:id="697"/>
      <w:r>
        <w:rPr>
          <w:color w:val="000000"/>
          <w:spacing w:val="0"/>
          <w:w w:val="100"/>
          <w:position w:val="0"/>
        </w:rPr>
        <w:t>三）</w:t>
        <w:tab/>
        <w:t>提名委员会的履职情况</w:t>
      </w:r>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报告期内，公司第三届非独立董事公司索继栓、杨红梅辞职，董事会提名委员会依照相关法规及公司 《章程》、《提名委员会工作细则》的规定，对非独立董事候选人杨建华、赵自强的推荐人资格、候选人 任职资格、履职能力、品德素养、兼职情况进行了审查。</w:t>
      </w:r>
      <w:r>
        <w:rPr>
          <w:rFonts w:ascii="Times New Roman" w:eastAsia="Times New Roman" w:hAnsi="Times New Roman" w:cs="Times New Roman"/>
          <w:color w:val="000000"/>
          <w:spacing w:val="0"/>
          <w:w w:val="100"/>
          <w:position w:val="0"/>
        </w:rPr>
        <w:t>2020</w:t>
      </w:r>
      <w:r>
        <w:rPr>
          <w:color w:val="000000"/>
          <w:spacing w:val="0"/>
          <w:w w:val="100"/>
          <w:position w:val="0"/>
        </w:rPr>
        <w:t>年，提名委员会共召开</w:t>
      </w:r>
      <w:r>
        <w:rPr>
          <w:rFonts w:ascii="Times New Roman" w:eastAsia="Times New Roman" w:hAnsi="Times New Roman" w:cs="Times New Roman"/>
          <w:color w:val="000000"/>
          <w:spacing w:val="0"/>
          <w:w w:val="100"/>
          <w:position w:val="0"/>
        </w:rPr>
        <w:t>1</w:t>
      </w:r>
      <w:r>
        <w:rPr>
          <w:color w:val="000000"/>
          <w:spacing w:val="0"/>
          <w:w w:val="100"/>
          <w:position w:val="0"/>
        </w:rPr>
        <w:t>次会议，对公司《关 于提名杨建华、赵自强为非独立董事候选人的议案》共计</w:t>
      </w:r>
      <w:r>
        <w:rPr>
          <w:rFonts w:ascii="Times New Roman" w:eastAsia="Times New Roman" w:hAnsi="Times New Roman" w:cs="Times New Roman"/>
          <w:color w:val="000000"/>
          <w:spacing w:val="0"/>
          <w:w w:val="100"/>
          <w:position w:val="0"/>
        </w:rPr>
        <w:t>1</w:t>
      </w:r>
      <w:r>
        <w:rPr>
          <w:color w:val="000000"/>
          <w:spacing w:val="0"/>
          <w:w w:val="100"/>
          <w:position w:val="0"/>
        </w:rPr>
        <w:t>项议案进行了审议并提交董事会审议。</w:t>
      </w:r>
    </w:p>
    <w:p>
      <w:pPr>
        <w:pStyle w:val="Style47"/>
        <w:keepNext w:val="0"/>
        <w:keepLines w:val="0"/>
        <w:widowControl w:val="0"/>
        <w:shd w:val="clear" w:color="auto" w:fill="auto"/>
        <w:tabs>
          <w:tab w:pos="1029" w:val="left"/>
        </w:tabs>
        <w:bidi w:val="0"/>
        <w:spacing w:before="0" w:after="0" w:line="466" w:lineRule="exact"/>
        <w:ind w:left="0" w:right="0" w:firstLine="440"/>
        <w:jc w:val="both"/>
      </w:pPr>
      <w:bookmarkStart w:id="698" w:name="bookmark698"/>
      <w:r>
        <w:rPr>
          <w:color w:val="000000"/>
          <w:spacing w:val="0"/>
          <w:w w:val="100"/>
          <w:position w:val="0"/>
        </w:rPr>
        <w:t>（</w:t>
      </w:r>
      <w:bookmarkEnd w:id="698"/>
      <w:r>
        <w:rPr>
          <w:color w:val="000000"/>
          <w:spacing w:val="0"/>
          <w:w w:val="100"/>
          <w:position w:val="0"/>
        </w:rPr>
        <w:t>四）</w:t>
        <w:tab/>
        <w:t>战略委员会的履职情况</w:t>
      </w:r>
    </w:p>
    <w:p>
      <w:pPr>
        <w:pStyle w:val="Style47"/>
        <w:keepNext w:val="0"/>
        <w:keepLines w:val="0"/>
        <w:widowControl w:val="0"/>
        <w:shd w:val="clear" w:color="auto" w:fill="auto"/>
        <w:bidi w:val="0"/>
        <w:spacing w:before="0" w:after="420" w:line="466" w:lineRule="exact"/>
        <w:ind w:left="0" w:right="0" w:firstLine="440"/>
        <w:jc w:val="both"/>
      </w:pPr>
      <w:r>
        <w:rPr>
          <w:color w:val="000000"/>
          <w:spacing w:val="0"/>
          <w:w w:val="100"/>
          <w:position w:val="0"/>
        </w:rPr>
        <w:t>报告期内，公司战略委员会依照相关法规及公司《章程》、《战略委员会工作细则》的规定认真履职, 在</w:t>
      </w:r>
      <w:r>
        <w:rPr>
          <w:rFonts w:ascii="Times New Roman" w:eastAsia="Times New Roman" w:hAnsi="Times New Roman" w:cs="Times New Roman"/>
          <w:color w:val="000000"/>
          <w:spacing w:val="0"/>
          <w:w w:val="100"/>
          <w:position w:val="0"/>
        </w:rPr>
        <w:t>2020</w:t>
      </w:r>
      <w:r>
        <w:rPr>
          <w:color w:val="000000"/>
          <w:spacing w:val="0"/>
          <w:w w:val="100"/>
          <w:position w:val="0"/>
        </w:rPr>
        <w:t>年度共召开了</w:t>
      </w:r>
      <w:r>
        <w:rPr>
          <w:rFonts w:ascii="Times New Roman" w:eastAsia="Times New Roman" w:hAnsi="Times New Roman" w:cs="Times New Roman"/>
          <w:color w:val="000000"/>
          <w:spacing w:val="0"/>
          <w:w w:val="100"/>
          <w:position w:val="0"/>
        </w:rPr>
        <w:t>2</w:t>
      </w:r>
      <w:r>
        <w:rPr>
          <w:color w:val="000000"/>
          <w:spacing w:val="0"/>
          <w:w w:val="100"/>
          <w:position w:val="0"/>
        </w:rPr>
        <w:t>次会议，对《关于</w:t>
      </w:r>
      <w:r>
        <w:rPr>
          <w:rFonts w:ascii="Times New Roman" w:eastAsia="Times New Roman" w:hAnsi="Times New Roman" w:cs="Times New Roman"/>
          <w:color w:val="000000"/>
          <w:spacing w:val="0"/>
          <w:w w:val="100"/>
          <w:position w:val="0"/>
        </w:rPr>
        <w:t>2021</w:t>
      </w:r>
      <w:r>
        <w:rPr>
          <w:color w:val="000000"/>
          <w:spacing w:val="0"/>
          <w:w w:val="100"/>
          <w:position w:val="0"/>
        </w:rPr>
        <w:t>年至</w:t>
      </w:r>
      <w:r>
        <w:rPr>
          <w:rFonts w:ascii="Times New Roman" w:eastAsia="Times New Roman" w:hAnsi="Times New Roman" w:cs="Times New Roman"/>
          <w:color w:val="000000"/>
          <w:spacing w:val="0"/>
          <w:w w:val="100"/>
          <w:position w:val="0"/>
        </w:rPr>
        <w:t>2030</w:t>
      </w:r>
      <w:r>
        <w:rPr>
          <w:color w:val="000000"/>
          <w:spacing w:val="0"/>
          <w:w w:val="100"/>
          <w:position w:val="0"/>
        </w:rPr>
        <w:t>年发展战略规划（纲要）的议案》、《关于公司符 合发行股份及支付现金购买资产并募集配套资金暨关联交易条件的议案》、《关于公司发行股份及支付现 金购买资产并募集配套资金暨关联交易方案的议案》等</w:t>
      </w:r>
      <w:r>
        <w:rPr>
          <w:rFonts w:ascii="Times New Roman" w:eastAsia="Times New Roman" w:hAnsi="Times New Roman" w:cs="Times New Roman"/>
          <w:color w:val="000000"/>
          <w:spacing w:val="0"/>
          <w:w w:val="100"/>
          <w:position w:val="0"/>
        </w:rPr>
        <w:t>18</w:t>
      </w:r>
      <w:r>
        <w:rPr>
          <w:color w:val="000000"/>
          <w:spacing w:val="0"/>
          <w:w w:val="100"/>
          <w:position w:val="0"/>
        </w:rPr>
        <w:t>项议案进行了审议并提交董事会审议。</w:t>
      </w:r>
    </w:p>
    <w:p>
      <w:pPr>
        <w:pStyle w:val="Style33"/>
        <w:keepNext/>
        <w:keepLines/>
        <w:widowControl w:val="0"/>
        <w:shd w:val="clear" w:color="auto" w:fill="auto"/>
        <w:tabs>
          <w:tab w:pos="522" w:val="left"/>
        </w:tabs>
        <w:bidi w:val="0"/>
        <w:spacing w:before="0" w:after="360" w:line="240" w:lineRule="auto"/>
        <w:ind w:left="0" w:right="0" w:firstLine="0"/>
        <w:jc w:val="left"/>
      </w:pPr>
      <w:bookmarkStart w:id="699" w:name="bookmark699"/>
      <w:bookmarkStart w:id="700" w:name="bookmark700"/>
      <w:bookmarkStart w:id="701" w:name="bookmark701"/>
      <w:bookmarkStart w:id="702" w:name="bookmark702"/>
      <w:r>
        <w:rPr>
          <w:color w:val="000000"/>
          <w:spacing w:val="0"/>
          <w:w w:val="100"/>
          <w:position w:val="0"/>
          <w:sz w:val="24"/>
          <w:szCs w:val="24"/>
        </w:rPr>
        <w:t>七</w:t>
      </w:r>
      <w:bookmarkEnd w:id="701"/>
      <w:r>
        <w:rPr>
          <w:color w:val="000000"/>
          <w:spacing w:val="0"/>
          <w:w w:val="100"/>
          <w:position w:val="0"/>
          <w:sz w:val="24"/>
          <w:szCs w:val="24"/>
        </w:rPr>
        <w:t>、</w:t>
        <w:tab/>
        <w:t>监事会工作情况</w:t>
      </w:r>
      <w:bookmarkEnd w:id="699"/>
      <w:bookmarkEnd w:id="700"/>
      <w:bookmarkEnd w:id="702"/>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监事会在报告期内的监督活动中发现公司是否存在风险</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after="1860" w:line="240" w:lineRule="auto"/>
        <w:ind w:left="0" w:right="0" w:firstLine="0"/>
        <w:jc w:val="left"/>
      </w:pPr>
      <w:r>
        <w:rPr>
          <w:color w:val="000000"/>
          <w:spacing w:val="0"/>
          <w:w w:val="100"/>
          <w:position w:val="0"/>
        </w:rPr>
        <w:t>公司监事会对报告期内的监督事项无异议。</w:t>
      </w:r>
    </w:p>
    <w:p>
      <w:pPr>
        <w:pStyle w:val="Style83"/>
        <w:keepNext w:val="0"/>
        <w:keepLines w:val="0"/>
        <w:widowControl w:val="0"/>
        <w:shd w:val="clear" w:color="auto" w:fill="auto"/>
        <w:bidi w:val="0"/>
        <w:spacing w:before="0" w:after="160" w:line="240" w:lineRule="auto"/>
        <w:ind w:left="0" w:right="0" w:firstLine="0"/>
        <w:jc w:val="right"/>
        <w:rPr>
          <w:sz w:val="26"/>
          <w:szCs w:val="26"/>
        </w:rPr>
        <w:sectPr>
          <w:footnotePr>
            <w:pos w:val="pageBottom"/>
            <w:numFmt w:val="decimal"/>
            <w:numRestart w:val="continuous"/>
          </w:footnotePr>
          <w:pgSz w:w="11900" w:h="16840"/>
          <w:pgMar w:top="1460" w:right="1065" w:bottom="946" w:left="1100"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33"/>
        <w:keepNext/>
        <w:keepLines/>
        <w:widowControl w:val="0"/>
        <w:shd w:val="clear" w:color="auto" w:fill="auto"/>
        <w:tabs>
          <w:tab w:pos="517" w:val="left"/>
        </w:tabs>
        <w:bidi w:val="0"/>
        <w:spacing w:before="0" w:after="200" w:line="240" w:lineRule="auto"/>
        <w:ind w:left="0" w:right="0" w:firstLine="0"/>
        <w:jc w:val="left"/>
      </w:pPr>
      <w:bookmarkStart w:id="703" w:name="bookmark703"/>
      <w:bookmarkStart w:id="704" w:name="bookmark704"/>
      <w:bookmarkStart w:id="705" w:name="bookmark705"/>
      <w:bookmarkStart w:id="706" w:name="bookmark706"/>
      <w:r>
        <w:rPr>
          <w:color w:val="000000"/>
          <w:spacing w:val="0"/>
          <w:w w:val="100"/>
          <w:position w:val="0"/>
          <w:sz w:val="24"/>
          <w:szCs w:val="24"/>
        </w:rPr>
        <w:t>八</w:t>
      </w:r>
      <w:bookmarkEnd w:id="705"/>
      <w:r>
        <w:rPr>
          <w:color w:val="000000"/>
          <w:spacing w:val="0"/>
          <w:w w:val="100"/>
          <w:position w:val="0"/>
          <w:sz w:val="24"/>
          <w:szCs w:val="24"/>
        </w:rPr>
        <w:t>、</w:t>
        <w:tab/>
        <w:t>高级管理人员的考评及激励情况</w:t>
      </w:r>
      <w:bookmarkEnd w:id="703"/>
      <w:bookmarkEnd w:id="704"/>
      <w:bookmarkEnd w:id="706"/>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公司高级管理人员的考评及激励是根据</w:t>
      </w:r>
      <w:r>
        <w:rPr>
          <w:rFonts w:ascii="Times New Roman" w:eastAsia="Times New Roman" w:hAnsi="Times New Roman" w:cs="Times New Roman"/>
          <w:color w:val="000000"/>
          <w:spacing w:val="0"/>
          <w:w w:val="100"/>
          <w:position w:val="0"/>
        </w:rPr>
        <w:t>2017</w:t>
      </w:r>
      <w:r>
        <w:rPr>
          <w:color w:val="000000"/>
          <w:spacing w:val="0"/>
          <w:w w:val="100"/>
          <w:position w:val="0"/>
        </w:rPr>
        <w:t>年度股东大会审议通过的《高管人员经营业绩考核暂行办 法》，对公司高管人员实施年薪制（公司</w:t>
      </w:r>
      <w:r>
        <w:rPr>
          <w:rFonts w:ascii="Times New Roman" w:eastAsia="Times New Roman" w:hAnsi="Times New Roman" w:cs="Times New Roman"/>
          <w:color w:val="000000"/>
          <w:spacing w:val="0"/>
          <w:w w:val="100"/>
          <w:position w:val="0"/>
        </w:rPr>
        <w:t>“</w:t>
      </w:r>
      <w:r>
        <w:rPr>
          <w:color w:val="000000"/>
          <w:spacing w:val="0"/>
          <w:w w:val="100"/>
          <w:position w:val="0"/>
        </w:rPr>
        <w:t>高管人员</w:t>
      </w:r>
      <w:r>
        <w:rPr>
          <w:color w:val="000000"/>
          <w:spacing w:val="0"/>
          <w:w w:val="100"/>
          <w:position w:val="0"/>
        </w:rPr>
        <w:t>''</w:t>
      </w:r>
      <w:r>
        <w:rPr>
          <w:color w:val="000000"/>
          <w:spacing w:val="0"/>
          <w:w w:val="100"/>
          <w:position w:val="0"/>
        </w:rPr>
        <w:t>特指：在本公司支取薪酬的董事（不包括独立董事）、 监事会主席、党委书记、党委副书记、纪委书记，董事会聘任的总经理、副总经理、董事会秘书、财务负 责人及公司章程认定的其他高级管理人员）。该办法采用定量与定性相结合的方式进行年度考评，并将其 收入与其承担的责任、贡献、经营业绩挂钩，起到了很好的激励效果，对公司的经营发展和业绩提升起到 了较好的促进作用。</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上述高管人员经营业绩考核以年度考核为主，辅以任期考核，任期考核以激励为主，考核结果与年度 薪酬和任期激励挂钩。经营业绩考核工作遵循以下原则：</w:t>
      </w:r>
    </w:p>
    <w:p>
      <w:pPr>
        <w:pStyle w:val="Style47"/>
        <w:keepNext w:val="0"/>
        <w:keepLines w:val="0"/>
        <w:widowControl w:val="0"/>
        <w:shd w:val="clear" w:color="auto" w:fill="auto"/>
        <w:tabs>
          <w:tab w:pos="1009" w:val="left"/>
        </w:tabs>
        <w:bidi w:val="0"/>
        <w:spacing w:before="0" w:after="0" w:line="469" w:lineRule="exact"/>
        <w:ind w:left="0" w:right="0" w:firstLine="420"/>
        <w:jc w:val="both"/>
      </w:pPr>
      <w:bookmarkStart w:id="707" w:name="bookmark707"/>
      <w:r>
        <w:rPr>
          <w:color w:val="000000"/>
          <w:spacing w:val="0"/>
          <w:w w:val="100"/>
          <w:position w:val="0"/>
        </w:rPr>
        <w:t>（</w:t>
      </w:r>
      <w:bookmarkEnd w:id="707"/>
      <w:r>
        <w:rPr>
          <w:color w:val="000000"/>
          <w:spacing w:val="0"/>
          <w:w w:val="100"/>
          <w:position w:val="0"/>
        </w:rPr>
        <w:t>一）</w:t>
        <w:tab/>
        <w:t>有利于国有资产保值增值和公司价值最大化。</w:t>
      </w:r>
    </w:p>
    <w:p>
      <w:pPr>
        <w:pStyle w:val="Style47"/>
        <w:keepNext w:val="0"/>
        <w:keepLines w:val="0"/>
        <w:widowControl w:val="0"/>
        <w:shd w:val="clear" w:color="auto" w:fill="auto"/>
        <w:tabs>
          <w:tab w:pos="1009" w:val="left"/>
        </w:tabs>
        <w:bidi w:val="0"/>
        <w:spacing w:before="0" w:after="0" w:line="469" w:lineRule="exact"/>
        <w:ind w:left="0" w:right="0" w:firstLine="420"/>
        <w:jc w:val="both"/>
      </w:pPr>
      <w:bookmarkStart w:id="708" w:name="bookmark708"/>
      <w:r>
        <w:rPr>
          <w:color w:val="000000"/>
          <w:spacing w:val="0"/>
          <w:w w:val="100"/>
          <w:position w:val="0"/>
        </w:rPr>
        <w:t>（</w:t>
      </w:r>
      <w:bookmarkEnd w:id="708"/>
      <w:r>
        <w:rPr>
          <w:color w:val="000000"/>
          <w:spacing w:val="0"/>
          <w:w w:val="100"/>
          <w:position w:val="0"/>
        </w:rPr>
        <w:t>二）</w:t>
        <w:tab/>
        <w:t>有利于公司提高战略管理能力和自主创新水平，不断增强公司核心竞争力和可持续发展能力。</w:t>
      </w:r>
    </w:p>
    <w:p>
      <w:pPr>
        <w:pStyle w:val="Style47"/>
        <w:keepNext w:val="0"/>
        <w:keepLines w:val="0"/>
        <w:widowControl w:val="0"/>
        <w:shd w:val="clear" w:color="auto" w:fill="auto"/>
        <w:tabs>
          <w:tab w:pos="1122" w:val="left"/>
        </w:tabs>
        <w:bidi w:val="0"/>
        <w:spacing w:before="0" w:after="0" w:line="469" w:lineRule="exact"/>
        <w:ind w:left="0" w:right="0" w:firstLine="420"/>
        <w:jc w:val="both"/>
      </w:pPr>
      <w:bookmarkStart w:id="709" w:name="bookmark709"/>
      <w:r>
        <w:rPr>
          <w:color w:val="000000"/>
          <w:spacing w:val="0"/>
          <w:w w:val="100"/>
          <w:position w:val="0"/>
        </w:rPr>
        <w:t>（</w:t>
      </w:r>
      <w:bookmarkEnd w:id="709"/>
      <w:r>
        <w:rPr>
          <w:color w:val="000000"/>
          <w:spacing w:val="0"/>
          <w:w w:val="100"/>
          <w:position w:val="0"/>
        </w:rPr>
        <w:t>三）</w:t>
        <w:tab/>
        <w:t>有利于推动公司建立健全绩效管理体系，增强公司管控力和执行力，确保国有资产保值增值责 任层层落实。</w:t>
      </w:r>
    </w:p>
    <w:p>
      <w:pPr>
        <w:pStyle w:val="Style47"/>
        <w:keepNext w:val="0"/>
        <w:keepLines w:val="0"/>
        <w:widowControl w:val="0"/>
        <w:shd w:val="clear" w:color="auto" w:fill="auto"/>
        <w:tabs>
          <w:tab w:pos="1009" w:val="left"/>
        </w:tabs>
        <w:bidi w:val="0"/>
        <w:spacing w:before="0" w:after="0" w:line="469" w:lineRule="exact"/>
        <w:ind w:left="0" w:right="0" w:firstLine="420"/>
        <w:jc w:val="both"/>
      </w:pPr>
      <w:bookmarkStart w:id="710" w:name="bookmark710"/>
      <w:r>
        <w:rPr>
          <w:color w:val="000000"/>
          <w:spacing w:val="0"/>
          <w:w w:val="100"/>
          <w:position w:val="0"/>
        </w:rPr>
        <w:t>（</w:t>
      </w:r>
      <w:bookmarkEnd w:id="710"/>
      <w:r>
        <w:rPr>
          <w:color w:val="000000"/>
          <w:spacing w:val="0"/>
          <w:w w:val="100"/>
          <w:position w:val="0"/>
        </w:rPr>
        <w:t>四）</w:t>
        <w:tab/>
        <w:t>有利于落实公司发展规划，提高考核的针对性和有效性。</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上述高管人员年度经营业绩考核程序为：</w:t>
      </w:r>
    </w:p>
    <w:p>
      <w:pPr>
        <w:pStyle w:val="Style47"/>
        <w:keepNext w:val="0"/>
        <w:keepLines w:val="0"/>
        <w:widowControl w:val="0"/>
        <w:shd w:val="clear" w:color="auto" w:fill="auto"/>
        <w:tabs>
          <w:tab w:pos="1122" w:val="left"/>
        </w:tabs>
        <w:bidi w:val="0"/>
        <w:spacing w:before="0" w:after="0" w:line="469" w:lineRule="exact"/>
        <w:ind w:left="0" w:right="0" w:firstLine="420"/>
        <w:jc w:val="both"/>
      </w:pPr>
      <w:bookmarkStart w:id="711" w:name="bookmark711"/>
      <w:r>
        <w:rPr>
          <w:color w:val="000000"/>
          <w:spacing w:val="0"/>
          <w:w w:val="100"/>
          <w:position w:val="0"/>
        </w:rPr>
        <w:t>（</w:t>
      </w:r>
      <w:bookmarkEnd w:id="711"/>
      <w:r>
        <w:rPr>
          <w:color w:val="000000"/>
          <w:spacing w:val="0"/>
          <w:w w:val="100"/>
          <w:position w:val="0"/>
        </w:rPr>
        <w:t>一）</w:t>
        <w:tab/>
        <w:t>在相关董事会会议召开前，董事会薪酬与考核委员会应将审核后的公司年度经营业绩考核结果 提交监事会主席复核，监事会主席在复核后的考核结果书面文件上签字确认。</w:t>
      </w:r>
    </w:p>
    <w:p>
      <w:pPr>
        <w:pStyle w:val="Style47"/>
        <w:keepNext w:val="0"/>
        <w:keepLines w:val="0"/>
        <w:widowControl w:val="0"/>
        <w:shd w:val="clear" w:color="auto" w:fill="auto"/>
        <w:tabs>
          <w:tab w:pos="1122" w:val="left"/>
        </w:tabs>
        <w:bidi w:val="0"/>
        <w:spacing w:before="0" w:after="0" w:line="469" w:lineRule="exact"/>
        <w:ind w:left="0" w:right="0" w:firstLine="420"/>
        <w:jc w:val="both"/>
      </w:pPr>
      <w:bookmarkStart w:id="712" w:name="bookmark712"/>
      <w:r>
        <w:rPr>
          <w:color w:val="000000"/>
          <w:spacing w:val="0"/>
          <w:w w:val="100"/>
          <w:position w:val="0"/>
        </w:rPr>
        <w:t>（</w:t>
      </w:r>
      <w:bookmarkEnd w:id="712"/>
      <w:r>
        <w:rPr>
          <w:color w:val="000000"/>
          <w:spacing w:val="0"/>
          <w:w w:val="100"/>
          <w:position w:val="0"/>
        </w:rPr>
        <w:t>二）</w:t>
        <w:tab/>
        <w:t>董事会薪酬与考核委员会根据考核结果及董事长、总经理的相关奖惩提议，提出正式的考核与 奖惩专项议案提交董事会议审议通过后执行。</w:t>
      </w:r>
    </w:p>
    <w:p>
      <w:pPr>
        <w:pStyle w:val="Style47"/>
        <w:keepNext w:val="0"/>
        <w:keepLines w:val="0"/>
        <w:widowControl w:val="0"/>
        <w:shd w:val="clear" w:color="auto" w:fill="auto"/>
        <w:tabs>
          <w:tab w:pos="1126" w:val="left"/>
        </w:tabs>
        <w:bidi w:val="0"/>
        <w:spacing w:before="0" w:after="0" w:line="469" w:lineRule="exact"/>
        <w:ind w:left="0" w:right="0" w:firstLine="420"/>
        <w:jc w:val="both"/>
      </w:pPr>
      <w:bookmarkStart w:id="713" w:name="bookmark713"/>
      <w:r>
        <w:rPr>
          <w:color w:val="000000"/>
          <w:spacing w:val="0"/>
          <w:w w:val="100"/>
          <w:position w:val="0"/>
        </w:rPr>
        <w:t>（</w:t>
      </w:r>
      <w:bookmarkEnd w:id="713"/>
      <w:r>
        <w:rPr>
          <w:color w:val="000000"/>
          <w:spacing w:val="0"/>
          <w:w w:val="100"/>
          <w:position w:val="0"/>
        </w:rPr>
        <w:t>三）</w:t>
        <w:tab/>
        <w:t>董事会应指定专人将董事会最终审定的考核与奖惩结果反馈给上述高管人员。高管人员对考核 结果有异议的，可在</w:t>
      </w:r>
      <w:r>
        <w:rPr>
          <w:rFonts w:ascii="Times New Roman" w:eastAsia="Times New Roman" w:hAnsi="Times New Roman" w:cs="Times New Roman"/>
          <w:color w:val="000000"/>
          <w:spacing w:val="0"/>
          <w:w w:val="100"/>
          <w:position w:val="0"/>
        </w:rPr>
        <w:t>10</w:t>
      </w:r>
      <w:r>
        <w:rPr>
          <w:color w:val="000000"/>
          <w:spacing w:val="0"/>
          <w:w w:val="100"/>
          <w:position w:val="0"/>
        </w:rPr>
        <w:t>日内向董事会或监事会书面反映，董事会须根据反映情况或监事会提议及时做出书 面答复。</w:t>
      </w:r>
    </w:p>
    <w:p>
      <w:pPr>
        <w:pStyle w:val="Style47"/>
        <w:keepNext w:val="0"/>
        <w:keepLines w:val="0"/>
        <w:widowControl w:val="0"/>
        <w:shd w:val="clear" w:color="auto" w:fill="auto"/>
        <w:bidi w:val="0"/>
        <w:spacing w:before="0" w:after="420" w:line="469" w:lineRule="exact"/>
        <w:ind w:left="0" w:right="0" w:firstLine="420"/>
        <w:jc w:val="both"/>
      </w:pPr>
      <w:r>
        <w:rPr>
          <w:rFonts w:ascii="Times New Roman" w:eastAsia="Times New Roman" w:hAnsi="Times New Roman" w:cs="Times New Roman"/>
          <w:color w:val="000000"/>
          <w:spacing w:val="0"/>
          <w:w w:val="100"/>
          <w:position w:val="0"/>
        </w:rPr>
        <w:t>2020</w:t>
      </w:r>
      <w:r>
        <w:rPr>
          <w:color w:val="000000"/>
          <w:spacing w:val="0"/>
          <w:w w:val="100"/>
          <w:position w:val="0"/>
        </w:rPr>
        <w:t>年度高管人员考核及奖惩情况因相关考核工作还未完成，故暂未提交公司董事会审议。</w:t>
      </w:r>
    </w:p>
    <w:p>
      <w:pPr>
        <w:pStyle w:val="Style33"/>
        <w:keepNext/>
        <w:keepLines/>
        <w:widowControl w:val="0"/>
        <w:shd w:val="clear" w:color="auto" w:fill="auto"/>
        <w:tabs>
          <w:tab w:pos="517" w:val="left"/>
        </w:tabs>
        <w:bidi w:val="0"/>
        <w:spacing w:before="0" w:after="120" w:line="240" w:lineRule="auto"/>
        <w:ind w:left="0" w:right="0" w:firstLine="0"/>
        <w:jc w:val="left"/>
      </w:pPr>
      <w:bookmarkStart w:id="714" w:name="bookmark714"/>
      <w:bookmarkStart w:id="715" w:name="bookmark715"/>
      <w:bookmarkStart w:id="716" w:name="bookmark716"/>
      <w:bookmarkStart w:id="717" w:name="bookmark717"/>
      <w:r>
        <w:rPr>
          <w:color w:val="000000"/>
          <w:spacing w:val="0"/>
          <w:w w:val="100"/>
          <w:position w:val="0"/>
          <w:sz w:val="24"/>
          <w:szCs w:val="24"/>
        </w:rPr>
        <w:t>九</w:t>
      </w:r>
      <w:bookmarkEnd w:id="716"/>
      <w:r>
        <w:rPr>
          <w:color w:val="000000"/>
          <w:spacing w:val="0"/>
          <w:w w:val="100"/>
          <w:position w:val="0"/>
          <w:sz w:val="24"/>
          <w:szCs w:val="24"/>
        </w:rPr>
        <w:t>、</w:t>
        <w:tab/>
        <w:t>内部控制评价报告</w:t>
      </w:r>
      <w:bookmarkEnd w:id="714"/>
      <w:bookmarkEnd w:id="715"/>
      <w:bookmarkEnd w:id="717"/>
    </w:p>
    <w:p>
      <w:pPr>
        <w:pStyle w:val="Style44"/>
        <w:keepNext/>
        <w:keepLines/>
        <w:widowControl w:val="0"/>
        <w:shd w:val="clear" w:color="auto" w:fill="auto"/>
        <w:bidi w:val="0"/>
        <w:spacing w:before="0" w:after="360" w:line="469" w:lineRule="exact"/>
        <w:ind w:left="0" w:right="0" w:firstLine="0"/>
        <w:jc w:val="left"/>
      </w:pPr>
      <w:bookmarkStart w:id="718" w:name="bookmark718"/>
      <w:bookmarkStart w:id="719" w:name="bookmark719"/>
      <w:bookmarkStart w:id="720" w:name="bookmark720"/>
      <w:bookmarkStart w:id="721" w:name="bookmark721"/>
      <w:r>
        <w:rPr>
          <w:rFonts w:ascii="Times New Roman" w:eastAsia="Times New Roman" w:hAnsi="Times New Roman" w:cs="Times New Roman"/>
          <w:color w:val="000000"/>
          <w:spacing w:val="0"/>
          <w:w w:val="100"/>
          <w:position w:val="0"/>
        </w:rPr>
        <w:t>1</w:t>
      </w:r>
      <w:bookmarkEnd w:id="720"/>
      <w:r>
        <w:rPr>
          <w:color w:val="000000"/>
          <w:spacing w:val="0"/>
          <w:w w:val="100"/>
          <w:position w:val="0"/>
        </w:rPr>
        <w:t>、报告期内发现的内部控制重大缺陷的具体情况</w:t>
      </w:r>
      <w:bookmarkEnd w:id="718"/>
      <w:bookmarkEnd w:id="719"/>
      <w:bookmarkEnd w:id="721"/>
    </w:p>
    <w:p>
      <w:pPr>
        <w:pStyle w:val="Style35"/>
        <w:keepNext w:val="0"/>
        <w:keepLines w:val="0"/>
        <w:widowControl w:val="0"/>
        <w:shd w:val="clear" w:color="auto" w:fill="auto"/>
        <w:bidi w:val="0"/>
        <w:spacing w:before="0" w:after="200" w:line="240" w:lineRule="auto"/>
        <w:ind w:left="0" w:right="0" w:firstLine="0"/>
        <w:jc w:val="left"/>
        <w:sectPr>
          <w:headerReference w:type="default" r:id="rId203"/>
          <w:footerReference w:type="default" r:id="rId204"/>
          <w:headerReference w:type="even" r:id="rId205"/>
          <w:footerReference w:type="even" r:id="rId206"/>
          <w:footnotePr>
            <w:pos w:val="pageBottom"/>
            <w:numFmt w:val="decimal"/>
            <w:numRestart w:val="continuous"/>
          </w:footnotePr>
          <w:pgSz w:w="11900" w:h="16840"/>
          <w:pgMar w:top="1460" w:right="1065" w:bottom="1460" w:left="1105" w:header="0" w:footer="3" w:gutter="0"/>
          <w:cols w:space="720"/>
          <w:noEndnote/>
          <w:rtlGutter w:val="0"/>
          <w:docGrid w:linePitch="360"/>
        </w:sectPr>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44"/>
        <w:keepNext/>
        <w:keepLines/>
        <w:widowControl w:val="0"/>
        <w:shd w:val="clear" w:color="auto" w:fill="auto"/>
        <w:bidi w:val="0"/>
        <w:spacing w:before="0" w:after="320" w:line="240" w:lineRule="auto"/>
        <w:ind w:left="0" w:right="0" w:firstLine="0"/>
        <w:jc w:val="left"/>
      </w:pPr>
      <w:bookmarkStart w:id="722" w:name="bookmark722"/>
      <w:bookmarkStart w:id="723" w:name="bookmark723"/>
      <w:bookmarkStart w:id="724" w:name="bookmark724"/>
      <w:bookmarkStart w:id="725" w:name="bookmark725"/>
      <w:r>
        <w:rPr>
          <w:rFonts w:ascii="Times New Roman" w:eastAsia="Times New Roman" w:hAnsi="Times New Roman" w:cs="Times New Roman"/>
          <w:color w:val="000000"/>
          <w:spacing w:val="0"/>
          <w:w w:val="100"/>
          <w:position w:val="0"/>
        </w:rPr>
        <w:t>2</w:t>
      </w:r>
      <w:bookmarkEnd w:id="724"/>
      <w:r>
        <w:rPr>
          <w:color w:val="000000"/>
          <w:spacing w:val="0"/>
          <w:w w:val="100"/>
          <w:position w:val="0"/>
        </w:rPr>
        <w:t>、内控自我评价报告</w:t>
      </w:r>
      <w:bookmarkEnd w:id="722"/>
      <w:bookmarkEnd w:id="723"/>
      <w:bookmarkEnd w:id="725"/>
    </w:p>
    <w:tbl>
      <w:tblPr>
        <w:tblOverlap w:val="never"/>
        <w:jc w:val="center"/>
        <w:tblLayout w:type="fixed"/>
      </w:tblPr>
      <w:tblGrid>
        <w:gridCol w:w="3202"/>
        <w:gridCol w:w="3322"/>
        <w:gridCol w:w="306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内部控制评价报告全文披露日期</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sz w:val="18"/>
                <w:szCs w:val="18"/>
              </w:rPr>
              <w:t>日</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内部控制评价报告全文披露索引</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http://www.cninfo.com.cn/</w:t>
            </w:r>
            <w:r>
              <w:fldChar w:fldCharType="end"/>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纳入评价范围单位资产总额占公司合并 财务报表资产总额的比例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570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纳入评价范围单位营业收入占公司合并 财务报表营业收入的比例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570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398" w:hRule="exact"/>
        </w:trPr>
        <w:tc>
          <w:tcPr>
            <w:gridSpan w:val="3"/>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缺陷认定标准</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财务报告</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非财务报告</w:t>
            </w:r>
          </w:p>
        </w:tc>
      </w:tr>
      <w:tr>
        <w:trPr>
          <w:trHeight w:val="570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定性标准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、财务报告内部控制存在重大缺陷的迹象 包括：</w:t>
            </w:r>
            <w:r>
              <w:rPr>
                <w:rFonts w:ascii="Times New Roman" w:eastAsia="Times New Roman" w:hAnsi="Times New Roman" w:cs="Times New Roman"/>
                <w:color w:val="000000"/>
                <w:spacing w:val="0"/>
                <w:w w:val="100"/>
                <w:position w:val="0"/>
                <w:sz w:val="18"/>
                <w:szCs w:val="18"/>
              </w:rPr>
              <w:t>a）</w:t>
            </w:r>
            <w:r>
              <w:rPr>
                <w:color w:val="000000"/>
                <w:spacing w:val="0"/>
                <w:w w:val="100"/>
                <w:position w:val="0"/>
                <w:sz w:val="18"/>
                <w:szCs w:val="18"/>
              </w:rPr>
              <w:t>公司董事、监事或高级管理人员 的舞弊行为；</w:t>
            </w:r>
            <w:r>
              <w:rPr>
                <w:rFonts w:ascii="Times New Roman" w:eastAsia="Times New Roman" w:hAnsi="Times New Roman" w:cs="Times New Roman"/>
                <w:color w:val="000000"/>
                <w:spacing w:val="0"/>
                <w:w w:val="100"/>
                <w:position w:val="0"/>
                <w:sz w:val="18"/>
                <w:szCs w:val="18"/>
              </w:rPr>
              <w:t>b）</w:t>
            </w:r>
            <w:r>
              <w:rPr>
                <w:color w:val="000000"/>
                <w:spacing w:val="0"/>
                <w:w w:val="100"/>
                <w:position w:val="0"/>
                <w:sz w:val="18"/>
                <w:szCs w:val="18"/>
              </w:rPr>
              <w:t>公司更正已公布的财务报 告；</w:t>
            </w:r>
            <w:r>
              <w:rPr>
                <w:rFonts w:ascii="Times New Roman" w:eastAsia="Times New Roman" w:hAnsi="Times New Roman" w:cs="Times New Roman"/>
                <w:color w:val="000000"/>
                <w:spacing w:val="0"/>
                <w:w w:val="100"/>
                <w:position w:val="0"/>
                <w:sz w:val="18"/>
                <w:szCs w:val="18"/>
              </w:rPr>
              <w:t>c）</w:t>
            </w:r>
            <w:r>
              <w:rPr>
                <w:color w:val="000000"/>
                <w:spacing w:val="0"/>
                <w:w w:val="100"/>
                <w:position w:val="0"/>
                <w:sz w:val="18"/>
                <w:szCs w:val="18"/>
              </w:rPr>
              <w:t>公司的内部控制体系未发现当期财 务报告的重大错报；</w:t>
            </w:r>
            <w:r>
              <w:rPr>
                <w:rFonts w:ascii="Times New Roman" w:eastAsia="Times New Roman" w:hAnsi="Times New Roman" w:cs="Times New Roman"/>
                <w:color w:val="000000"/>
                <w:spacing w:val="0"/>
                <w:w w:val="100"/>
                <w:position w:val="0"/>
                <w:sz w:val="18"/>
                <w:szCs w:val="18"/>
              </w:rPr>
              <w:t>d）</w:t>
            </w:r>
            <w:r>
              <w:rPr>
                <w:color w:val="000000"/>
                <w:spacing w:val="0"/>
                <w:w w:val="100"/>
                <w:position w:val="0"/>
                <w:sz w:val="18"/>
                <w:szCs w:val="18"/>
              </w:rPr>
              <w:t>报告给管理层、董 事会的重大缺陷在经过合理的时间后，未 加以改正；</w:t>
            </w:r>
            <w:r>
              <w:rPr>
                <w:rFonts w:ascii="Times New Roman" w:eastAsia="Times New Roman" w:hAnsi="Times New Roman" w:cs="Times New Roman"/>
                <w:color w:val="000000"/>
                <w:spacing w:val="0"/>
                <w:w w:val="100"/>
                <w:position w:val="0"/>
                <w:sz w:val="18"/>
                <w:szCs w:val="18"/>
              </w:rPr>
              <w:t>e）</w:t>
            </w:r>
            <w:r>
              <w:rPr>
                <w:color w:val="000000"/>
                <w:spacing w:val="0"/>
                <w:w w:val="100"/>
                <w:position w:val="0"/>
                <w:sz w:val="18"/>
                <w:szCs w:val="18"/>
              </w:rPr>
              <w:t>审计委员会和内部审计部对 内部控制的监督无效。</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、财务报告内部控 制存在重要缺陷的迹象包括：</w:t>
            </w:r>
            <w:r>
              <w:rPr>
                <w:rFonts w:ascii="Times New Roman" w:eastAsia="Times New Roman" w:hAnsi="Times New Roman" w:cs="Times New Roman"/>
                <w:color w:val="000000"/>
                <w:spacing w:val="0"/>
                <w:w w:val="100"/>
                <w:position w:val="0"/>
                <w:sz w:val="18"/>
                <w:szCs w:val="18"/>
              </w:rPr>
              <w:t>a）</w:t>
            </w:r>
            <w:r>
              <w:rPr>
                <w:color w:val="000000"/>
                <w:spacing w:val="0"/>
                <w:w w:val="100"/>
                <w:position w:val="0"/>
                <w:sz w:val="18"/>
                <w:szCs w:val="18"/>
              </w:rPr>
              <w:t>未依照公 认会计准则选择和应用会计政策；</w:t>
            </w:r>
            <w:r>
              <w:rPr>
                <w:rFonts w:ascii="Times New Roman" w:eastAsia="Times New Roman" w:hAnsi="Times New Roman" w:cs="Times New Roman"/>
                <w:color w:val="000000"/>
                <w:spacing w:val="0"/>
                <w:w w:val="100"/>
                <w:position w:val="0"/>
                <w:sz w:val="18"/>
                <w:szCs w:val="18"/>
              </w:rPr>
              <w:t>b）</w:t>
            </w:r>
            <w:r>
              <w:rPr>
                <w:color w:val="000000"/>
                <w:spacing w:val="0"/>
                <w:w w:val="100"/>
                <w:position w:val="0"/>
                <w:sz w:val="18"/>
                <w:szCs w:val="18"/>
              </w:rPr>
              <w:t>未建 立反舞弊程序和控制措施；</w:t>
            </w:r>
            <w:r>
              <w:rPr>
                <w:rFonts w:ascii="Times New Roman" w:eastAsia="Times New Roman" w:hAnsi="Times New Roman" w:cs="Times New Roman"/>
                <w:color w:val="000000"/>
                <w:spacing w:val="0"/>
                <w:w w:val="100"/>
                <w:position w:val="0"/>
                <w:sz w:val="18"/>
                <w:szCs w:val="18"/>
              </w:rPr>
              <w:t>c）</w:t>
            </w:r>
            <w:r>
              <w:rPr>
                <w:color w:val="000000"/>
                <w:spacing w:val="0"/>
                <w:w w:val="100"/>
                <w:position w:val="0"/>
                <w:sz w:val="18"/>
                <w:szCs w:val="18"/>
              </w:rPr>
              <w:t>对于非常规 或特殊交易的账务处理没有建立相应的控 制机制或没有实施且没有相应的补偿性 控制；</w:t>
            </w:r>
            <w:r>
              <w:rPr>
                <w:rFonts w:ascii="Times New Roman" w:eastAsia="Times New Roman" w:hAnsi="Times New Roman" w:cs="Times New Roman"/>
                <w:color w:val="000000"/>
                <w:spacing w:val="0"/>
                <w:w w:val="100"/>
                <w:position w:val="0"/>
                <w:sz w:val="18"/>
                <w:szCs w:val="18"/>
              </w:rPr>
              <w:t>d）</w:t>
            </w:r>
            <w:r>
              <w:rPr>
                <w:color w:val="000000"/>
                <w:spacing w:val="0"/>
                <w:w w:val="100"/>
                <w:position w:val="0"/>
                <w:sz w:val="18"/>
                <w:szCs w:val="18"/>
              </w:rPr>
              <w:t>对于期末财务报告过程的控制存 在一项或多项缺陷且不能合理保证编制 的财务报表达到真实、完整的目标。</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、财 务报告内部控制的一般缺陷是指除上述重 大缺陷、重要缺陷之外的其他控制缺陷。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、非财务报告内部控制存在重大缺陷 包括以下情形：</w:t>
            </w:r>
            <w:r>
              <w:rPr>
                <w:rFonts w:ascii="Times New Roman" w:eastAsia="Times New Roman" w:hAnsi="Times New Roman" w:cs="Times New Roman"/>
                <w:color w:val="000000"/>
                <w:spacing w:val="0"/>
                <w:w w:val="100"/>
                <w:position w:val="0"/>
                <w:sz w:val="18"/>
                <w:szCs w:val="18"/>
              </w:rPr>
              <w:t>a）</w:t>
            </w:r>
            <w:r>
              <w:rPr>
                <w:color w:val="000000"/>
                <w:spacing w:val="0"/>
                <w:w w:val="100"/>
                <w:position w:val="0"/>
                <w:sz w:val="18"/>
                <w:szCs w:val="18"/>
              </w:rPr>
              <w:t>违反国家法律法规等 规范文件并受到处罚；</w:t>
            </w:r>
            <w:r>
              <w:rPr>
                <w:rFonts w:ascii="Times New Roman" w:eastAsia="Times New Roman" w:hAnsi="Times New Roman" w:cs="Times New Roman"/>
                <w:color w:val="000000"/>
                <w:spacing w:val="0"/>
                <w:w w:val="100"/>
                <w:position w:val="0"/>
                <w:sz w:val="18"/>
                <w:szCs w:val="18"/>
              </w:rPr>
              <w:t>b）</w:t>
            </w:r>
            <w:r>
              <w:rPr>
                <w:color w:val="000000"/>
                <w:spacing w:val="0"/>
                <w:w w:val="100"/>
                <w:position w:val="0"/>
                <w:sz w:val="18"/>
                <w:szCs w:val="18"/>
              </w:rPr>
              <w:t>重大决策程序 不科学导致重大失误；</w:t>
            </w:r>
            <w:r>
              <w:rPr>
                <w:rFonts w:ascii="Times New Roman" w:eastAsia="Times New Roman" w:hAnsi="Times New Roman" w:cs="Times New Roman"/>
                <w:color w:val="000000"/>
                <w:spacing w:val="0"/>
                <w:w w:val="100"/>
                <w:position w:val="0"/>
                <w:sz w:val="18"/>
                <w:szCs w:val="18"/>
              </w:rPr>
              <w:t>c）</w:t>
            </w:r>
            <w:r>
              <w:rPr>
                <w:color w:val="000000"/>
                <w:spacing w:val="0"/>
                <w:w w:val="100"/>
                <w:position w:val="0"/>
                <w:sz w:val="18"/>
                <w:szCs w:val="18"/>
              </w:rPr>
              <w:t>重要业务缺 乏制度控制或者制度体系失效；</w:t>
            </w:r>
            <w:r>
              <w:rPr>
                <w:rFonts w:ascii="Times New Roman" w:eastAsia="Times New Roman" w:hAnsi="Times New Roman" w:cs="Times New Roman"/>
                <w:color w:val="000000"/>
                <w:spacing w:val="0"/>
                <w:w w:val="100"/>
                <w:position w:val="0"/>
                <w:sz w:val="18"/>
                <w:szCs w:val="18"/>
              </w:rPr>
              <w:t>d）</w:t>
            </w:r>
            <w:r>
              <w:rPr>
                <w:color w:val="000000"/>
                <w:spacing w:val="0"/>
                <w:w w:val="100"/>
                <w:position w:val="0"/>
                <w:sz w:val="18"/>
                <w:szCs w:val="18"/>
              </w:rPr>
              <w:t>中 高级管理人员和高级技术人才流失严 重；</w:t>
            </w:r>
            <w:r>
              <w:rPr>
                <w:rFonts w:ascii="Times New Roman" w:eastAsia="Times New Roman" w:hAnsi="Times New Roman" w:cs="Times New Roman"/>
                <w:color w:val="000000"/>
                <w:spacing w:val="0"/>
                <w:w w:val="100"/>
                <w:position w:val="0"/>
                <w:sz w:val="18"/>
                <w:szCs w:val="18"/>
              </w:rPr>
              <w:t>e）</w:t>
            </w:r>
            <w:r>
              <w:rPr>
                <w:color w:val="000000"/>
                <w:spacing w:val="0"/>
                <w:w w:val="100"/>
                <w:position w:val="0"/>
                <w:sz w:val="18"/>
                <w:szCs w:val="18"/>
              </w:rPr>
              <w:t>媒体频现负面新闻，涉及面广且 未消除；</w:t>
            </w:r>
            <w:r>
              <w:rPr>
                <w:rFonts w:ascii="Times New Roman" w:eastAsia="Times New Roman" w:hAnsi="Times New Roman" w:cs="Times New Roman"/>
                <w:color w:val="000000"/>
                <w:spacing w:val="0"/>
                <w:w w:val="100"/>
                <w:position w:val="0"/>
                <w:sz w:val="18"/>
                <w:szCs w:val="18"/>
              </w:rPr>
              <w:t>f）</w:t>
            </w:r>
            <w:r>
              <w:rPr>
                <w:color w:val="000000"/>
                <w:spacing w:val="0"/>
                <w:w w:val="100"/>
                <w:position w:val="0"/>
                <w:sz w:val="18"/>
                <w:szCs w:val="18"/>
              </w:rPr>
              <w:t>内部控制重大缺陷未得到整 改。</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、非财务报告内部控制存在重要 缺陷包括以下情形：</w:t>
            </w:r>
            <w:r>
              <w:rPr>
                <w:rFonts w:ascii="Times New Roman" w:eastAsia="Times New Roman" w:hAnsi="Times New Roman" w:cs="Times New Roman"/>
                <w:color w:val="000000"/>
                <w:spacing w:val="0"/>
                <w:w w:val="100"/>
                <w:position w:val="0"/>
                <w:sz w:val="18"/>
                <w:szCs w:val="18"/>
              </w:rPr>
              <w:t>a）</w:t>
            </w:r>
            <w:r>
              <w:rPr>
                <w:color w:val="000000"/>
                <w:spacing w:val="0"/>
                <w:w w:val="100"/>
                <w:position w:val="0"/>
                <w:sz w:val="18"/>
                <w:szCs w:val="18"/>
              </w:rPr>
              <w:t>民主决策程序存 在但不够完善；</w:t>
            </w:r>
            <w:r>
              <w:rPr>
                <w:rFonts w:ascii="Times New Roman" w:eastAsia="Times New Roman" w:hAnsi="Times New Roman" w:cs="Times New Roman"/>
                <w:color w:val="000000"/>
                <w:spacing w:val="0"/>
                <w:w w:val="100"/>
                <w:position w:val="0"/>
                <w:sz w:val="18"/>
                <w:szCs w:val="18"/>
              </w:rPr>
              <w:t>b）</w:t>
            </w:r>
            <w:r>
              <w:rPr>
                <w:color w:val="000000"/>
                <w:spacing w:val="0"/>
                <w:w w:val="100"/>
                <w:position w:val="0"/>
                <w:sz w:val="18"/>
                <w:szCs w:val="18"/>
              </w:rPr>
              <w:t>决策程序导致出现 一般性失误；</w:t>
            </w:r>
            <w:r>
              <w:rPr>
                <w:rFonts w:ascii="Times New Roman" w:eastAsia="Times New Roman" w:hAnsi="Times New Roman" w:cs="Times New Roman"/>
                <w:color w:val="000000"/>
                <w:spacing w:val="0"/>
                <w:w w:val="100"/>
                <w:position w:val="0"/>
                <w:sz w:val="18"/>
                <w:szCs w:val="18"/>
              </w:rPr>
              <w:t>c）</w:t>
            </w:r>
            <w:r>
              <w:rPr>
                <w:color w:val="000000"/>
                <w:spacing w:val="0"/>
                <w:w w:val="100"/>
                <w:position w:val="0"/>
                <w:sz w:val="18"/>
                <w:szCs w:val="18"/>
              </w:rPr>
              <w:t>重要业务制度或系统存 在缺陷；</w:t>
            </w:r>
            <w:r>
              <w:rPr>
                <w:rFonts w:ascii="Times New Roman" w:eastAsia="Times New Roman" w:hAnsi="Times New Roman" w:cs="Times New Roman"/>
                <w:color w:val="000000"/>
                <w:spacing w:val="0"/>
                <w:w w:val="100"/>
                <w:position w:val="0"/>
                <w:sz w:val="18"/>
                <w:szCs w:val="18"/>
              </w:rPr>
              <w:t>d）</w:t>
            </w:r>
            <w:r>
              <w:rPr>
                <w:color w:val="000000"/>
                <w:spacing w:val="0"/>
                <w:w w:val="100"/>
                <w:position w:val="0"/>
                <w:sz w:val="18"/>
                <w:szCs w:val="18"/>
              </w:rPr>
              <w:t>关键岗位业务人员流失严 重；</w:t>
            </w:r>
            <w:r>
              <w:rPr>
                <w:rFonts w:ascii="Times New Roman" w:eastAsia="Times New Roman" w:hAnsi="Times New Roman" w:cs="Times New Roman"/>
                <w:color w:val="000000"/>
                <w:spacing w:val="0"/>
                <w:w w:val="100"/>
                <w:position w:val="0"/>
                <w:sz w:val="18"/>
                <w:szCs w:val="18"/>
              </w:rPr>
              <w:t>e）</w:t>
            </w:r>
            <w:r>
              <w:rPr>
                <w:color w:val="000000"/>
                <w:spacing w:val="0"/>
                <w:w w:val="100"/>
                <w:position w:val="0"/>
                <w:sz w:val="18"/>
                <w:szCs w:val="18"/>
              </w:rPr>
              <w:t>媒体出现负面新闻，波及局部区 域；</w:t>
            </w:r>
            <w:r>
              <w:rPr>
                <w:rFonts w:ascii="Times New Roman" w:eastAsia="Times New Roman" w:hAnsi="Times New Roman" w:cs="Times New Roman"/>
                <w:color w:val="000000"/>
                <w:spacing w:val="0"/>
                <w:w w:val="100"/>
                <w:position w:val="0"/>
                <w:sz w:val="18"/>
                <w:szCs w:val="18"/>
              </w:rPr>
              <w:t>f）</w:t>
            </w:r>
            <w:r>
              <w:rPr>
                <w:color w:val="000000"/>
                <w:spacing w:val="0"/>
                <w:w w:val="100"/>
                <w:position w:val="0"/>
                <w:sz w:val="18"/>
                <w:szCs w:val="18"/>
              </w:rPr>
              <w:t>内部控制重要或者一般缺陷未得 到整改。</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、非财务报告内部控制的一 般缺陷是指除上述重大缺陷、重要缺陷 之外的其他控制缺陷。</w:t>
            </w:r>
          </w:p>
        </w:tc>
      </w:tr>
      <w:tr>
        <w:trPr>
          <w:trHeight w:val="1651"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定量标准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、重大缺陷：潜在错报金额</w:t>
            </w:r>
            <w:r>
              <w:rPr>
                <w:rFonts w:ascii="Times New Roman" w:eastAsia="Times New Roman" w:hAnsi="Times New Roman" w:cs="Times New Roman"/>
                <w:color w:val="000000"/>
                <w:spacing w:val="0"/>
                <w:w w:val="100"/>
                <w:position w:val="0"/>
                <w:sz w:val="18"/>
                <w:szCs w:val="18"/>
              </w:rPr>
              <w:t>Z</w:t>
            </w:r>
            <w:r>
              <w:rPr>
                <w:color w:val="000000"/>
                <w:spacing w:val="0"/>
                <w:w w:val="100"/>
                <w:position w:val="0"/>
                <w:sz w:val="18"/>
                <w:szCs w:val="18"/>
              </w:rPr>
              <w:t xml:space="preserve">利润总额 </w:t>
            </w:r>
            <w:r>
              <w:rPr>
                <w:rFonts w:ascii="Times New Roman" w:eastAsia="Times New Roman" w:hAnsi="Times New Roman" w:cs="Times New Roman"/>
                <w:color w:val="000000"/>
                <w:spacing w:val="0"/>
                <w:w w:val="100"/>
                <w:position w:val="0"/>
                <w:sz w:val="18"/>
                <w:szCs w:val="18"/>
              </w:rPr>
              <w:t>x5%</w:t>
            </w:r>
            <w:r>
              <w:rPr>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、重要缺陷：利润总额</w:t>
            </w:r>
            <w:r>
              <w:rPr>
                <w:color w:val="000000"/>
                <w:spacing w:val="0"/>
                <w:w w:val="100"/>
                <w:position w:val="0"/>
                <w:sz w:val="18"/>
                <w:szCs w:val="18"/>
              </w:rPr>
              <w:t>乂</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〈潜在 错报金额〈利润总额</w:t>
            </w:r>
            <w:r>
              <w:rPr>
                <w:color w:val="000000"/>
                <w:spacing w:val="0"/>
                <w:w w:val="100"/>
                <w:position w:val="0"/>
                <w:sz w:val="18"/>
                <w:szCs w:val="18"/>
              </w:rPr>
              <w:t>乂</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、一般缺陷： 潜在错报金额</w:t>
            </w:r>
            <w:r>
              <w:rPr>
                <w:rFonts w:ascii="Times New Roman" w:eastAsia="Times New Roman" w:hAnsi="Times New Roman" w:cs="Times New Roman"/>
                <w:color w:val="000000"/>
                <w:spacing w:val="0"/>
                <w:w w:val="100"/>
                <w:position w:val="0"/>
                <w:sz w:val="18"/>
                <w:szCs w:val="18"/>
              </w:rPr>
              <w:t>W</w:t>
            </w:r>
            <w:r>
              <w:rPr>
                <w:color w:val="000000"/>
                <w:spacing w:val="0"/>
                <w:w w:val="100"/>
                <w:position w:val="0"/>
                <w:sz w:val="18"/>
                <w:szCs w:val="18"/>
              </w:rPr>
              <w:t>利润总额</w:t>
            </w:r>
            <w:r>
              <w:rPr>
                <w:color w:val="000000"/>
                <w:spacing w:val="0"/>
                <w:w w:val="100"/>
                <w:position w:val="0"/>
                <w:sz w:val="18"/>
                <w:szCs w:val="18"/>
              </w:rPr>
              <w:t>Q</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、重大缺陷：直接财产损失金额</w:t>
            </w:r>
            <w:r>
              <w:rPr>
                <w:color w:val="000000"/>
                <w:spacing w:val="0"/>
                <w:w w:val="100"/>
                <w:position w:val="0"/>
                <w:sz w:val="18"/>
                <w:szCs w:val="18"/>
              </w:rPr>
              <w:t>女</w:t>
            </w:r>
            <w:r>
              <w:rPr>
                <w:color w:val="000000"/>
                <w:spacing w:val="0"/>
                <w:w w:val="100"/>
                <w:position w:val="0"/>
                <w:sz w:val="18"/>
                <w:szCs w:val="18"/>
              </w:rPr>
              <w:t>人民 币</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sz w:val="18"/>
                <w:szCs w:val="18"/>
              </w:rPr>
              <w:t>万元；</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 xml:space="preserve">、重要缺陷：人民币 </w:t>
            </w:r>
            <w:r>
              <w:rPr>
                <w:rFonts w:ascii="Times New Roman" w:eastAsia="Times New Roman" w:hAnsi="Times New Roman" w:cs="Times New Roman"/>
                <w:color w:val="000000"/>
                <w:spacing w:val="0"/>
                <w:w w:val="100"/>
                <w:position w:val="0"/>
                <w:sz w:val="18"/>
                <w:szCs w:val="18"/>
              </w:rPr>
              <w:t>500</w:t>
            </w:r>
            <w:r>
              <w:rPr>
                <w:color w:val="000000"/>
                <w:spacing w:val="0"/>
                <w:w w:val="100"/>
                <w:position w:val="0"/>
                <w:sz w:val="18"/>
                <w:szCs w:val="18"/>
              </w:rPr>
              <w:t>万元</w:t>
            </w:r>
            <w:r>
              <w:rPr>
                <w:rFonts w:ascii="Times New Roman" w:eastAsia="Times New Roman" w:hAnsi="Times New Roman" w:cs="Times New Roman"/>
                <w:color w:val="000000"/>
                <w:spacing w:val="0"/>
                <w:w w:val="100"/>
                <w:position w:val="0"/>
                <w:sz w:val="18"/>
                <w:szCs w:val="18"/>
              </w:rPr>
              <w:t>W</w:t>
            </w:r>
            <w:r>
              <w:rPr>
                <w:color w:val="000000"/>
                <w:spacing w:val="0"/>
                <w:w w:val="100"/>
                <w:position w:val="0"/>
                <w:sz w:val="18"/>
                <w:szCs w:val="18"/>
              </w:rPr>
              <w:t>直接财产损失金额</w:t>
            </w:r>
            <w:r>
              <w:rPr>
                <w:color w:val="000000"/>
                <w:spacing w:val="0"/>
                <w:w w:val="100"/>
                <w:position w:val="0"/>
                <w:sz w:val="18"/>
                <w:szCs w:val="18"/>
              </w:rPr>
              <w:t>〈</w:t>
            </w:r>
            <w:r>
              <w:rPr>
                <w:color w:val="000000"/>
                <w:spacing w:val="0"/>
                <w:w w:val="100"/>
                <w:position w:val="0"/>
                <w:sz w:val="18"/>
                <w:szCs w:val="18"/>
              </w:rPr>
              <w:t xml:space="preserve">人民币 </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sz w:val="18"/>
                <w:szCs w:val="18"/>
              </w:rPr>
              <w:t>万元；</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、一般缺陷：直接财产损 失金额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人民币</w:t>
            </w:r>
            <w:r>
              <w:rPr>
                <w:rFonts w:ascii="Times New Roman" w:eastAsia="Times New Roman" w:hAnsi="Times New Roman" w:cs="Times New Roman"/>
                <w:color w:val="000000"/>
                <w:spacing w:val="0"/>
                <w:w w:val="100"/>
                <w:position w:val="0"/>
                <w:sz w:val="18"/>
                <w:szCs w:val="18"/>
              </w:rPr>
              <w:t>500</w:t>
            </w:r>
            <w:r>
              <w:rPr>
                <w:color w:val="000000"/>
                <w:spacing w:val="0"/>
                <w:w w:val="100"/>
                <w:position w:val="0"/>
                <w:sz w:val="18"/>
                <w:szCs w:val="18"/>
              </w:rPr>
              <w:t>万元</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24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24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财务报告重要缺陷数量（个）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24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非财务报告重要缺陷数量（个）</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24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319" w:line="1" w:lineRule="exact"/>
      </w:pPr>
    </w:p>
    <w:p>
      <w:pPr>
        <w:pStyle w:val="Style33"/>
        <w:keepNext/>
        <w:keepLines/>
        <w:widowControl w:val="0"/>
        <w:shd w:val="clear" w:color="auto" w:fill="auto"/>
        <w:bidi w:val="0"/>
        <w:spacing w:before="0" w:after="360" w:line="240" w:lineRule="auto"/>
        <w:ind w:left="0" w:right="0" w:firstLine="0"/>
        <w:jc w:val="left"/>
      </w:pPr>
      <w:bookmarkStart w:id="726" w:name="bookmark726"/>
      <w:bookmarkStart w:id="727" w:name="bookmark727"/>
      <w:bookmarkStart w:id="728" w:name="bookmark728"/>
      <w:r>
        <w:rPr>
          <w:color w:val="000000"/>
          <w:spacing w:val="0"/>
          <w:w w:val="100"/>
          <w:position w:val="0"/>
          <w:sz w:val="24"/>
          <w:szCs w:val="24"/>
        </w:rPr>
        <w:t>十、内部控制审计报告或鉴证报告</w:t>
      </w:r>
      <w:bookmarkEnd w:id="726"/>
      <w:bookmarkEnd w:id="727"/>
      <w:bookmarkEnd w:id="728"/>
    </w:p>
    <w:p>
      <w:pPr>
        <w:pStyle w:val="Style35"/>
        <w:keepNext w:val="0"/>
        <w:keepLines w:val="0"/>
        <w:widowControl w:val="0"/>
        <w:shd w:val="clear" w:color="auto" w:fill="auto"/>
        <w:bidi w:val="0"/>
        <w:spacing w:before="0" w:after="860" w:line="240" w:lineRule="auto"/>
        <w:ind w:left="0" w:right="0" w:firstLine="0"/>
        <w:jc w:val="left"/>
      </w:pPr>
      <w:r>
        <w:rPr>
          <w:color w:val="000000"/>
          <w:spacing w:val="0"/>
          <w:w w:val="100"/>
          <w:position w:val="0"/>
        </w:rPr>
        <w:t>不适用</w:t>
      </w:r>
    </w:p>
    <w:p>
      <w:pPr>
        <w:pStyle w:val="Style83"/>
        <w:keepNext w:val="0"/>
        <w:keepLines w:val="0"/>
        <w:widowControl w:val="0"/>
        <w:shd w:val="clear" w:color="auto" w:fill="auto"/>
        <w:bidi w:val="0"/>
        <w:spacing w:before="0" w:after="340" w:line="240" w:lineRule="auto"/>
        <w:ind w:left="0" w:right="0" w:firstLine="0"/>
        <w:jc w:val="right"/>
        <w:rPr>
          <w:sz w:val="26"/>
          <w:szCs w:val="26"/>
        </w:rPr>
        <w:sectPr>
          <w:headerReference w:type="default" r:id="rId207"/>
          <w:footerReference w:type="default" r:id="rId208"/>
          <w:headerReference w:type="even" r:id="rId209"/>
          <w:footerReference w:type="even" r:id="rId210"/>
          <w:footnotePr>
            <w:pos w:val="pageBottom"/>
            <w:numFmt w:val="decimal"/>
            <w:numRestart w:val="continuous"/>
          </w:footnotePr>
          <w:pgSz w:w="11900" w:h="16840"/>
          <w:pgMar w:top="1450" w:right="1200" w:bottom="946" w:left="1115"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15"/>
        <w:keepNext/>
        <w:keepLines/>
        <w:widowControl w:val="0"/>
        <w:shd w:val="clear" w:color="auto" w:fill="auto"/>
        <w:bidi w:val="0"/>
        <w:spacing w:before="840" w:after="580" w:line="240" w:lineRule="auto"/>
        <w:ind w:left="0" w:right="0" w:firstLine="0"/>
        <w:jc w:val="center"/>
      </w:pPr>
      <w:bookmarkStart w:id="729" w:name="bookmark729"/>
      <w:bookmarkStart w:id="730" w:name="bookmark730"/>
      <w:bookmarkStart w:id="731" w:name="bookmark731"/>
      <w:r>
        <w:rPr>
          <w:color w:val="000000"/>
          <w:spacing w:val="0"/>
          <w:w w:val="100"/>
          <w:position w:val="0"/>
        </w:rPr>
        <w:t>第十一节公司债券相关情况</w:t>
      </w:r>
      <w:bookmarkEnd w:id="729"/>
      <w:bookmarkEnd w:id="730"/>
      <w:bookmarkEnd w:id="731"/>
    </w:p>
    <w:p>
      <w:pPr>
        <w:pStyle w:val="Style35"/>
        <w:keepNext w:val="0"/>
        <w:keepLines w:val="0"/>
        <w:widowControl w:val="0"/>
        <w:shd w:val="clear" w:color="auto" w:fill="auto"/>
        <w:bidi w:val="0"/>
        <w:spacing w:before="0" w:after="140" w:line="240" w:lineRule="auto"/>
        <w:ind w:left="0" w:right="0" w:firstLine="0"/>
        <w:jc w:val="left"/>
      </w:pPr>
      <w:bookmarkStart w:id="732" w:name="bookmark732"/>
      <w:r>
        <w:rPr>
          <w:color w:val="000000"/>
          <w:spacing w:val="0"/>
          <w:w w:val="100"/>
          <w:position w:val="0"/>
        </w:rPr>
        <w:t>公司是否存在公开发行并在证券交易所上市，且在年度报告批准报出日未到期或到期未能全额兑付的公司债券</w:t>
      </w:r>
      <w:bookmarkEnd w:id="732"/>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否</w:t>
      </w:r>
    </w:p>
    <w:p>
      <w:pPr>
        <w:pStyle w:val="Style15"/>
        <w:keepNext/>
        <w:keepLines/>
        <w:widowControl w:val="0"/>
        <w:shd w:val="clear" w:color="auto" w:fill="auto"/>
        <w:bidi w:val="0"/>
        <w:spacing w:before="0" w:after="560" w:line="240" w:lineRule="auto"/>
        <w:ind w:left="0" w:right="0" w:firstLine="0"/>
        <w:jc w:val="center"/>
      </w:pPr>
      <w:bookmarkStart w:id="733" w:name="bookmark733"/>
      <w:bookmarkStart w:id="734" w:name="bookmark734"/>
      <w:bookmarkStart w:id="735" w:name="bookmark735"/>
      <w:r>
        <w:rPr>
          <w:color w:val="000000"/>
          <w:spacing w:val="0"/>
          <w:w w:val="100"/>
          <w:position w:val="0"/>
        </w:rPr>
        <w:t>第十二节财务报告</w:t>
      </w:r>
      <w:bookmarkEnd w:id="733"/>
      <w:bookmarkEnd w:id="734"/>
      <w:bookmarkEnd w:id="735"/>
    </w:p>
    <w:p>
      <w:pPr>
        <w:pStyle w:val="Style33"/>
        <w:keepNext/>
        <w:keepLines/>
        <w:widowControl w:val="0"/>
        <w:shd w:val="clear" w:color="auto" w:fill="auto"/>
        <w:bidi w:val="0"/>
        <w:spacing w:before="0" w:after="300" w:line="240" w:lineRule="auto"/>
        <w:ind w:left="0" w:right="0" w:firstLine="0"/>
        <w:jc w:val="both"/>
      </w:pPr>
      <w:bookmarkStart w:id="736" w:name="bookmark736"/>
      <w:bookmarkStart w:id="737" w:name="bookmark737"/>
      <w:bookmarkStart w:id="738" w:name="bookmark738"/>
      <w:bookmarkStart w:id="739" w:name="bookmark739"/>
      <w:bookmarkStart w:id="740" w:name="bookmark740"/>
      <w:r>
        <w:rPr>
          <w:color w:val="000000"/>
          <w:spacing w:val="0"/>
          <w:w w:val="100"/>
          <w:position w:val="0"/>
          <w:sz w:val="24"/>
          <w:szCs w:val="24"/>
        </w:rPr>
        <w:t>一</w:t>
      </w:r>
      <w:bookmarkEnd w:id="739"/>
      <w:r>
        <w:rPr>
          <w:color w:val="000000"/>
          <w:spacing w:val="0"/>
          <w:w w:val="100"/>
          <w:position w:val="0"/>
          <w:sz w:val="24"/>
          <w:szCs w:val="24"/>
        </w:rPr>
        <w:t>、审计报告</w:t>
      </w:r>
      <w:bookmarkEnd w:id="737"/>
      <w:bookmarkEnd w:id="738"/>
      <w:bookmarkEnd w:id="740"/>
      <w:bookmarkEnd w:id="736"/>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审计意见类型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标准的无保留意见</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审计报告签署日期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sz w:val="18"/>
                <w:szCs w:val="18"/>
              </w:rPr>
              <w:t>日</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审计机构名称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天职国际会计师事务所（特殊普通合伙）</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审计报告文号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天职业字</w:t>
            </w:r>
            <w:r>
              <w:rPr>
                <w:rFonts w:ascii="Times New Roman" w:eastAsia="Times New Roman" w:hAnsi="Times New Roman" w:cs="Times New Roman"/>
                <w:color w:val="000000"/>
                <w:spacing w:val="0"/>
                <w:w w:val="100"/>
                <w:position w:val="0"/>
                <w:sz w:val="18"/>
                <w:szCs w:val="18"/>
              </w:rPr>
              <w:t>[2021]11232</w:t>
            </w:r>
            <w:r>
              <w:rPr>
                <w:color w:val="000000"/>
                <w:spacing w:val="0"/>
                <w:w w:val="100"/>
                <w:position w:val="0"/>
                <w:sz w:val="18"/>
                <w:szCs w:val="18"/>
              </w:rPr>
              <w:t>号</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注册会计师姓名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申军、刘浪</w:t>
            </w:r>
          </w:p>
        </w:tc>
      </w:tr>
    </w:tbl>
    <w:p>
      <w:pPr>
        <w:pStyle w:val="Style41"/>
        <w:keepNext w:val="0"/>
        <w:keepLines w:val="0"/>
        <w:widowControl w:val="0"/>
        <w:shd w:val="clear" w:color="auto" w:fill="auto"/>
        <w:bidi w:val="0"/>
        <w:spacing w:before="0" w:after="0" w:line="240" w:lineRule="auto"/>
        <w:ind w:left="4272" w:right="0" w:firstLine="0"/>
        <w:jc w:val="left"/>
        <w:rPr>
          <w:sz w:val="18"/>
          <w:szCs w:val="18"/>
        </w:rPr>
      </w:pPr>
      <w:r>
        <w:rPr>
          <w:b w:val="0"/>
          <w:bCs w:val="0"/>
          <w:color w:val="000000"/>
          <w:spacing w:val="0"/>
          <w:w w:val="100"/>
          <w:position w:val="0"/>
          <w:sz w:val="18"/>
          <w:szCs w:val="18"/>
        </w:rPr>
        <w:t>审计报告正文</w:t>
      </w:r>
    </w:p>
    <w:p>
      <w:pPr>
        <w:widowControl w:val="0"/>
        <w:spacing w:after="499" w:line="1" w:lineRule="exact"/>
      </w:pPr>
    </w:p>
    <w:p>
      <w:pPr>
        <w:pStyle w:val="Style2"/>
        <w:keepNext w:val="0"/>
        <w:keepLines w:val="0"/>
        <w:widowControl w:val="0"/>
        <w:shd w:val="clear" w:color="auto" w:fill="auto"/>
        <w:bidi w:val="0"/>
        <w:spacing w:before="0" w:after="300" w:line="310" w:lineRule="exact"/>
        <w:ind w:left="0" w:right="0" w:firstLine="0"/>
        <w:jc w:val="righ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p>
      <w:pPr>
        <w:pStyle w:val="Style47"/>
        <w:keepNext w:val="0"/>
        <w:keepLines w:val="0"/>
        <w:widowControl w:val="0"/>
        <w:shd w:val="clear" w:color="auto" w:fill="auto"/>
        <w:bidi w:val="0"/>
        <w:spacing w:before="0" w:after="360" w:line="310" w:lineRule="exact"/>
        <w:ind w:left="0" w:right="0" w:firstLine="0"/>
        <w:jc w:val="both"/>
      </w:pPr>
      <w:r>
        <w:rPr>
          <w:color w:val="000000"/>
          <w:spacing w:val="0"/>
          <w:w w:val="100"/>
          <w:position w:val="0"/>
        </w:rPr>
        <w:t>中科院成都信息技术股份有限公司全体股东：</w:t>
      </w:r>
    </w:p>
    <w:p>
      <w:pPr>
        <w:pStyle w:val="Style2"/>
        <w:keepNext w:val="0"/>
        <w:keepLines w:val="0"/>
        <w:widowControl w:val="0"/>
        <w:shd w:val="clear" w:color="auto" w:fill="auto"/>
        <w:tabs>
          <w:tab w:pos="932" w:val="left"/>
        </w:tabs>
        <w:bidi w:val="0"/>
        <w:spacing w:before="0" w:after="300" w:line="240" w:lineRule="auto"/>
        <w:ind w:left="0" w:right="0" w:firstLine="420"/>
        <w:jc w:val="both"/>
        <w:rPr>
          <w:sz w:val="24"/>
          <w:szCs w:val="24"/>
        </w:rPr>
      </w:pPr>
      <w:bookmarkStart w:id="741" w:name="bookmark741"/>
      <w:r>
        <w:rPr>
          <w:b/>
          <w:bCs/>
          <w:color w:val="000000"/>
          <w:spacing w:val="0"/>
          <w:w w:val="100"/>
          <w:position w:val="0"/>
          <w:sz w:val="24"/>
          <w:szCs w:val="24"/>
        </w:rPr>
        <w:t>一</w:t>
      </w:r>
      <w:bookmarkEnd w:id="741"/>
      <w:r>
        <w:rPr>
          <w:b/>
          <w:bCs/>
          <w:color w:val="000000"/>
          <w:spacing w:val="0"/>
          <w:w w:val="100"/>
          <w:position w:val="0"/>
          <w:sz w:val="24"/>
          <w:szCs w:val="24"/>
        </w:rPr>
        <w:t>、</w:t>
        <w:tab/>
        <w:t>审计意见</w:t>
      </w:r>
    </w:p>
    <w:p>
      <w:pPr>
        <w:pStyle w:val="Style47"/>
        <w:keepNext w:val="0"/>
        <w:keepLines w:val="0"/>
        <w:widowControl w:val="0"/>
        <w:shd w:val="clear" w:color="auto" w:fill="auto"/>
        <w:bidi w:val="0"/>
        <w:spacing w:before="0" w:after="140" w:line="312" w:lineRule="exact"/>
        <w:ind w:left="0" w:right="0" w:firstLine="460"/>
        <w:jc w:val="both"/>
      </w:pPr>
      <w:r>
        <w:rPr>
          <w:color w:val="000000"/>
          <w:spacing w:val="0"/>
          <w:w w:val="100"/>
          <w:position w:val="0"/>
        </w:rPr>
        <w:t>我们审计了中科院成都信息技术股份有限公司（以下简称“中科信息”</w:t>
      </w:r>
      <w:r>
        <w:rPr>
          <w:color w:val="000000"/>
          <w:spacing w:val="0"/>
          <w:w w:val="100"/>
          <w:position w:val="0"/>
        </w:rPr>
        <w:t>）</w:t>
      </w:r>
      <w:r>
        <w:rPr>
          <w:color w:val="000000"/>
          <w:spacing w:val="0"/>
          <w:w w:val="100"/>
          <w:position w:val="0"/>
        </w:rPr>
        <w:t>财务报表，包括</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 xml:space="preserve">月 </w:t>
      </w:r>
      <w:r>
        <w:rPr>
          <w:color w:val="000000"/>
          <w:spacing w:val="0"/>
          <w:w w:val="100"/>
          <w:position w:val="0"/>
        </w:rPr>
        <w:t>31</w:t>
      </w:r>
      <w:r>
        <w:rPr>
          <w:color w:val="000000"/>
          <w:spacing w:val="0"/>
          <w:w w:val="100"/>
          <w:position w:val="0"/>
        </w:rPr>
        <w:t>日的合并及母公司资产负债表，</w:t>
      </w:r>
      <w:r>
        <w:rPr>
          <w:color w:val="000000"/>
          <w:spacing w:val="0"/>
          <w:w w:val="100"/>
          <w:position w:val="0"/>
        </w:rPr>
        <w:t>2020</w:t>
      </w:r>
      <w:r>
        <w:rPr>
          <w:color w:val="000000"/>
          <w:spacing w:val="0"/>
          <w:w w:val="100"/>
          <w:position w:val="0"/>
        </w:rPr>
        <w:t>年度的合并及母公司利润表、合并及母公司现金流量表、合并及母 公司股东权益变动表以及财务报表附注。</w:t>
      </w:r>
    </w:p>
    <w:p>
      <w:pPr>
        <w:pStyle w:val="Style47"/>
        <w:keepNext w:val="0"/>
        <w:keepLines w:val="0"/>
        <w:widowControl w:val="0"/>
        <w:shd w:val="clear" w:color="auto" w:fill="auto"/>
        <w:bidi w:val="0"/>
        <w:spacing w:before="0" w:after="360" w:line="302" w:lineRule="exact"/>
        <w:ind w:left="0" w:right="0" w:firstLine="460"/>
        <w:jc w:val="both"/>
      </w:pPr>
      <w:r>
        <w:rPr>
          <w:color w:val="000000"/>
          <w:spacing w:val="0"/>
          <w:w w:val="100"/>
          <w:position w:val="0"/>
        </w:rPr>
        <w:t>我们认为，后附的财务报表在所有重大方面按照企业会计准则的规定编制，公允反映了中科信息</w:t>
      </w:r>
      <w:r>
        <w:rPr>
          <w:color w:val="000000"/>
          <w:spacing w:val="0"/>
          <w:w w:val="100"/>
          <w:position w:val="0"/>
        </w:rPr>
        <w:t xml:space="preserve">2020 </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日的合并及母公司财务状况以及</w:t>
      </w:r>
      <w:r>
        <w:rPr>
          <w:color w:val="000000"/>
          <w:spacing w:val="0"/>
          <w:w w:val="100"/>
          <w:position w:val="0"/>
        </w:rPr>
        <w:t>2020</w:t>
      </w:r>
      <w:r>
        <w:rPr>
          <w:color w:val="000000"/>
          <w:spacing w:val="0"/>
          <w:w w:val="100"/>
          <w:position w:val="0"/>
        </w:rPr>
        <w:t>年度的合并及母公司经营成果和现金流量。</w:t>
      </w:r>
    </w:p>
    <w:p>
      <w:pPr>
        <w:pStyle w:val="Style2"/>
        <w:keepNext w:val="0"/>
        <w:keepLines w:val="0"/>
        <w:widowControl w:val="0"/>
        <w:shd w:val="clear" w:color="auto" w:fill="auto"/>
        <w:tabs>
          <w:tab w:pos="932" w:val="left"/>
        </w:tabs>
        <w:bidi w:val="0"/>
        <w:spacing w:before="0" w:after="300" w:line="240" w:lineRule="auto"/>
        <w:ind w:left="0" w:right="0" w:firstLine="420"/>
        <w:jc w:val="both"/>
        <w:rPr>
          <w:sz w:val="24"/>
          <w:szCs w:val="24"/>
        </w:rPr>
      </w:pPr>
      <w:bookmarkStart w:id="742" w:name="bookmark742"/>
      <w:r>
        <w:rPr>
          <w:b/>
          <w:bCs/>
          <w:color w:val="000000"/>
          <w:spacing w:val="0"/>
          <w:w w:val="100"/>
          <w:position w:val="0"/>
          <w:sz w:val="24"/>
          <w:szCs w:val="24"/>
        </w:rPr>
        <w:t>二</w:t>
      </w:r>
      <w:bookmarkEnd w:id="742"/>
      <w:r>
        <w:rPr>
          <w:b/>
          <w:bCs/>
          <w:color w:val="000000"/>
          <w:spacing w:val="0"/>
          <w:w w:val="100"/>
          <w:position w:val="0"/>
          <w:sz w:val="24"/>
          <w:szCs w:val="24"/>
        </w:rPr>
        <w:t>、</w:t>
        <w:tab/>
        <w:t>形成审计意见的基础</w:t>
      </w:r>
    </w:p>
    <w:p>
      <w:pPr>
        <w:pStyle w:val="Style47"/>
        <w:keepNext w:val="0"/>
        <w:keepLines w:val="0"/>
        <w:widowControl w:val="0"/>
        <w:shd w:val="clear" w:color="auto" w:fill="auto"/>
        <w:bidi w:val="0"/>
        <w:spacing w:before="0" w:after="360" w:line="310" w:lineRule="exact"/>
        <w:ind w:left="0" w:right="0" w:firstLine="460"/>
        <w:jc w:val="both"/>
      </w:pPr>
      <w:r>
        <w:rPr>
          <w:color w:val="000000"/>
          <w:spacing w:val="0"/>
          <w:w w:val="100"/>
          <w:position w:val="0"/>
        </w:rPr>
        <w:t>我们按照中国注册会计师审计准则的规定执行了审计工作。审计报告的</w:t>
      </w:r>
      <w:r>
        <w:rPr>
          <w:rFonts w:ascii="Times New Roman" w:eastAsia="Times New Roman" w:hAnsi="Times New Roman" w:cs="Times New Roman"/>
          <w:color w:val="000000"/>
          <w:spacing w:val="0"/>
          <w:w w:val="100"/>
          <w:position w:val="0"/>
        </w:rPr>
        <w:t>“</w:t>
      </w:r>
      <w:r>
        <w:rPr>
          <w:color w:val="000000"/>
          <w:spacing w:val="0"/>
          <w:w w:val="100"/>
          <w:position w:val="0"/>
        </w:rPr>
        <w:t>注册会计师对财务报表审计 的责任</w:t>
      </w:r>
      <w:r>
        <w:rPr>
          <w:color w:val="000000"/>
          <w:spacing w:val="0"/>
          <w:w w:val="100"/>
          <w:position w:val="0"/>
        </w:rPr>
        <w:t>''</w:t>
      </w:r>
      <w:r>
        <w:rPr>
          <w:color w:val="000000"/>
          <w:spacing w:val="0"/>
          <w:w w:val="100"/>
          <w:position w:val="0"/>
        </w:rPr>
        <w:t>部分进一步阐述了我们在这些准则下的责任。按照中国注册会计师职业道德守则，我们独立于中 科信息，并履行了职业道德方面的其他责任。我们相信，我们获取的审计证据是充分、适当的，为发表审 计意见提供了基础。</w:t>
      </w:r>
    </w:p>
    <w:p>
      <w:pPr>
        <w:pStyle w:val="Style2"/>
        <w:keepNext w:val="0"/>
        <w:keepLines w:val="0"/>
        <w:widowControl w:val="0"/>
        <w:shd w:val="clear" w:color="auto" w:fill="auto"/>
        <w:tabs>
          <w:tab w:pos="937" w:val="left"/>
        </w:tabs>
        <w:bidi w:val="0"/>
        <w:spacing w:before="0" w:after="300" w:line="240" w:lineRule="auto"/>
        <w:ind w:left="0" w:right="0" w:firstLine="420"/>
        <w:jc w:val="both"/>
        <w:rPr>
          <w:sz w:val="24"/>
          <w:szCs w:val="24"/>
        </w:rPr>
      </w:pPr>
      <w:bookmarkStart w:id="743" w:name="bookmark743"/>
      <w:r>
        <w:rPr>
          <w:b/>
          <w:bCs/>
          <w:color w:val="000000"/>
          <w:spacing w:val="0"/>
          <w:w w:val="100"/>
          <w:position w:val="0"/>
          <w:sz w:val="24"/>
          <w:szCs w:val="24"/>
        </w:rPr>
        <w:t>三</w:t>
      </w:r>
      <w:bookmarkEnd w:id="743"/>
      <w:r>
        <w:rPr>
          <w:b/>
          <w:bCs/>
          <w:color w:val="000000"/>
          <w:spacing w:val="0"/>
          <w:w w:val="100"/>
          <w:position w:val="0"/>
          <w:sz w:val="24"/>
          <w:szCs w:val="24"/>
        </w:rPr>
        <w:t>、</w:t>
        <w:tab/>
        <w:t>关键审计事项</w:t>
      </w:r>
    </w:p>
    <w:p>
      <w:pPr>
        <w:pStyle w:val="Style47"/>
        <w:keepNext w:val="0"/>
        <w:keepLines w:val="0"/>
        <w:widowControl w:val="0"/>
        <w:shd w:val="clear" w:color="auto" w:fill="auto"/>
        <w:bidi w:val="0"/>
        <w:spacing w:before="0" w:after="2500" w:line="307" w:lineRule="exact"/>
        <w:ind w:left="0" w:right="0" w:firstLine="460"/>
        <w:jc w:val="both"/>
      </w:pPr>
      <w:r>
        <w:rPr>
          <w:color w:val="000000"/>
          <w:spacing w:val="0"/>
          <w:w w:val="100"/>
          <w:position w:val="0"/>
        </w:rPr>
        <w:t>关键审计事项是我们根据职业判断，认为对本期财务报表审计最为重要的事项。这些事项的应对以对 财务报表整体进行审计并形成审计意见为背景，我们不对这些事项单独发表意见。</w:t>
      </w:r>
    </w:p>
    <w:p>
      <w:pPr>
        <w:pStyle w:val="Style83"/>
        <w:keepNext w:val="0"/>
        <w:keepLines w:val="0"/>
        <w:widowControl w:val="0"/>
        <w:shd w:val="clear" w:color="auto" w:fill="auto"/>
        <w:bidi w:val="0"/>
        <w:spacing w:before="0" w:after="320" w:line="240" w:lineRule="auto"/>
        <w:ind w:left="0" w:right="0" w:firstLine="0"/>
        <w:jc w:val="right"/>
        <w:rPr>
          <w:sz w:val="26"/>
          <w:szCs w:val="26"/>
        </w:rPr>
        <w:sectPr>
          <w:footnotePr>
            <w:pos w:val="pageBottom"/>
            <w:numFmt w:val="decimal"/>
            <w:numRestart w:val="continuous"/>
          </w:footnotePr>
          <w:pgSz w:w="11900" w:h="16840"/>
          <w:pgMar w:top="1155" w:right="1127" w:bottom="1117" w:left="1091" w:header="0" w:footer="3" w:gutter="0"/>
          <w:cols w:space="720"/>
          <w:noEndnote/>
          <w:rtlGutter w:val="0"/>
          <w:docGrid w:linePitch="360"/>
        </w:sect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widowControl w:val="0"/>
        <w:spacing w:line="1" w:lineRule="exact"/>
      </w:pPr>
      <w:r>
        <mc:AlternateContent>
          <mc:Choice Requires="wps">
            <w:drawing>
              <wp:anchor distT="0" distB="588645" distL="0" distR="0" simplePos="0" relativeHeight="125829386" behindDoc="0" locked="0" layoutInCell="1" allowOverlap="1">
                <wp:simplePos x="0" y="0"/>
                <wp:positionH relativeFrom="page">
                  <wp:posOffset>697865</wp:posOffset>
                </wp:positionH>
                <wp:positionV relativeFrom="paragraph">
                  <wp:posOffset>0</wp:posOffset>
                </wp:positionV>
                <wp:extent cx="777240" cy="191770"/>
                <wp:wrapTopAndBottom/>
                <wp:docPr id="785" name="Shape 785"/>
                <a:graphic xmlns:a="http://schemas.openxmlformats.org/drawingml/2006/main">
                  <a:graphicData uri="http://schemas.microsoft.com/office/word/2010/wordprocessingShape">
                    <wps:wsp>
                      <wps:cNvSpPr txBox="1"/>
                      <wps:spPr>
                        <a:xfrm>
                          <a:ext cx="777240" cy="191770"/>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w:t>
                            </w:r>
                            <w:r>
                              <w:rPr>
                                <w:rFonts w:ascii="Times New Roman" w:eastAsia="Times New Roman" w:hAnsi="Times New Roman" w:cs="Times New Roman"/>
                                <w:color w:val="000000"/>
                                <w:spacing w:val="0"/>
                                <w:w w:val="100"/>
                                <w:position w:val="0"/>
                              </w:rPr>
                              <w:t>（</w:t>
                            </w:r>
                            <w:r>
                              <w:rPr>
                                <w:color w:val="000000"/>
                                <w:spacing w:val="0"/>
                                <w:w w:val="100"/>
                                <w:position w:val="0"/>
                              </w:rPr>
                              <w:t>续</w:t>
                            </w:r>
                            <w:r>
                              <w:rPr>
                                <w:rFonts w:ascii="Times New Roman" w:eastAsia="Times New Roman" w:hAnsi="Times New Roman" w:cs="Times New Roman"/>
                                <w:color w:val="000000"/>
                                <w:spacing w:val="0"/>
                                <w:w w:val="100"/>
                                <w:position w:val="0"/>
                              </w:rPr>
                              <w:t>）</w:t>
                            </w:r>
                          </w:p>
                        </w:txbxContent>
                      </wps:txbx>
                      <wps:bodyPr wrap="none" lIns="0" tIns="0" rIns="0" bIns="0">
                        <a:noAutoFit/>
                      </wps:bodyPr>
                    </wps:wsp>
                  </a:graphicData>
                </a:graphic>
              </wp:anchor>
            </w:drawing>
          </mc:Choice>
          <mc:Fallback>
            <w:pict>
              <v:shape id="_x0000_s1811" type="#_x0000_t202" style="position:absolute;margin-left:54.950000000000003pt;margin-top:0;width:61.200000000000003pt;height:15.1pt;z-index:-125829367;mso-wrap-distance-left:0;mso-wrap-distance-right:0;mso-wrap-distance-bottom:46.350000000000001pt;mso-position-horizontal-relative:page" filled="f" stroked="f">
                <v:textbox inset="0,0,0,0">
                  <w:txbxContent>
                    <w:p>
                      <w:pPr>
                        <w:pStyle w:val="Style47"/>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w:t>
                      </w:r>
                      <w:r>
                        <w:rPr>
                          <w:rFonts w:ascii="Times New Roman" w:eastAsia="Times New Roman" w:hAnsi="Times New Roman" w:cs="Times New Roman"/>
                          <w:color w:val="000000"/>
                          <w:spacing w:val="0"/>
                          <w:w w:val="100"/>
                          <w:position w:val="0"/>
                        </w:rPr>
                        <w:t>（</w:t>
                      </w:r>
                      <w:r>
                        <w:rPr>
                          <w:color w:val="000000"/>
                          <w:spacing w:val="0"/>
                          <w:w w:val="100"/>
                          <w:position w:val="0"/>
                        </w:rPr>
                        <w:t>续</w:t>
                      </w:r>
                      <w:r>
                        <w:rPr>
                          <w:rFonts w:ascii="Times New Roman" w:eastAsia="Times New Roman" w:hAnsi="Times New Roman" w:cs="Times New Roman"/>
                          <w:color w:val="000000"/>
                          <w:spacing w:val="0"/>
                          <w:w w:val="100"/>
                          <w:position w:val="0"/>
                        </w:rPr>
                        <w:t>）</w:t>
                      </w:r>
                    </w:p>
                  </w:txbxContent>
                </v:textbox>
                <w10:wrap type="topAndBottom" anchorx="page"/>
              </v:shape>
            </w:pict>
          </mc:Fallback>
        </mc:AlternateContent>
      </w:r>
      <w:r>
        <mc:AlternateContent>
          <mc:Choice Requires="wps">
            <w:drawing>
              <wp:anchor distT="295910" distB="289560" distL="0" distR="0" simplePos="0" relativeHeight="125829388" behindDoc="0" locked="0" layoutInCell="1" allowOverlap="1">
                <wp:simplePos x="0" y="0"/>
                <wp:positionH relativeFrom="page">
                  <wp:posOffset>5459095</wp:posOffset>
                </wp:positionH>
                <wp:positionV relativeFrom="paragraph">
                  <wp:posOffset>295910</wp:posOffset>
                </wp:positionV>
                <wp:extent cx="1377950" cy="194945"/>
                <wp:wrapTopAndBottom/>
                <wp:docPr id="787" name="Shape 787"/>
                <a:graphic xmlns:a="http://schemas.openxmlformats.org/drawingml/2006/main">
                  <a:graphicData uri="http://schemas.microsoft.com/office/word/2010/wordprocessingShape">
                    <wps:wsp>
                      <wps:cNvSpPr txBox="1"/>
                      <wps:spPr>
                        <a:xfrm>
                          <a:ext cx="1377950" cy="1949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txbxContent>
                      </wps:txbx>
                      <wps:bodyPr wrap="none" lIns="0" tIns="0" rIns="0" bIns="0">
                        <a:noAutoFit/>
                      </wps:bodyPr>
                    </wps:wsp>
                  </a:graphicData>
                </a:graphic>
              </wp:anchor>
            </w:drawing>
          </mc:Choice>
          <mc:Fallback>
            <w:pict>
              <v:shape id="_x0000_s1813" type="#_x0000_t202" style="position:absolute;margin-left:429.85000000000002pt;margin-top:23.300000000000001pt;width:108.5pt;height:15.35pt;z-index:-125829365;mso-wrap-distance-left:0;mso-wrap-distance-top:23.300000000000001pt;mso-wrap-distance-right:0;mso-wrap-distance-bottom:22.80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txbxContent>
                </v:textbox>
                <w10:wrap type="topAndBottom" anchorx="page"/>
              </v:shape>
            </w:pict>
          </mc:Fallback>
        </mc:AlternateContent>
      </w:r>
      <w:r>
        <mc:AlternateContent>
          <mc:Choice Requires="wps">
            <w:drawing>
              <wp:anchor distT="609600" distB="0" distL="0" distR="0" simplePos="0" relativeHeight="125829390" behindDoc="0" locked="0" layoutInCell="1" allowOverlap="1">
                <wp:simplePos x="0" y="0"/>
                <wp:positionH relativeFrom="page">
                  <wp:posOffset>1673225</wp:posOffset>
                </wp:positionH>
                <wp:positionV relativeFrom="paragraph">
                  <wp:posOffset>609600</wp:posOffset>
                </wp:positionV>
                <wp:extent cx="829310" cy="170815"/>
                <wp:wrapTopAndBottom/>
                <wp:docPr id="789" name="Shape 789"/>
                <a:graphic xmlns:a="http://schemas.openxmlformats.org/drawingml/2006/main">
                  <a:graphicData uri="http://schemas.microsoft.com/office/word/2010/wordprocessingShape">
                    <wps:wsp>
                      <wps:cNvSpPr txBox="1"/>
                      <wps:spPr>
                        <a:xfrm>
                          <a:ext cx="829310" cy="170815"/>
                        </a:xfrm>
                        <a:prstGeom prst="rect"/>
                        <a:noFill/>
                      </wps:spPr>
                      <wps:txbx>
                        <w:txbxContent>
                          <w:p>
                            <w:pPr>
                              <w:pStyle w:val="Style47"/>
                              <w:keepNext w:val="0"/>
                              <w:keepLines w:val="0"/>
                              <w:widowControl w:val="0"/>
                              <w:pBdr>
                                <w:top w:val="single" w:sz="0" w:space="0" w:color="C0C0C0"/>
                                <w:left w:val="single" w:sz="0" w:space="31" w:color="C0C0C0"/>
                                <w:bottom w:val="single" w:sz="0" w:space="0" w:color="C0C0C0"/>
                                <w:right w:val="single" w:sz="0" w:space="31" w:color="C0C0C0"/>
                              </w:pBdr>
                              <w:shd w:val="clear" w:color="auto" w:fill="C0C0C0"/>
                              <w:bidi w:val="0"/>
                              <w:spacing w:before="0" w:after="0" w:line="240" w:lineRule="auto"/>
                              <w:ind w:left="0" w:right="0" w:firstLine="0"/>
                              <w:jc w:val="center"/>
                            </w:pPr>
                            <w:r>
                              <w:rPr>
                                <w:b/>
                                <w:bCs/>
                                <w:color w:val="000000"/>
                                <w:spacing w:val="0"/>
                                <w:w w:val="100"/>
                                <w:position w:val="0"/>
                              </w:rPr>
                              <w:t>关键审计事项</w:t>
                            </w:r>
                          </w:p>
                        </w:txbxContent>
                      </wps:txbx>
                      <wps:bodyPr wrap="none" lIns="0" tIns="0" rIns="0" bIns="0">
                        <a:noAutoFit/>
                      </wps:bodyPr>
                    </wps:wsp>
                  </a:graphicData>
                </a:graphic>
              </wp:anchor>
            </w:drawing>
          </mc:Choice>
          <mc:Fallback>
            <w:pict>
              <v:shape id="_x0000_s1815" type="#_x0000_t202" style="position:absolute;margin-left:131.75pt;margin-top:48.pt;width:65.299999999999997pt;height:13.450000000000001pt;z-index:-125829363;mso-wrap-distance-left:0;mso-wrap-distance-top:48.pt;mso-wrap-distance-right:0;mso-position-horizontal-relative:page" filled="f" stroked="f">
                <v:textbox inset="0,0,0,0">
                  <w:txbxContent>
                    <w:p>
                      <w:pPr>
                        <w:pStyle w:val="Style47"/>
                        <w:keepNext w:val="0"/>
                        <w:keepLines w:val="0"/>
                        <w:widowControl w:val="0"/>
                        <w:pBdr>
                          <w:top w:val="single" w:sz="0" w:space="0" w:color="C0C0C0"/>
                          <w:left w:val="single" w:sz="0" w:space="31" w:color="C0C0C0"/>
                          <w:bottom w:val="single" w:sz="0" w:space="0" w:color="C0C0C0"/>
                          <w:right w:val="single" w:sz="0" w:space="31" w:color="C0C0C0"/>
                        </w:pBdr>
                        <w:shd w:val="clear" w:color="auto" w:fill="C0C0C0"/>
                        <w:bidi w:val="0"/>
                        <w:spacing w:before="0" w:after="0" w:line="240" w:lineRule="auto"/>
                        <w:ind w:left="0" w:right="0" w:firstLine="0"/>
                        <w:jc w:val="center"/>
                      </w:pPr>
                      <w:r>
                        <w:rPr>
                          <w:b/>
                          <w:bCs/>
                          <w:color w:val="000000"/>
                          <w:spacing w:val="0"/>
                          <w:w w:val="100"/>
                          <w:position w:val="0"/>
                        </w:rPr>
                        <w:t>关键审计事项</w:t>
                      </w:r>
                    </w:p>
                  </w:txbxContent>
                </v:textbox>
                <w10:wrap type="topAndBottom" anchorx="page"/>
              </v:shape>
            </w:pict>
          </mc:Fallback>
        </mc:AlternateContent>
      </w:r>
      <w:r>
        <mc:AlternateContent>
          <mc:Choice Requires="wps">
            <w:drawing>
              <wp:anchor distT="609600" distB="6350" distL="0" distR="0" simplePos="0" relativeHeight="125829392" behindDoc="0" locked="0" layoutInCell="1" allowOverlap="1">
                <wp:simplePos x="0" y="0"/>
                <wp:positionH relativeFrom="page">
                  <wp:posOffset>3971290</wp:posOffset>
                </wp:positionH>
                <wp:positionV relativeFrom="paragraph">
                  <wp:posOffset>609600</wp:posOffset>
                </wp:positionV>
                <wp:extent cx="1767840" cy="164465"/>
                <wp:wrapTopAndBottom/>
                <wp:docPr id="791" name="Shape 791"/>
                <a:graphic xmlns:a="http://schemas.openxmlformats.org/drawingml/2006/main">
                  <a:graphicData uri="http://schemas.microsoft.com/office/word/2010/wordprocessingShape">
                    <wps:wsp>
                      <wps:cNvSpPr txBox="1"/>
                      <wps:spPr>
                        <a:xfrm>
                          <a:ext cx="1767840" cy="164465"/>
                        </a:xfrm>
                        <a:prstGeom prst="rect"/>
                        <a:noFill/>
                      </wps:spPr>
                      <wps:txbx>
                        <w:txbxContent>
                          <w:p>
                            <w:pPr>
                              <w:pStyle w:val="Style47"/>
                              <w:keepNext w:val="0"/>
                              <w:keepLines w:val="0"/>
                              <w:widowControl w:val="0"/>
                              <w:pBdr>
                                <w:top w:val="single" w:sz="4" w:space="0" w:color="C0C0C0"/>
                                <w:left w:val="single" w:sz="4" w:space="31" w:color="C0C0C0"/>
                                <w:bottom w:val="single" w:sz="4" w:space="0" w:color="C0C0C0"/>
                                <w:right w:val="single" w:sz="4" w:space="31" w:color="C0C0C0"/>
                              </w:pBdr>
                              <w:shd w:val="clear" w:color="auto" w:fill="C0C0C0"/>
                              <w:bidi w:val="0"/>
                              <w:spacing w:before="0" w:after="0" w:line="240" w:lineRule="auto"/>
                              <w:ind w:left="0" w:right="0" w:firstLine="0"/>
                              <w:jc w:val="center"/>
                            </w:pPr>
                            <w:r>
                              <w:rPr>
                                <w:b/>
                                <w:bCs/>
                                <w:color w:val="000000"/>
                                <w:spacing w:val="0"/>
                                <w:w w:val="100"/>
                                <w:position w:val="0"/>
                              </w:rPr>
                              <w:t>该事项在审计中是如何应对的</w:t>
                            </w:r>
                          </w:p>
                        </w:txbxContent>
                      </wps:txbx>
                      <wps:bodyPr wrap="none" lIns="0" tIns="0" rIns="0" bIns="0">
                        <a:noAutoFit/>
                      </wps:bodyPr>
                    </wps:wsp>
                  </a:graphicData>
                </a:graphic>
              </wp:anchor>
            </w:drawing>
          </mc:Choice>
          <mc:Fallback>
            <w:pict>
              <v:shape id="_x0000_s1817" type="#_x0000_t202" style="position:absolute;margin-left:312.69999999999999pt;margin-top:48.pt;width:139.20000000000002pt;height:12.950000000000001pt;z-index:-125829361;mso-wrap-distance-left:0;mso-wrap-distance-top:48.pt;mso-wrap-distance-right:0;mso-wrap-distance-bottom:0.5pt;mso-position-horizontal-relative:page" filled="f" stroked="f">
                <v:textbox inset="0,0,0,0">
                  <w:txbxContent>
                    <w:p>
                      <w:pPr>
                        <w:pStyle w:val="Style47"/>
                        <w:keepNext w:val="0"/>
                        <w:keepLines w:val="0"/>
                        <w:widowControl w:val="0"/>
                        <w:pBdr>
                          <w:top w:val="single" w:sz="4" w:space="0" w:color="C0C0C0"/>
                          <w:left w:val="single" w:sz="4" w:space="31" w:color="C0C0C0"/>
                          <w:bottom w:val="single" w:sz="4" w:space="0" w:color="C0C0C0"/>
                          <w:right w:val="single" w:sz="4" w:space="31" w:color="C0C0C0"/>
                        </w:pBdr>
                        <w:shd w:val="clear" w:color="auto" w:fill="C0C0C0"/>
                        <w:bidi w:val="0"/>
                        <w:spacing w:before="0" w:after="0" w:line="240" w:lineRule="auto"/>
                        <w:ind w:left="0" w:right="0" w:firstLine="0"/>
                        <w:jc w:val="center"/>
                      </w:pPr>
                      <w:r>
                        <w:rPr>
                          <w:b/>
                          <w:bCs/>
                          <w:color w:val="000000"/>
                          <w:spacing w:val="0"/>
                          <w:w w:val="100"/>
                          <w:position w:val="0"/>
                        </w:rPr>
                        <w:t>该事项在审计中是如何应对的</w:t>
                      </w:r>
                    </w:p>
                  </w:txbxContent>
                </v:textbox>
                <w10:wrap type="topAndBottom" anchorx="page"/>
              </v:shape>
            </w:pict>
          </mc:Fallback>
        </mc:AlternateContent>
      </w:r>
    </w:p>
    <w:p>
      <w:pPr>
        <w:pStyle w:val="Style47"/>
        <w:keepNext w:val="0"/>
        <w:keepLines w:val="0"/>
        <w:widowControl w:val="0"/>
        <w:shd w:val="clear" w:color="auto" w:fill="auto"/>
        <w:bidi w:val="0"/>
        <w:spacing w:before="0" w:after="60" w:line="240" w:lineRule="auto"/>
        <w:ind w:left="0" w:right="0" w:firstLine="0"/>
        <w:jc w:val="both"/>
      </w:pPr>
      <w:r>
        <w:rPr>
          <w:b/>
          <w:bCs/>
          <w:i/>
          <w:iCs/>
          <w:color w:val="000000"/>
          <w:spacing w:val="0"/>
          <w:w w:val="100"/>
          <w:position w:val="0"/>
        </w:rPr>
        <w:t>收入确认</w:t>
      </w:r>
    </w:p>
    <w:p>
      <w:pPr>
        <w:pStyle w:val="Style47"/>
        <w:keepNext w:val="0"/>
        <w:keepLines w:val="0"/>
        <w:widowControl w:val="0"/>
        <w:shd w:val="clear" w:color="auto" w:fill="auto"/>
        <w:tabs>
          <w:tab w:pos="4761" w:val="left"/>
        </w:tabs>
        <w:bidi w:val="0"/>
        <w:spacing w:before="0" w:after="60" w:line="240" w:lineRule="auto"/>
        <w:ind w:left="0" w:right="0" w:firstLine="440"/>
        <w:jc w:val="both"/>
      </w:pPr>
      <w:r>
        <w:rPr>
          <w:color w:val="000000"/>
          <w:spacing w:val="0"/>
          <w:w w:val="100"/>
          <w:position w:val="0"/>
        </w:rPr>
        <w:t>中科信息营业收入主要包括信息化解决方</w:t>
        <w:tab/>
        <w:t>针对收入确认的审计，我们主要执行了以下</w:t>
      </w:r>
    </w:p>
    <w:p>
      <w:pPr>
        <w:pStyle w:val="Style47"/>
        <w:keepNext w:val="0"/>
        <w:keepLines w:val="0"/>
        <w:widowControl w:val="0"/>
        <w:shd w:val="clear" w:color="auto" w:fill="auto"/>
        <w:tabs>
          <w:tab w:pos="4290" w:val="left"/>
        </w:tabs>
        <w:bidi w:val="0"/>
        <w:spacing w:before="0" w:after="200" w:line="240" w:lineRule="auto"/>
        <w:ind w:left="0" w:right="0" w:firstLine="0"/>
        <w:jc w:val="left"/>
      </w:pPr>
      <w:r>
        <w:rPr>
          <w:color w:val="000000"/>
          <w:spacing w:val="0"/>
          <w:w w:val="100"/>
          <w:position w:val="0"/>
        </w:rPr>
        <w:t>案、软件开发收入、服务收入等。</w:t>
        <w:tab/>
        <w:t>程序：</w:t>
      </w:r>
    </w:p>
    <w:p>
      <w:pPr>
        <w:pStyle w:val="Style47"/>
        <w:keepNext w:val="0"/>
        <w:keepLines w:val="0"/>
        <w:widowControl w:val="0"/>
        <w:shd w:val="clear" w:color="auto" w:fill="auto"/>
        <w:tabs>
          <w:tab w:pos="4890" w:val="left"/>
        </w:tabs>
        <w:bidi w:val="0"/>
        <w:spacing w:before="0" w:after="60" w:line="240" w:lineRule="auto"/>
        <w:ind w:left="0" w:right="0" w:firstLine="440"/>
        <w:jc w:val="both"/>
      </w:pPr>
      <w:r>
        <w:rPr>
          <w:rFonts w:ascii="Times New Roman" w:eastAsia="Times New Roman" w:hAnsi="Times New Roman" w:cs="Times New Roman"/>
          <w:color w:val="000000"/>
          <w:spacing w:val="0"/>
          <w:w w:val="100"/>
          <w:position w:val="0"/>
        </w:rPr>
        <w:t>2020</w:t>
      </w:r>
      <w:r>
        <w:rPr>
          <w:color w:val="000000"/>
          <w:spacing w:val="0"/>
          <w:w w:val="100"/>
          <w:position w:val="0"/>
        </w:rPr>
        <w:t>年度收入总额</w:t>
      </w:r>
      <w:r>
        <w:rPr>
          <w:rFonts w:ascii="Times New Roman" w:eastAsia="Times New Roman" w:hAnsi="Times New Roman" w:cs="Times New Roman"/>
          <w:color w:val="000000"/>
          <w:spacing w:val="0"/>
          <w:w w:val="100"/>
          <w:position w:val="0"/>
        </w:rPr>
        <w:t>436,742,991.37</w:t>
      </w:r>
      <w:r>
        <w:rPr>
          <w:color w:val="000000"/>
          <w:spacing w:val="0"/>
          <w:w w:val="100"/>
          <w:position w:val="0"/>
        </w:rPr>
        <w:t>元</w:t>
      </w:r>
      <w:r>
        <w:rPr>
          <w:color w:val="000000"/>
          <w:spacing w:val="0"/>
          <w:w w:val="100"/>
          <w:position w:val="0"/>
        </w:rPr>
        <w:t>，</w:t>
      </w:r>
      <w:r>
        <w:rPr>
          <w:color w:val="000000"/>
          <w:spacing w:val="0"/>
          <w:w w:val="100"/>
          <w:position w:val="0"/>
        </w:rPr>
        <w:t>较</w:t>
      </w:r>
      <w:r>
        <w:rPr>
          <w:rFonts w:ascii="Times New Roman" w:eastAsia="Times New Roman" w:hAnsi="Times New Roman" w:cs="Times New Roman"/>
          <w:color w:val="000000"/>
          <w:spacing w:val="0"/>
          <w:w w:val="100"/>
          <w:position w:val="0"/>
        </w:rPr>
        <w:t>2019</w:t>
        <w:tab/>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）了解有关收入确认的内部控制，并对</w:t>
      </w:r>
    </w:p>
    <w:p>
      <w:pPr>
        <w:pStyle w:val="Style47"/>
        <w:keepNext w:val="0"/>
        <w:keepLines w:val="0"/>
        <w:widowControl w:val="0"/>
        <w:shd w:val="clear" w:color="auto" w:fill="auto"/>
        <w:tabs>
          <w:tab w:pos="4290" w:val="left"/>
        </w:tabs>
        <w:bidi w:val="0"/>
        <w:spacing w:before="0" w:after="140" w:line="240" w:lineRule="auto"/>
        <w:ind w:left="0" w:right="0" w:firstLine="0"/>
        <w:jc w:val="left"/>
      </w:pPr>
      <w:r>
        <w:rPr>
          <w:color w:val="000000"/>
          <w:spacing w:val="0"/>
          <w:w w:val="100"/>
          <w:position w:val="0"/>
        </w:rPr>
        <w:t>年度增长</w:t>
      </w:r>
      <w:r>
        <w:rPr>
          <w:rFonts w:ascii="Times New Roman" w:eastAsia="Times New Roman" w:hAnsi="Times New Roman" w:cs="Times New Roman"/>
          <w:color w:val="000000"/>
          <w:spacing w:val="0"/>
          <w:w w:val="100"/>
          <w:position w:val="0"/>
        </w:rPr>
        <w:t>72,329,719.55</w:t>
      </w:r>
      <w:r>
        <w:rPr>
          <w:color w:val="000000"/>
          <w:spacing w:val="0"/>
          <w:w w:val="100"/>
          <w:position w:val="0"/>
        </w:rPr>
        <w:t>元，增长率</w:t>
      </w:r>
      <w:r>
        <w:rPr>
          <w:rFonts w:ascii="Times New Roman" w:eastAsia="Times New Roman" w:hAnsi="Times New Roman" w:cs="Times New Roman"/>
          <w:color w:val="000000"/>
          <w:spacing w:val="0"/>
          <w:w w:val="100"/>
          <w:position w:val="0"/>
        </w:rPr>
        <w:t>19.85%</w:t>
      </w:r>
      <w:r>
        <w:rPr>
          <w:color w:val="000000"/>
          <w:spacing w:val="0"/>
          <w:w w:val="100"/>
          <w:position w:val="0"/>
        </w:rPr>
        <w:t>。</w:t>
        <w:tab/>
        <w:t>其是否有效运行进行了测试；</w:t>
      </w:r>
    </w:p>
    <w:p>
      <w:pPr>
        <w:pStyle w:val="Style47"/>
        <w:keepNext w:val="0"/>
        <w:keepLines w:val="0"/>
        <w:widowControl w:val="0"/>
        <w:shd w:val="clear" w:color="auto" w:fill="auto"/>
        <w:tabs>
          <w:tab w:pos="4761" w:val="left"/>
        </w:tabs>
        <w:bidi w:val="0"/>
        <w:spacing w:before="0" w:after="0" w:line="312" w:lineRule="exact"/>
        <w:ind w:left="0" w:right="0" w:firstLine="440"/>
        <w:jc w:val="left"/>
      </w:pPr>
      <w:r>
        <w:rPr>
          <w:color w:val="000000"/>
          <w:spacing w:val="0"/>
          <w:w w:val="100"/>
          <w:position w:val="0"/>
        </w:rPr>
        <w:t>其收入增长对中科信息业绩影响重大，收入</w:t>
        <w:tab/>
        <w:t>（</w:t>
      </w:r>
      <w:r>
        <w:rPr>
          <w:rFonts w:ascii="Times New Roman" w:eastAsia="Times New Roman" w:hAnsi="Times New Roman" w:cs="Times New Roman"/>
          <w:color w:val="000000"/>
          <w:spacing w:val="0"/>
          <w:w w:val="100"/>
          <w:position w:val="0"/>
        </w:rPr>
        <w:t>2</w:t>
      </w:r>
      <w:r>
        <w:rPr>
          <w:color w:val="000000"/>
          <w:spacing w:val="0"/>
          <w:w w:val="100"/>
          <w:position w:val="0"/>
        </w:rPr>
        <w:t>）检查项目合同及与管理层沟通，分析、</w:t>
      </w:r>
    </w:p>
    <w:p>
      <w:pPr>
        <w:pStyle w:val="Style47"/>
        <w:keepNext w:val="0"/>
        <w:keepLines w:val="0"/>
        <w:widowControl w:val="0"/>
        <w:shd w:val="clear" w:color="auto" w:fill="auto"/>
        <w:bidi w:val="0"/>
        <w:spacing w:before="0" w:after="0" w:line="312" w:lineRule="exact"/>
        <w:ind w:left="0" w:right="0" w:firstLine="0"/>
        <w:jc w:val="left"/>
      </w:pPr>
      <w:r>
        <w:rPr>
          <w:color w:val="000000"/>
          <w:spacing w:val="0"/>
          <w:w w:val="100"/>
          <w:position w:val="0"/>
        </w:rPr>
        <w:t>确认是否在恰当的财务报表期间可能存在潜在评估收入确认会计政策； 错报，因此我们将中科信息收入确认作为关键审</w:t>
      </w:r>
    </w:p>
    <w:p>
      <w:pPr>
        <w:pStyle w:val="Style47"/>
        <w:keepNext w:val="0"/>
        <w:keepLines w:val="0"/>
        <w:widowControl w:val="0"/>
        <w:shd w:val="clear" w:color="auto" w:fill="auto"/>
        <w:tabs>
          <w:tab w:pos="4761" w:val="left"/>
        </w:tabs>
        <w:bidi w:val="0"/>
        <w:spacing w:before="0" w:after="0" w:line="309" w:lineRule="exact"/>
        <w:ind w:left="0" w:right="0" w:firstLine="0"/>
        <w:jc w:val="left"/>
      </w:pPr>
      <w:r>
        <w:rPr>
          <w:color w:val="000000"/>
          <w:spacing w:val="0"/>
          <w:w w:val="100"/>
          <w:position w:val="0"/>
        </w:rPr>
        <w:t>、计事项</w:t>
        <w:tab/>
        <w:t>（</w:t>
      </w:r>
      <w:r>
        <w:rPr>
          <w:rFonts w:ascii="Times New Roman" w:eastAsia="Times New Roman" w:hAnsi="Times New Roman" w:cs="Times New Roman"/>
          <w:color w:val="000000"/>
          <w:spacing w:val="0"/>
          <w:w w:val="100"/>
          <w:position w:val="0"/>
        </w:rPr>
        <w:t>3</w:t>
      </w:r>
      <w:r>
        <w:rPr>
          <w:color w:val="000000"/>
          <w:spacing w:val="0"/>
          <w:w w:val="100"/>
          <w:position w:val="0"/>
        </w:rPr>
        <w:t>）结合中科信息收入确认会计政策，对</w:t>
      </w:r>
    </w:p>
    <w:p>
      <w:pPr>
        <w:pStyle w:val="Style47"/>
        <w:keepNext w:val="0"/>
        <w:keepLines w:val="0"/>
        <w:widowControl w:val="0"/>
        <w:shd w:val="clear" w:color="auto" w:fill="auto"/>
        <w:tabs>
          <w:tab w:pos="4290" w:val="left"/>
        </w:tabs>
        <w:bidi w:val="0"/>
        <w:spacing w:before="0" w:after="0" w:line="309" w:lineRule="exact"/>
        <w:ind w:left="0" w:right="0" w:firstLine="0"/>
        <w:jc w:val="left"/>
      </w:pPr>
      <w:r>
        <w:rPr>
          <w:color w:val="000000"/>
          <w:spacing w:val="0"/>
          <w:w w:val="100"/>
          <w:position w:val="0"/>
        </w:rPr>
        <w:t>计事项。</w:t>
        <w:tab/>
        <w:t>主要业务的收入确认进行了抽样测试，属于某一</w:t>
      </w:r>
    </w:p>
    <w:p>
      <w:pPr>
        <w:pStyle w:val="Style47"/>
        <w:keepNext w:val="0"/>
        <w:keepLines w:val="0"/>
        <w:widowControl w:val="0"/>
        <w:shd w:val="clear" w:color="auto" w:fill="auto"/>
        <w:bidi w:val="0"/>
        <w:spacing w:before="0" w:after="0" w:line="309" w:lineRule="exact"/>
        <w:ind w:left="0" w:right="0" w:firstLine="440"/>
        <w:jc w:val="both"/>
      </w:pPr>
      <w:r>
        <w:rPr>
          <w:color w:val="000000"/>
          <w:spacing w:val="0"/>
          <w:w w:val="100"/>
          <w:position w:val="0"/>
        </w:rPr>
        <w:t>中科信息收入确认的会计政策和具体方法时点履行的履约义务，抽查收入确认是否有项目</w:t>
      </w:r>
    </w:p>
    <w:p>
      <w:pPr>
        <w:pStyle w:val="Style47"/>
        <w:keepNext w:val="0"/>
        <w:keepLines w:val="0"/>
        <w:widowControl w:val="0"/>
        <w:shd w:val="clear" w:color="auto" w:fill="auto"/>
        <w:tabs>
          <w:tab w:pos="4290" w:val="left"/>
        </w:tabs>
        <w:bidi w:val="0"/>
        <w:spacing w:before="0" w:after="0" w:line="309" w:lineRule="exact"/>
        <w:ind w:left="0" w:right="0" w:firstLine="0"/>
        <w:jc w:val="both"/>
      </w:pPr>
      <w:r>
        <w:rPr>
          <w:color w:val="000000"/>
          <w:spacing w:val="0"/>
          <w:w w:val="100"/>
          <w:position w:val="0"/>
        </w:rPr>
        <w:t>详见财务报告附注三、（二十七）所述，关于收完工验收支持或完工移交手续，收入确认的金额 入类别的披露见附注六、（三十）。</w:t>
        <w:tab/>
        <w:t>是否与合同金额或项目结算金额一致；属于某一</w:t>
      </w:r>
    </w:p>
    <w:p>
      <w:pPr>
        <w:pStyle w:val="Style47"/>
        <w:keepNext w:val="0"/>
        <w:keepLines w:val="0"/>
        <w:widowControl w:val="0"/>
        <w:shd w:val="clear" w:color="auto" w:fill="auto"/>
        <w:bidi w:val="0"/>
        <w:spacing w:before="0" w:after="140" w:line="309" w:lineRule="exact"/>
        <w:ind w:left="4380" w:right="0" w:firstLine="0"/>
        <w:jc w:val="both"/>
      </w:pPr>
      <w:r>
        <w:rPr>
          <w:color w:val="000000"/>
          <w:spacing w:val="0"/>
          <w:w w:val="100"/>
          <w:position w:val="0"/>
        </w:rPr>
        <w:t>时段履行的履约义务，选取金额重大的未完工项 目，检查管理层编制的总成本预算，获取相关合 同文件，并同时参考其他同类型项目，复核管理 层编制的总成本预算是否完整，按完工进度确认 的收入计算是否准确；</w:t>
      </w:r>
    </w:p>
    <w:p>
      <w:pPr>
        <w:pStyle w:val="Style47"/>
        <w:keepNext w:val="0"/>
        <w:keepLines w:val="0"/>
        <w:widowControl w:val="0"/>
        <w:shd w:val="clear" w:color="auto" w:fill="auto"/>
        <w:bidi w:val="0"/>
        <w:spacing w:before="0" w:after="140" w:line="326" w:lineRule="exact"/>
        <w:ind w:left="4380" w:right="0" w:firstLine="420"/>
        <w:jc w:val="both"/>
      </w:pPr>
      <w:bookmarkStart w:id="744" w:name="bookmark744"/>
      <w:r>
        <w:rPr>
          <w:color w:val="000000"/>
          <w:spacing w:val="0"/>
          <w:w w:val="100"/>
          <w:position w:val="0"/>
        </w:rPr>
        <w:t>（</w:t>
      </w:r>
      <w:bookmarkEnd w:id="744"/>
      <w:r>
        <w:rPr>
          <w:rFonts w:ascii="Times New Roman" w:eastAsia="Times New Roman" w:hAnsi="Times New Roman" w:cs="Times New Roman"/>
          <w:color w:val="000000"/>
          <w:spacing w:val="0"/>
          <w:w w:val="100"/>
          <w:position w:val="0"/>
        </w:rPr>
        <w:t>4</w:t>
      </w:r>
      <w:r>
        <w:rPr>
          <w:color w:val="000000"/>
          <w:spacing w:val="0"/>
          <w:w w:val="100"/>
          <w:position w:val="0"/>
        </w:rPr>
        <w:t>）选取样本执行函证程序以检查收入的 真实性及是否确认在恰当的财务报表期间；</w:t>
      </w:r>
    </w:p>
    <w:p>
      <w:pPr>
        <w:pStyle w:val="Style47"/>
        <w:keepNext w:val="0"/>
        <w:keepLines w:val="0"/>
        <w:widowControl w:val="0"/>
        <w:shd w:val="clear" w:color="auto" w:fill="auto"/>
        <w:bidi w:val="0"/>
        <w:spacing w:before="0" w:after="860" w:line="319" w:lineRule="exact"/>
        <w:ind w:left="4380" w:right="0" w:firstLine="420"/>
        <w:jc w:val="both"/>
      </w:pPr>
      <w:bookmarkStart w:id="745" w:name="bookmark745"/>
      <w:r>
        <w:rPr>
          <w:color w:val="000000"/>
          <w:spacing w:val="0"/>
          <w:w w:val="100"/>
          <w:position w:val="0"/>
        </w:rPr>
        <w:t>（</w:t>
      </w:r>
      <w:bookmarkEnd w:id="745"/>
      <w:r>
        <w:rPr>
          <w:rFonts w:ascii="Times New Roman" w:eastAsia="Times New Roman" w:hAnsi="Times New Roman" w:cs="Times New Roman"/>
          <w:color w:val="000000"/>
          <w:spacing w:val="0"/>
          <w:w w:val="100"/>
          <w:position w:val="0"/>
        </w:rPr>
        <w:t>5</w:t>
      </w:r>
      <w:r>
        <w:rPr>
          <w:color w:val="000000"/>
          <w:spacing w:val="0"/>
          <w:w w:val="100"/>
          <w:position w:val="0"/>
        </w:rPr>
        <w:t>）针对资产负债表日前后确认的销售收 入，抽样检查完工验收或完工移交等支持性文 件，以检查是否存在提前确认收入的情况。</w:t>
      </w:r>
    </w:p>
    <w:p>
      <w:pPr>
        <w:pStyle w:val="Style47"/>
        <w:keepNext w:val="0"/>
        <w:keepLines w:val="0"/>
        <w:widowControl w:val="0"/>
        <w:shd w:val="clear" w:color="auto" w:fill="auto"/>
        <w:bidi w:val="0"/>
        <w:spacing w:before="0" w:after="200" w:line="240" w:lineRule="auto"/>
        <w:ind w:left="0" w:right="0" w:firstLine="0"/>
        <w:jc w:val="both"/>
      </w:pPr>
      <w:r>
        <w:rPr>
          <w:color w:val="000000"/>
          <w:spacing w:val="0"/>
          <w:w w:val="100"/>
          <w:position w:val="0"/>
        </w:rPr>
        <w:t>审计报告（续）</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p>
      <w:pPr>
        <w:widowControl w:val="0"/>
        <w:spacing w:line="1" w:lineRule="exact"/>
        <w:sectPr>
          <w:headerReference w:type="default" r:id="rId211"/>
          <w:footerReference w:type="default" r:id="rId212"/>
          <w:headerReference w:type="even" r:id="rId213"/>
          <w:footerReference w:type="even" r:id="rId214"/>
          <w:headerReference w:type="first" r:id="rId215"/>
          <w:footerReference w:type="first" r:id="rId216"/>
          <w:footnotePr>
            <w:pos w:val="pageBottom"/>
            <w:numFmt w:val="decimal"/>
            <w:numRestart w:val="continuous"/>
          </w:footnotePr>
          <w:pgSz w:w="11900" w:h="16840"/>
          <w:pgMar w:top="1155" w:right="1127" w:bottom="1117" w:left="1091" w:header="0" w:footer="3" w:gutter="0"/>
          <w:cols w:space="720"/>
          <w:noEndnote/>
          <w:titlePg/>
          <w:rtlGutter w:val="0"/>
          <w:docGrid w:linePitch="360"/>
        </w:sectPr>
      </w:pPr>
      <w:r>
        <mc:AlternateContent>
          <mc:Choice Requires="wps">
            <w:drawing>
              <wp:anchor distT="50800" distB="0" distL="0" distR="0" simplePos="0" relativeHeight="125829394" behindDoc="0" locked="0" layoutInCell="1" allowOverlap="1">
                <wp:simplePos x="0" y="0"/>
                <wp:positionH relativeFrom="page">
                  <wp:posOffset>694690</wp:posOffset>
                </wp:positionH>
                <wp:positionV relativeFrom="paragraph">
                  <wp:posOffset>50800</wp:posOffset>
                </wp:positionV>
                <wp:extent cx="1911350" cy="381000"/>
                <wp:wrapTopAndBottom/>
                <wp:docPr id="814" name="Shape 814"/>
                <a:graphic xmlns:a="http://schemas.openxmlformats.org/drawingml/2006/main">
                  <a:graphicData uri="http://schemas.microsoft.com/office/word/2010/wordprocessingShape">
                    <wps:wsp>
                      <wps:cNvSpPr txBox="1"/>
                      <wps:spPr>
                        <a:xfrm>
                          <a:ext cx="1911350" cy="381000"/>
                        </a:xfrm>
                        <a:prstGeom prst="rect"/>
                        <a:noFill/>
                      </wps:spPr>
                      <wps:txbx>
                        <w:txbxContent>
                          <w:p>
                            <w:pPr>
                              <w:pStyle w:val="Style47"/>
                              <w:keepNext w:val="0"/>
                              <w:keepLines w:val="0"/>
                              <w:widowControl w:val="0"/>
                              <w:pBdr>
                                <w:top w:val="single" w:sz="4" w:space="0" w:color="C0C0C0"/>
                                <w:left w:val="single" w:sz="4" w:space="0" w:color="C0C0C0"/>
                                <w:bottom w:val="single" w:sz="4" w:space="0" w:color="C0C0C0"/>
                                <w:right w:val="single" w:sz="4" w:space="0" w:color="C0C0C0"/>
                              </w:pBdr>
                              <w:shd w:val="clear" w:color="auto" w:fill="C0C0C0"/>
                              <w:bidi w:val="0"/>
                              <w:spacing w:before="0" w:after="100" w:line="240" w:lineRule="auto"/>
                              <w:ind w:left="0" w:right="0" w:firstLine="0"/>
                              <w:jc w:val="right"/>
                            </w:pPr>
                            <w:r>
                              <w:rPr>
                                <w:b/>
                                <w:bCs/>
                                <w:color w:val="000000"/>
                                <w:spacing w:val="0"/>
                                <w:w w:val="100"/>
                                <w:position w:val="0"/>
                              </w:rPr>
                              <w:t>关键审计事项</w:t>
                            </w:r>
                          </w:p>
                          <w:p>
                            <w:pPr>
                              <w:pStyle w:val="Style47"/>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应收账款坏账准备</w:t>
                            </w:r>
                          </w:p>
                        </w:txbxContent>
                      </wps:txbx>
                      <wps:bodyPr lIns="0" tIns="0" rIns="0" bIns="0">
                        <a:noAutoFit/>
                      </wps:bodyPr>
                    </wps:wsp>
                  </a:graphicData>
                </a:graphic>
              </wp:anchor>
            </w:drawing>
          </mc:Choice>
          <mc:Fallback>
            <w:pict>
              <v:shape id="_x0000_s1840" type="#_x0000_t202" style="position:absolute;margin-left:54.700000000000003pt;margin-top:4.pt;width:150.5pt;height:30.pt;z-index:-125829359;mso-wrap-distance-left:0;mso-wrap-distance-top:4.pt;mso-wrap-distance-right:0;mso-position-horizontal-relative:page" filled="f" stroked="f">
                <v:textbox inset="0,0,0,0">
                  <w:txbxContent>
                    <w:p>
                      <w:pPr>
                        <w:pStyle w:val="Style47"/>
                        <w:keepNext w:val="0"/>
                        <w:keepLines w:val="0"/>
                        <w:widowControl w:val="0"/>
                        <w:pBdr>
                          <w:top w:val="single" w:sz="4" w:space="0" w:color="C0C0C0"/>
                          <w:left w:val="single" w:sz="4" w:space="0" w:color="C0C0C0"/>
                          <w:bottom w:val="single" w:sz="4" w:space="0" w:color="C0C0C0"/>
                          <w:right w:val="single" w:sz="4" w:space="0" w:color="C0C0C0"/>
                        </w:pBdr>
                        <w:shd w:val="clear" w:color="auto" w:fill="C0C0C0"/>
                        <w:bidi w:val="0"/>
                        <w:spacing w:before="0" w:after="100" w:line="240" w:lineRule="auto"/>
                        <w:ind w:left="0" w:right="0" w:firstLine="0"/>
                        <w:jc w:val="right"/>
                      </w:pPr>
                      <w:r>
                        <w:rPr>
                          <w:b/>
                          <w:bCs/>
                          <w:color w:val="000000"/>
                          <w:spacing w:val="0"/>
                          <w:w w:val="100"/>
                          <w:position w:val="0"/>
                        </w:rPr>
                        <w:t>关键审计事项</w:t>
                      </w:r>
                    </w:p>
                    <w:p>
                      <w:pPr>
                        <w:pStyle w:val="Style47"/>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应收账款坏账准备</w:t>
                      </w:r>
                    </w:p>
                  </w:txbxContent>
                </v:textbox>
                <w10:wrap type="topAndBottom" anchorx="page"/>
              </v:shape>
            </w:pict>
          </mc:Fallback>
        </mc:AlternateContent>
      </w:r>
      <w:r>
        <mc:AlternateContent>
          <mc:Choice Requires="wps">
            <w:drawing>
              <wp:anchor distT="50800" distB="216535" distL="0" distR="0" simplePos="0" relativeHeight="125829396" behindDoc="0" locked="0" layoutInCell="1" allowOverlap="1">
                <wp:simplePos x="0" y="0"/>
                <wp:positionH relativeFrom="page">
                  <wp:posOffset>4272915</wp:posOffset>
                </wp:positionH>
                <wp:positionV relativeFrom="paragraph">
                  <wp:posOffset>50800</wp:posOffset>
                </wp:positionV>
                <wp:extent cx="1767840" cy="164465"/>
                <wp:wrapTopAndBottom/>
                <wp:docPr id="816" name="Shape 816"/>
                <a:graphic xmlns:a="http://schemas.openxmlformats.org/drawingml/2006/main">
                  <a:graphicData uri="http://schemas.microsoft.com/office/word/2010/wordprocessingShape">
                    <wps:wsp>
                      <wps:cNvSpPr txBox="1"/>
                      <wps:spPr>
                        <a:xfrm>
                          <a:ext cx="1767840" cy="164465"/>
                        </a:xfrm>
                        <a:prstGeom prst="rect"/>
                        <a:noFill/>
                      </wps:spPr>
                      <wps:txbx>
                        <w:txbxContent>
                          <w:p>
                            <w:pPr>
                              <w:pStyle w:val="Style47"/>
                              <w:keepNext w:val="0"/>
                              <w:keepLines w:val="0"/>
                              <w:widowControl w:val="0"/>
                              <w:pBdr>
                                <w:top w:val="single" w:sz="0" w:space="0" w:color="C0C0C0"/>
                                <w:left w:val="single" w:sz="0" w:space="0" w:color="C0C0C0"/>
                                <w:bottom w:val="single" w:sz="0" w:space="0" w:color="C0C0C0"/>
                                <w:right w:val="single" w:sz="0" w:space="0" w:color="C0C0C0"/>
                              </w:pBdr>
                              <w:shd w:val="clear" w:color="auto" w:fill="C0C0C0"/>
                              <w:bidi w:val="0"/>
                              <w:spacing w:before="0" w:after="0" w:line="240" w:lineRule="auto"/>
                              <w:ind w:left="0" w:right="0" w:firstLine="0"/>
                              <w:jc w:val="center"/>
                            </w:pPr>
                            <w:r>
                              <w:rPr>
                                <w:b/>
                                <w:bCs/>
                                <w:color w:val="000000"/>
                                <w:spacing w:val="0"/>
                                <w:w w:val="100"/>
                                <w:position w:val="0"/>
                              </w:rPr>
                              <w:t>该事项在审计中是如何应对的</w:t>
                            </w:r>
                          </w:p>
                        </w:txbxContent>
                      </wps:txbx>
                      <wps:bodyPr wrap="none" lIns="0" tIns="0" rIns="0" bIns="0">
                        <a:noAutoFit/>
                      </wps:bodyPr>
                    </wps:wsp>
                  </a:graphicData>
                </a:graphic>
              </wp:anchor>
            </w:drawing>
          </mc:Choice>
          <mc:Fallback>
            <w:pict>
              <v:shape id="_x0000_s1842" type="#_x0000_t202" style="position:absolute;margin-left:336.44999999999999pt;margin-top:4.pt;width:139.20000000000002pt;height:12.950000000000001pt;z-index:-125829357;mso-wrap-distance-left:0;mso-wrap-distance-top:4.pt;mso-wrap-distance-right:0;mso-wrap-distance-bottom:17.050000000000001pt;mso-position-horizontal-relative:page" filled="f" stroked="f">
                <v:textbox inset="0,0,0,0">
                  <w:txbxContent>
                    <w:p>
                      <w:pPr>
                        <w:pStyle w:val="Style47"/>
                        <w:keepNext w:val="0"/>
                        <w:keepLines w:val="0"/>
                        <w:widowControl w:val="0"/>
                        <w:pBdr>
                          <w:top w:val="single" w:sz="0" w:space="0" w:color="C0C0C0"/>
                          <w:left w:val="single" w:sz="0" w:space="0" w:color="C0C0C0"/>
                          <w:bottom w:val="single" w:sz="0" w:space="0" w:color="C0C0C0"/>
                          <w:right w:val="single" w:sz="0" w:space="0" w:color="C0C0C0"/>
                        </w:pBdr>
                        <w:shd w:val="clear" w:color="auto" w:fill="C0C0C0"/>
                        <w:bidi w:val="0"/>
                        <w:spacing w:before="0" w:after="0" w:line="240" w:lineRule="auto"/>
                        <w:ind w:left="0" w:right="0" w:firstLine="0"/>
                        <w:jc w:val="center"/>
                      </w:pPr>
                      <w:r>
                        <w:rPr>
                          <w:b/>
                          <w:bCs/>
                          <w:color w:val="000000"/>
                          <w:spacing w:val="0"/>
                          <w:w w:val="100"/>
                          <w:position w:val="0"/>
                        </w:rPr>
                        <w:t>该事项在审计中是如何应对的</w:t>
                      </w:r>
                    </w:p>
                  </w:txbxContent>
                </v:textbox>
                <w10:wrap type="topAndBottom" anchorx="page"/>
              </v:shape>
            </w:pict>
          </mc:Fallback>
        </mc:AlternateContent>
      </w:r>
    </w:p>
    <w:p>
      <w:pPr>
        <w:widowControl w:val="0"/>
        <w:spacing w:line="1" w:lineRule="exact"/>
      </w:pPr>
      <w:r>
        <mc:AlternateContent>
          <mc:Choice Requires="wps">
            <w:drawing>
              <wp:anchor distT="12700" distB="0" distL="0" distR="0" simplePos="0" relativeHeight="125829398" behindDoc="0" locked="0" layoutInCell="1" allowOverlap="1">
                <wp:simplePos x="0" y="0"/>
                <wp:positionH relativeFrom="page">
                  <wp:posOffset>697865</wp:posOffset>
                </wp:positionH>
                <wp:positionV relativeFrom="paragraph">
                  <wp:posOffset>472440</wp:posOffset>
                </wp:positionV>
                <wp:extent cx="5949950" cy="594360"/>
                <wp:wrapTopAndBottom/>
                <wp:docPr id="818" name="Shape 818"/>
                <a:graphic xmlns:a="http://schemas.openxmlformats.org/drawingml/2006/main">
                  <a:graphicData uri="http://schemas.microsoft.com/office/word/2010/wordprocessingShape">
                    <wps:wsp>
                      <wps:cNvSpPr txBox="1"/>
                      <wps:spPr>
                        <a:xfrm>
                          <a:ext cx="5949950" cy="594360"/>
                        </a:xfrm>
                        <a:prstGeom prst="rect"/>
                        <a:noFill/>
                      </wps:spPr>
                      <wps:txbx>
                        <w:txbxContent>
                          <w:p>
                            <w:pPr>
                              <w:pStyle w:val="Style47"/>
                              <w:keepNext w:val="0"/>
                              <w:keepLines w:val="0"/>
                              <w:widowControl w:val="0"/>
                              <w:shd w:val="clear" w:color="auto" w:fill="auto"/>
                              <w:tabs>
                                <w:tab w:pos="5182" w:val="left"/>
                              </w:tabs>
                              <w:bidi w:val="0"/>
                              <w:spacing w:before="0" w:after="0" w:line="307" w:lineRule="exact"/>
                              <w:ind w:left="0" w:right="0" w:firstLine="440"/>
                              <w:jc w:val="left"/>
                            </w:pPr>
                            <w:r>
                              <w:rPr>
                                <w:color w:val="000000"/>
                                <w:spacing w:val="0"/>
                                <w:w w:val="100"/>
                                <w:position w:val="0"/>
                              </w:rPr>
                              <w:t>中科信息应收款项坏账准备的会计政策和具体</w:t>
                              <w:tab/>
                              <w:t>（</w:t>
                            </w:r>
                            <w:r>
                              <w:rPr>
                                <w:rFonts w:ascii="Times New Roman" w:eastAsia="Times New Roman" w:hAnsi="Times New Roman" w:cs="Times New Roman"/>
                                <w:color w:val="000000"/>
                                <w:spacing w:val="0"/>
                                <w:w w:val="100"/>
                                <w:position w:val="0"/>
                              </w:rPr>
                              <w:t>1</w:t>
                            </w:r>
                            <w:r>
                              <w:rPr>
                                <w:color w:val="000000"/>
                                <w:spacing w:val="0"/>
                                <w:w w:val="100"/>
                                <w:position w:val="0"/>
                              </w:rPr>
                              <w:t>）对中科信息信用政策及应收账款管理相关</w:t>
                            </w:r>
                          </w:p>
                          <w:p>
                            <w:pPr>
                              <w:pStyle w:val="Style47"/>
                              <w:keepNext w:val="0"/>
                              <w:keepLines w:val="0"/>
                              <w:widowControl w:val="0"/>
                              <w:shd w:val="clear" w:color="auto" w:fill="auto"/>
                              <w:bidi w:val="0"/>
                              <w:spacing w:before="0" w:after="0" w:line="307" w:lineRule="exact"/>
                              <w:ind w:left="0" w:right="0" w:firstLine="0"/>
                              <w:jc w:val="left"/>
                            </w:pPr>
                            <w:r>
                              <w:rPr>
                                <w:color w:val="000000"/>
                                <w:spacing w:val="0"/>
                                <w:w w:val="100"/>
                                <w:position w:val="0"/>
                              </w:rPr>
                              <w:t>方法详见财务报告附注三、（十）所述，关于应收内部控制的设计和运行有效性进行了评估和测试； 账款坏账准备的披露见附注六、（三）。</w:t>
                            </w:r>
                          </w:p>
                        </w:txbxContent>
                      </wps:txbx>
                      <wps:bodyPr lIns="0" tIns="0" rIns="0" bIns="0">
                        <a:noAutoFit/>
                      </wps:bodyPr>
                    </wps:wsp>
                  </a:graphicData>
                </a:graphic>
              </wp:anchor>
            </w:drawing>
          </mc:Choice>
          <mc:Fallback>
            <w:pict>
              <v:shape id="_x0000_s1844" type="#_x0000_t202" style="position:absolute;margin-left:54.950000000000003pt;margin-top:37.200000000000003pt;width:468.5pt;height:46.800000000000004pt;z-index:-125829355;mso-wrap-distance-left:0;mso-wrap-distance-top:1.pt;mso-wrap-distance-right:0;mso-position-horizontal-relative:page" filled="f" stroked="f">
                <v:textbox inset="0,0,0,0">
                  <w:txbxContent>
                    <w:p>
                      <w:pPr>
                        <w:pStyle w:val="Style47"/>
                        <w:keepNext w:val="0"/>
                        <w:keepLines w:val="0"/>
                        <w:widowControl w:val="0"/>
                        <w:shd w:val="clear" w:color="auto" w:fill="auto"/>
                        <w:tabs>
                          <w:tab w:pos="5182" w:val="left"/>
                        </w:tabs>
                        <w:bidi w:val="0"/>
                        <w:spacing w:before="0" w:after="0" w:line="307" w:lineRule="exact"/>
                        <w:ind w:left="0" w:right="0" w:firstLine="440"/>
                        <w:jc w:val="left"/>
                      </w:pPr>
                      <w:r>
                        <w:rPr>
                          <w:color w:val="000000"/>
                          <w:spacing w:val="0"/>
                          <w:w w:val="100"/>
                          <w:position w:val="0"/>
                        </w:rPr>
                        <w:t>中科信息应收款项坏账准备的会计政策和具体</w:t>
                        <w:tab/>
                        <w:t>（</w:t>
                      </w:r>
                      <w:r>
                        <w:rPr>
                          <w:rFonts w:ascii="Times New Roman" w:eastAsia="Times New Roman" w:hAnsi="Times New Roman" w:cs="Times New Roman"/>
                          <w:color w:val="000000"/>
                          <w:spacing w:val="0"/>
                          <w:w w:val="100"/>
                          <w:position w:val="0"/>
                        </w:rPr>
                        <w:t>1</w:t>
                      </w:r>
                      <w:r>
                        <w:rPr>
                          <w:color w:val="000000"/>
                          <w:spacing w:val="0"/>
                          <w:w w:val="100"/>
                          <w:position w:val="0"/>
                        </w:rPr>
                        <w:t>）对中科信息信用政策及应收账款管理相关</w:t>
                      </w:r>
                    </w:p>
                    <w:p>
                      <w:pPr>
                        <w:pStyle w:val="Style47"/>
                        <w:keepNext w:val="0"/>
                        <w:keepLines w:val="0"/>
                        <w:widowControl w:val="0"/>
                        <w:shd w:val="clear" w:color="auto" w:fill="auto"/>
                        <w:bidi w:val="0"/>
                        <w:spacing w:before="0" w:after="0" w:line="307" w:lineRule="exact"/>
                        <w:ind w:left="0" w:right="0" w:firstLine="0"/>
                        <w:jc w:val="left"/>
                      </w:pPr>
                      <w:r>
                        <w:rPr>
                          <w:color w:val="000000"/>
                          <w:spacing w:val="0"/>
                          <w:w w:val="100"/>
                          <w:position w:val="0"/>
                        </w:rPr>
                        <w:t>方法详见财务报告附注三、（十）所述，关于应收内部控制的设计和运行有效性进行了评估和测试； 账款坏账准备的披露见附注六、（三）。</w:t>
                      </w:r>
                    </w:p>
                  </w:txbxContent>
                </v:textbox>
                <w10:wrap type="topAndBottom" anchorx="page"/>
              </v:shape>
            </w:pict>
          </mc:Fallback>
        </mc:AlternateContent>
      </w:r>
    </w:p>
    <w:p>
      <w:pPr>
        <w:pStyle w:val="Style47"/>
        <w:keepNext w:val="0"/>
        <w:keepLines w:val="0"/>
        <w:widowControl w:val="0"/>
        <w:shd w:val="clear" w:color="auto" w:fill="auto"/>
        <w:tabs>
          <w:tab w:pos="5043" w:val="left"/>
        </w:tabs>
        <w:bidi w:val="0"/>
        <w:spacing w:before="0" w:after="40" w:line="240" w:lineRule="auto"/>
        <w:ind w:left="0" w:right="0" w:firstLine="440"/>
        <w:jc w:val="both"/>
      </w:pPr>
      <w:r>
        <w:rPr>
          <w:color w:val="000000"/>
          <w:spacing w:val="0"/>
          <w:w w:val="100"/>
          <w:position w:val="0"/>
        </w:rPr>
        <w:t>中科信息截至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日应收账款账面价</w:t>
        <w:tab/>
        <w:t>针对应收账款坏账准备的审计，我们主要执行</w:t>
      </w:r>
    </w:p>
    <w:p>
      <w:pPr>
        <w:pStyle w:val="Style2"/>
        <w:keepNext w:val="0"/>
        <w:keepLines w:val="0"/>
        <w:widowControl w:val="0"/>
        <w:shd w:val="clear" w:color="auto" w:fill="auto"/>
        <w:tabs>
          <w:tab w:pos="4656" w:val="left"/>
        </w:tabs>
        <w:bidi w:val="0"/>
        <w:spacing w:before="0" w:after="140" w:line="240" w:lineRule="auto"/>
        <w:ind w:left="0" w:right="0" w:firstLine="0"/>
        <w:jc w:val="left"/>
      </w:pPr>
      <w:r>
        <w:rPr>
          <w:color w:val="000000"/>
          <w:spacing w:val="0"/>
          <w:w w:val="100"/>
          <w:position w:val="0"/>
        </w:rPr>
        <w:t>值</w:t>
      </w:r>
      <w:r>
        <w:rPr>
          <w:rFonts w:ascii="Times New Roman" w:eastAsia="Times New Roman" w:hAnsi="Times New Roman" w:cs="Times New Roman"/>
          <w:color w:val="000000"/>
          <w:spacing w:val="0"/>
          <w:w w:val="100"/>
          <w:position w:val="0"/>
        </w:rPr>
        <w:t>269,304,389.35</w:t>
      </w:r>
      <w:r>
        <w:rPr>
          <w:color w:val="000000"/>
          <w:spacing w:val="0"/>
          <w:w w:val="100"/>
          <w:position w:val="0"/>
        </w:rPr>
        <w:t>元，占资产总额的</w:t>
      </w:r>
      <w:r>
        <w:rPr>
          <w:rFonts w:ascii="Times New Roman" w:eastAsia="Times New Roman" w:hAnsi="Times New Roman" w:cs="Times New Roman"/>
          <w:color w:val="000000"/>
          <w:spacing w:val="0"/>
          <w:w w:val="100"/>
          <w:position w:val="0"/>
        </w:rPr>
        <w:t>31.05%</w:t>
      </w:r>
      <w:r>
        <w:rPr>
          <w:color w:val="000000"/>
          <w:spacing w:val="0"/>
          <w:w w:val="100"/>
          <w:position w:val="0"/>
        </w:rPr>
        <w:t>。</w:t>
        <w:tab/>
        <w:t>了以下程序：</w:t>
      </w:r>
    </w:p>
    <w:p>
      <w:pPr>
        <w:pStyle w:val="Style47"/>
        <w:keepNext w:val="0"/>
        <w:keepLines w:val="0"/>
        <w:widowControl w:val="0"/>
        <w:shd w:val="clear" w:color="auto" w:fill="auto"/>
        <w:bidi w:val="0"/>
        <w:spacing w:before="0" w:after="100" w:line="314" w:lineRule="exact"/>
        <w:ind w:left="0" w:right="0" w:firstLine="5240"/>
        <w:jc w:val="both"/>
      </w:pPr>
      <w:bookmarkStart w:id="749" w:name="bookmark749"/>
      <w:r>
        <w:rPr>
          <w:rFonts w:ascii="Times New Roman" w:eastAsia="Times New Roman" w:hAnsi="Times New Roman" w:cs="Times New Roman"/>
          <w:color w:val="000000"/>
          <w:spacing w:val="0"/>
          <w:w w:val="100"/>
          <w:position w:val="0"/>
        </w:rPr>
        <w:t>（</w:t>
      </w:r>
      <w:bookmarkEnd w:id="749"/>
      <w:r>
        <w:rPr>
          <w:rFonts w:ascii="Times New Roman" w:eastAsia="Times New Roman" w:hAnsi="Times New Roman" w:cs="Times New Roman"/>
          <w:color w:val="000000"/>
          <w:spacing w:val="0"/>
          <w:w w:val="100"/>
          <w:position w:val="0"/>
        </w:rPr>
        <w:t>2</w:t>
      </w:r>
      <w:r>
        <w:rPr>
          <w:color w:val="000000"/>
          <w:spacing w:val="0"/>
          <w:w w:val="100"/>
          <w:position w:val="0"/>
        </w:rPr>
        <w:t>）分析中科信息应收账款坏账准备会计估计 由于应收账款占资产总额的比重较大，应收账的合理性，包括确定应收账款组合的依据、金额重 款坏账准备计提是否充分对财务报表的影响较大，</w:t>
      </w:r>
      <w:r>
        <w:br w:type="page"/>
      </w:r>
    </w:p>
    <w:p>
      <w:pPr>
        <w:pStyle w:val="Style41"/>
        <w:keepNext w:val="0"/>
        <w:keepLines w:val="0"/>
        <w:widowControl w:val="0"/>
        <w:shd w:val="clear" w:color="auto" w:fill="auto"/>
        <w:bidi w:val="0"/>
        <w:spacing w:before="0" w:after="0" w:line="240" w:lineRule="auto"/>
        <w:ind w:left="14" w:right="0" w:firstLine="0"/>
        <w:jc w:val="left"/>
      </w:pPr>
      <w:r>
        <w:rPr>
          <w:b w:val="0"/>
          <w:bCs w:val="0"/>
          <w:color w:val="000000"/>
          <w:spacing w:val="0"/>
          <w:w w:val="100"/>
          <w:position w:val="0"/>
        </w:rPr>
        <w:t>因此我们将中科信息应收账款坏账准备计提作为关大的判断、单独计提坏账准备的判断等;</w:t>
      </w:r>
    </w:p>
    <w:tbl>
      <w:tblPr>
        <w:tblOverlap w:val="never"/>
        <w:jc w:val="center"/>
        <w:tblLayout w:type="fixed"/>
      </w:tblPr>
      <w:tblGrid>
        <w:gridCol w:w="2923"/>
        <w:gridCol w:w="6456"/>
      </w:tblGrid>
      <w:tr>
        <w:trPr>
          <w:trHeight w:val="477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键审计事项。</w:t>
            </w:r>
          </w:p>
        </w:tc>
        <w:tc>
          <w:tcPr>
            <w:tcBorders/>
            <w:shd w:val="clear" w:color="auto" w:fill="FFFFFF"/>
            <w:vAlign w:val="bottom"/>
          </w:tcPr>
          <w:p>
            <w:pPr>
              <w:pStyle w:val="Style2"/>
              <w:keepNext w:val="0"/>
              <w:keepLines w:val="0"/>
              <w:widowControl w:val="0"/>
              <w:shd w:val="clear" w:color="auto" w:fill="auto"/>
              <w:tabs>
                <w:tab w:pos="2667" w:val="left"/>
              </w:tabs>
              <w:bidi w:val="0"/>
              <w:spacing w:before="0" w:after="160" w:line="317" w:lineRule="exact"/>
              <w:ind w:left="1760" w:right="0" w:firstLine="420"/>
              <w:jc w:val="both"/>
            </w:pPr>
            <w:r>
              <w:rPr>
                <w:color w:val="000000"/>
                <w:spacing w:val="0"/>
                <w:w w:val="100"/>
                <w:position w:val="0"/>
              </w:rPr>
              <w:t>（</w:t>
            </w:r>
            <w:r>
              <w:rPr>
                <w:rFonts w:ascii="Times New Roman" w:eastAsia="Times New Roman" w:hAnsi="Times New Roman" w:cs="Times New Roman"/>
                <w:color w:val="000000"/>
                <w:spacing w:val="0"/>
                <w:w w:val="100"/>
                <w:position w:val="0"/>
              </w:rPr>
              <w:t>3</w:t>
            </w:r>
            <w:r>
              <w:rPr>
                <w:color w:val="000000"/>
                <w:spacing w:val="0"/>
                <w:w w:val="100"/>
                <w:position w:val="0"/>
              </w:rPr>
              <w:t>）</w:t>
              <w:tab/>
              <w:t>采用预期信用损失的简化模型，即始终按 照整个存续期内预期信用损失的金额计量其损失准 备计提的充分性；</w:t>
            </w:r>
          </w:p>
          <w:p>
            <w:pPr>
              <w:pStyle w:val="Style2"/>
              <w:keepNext w:val="0"/>
              <w:keepLines w:val="0"/>
              <w:widowControl w:val="0"/>
              <w:shd w:val="clear" w:color="auto" w:fill="auto"/>
              <w:tabs>
                <w:tab w:pos="2638" w:val="left"/>
              </w:tabs>
              <w:bidi w:val="0"/>
              <w:spacing w:before="0" w:after="160" w:line="309" w:lineRule="exact"/>
              <w:ind w:left="1760" w:right="0" w:firstLine="420"/>
              <w:jc w:val="both"/>
            </w:pPr>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w:t>
              <w:tab/>
              <w:t>分析计算中科信息资产负债表日坏账准备 金额与应收账款余额之间的比率，比较前期坏账准 备计提数和实际发生数，分析应收账款坏账准备计 提是否充分；</w:t>
            </w:r>
          </w:p>
          <w:p>
            <w:pPr>
              <w:pStyle w:val="Style2"/>
              <w:keepNext w:val="0"/>
              <w:keepLines w:val="0"/>
              <w:widowControl w:val="0"/>
              <w:shd w:val="clear" w:color="auto" w:fill="auto"/>
              <w:tabs>
                <w:tab w:pos="2638" w:val="left"/>
              </w:tabs>
              <w:bidi w:val="0"/>
              <w:spacing w:before="0" w:after="160" w:line="319" w:lineRule="exact"/>
              <w:ind w:left="1760" w:right="0" w:firstLine="420"/>
              <w:jc w:val="both"/>
            </w:pPr>
            <w:r>
              <w:rPr>
                <w:color w:val="000000"/>
                <w:spacing w:val="0"/>
                <w:w w:val="100"/>
                <w:position w:val="0"/>
              </w:rPr>
              <w:t>（</w:t>
            </w:r>
            <w:r>
              <w:rPr>
                <w:rFonts w:ascii="Times New Roman" w:eastAsia="Times New Roman" w:hAnsi="Times New Roman" w:cs="Times New Roman"/>
                <w:color w:val="000000"/>
                <w:spacing w:val="0"/>
                <w:w w:val="100"/>
                <w:position w:val="0"/>
              </w:rPr>
              <w:t>5</w:t>
            </w:r>
            <w:r>
              <w:rPr>
                <w:color w:val="000000"/>
                <w:spacing w:val="0"/>
                <w:w w:val="100"/>
                <w:position w:val="0"/>
              </w:rPr>
              <w:t>）</w:t>
              <w:tab/>
              <w:t>通过分析中科信息应收账款的账龄和客户 信誉情况，并执行应收账款函证程序及检查期后回 款情况，评价应收账款坏账准备计提的合理性；</w:t>
            </w:r>
          </w:p>
          <w:p>
            <w:pPr>
              <w:pStyle w:val="Style2"/>
              <w:keepNext w:val="0"/>
              <w:keepLines w:val="0"/>
              <w:widowControl w:val="0"/>
              <w:shd w:val="clear" w:color="auto" w:fill="auto"/>
              <w:tabs>
                <w:tab w:pos="2672" w:val="left"/>
              </w:tabs>
              <w:bidi w:val="0"/>
              <w:spacing w:before="0" w:after="160" w:line="317" w:lineRule="exact"/>
              <w:ind w:left="1760" w:right="0" w:firstLine="420"/>
              <w:jc w:val="both"/>
            </w:pP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w:t>
              <w:tab/>
              <w:t>获取中科信息坏账准备计提表，检查计提 方法是否按照坏账政策执行；</w:t>
            </w:r>
          </w:p>
          <w:p>
            <w:pPr>
              <w:pStyle w:val="Style2"/>
              <w:keepNext w:val="0"/>
              <w:keepLines w:val="0"/>
              <w:widowControl w:val="0"/>
              <w:shd w:val="clear" w:color="auto" w:fill="auto"/>
              <w:tabs>
                <w:tab w:pos="2593" w:val="left"/>
              </w:tabs>
              <w:bidi w:val="0"/>
              <w:spacing w:before="0" w:after="160" w:line="317" w:lineRule="exact"/>
              <w:ind w:left="218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rPr>
              <w:t>7</w:t>
            </w:r>
            <w:r>
              <w:rPr>
                <w:color w:val="000000"/>
                <w:spacing w:val="0"/>
                <w:w w:val="100"/>
                <w:position w:val="0"/>
              </w:rPr>
              <w:t>）</w:t>
              <w:tab/>
              <w:t>重新计算坏账计提金额是否准确。</w:t>
            </w:r>
          </w:p>
        </w:tc>
      </w:tr>
    </w:tbl>
    <w:p>
      <w:pPr>
        <w:widowControl w:val="0"/>
        <w:spacing w:after="1159" w:line="1" w:lineRule="exact"/>
      </w:pP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审计报告（续）</w:t>
      </w:r>
    </w:p>
    <w:p>
      <w:pPr>
        <w:pStyle w:val="Style2"/>
        <w:keepNext w:val="0"/>
        <w:keepLines w:val="0"/>
        <w:widowControl w:val="0"/>
        <w:shd w:val="clear" w:color="auto" w:fill="auto"/>
        <w:bidi w:val="0"/>
        <w:spacing w:before="300" w:after="300" w:line="240" w:lineRule="auto"/>
        <w:ind w:left="0" w:right="0" w:firstLine="420"/>
        <w:jc w:val="left"/>
        <w:rPr>
          <w:sz w:val="24"/>
          <w:szCs w:val="24"/>
        </w:rPr>
      </w:pPr>
      <w:bookmarkStart w:id="750" w:name="bookmark750"/>
      <w:r>
        <w:rPr>
          <w:b/>
          <w:bCs/>
          <w:color w:val="000000"/>
          <w:spacing w:val="0"/>
          <w:w w:val="100"/>
          <w:position w:val="0"/>
          <w:sz w:val="24"/>
          <w:szCs w:val="24"/>
        </w:rPr>
        <w:t>四</w:t>
      </w:r>
      <w:bookmarkEnd w:id="750"/>
      <w:r>
        <w:rPr>
          <w:b/>
          <w:bCs/>
          <w:color w:val="000000"/>
          <w:spacing w:val="0"/>
          <w:w w:val="100"/>
          <w:position w:val="0"/>
          <w:sz w:val="24"/>
          <w:szCs w:val="24"/>
        </w:rPr>
        <w:t>、其他信息</w:t>
      </w:r>
    </w:p>
    <w:p>
      <w:pPr>
        <w:pStyle w:val="Style47"/>
        <w:keepNext w:val="0"/>
        <w:keepLines w:val="0"/>
        <w:widowControl w:val="0"/>
        <w:shd w:val="clear" w:color="auto" w:fill="auto"/>
        <w:bidi w:val="0"/>
        <w:spacing w:before="0" w:after="140" w:line="322" w:lineRule="exact"/>
        <w:ind w:left="0" w:right="0" w:firstLine="440"/>
        <w:jc w:val="both"/>
      </w:pPr>
      <w:r>
        <mc:AlternateContent>
          <mc:Choice Requires="wps">
            <w:drawing>
              <wp:anchor distT="0" distB="0" distL="114300" distR="114300" simplePos="0" relativeHeight="125829400" behindDoc="0" locked="0" layoutInCell="1" allowOverlap="1">
                <wp:simplePos x="0" y="0"/>
                <wp:positionH relativeFrom="page">
                  <wp:posOffset>5438775</wp:posOffset>
                </wp:positionH>
                <wp:positionV relativeFrom="margin">
                  <wp:posOffset>4282440</wp:posOffset>
                </wp:positionV>
                <wp:extent cx="1380490" cy="194945"/>
                <wp:wrapTopAndBottom/>
                <wp:docPr id="820" name="Shape 820"/>
                <a:graphic xmlns:a="http://schemas.openxmlformats.org/drawingml/2006/main">
                  <a:graphicData uri="http://schemas.microsoft.com/office/word/2010/wordprocessingShape">
                    <wps:wsp>
                      <wps:cNvSpPr txBox="1"/>
                      <wps:spPr>
                        <a:xfrm>
                          <a:ext cx="1380490" cy="1949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txbxContent>
                      </wps:txbx>
                      <wps:bodyPr wrap="none" lIns="0" tIns="0" rIns="0" bIns="0">
                        <a:noAutoFit/>
                      </wps:bodyPr>
                    </wps:wsp>
                  </a:graphicData>
                </a:graphic>
              </wp:anchor>
            </w:drawing>
          </mc:Choice>
          <mc:Fallback>
            <w:pict>
              <v:shape id="_x0000_s1846" type="#_x0000_t202" style="position:absolute;margin-left:428.25pt;margin-top:337.19999999999999pt;width:108.7pt;height:15.35pt;z-index:-125829353;mso-wrap-distance-left:9.pt;mso-wrap-distance-right: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txbxContent>
                </v:textbox>
                <w10:wrap type="topAndBottom" anchorx="page" anchory="margin"/>
              </v:shape>
            </w:pict>
          </mc:Fallback>
        </mc:AlternateContent>
      </w:r>
      <w:r>
        <w:rPr>
          <w:color w:val="000000"/>
          <w:spacing w:val="0"/>
          <w:w w:val="100"/>
          <w:position w:val="0"/>
        </w:rPr>
        <w:t>中科信息管理层（以下简称</w:t>
      </w:r>
      <w:r>
        <w:rPr>
          <w:rFonts w:ascii="Times New Roman" w:eastAsia="Times New Roman" w:hAnsi="Times New Roman" w:cs="Times New Roman"/>
          <w:color w:val="000000"/>
          <w:spacing w:val="0"/>
          <w:w w:val="100"/>
          <w:position w:val="0"/>
        </w:rPr>
        <w:t>“</w:t>
      </w:r>
      <w:r>
        <w:rPr>
          <w:color w:val="000000"/>
          <w:spacing w:val="0"/>
          <w:w w:val="100"/>
          <w:position w:val="0"/>
        </w:rPr>
        <w:t>管理层</w:t>
      </w:r>
      <w:r>
        <w:rPr>
          <w:color w:val="000000"/>
          <w:spacing w:val="0"/>
          <w:w w:val="100"/>
          <w:position w:val="0"/>
        </w:rPr>
        <w:t>''）</w:t>
      </w:r>
      <w:r>
        <w:rPr>
          <w:color w:val="000000"/>
          <w:spacing w:val="0"/>
          <w:w w:val="100"/>
          <w:position w:val="0"/>
        </w:rPr>
        <w:t>对其他信息负责。其他信息包括</w:t>
      </w:r>
      <w:r>
        <w:rPr>
          <w:rFonts w:ascii="Times New Roman" w:eastAsia="Times New Roman" w:hAnsi="Times New Roman" w:cs="Times New Roman"/>
          <w:color w:val="000000"/>
          <w:spacing w:val="0"/>
          <w:w w:val="100"/>
          <w:position w:val="0"/>
        </w:rPr>
        <w:t>2020</w:t>
      </w:r>
      <w:r>
        <w:rPr>
          <w:color w:val="000000"/>
          <w:spacing w:val="0"/>
          <w:w w:val="100"/>
          <w:position w:val="0"/>
        </w:rPr>
        <w:t>年度报告中涵盖的信息， 但不包括财务报表和我们的审计报告。</w:t>
      </w:r>
    </w:p>
    <w:p>
      <w:pPr>
        <w:pStyle w:val="Style47"/>
        <w:keepNext w:val="0"/>
        <w:keepLines w:val="0"/>
        <w:widowControl w:val="0"/>
        <w:shd w:val="clear" w:color="auto" w:fill="auto"/>
        <w:bidi w:val="0"/>
        <w:spacing w:before="0" w:after="140" w:line="317" w:lineRule="exact"/>
        <w:ind w:left="0" w:right="0" w:firstLine="420"/>
        <w:jc w:val="left"/>
      </w:pPr>
      <w:r>
        <w:rPr>
          <w:color w:val="000000"/>
          <w:spacing w:val="0"/>
          <w:w w:val="100"/>
          <w:position w:val="0"/>
        </w:rPr>
        <w:t>我们对财务报表发表的审计意见不涵盖其他信息，我们也不对其他信息发表任何形式的鉴证结论。</w:t>
      </w:r>
    </w:p>
    <w:p>
      <w:pPr>
        <w:pStyle w:val="Style47"/>
        <w:keepNext w:val="0"/>
        <w:keepLines w:val="0"/>
        <w:widowControl w:val="0"/>
        <w:shd w:val="clear" w:color="auto" w:fill="auto"/>
        <w:bidi w:val="0"/>
        <w:spacing w:before="0" w:after="140" w:line="322" w:lineRule="exact"/>
        <w:ind w:left="0" w:right="0" w:firstLine="440"/>
        <w:jc w:val="both"/>
      </w:pPr>
      <w:r>
        <w:rPr>
          <w:color w:val="000000"/>
          <w:spacing w:val="0"/>
          <w:w w:val="100"/>
          <w:position w:val="0"/>
        </w:rPr>
        <w:t>结合我们对财务报表的审计，我们的责任是阅读其他信息，在此过程中，考虑其他信息是否与财务报 表或我们在审计过程中了解到的情况存在重大不一致或者似乎存在重大错报。</w:t>
      </w:r>
    </w:p>
    <w:p>
      <w:pPr>
        <w:pStyle w:val="Style47"/>
        <w:keepNext w:val="0"/>
        <w:keepLines w:val="0"/>
        <w:widowControl w:val="0"/>
        <w:shd w:val="clear" w:color="auto" w:fill="auto"/>
        <w:bidi w:val="0"/>
        <w:spacing w:before="0" w:after="360" w:line="317" w:lineRule="exact"/>
        <w:ind w:left="0" w:right="0" w:firstLine="440"/>
        <w:jc w:val="both"/>
      </w:pPr>
      <w:r>
        <w:rPr>
          <w:color w:val="000000"/>
          <w:spacing w:val="0"/>
          <w:w w:val="100"/>
          <w:position w:val="0"/>
        </w:rPr>
        <w:t>基于我们已执行的工作，如果我们确定其他信息存在重大错报，我们应当报告该事实。在这方面，我 们无任何事项需要报告。</w:t>
      </w:r>
    </w:p>
    <w:p>
      <w:pPr>
        <w:pStyle w:val="Style2"/>
        <w:keepNext w:val="0"/>
        <w:keepLines w:val="0"/>
        <w:widowControl w:val="0"/>
        <w:shd w:val="clear" w:color="auto" w:fill="auto"/>
        <w:bidi w:val="0"/>
        <w:spacing w:before="0" w:after="300" w:line="240" w:lineRule="auto"/>
        <w:ind w:left="0" w:right="0" w:firstLine="420"/>
        <w:jc w:val="left"/>
        <w:rPr>
          <w:sz w:val="24"/>
          <w:szCs w:val="24"/>
        </w:rPr>
      </w:pPr>
      <w:bookmarkStart w:id="751" w:name="bookmark751"/>
      <w:r>
        <w:rPr>
          <w:b/>
          <w:bCs/>
          <w:color w:val="000000"/>
          <w:spacing w:val="0"/>
          <w:w w:val="100"/>
          <w:position w:val="0"/>
          <w:sz w:val="24"/>
          <w:szCs w:val="24"/>
        </w:rPr>
        <w:t>五</w:t>
      </w:r>
      <w:bookmarkEnd w:id="751"/>
      <w:r>
        <w:rPr>
          <w:b/>
          <w:bCs/>
          <w:color w:val="000000"/>
          <w:spacing w:val="0"/>
          <w:w w:val="100"/>
          <w:position w:val="0"/>
          <w:sz w:val="24"/>
          <w:szCs w:val="24"/>
        </w:rPr>
        <w:t>、管理层和治理层对财务报表的责任</w:t>
      </w:r>
    </w:p>
    <w:p>
      <w:pPr>
        <w:pStyle w:val="Style47"/>
        <w:keepNext w:val="0"/>
        <w:keepLines w:val="0"/>
        <w:widowControl w:val="0"/>
        <w:shd w:val="clear" w:color="auto" w:fill="auto"/>
        <w:bidi w:val="0"/>
        <w:spacing w:before="0" w:after="140" w:line="302" w:lineRule="exact"/>
        <w:ind w:left="0" w:right="0" w:firstLine="440"/>
        <w:jc w:val="both"/>
      </w:pPr>
      <w:r>
        <w:rPr>
          <w:color w:val="000000"/>
          <w:spacing w:val="0"/>
          <w:w w:val="100"/>
          <w:position w:val="0"/>
        </w:rPr>
        <w:t>管理层负责按照企业会计准则的规定编制财务报表，使其实现公允反映，并设计、执行和维护必要的 内部控制，以使财务报表不存在由于舞弊或错误导致的重大错报。</w:t>
      </w:r>
    </w:p>
    <w:p>
      <w:pPr>
        <w:pStyle w:val="Style47"/>
        <w:keepNext w:val="0"/>
        <w:keepLines w:val="0"/>
        <w:widowControl w:val="0"/>
        <w:shd w:val="clear" w:color="auto" w:fill="auto"/>
        <w:bidi w:val="0"/>
        <w:spacing w:before="0" w:after="140" w:line="312" w:lineRule="exact"/>
        <w:ind w:left="0" w:right="0" w:firstLine="440"/>
        <w:jc w:val="both"/>
      </w:pPr>
      <w:r>
        <w:rPr>
          <w:color w:val="000000"/>
          <w:spacing w:val="0"/>
          <w:w w:val="100"/>
          <w:position w:val="0"/>
        </w:rPr>
        <w:t>在编制财务报表时，管理层负责评估中科信息的持续经营能力，披露与持续经营相关的事项（如适用）， 并运用持续经营假设，除非计划进行清算、终止运营或别无其他现实的选择。</w:t>
      </w:r>
    </w:p>
    <w:p>
      <w:pPr>
        <w:pStyle w:val="Style47"/>
        <w:keepNext w:val="0"/>
        <w:keepLines w:val="0"/>
        <w:widowControl w:val="0"/>
        <w:shd w:val="clear" w:color="auto" w:fill="auto"/>
        <w:bidi w:val="0"/>
        <w:spacing w:before="0" w:after="240" w:line="317" w:lineRule="exact"/>
        <w:ind w:left="0" w:right="0" w:firstLine="440"/>
        <w:jc w:val="both"/>
        <w:sectPr>
          <w:footnotePr>
            <w:pos w:val="pageBottom"/>
            <w:numFmt w:val="decimal"/>
            <w:numRestart w:val="continuous"/>
          </w:footnotePr>
          <w:type w:val="continuous"/>
          <w:pgSz w:w="11900" w:h="16840"/>
          <w:pgMar w:top="1436" w:right="1112" w:bottom="1441" w:left="1058" w:header="0" w:footer="3" w:gutter="0"/>
          <w:cols w:space="720"/>
          <w:noEndnote/>
          <w:rtlGutter w:val="0"/>
          <w:docGrid w:linePitch="360"/>
        </w:sectPr>
      </w:pPr>
      <w:r>
        <mc:AlternateContent>
          <mc:Choice Requires="wps">
            <w:drawing>
              <wp:anchor distT="0" distB="0" distL="0" distR="0" simplePos="0" relativeHeight="125829402" behindDoc="0" locked="0" layoutInCell="1" allowOverlap="1">
                <wp:simplePos x="0" y="0"/>
                <wp:positionH relativeFrom="page">
                  <wp:posOffset>6853555</wp:posOffset>
                </wp:positionH>
                <wp:positionV relativeFrom="margin">
                  <wp:posOffset>9314815</wp:posOffset>
                </wp:positionV>
                <wp:extent cx="591185" cy="237490"/>
                <wp:wrapTopAndBottom/>
                <wp:docPr id="822" name="Shape 822"/>
                <a:graphic xmlns:a="http://schemas.openxmlformats.org/drawingml/2006/main">
                  <a:graphicData uri="http://schemas.microsoft.com/office/word/2010/wordprocessingShape">
                    <wps:wsp>
                      <wps:cNvSpPr txBox="1"/>
                      <wps:spPr>
                        <a:xfrm>
                          <a:ext cx="591185" cy="237490"/>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xbxContent>
                      </wps:txbx>
                      <wps:bodyPr wrap="none" lIns="0" tIns="0" rIns="0" bIns="0">
                        <a:noAutoFit/>
                      </wps:bodyPr>
                    </wps:wsp>
                  </a:graphicData>
                </a:graphic>
              </wp:anchor>
            </w:drawing>
          </mc:Choice>
          <mc:Fallback>
            <w:pict>
              <v:shape id="_x0000_s1848" type="#_x0000_t202" style="position:absolute;margin-left:539.64999999999998pt;margin-top:733.45000000000005pt;width:46.550000000000004pt;height:18.699999999999999pt;z-index:-125829351;mso-wrap-distance-left:0;mso-wrap-distance-right:0;mso-position-horizontal-relative:page;mso-position-vertical-relative:margin" filled="f" stroked="f">
                <v:textbox inset="0,0,0,0">
                  <w:txbxContent>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txbxContent>
                </v:textbox>
                <w10:wrap type="topAndBottom" anchorx="page" anchory="margin"/>
              </v:shape>
            </w:pict>
          </mc:Fallback>
        </mc:AlternateContent>
      </w:r>
      <w:r>
        <w:rPr>
          <w:color w:val="000000"/>
          <w:spacing w:val="0"/>
          <w:w w:val="100"/>
          <w:position w:val="0"/>
        </w:rPr>
        <w:t>治理层负责监督中科信息的财务报告过程。</w:t>
      </w:r>
    </w:p>
    <w:p>
      <w:pPr>
        <w:pStyle w:val="Style2"/>
        <w:keepNext w:val="0"/>
        <w:keepLines w:val="0"/>
        <w:widowControl w:val="0"/>
        <w:shd w:val="clear" w:color="auto" w:fill="auto"/>
        <w:bidi w:val="0"/>
        <w:spacing w:before="0" w:after="300" w:line="240" w:lineRule="auto"/>
        <w:ind w:left="0" w:right="0" w:firstLine="420"/>
        <w:jc w:val="both"/>
        <w:rPr>
          <w:sz w:val="24"/>
          <w:szCs w:val="24"/>
        </w:rPr>
      </w:pPr>
      <w:bookmarkStart w:id="752" w:name="bookmark752"/>
      <w:r>
        <w:rPr>
          <w:b/>
          <w:bCs/>
          <w:color w:val="000000"/>
          <w:spacing w:val="0"/>
          <w:w w:val="100"/>
          <w:position w:val="0"/>
          <w:sz w:val="24"/>
          <w:szCs w:val="24"/>
        </w:rPr>
        <w:t>六</w:t>
      </w:r>
      <w:bookmarkEnd w:id="752"/>
      <w:r>
        <w:rPr>
          <w:b/>
          <w:bCs/>
          <w:color w:val="000000"/>
          <w:spacing w:val="0"/>
          <w:w w:val="100"/>
          <w:position w:val="0"/>
          <w:sz w:val="24"/>
          <w:szCs w:val="24"/>
        </w:rPr>
        <w:t>、注册会计师对财务报表审计的责任</w:t>
      </w:r>
    </w:p>
    <w:p>
      <w:pPr>
        <w:pStyle w:val="Style47"/>
        <w:keepNext w:val="0"/>
        <w:keepLines w:val="0"/>
        <w:widowControl w:val="0"/>
        <w:shd w:val="clear" w:color="auto" w:fill="auto"/>
        <w:bidi w:val="0"/>
        <w:spacing w:before="0" w:after="1080" w:line="309" w:lineRule="exact"/>
        <w:ind w:left="0" w:right="0" w:firstLine="440"/>
        <w:jc w:val="both"/>
      </w:pPr>
      <w:r>
        <w:rPr>
          <w:color w:val="000000"/>
          <w:spacing w:val="0"/>
          <w:w w:val="100"/>
          <w:position w:val="0"/>
        </w:rPr>
        <w:t>我们的目标是对财务报表整体是否不存在由于舞弊或错误导致的重大错报获取合理保证，并出具包含 审计意见的审计报告。合理保证是高水平的保证，但并不能保证按照审计准则执行的审计在某一重大错报 存在时总能发现。错报可能由于舞弊或错误导致，如果合理预期错报单独或汇总起来可能影响财务报表使 用者依据财务报表作出的经济决策，则通常认为错报是重大的。</w:t>
      </w:r>
    </w:p>
    <w:p>
      <w:pPr>
        <w:pStyle w:val="Style47"/>
        <w:keepNext w:val="0"/>
        <w:keepLines w:val="0"/>
        <w:widowControl w:val="0"/>
        <w:shd w:val="clear" w:color="auto" w:fill="auto"/>
        <w:bidi w:val="0"/>
        <w:spacing w:before="0" w:after="140" w:line="315" w:lineRule="exact"/>
        <w:ind w:left="0" w:right="0" w:firstLine="0"/>
        <w:jc w:val="both"/>
      </w:pPr>
      <w:r>
        <w:rPr>
          <w:color w:val="000000"/>
          <w:spacing w:val="0"/>
          <w:w w:val="100"/>
          <w:position w:val="0"/>
        </w:rPr>
        <w:t>审计报告（续）</w:t>
      </w:r>
    </w:p>
    <w:p>
      <w:pPr>
        <w:pStyle w:val="Style2"/>
        <w:keepNext w:val="0"/>
        <w:keepLines w:val="0"/>
        <w:widowControl w:val="0"/>
        <w:shd w:val="clear" w:color="auto" w:fill="auto"/>
        <w:bidi w:val="0"/>
        <w:spacing w:before="0" w:after="140" w:line="315" w:lineRule="exact"/>
        <w:ind w:left="0" w:right="0" w:firstLine="0"/>
        <w:jc w:val="righ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p>
      <w:pPr>
        <w:pStyle w:val="Style47"/>
        <w:keepNext w:val="0"/>
        <w:keepLines w:val="0"/>
        <w:widowControl w:val="0"/>
        <w:shd w:val="clear" w:color="auto" w:fill="auto"/>
        <w:bidi w:val="0"/>
        <w:spacing w:before="0" w:after="140" w:line="317" w:lineRule="exact"/>
        <w:ind w:left="0" w:right="0" w:firstLine="440"/>
        <w:jc w:val="both"/>
      </w:pPr>
      <w:r>
        <w:rPr>
          <w:color w:val="000000"/>
          <w:spacing w:val="0"/>
          <w:w w:val="100"/>
          <w:position w:val="0"/>
        </w:rPr>
        <w:t>在按照审计准则执行审计工作的过程中，我们运用职业判断，并保持职业怀疑。同时，我们也执行以 下工作：</w:t>
      </w:r>
    </w:p>
    <w:p>
      <w:pPr>
        <w:pStyle w:val="Style47"/>
        <w:keepNext w:val="0"/>
        <w:keepLines w:val="0"/>
        <w:widowControl w:val="0"/>
        <w:shd w:val="clear" w:color="auto" w:fill="auto"/>
        <w:tabs>
          <w:tab w:pos="1000" w:val="left"/>
        </w:tabs>
        <w:bidi w:val="0"/>
        <w:spacing w:before="0" w:after="140" w:line="310" w:lineRule="exact"/>
        <w:ind w:left="0" w:right="0" w:firstLine="440"/>
        <w:jc w:val="both"/>
      </w:pPr>
      <w:bookmarkStart w:id="753" w:name="bookmark753"/>
      <w:r>
        <w:rPr>
          <w:color w:val="000000"/>
          <w:spacing w:val="0"/>
          <w:w w:val="100"/>
          <w:position w:val="0"/>
        </w:rPr>
        <w:t>（</w:t>
      </w:r>
      <w:bookmarkEnd w:id="753"/>
      <w:r>
        <w:rPr>
          <w:rFonts w:ascii="Times New Roman" w:eastAsia="Times New Roman" w:hAnsi="Times New Roman" w:cs="Times New Roman"/>
          <w:color w:val="000000"/>
          <w:spacing w:val="0"/>
          <w:w w:val="100"/>
          <w:position w:val="0"/>
        </w:rPr>
        <w:t>1</w:t>
      </w:r>
      <w:r>
        <w:rPr>
          <w:color w:val="000000"/>
          <w:spacing w:val="0"/>
          <w:w w:val="100"/>
          <w:position w:val="0"/>
        </w:rPr>
        <w:t>）</w:t>
        <w:tab/>
        <w:t>识别和评估由于舞弊或错误导致的财务报表重大错报风险，设计和实施审计程序以应对这些风 险，并获取充分、适当的审计证据，作为发表审计意见的基础。由于舞弊可能涉及串通、伪造、故意遗漏、 虚假陈述或凌驾于内部控制之上，未能发现由于舞弊导致的重大错报的风险高于未能发现由于错误导致的 重大错报的风险。</w:t>
      </w:r>
    </w:p>
    <w:p>
      <w:pPr>
        <w:pStyle w:val="Style47"/>
        <w:keepNext w:val="0"/>
        <w:keepLines w:val="0"/>
        <w:widowControl w:val="0"/>
        <w:shd w:val="clear" w:color="auto" w:fill="auto"/>
        <w:tabs>
          <w:tab w:pos="1000" w:val="left"/>
        </w:tabs>
        <w:bidi w:val="0"/>
        <w:spacing w:before="0" w:after="140" w:line="317" w:lineRule="exact"/>
        <w:ind w:left="0" w:right="0" w:firstLine="440"/>
        <w:jc w:val="both"/>
      </w:pPr>
      <w:bookmarkStart w:id="754" w:name="bookmark754"/>
      <w:r>
        <w:rPr>
          <w:color w:val="000000"/>
          <w:spacing w:val="0"/>
          <w:w w:val="100"/>
          <w:position w:val="0"/>
        </w:rPr>
        <w:t>（</w:t>
      </w:r>
      <w:bookmarkEnd w:id="754"/>
      <w:r>
        <w:rPr>
          <w:rFonts w:ascii="Times New Roman" w:eastAsia="Times New Roman" w:hAnsi="Times New Roman" w:cs="Times New Roman"/>
          <w:color w:val="000000"/>
          <w:spacing w:val="0"/>
          <w:w w:val="100"/>
          <w:position w:val="0"/>
        </w:rPr>
        <w:t>2</w:t>
      </w:r>
      <w:r>
        <w:rPr>
          <w:color w:val="000000"/>
          <w:spacing w:val="0"/>
          <w:w w:val="100"/>
          <w:position w:val="0"/>
        </w:rPr>
        <w:t>）</w:t>
        <w:tab/>
        <w:t>了解与审计相关的内部控制，以设计恰当的审计程序，但目的并非对内部控制的有效性发表意 见。</w:t>
      </w:r>
    </w:p>
    <w:p>
      <w:pPr>
        <w:pStyle w:val="Style47"/>
        <w:keepNext w:val="0"/>
        <w:keepLines w:val="0"/>
        <w:widowControl w:val="0"/>
        <w:shd w:val="clear" w:color="auto" w:fill="auto"/>
        <w:tabs>
          <w:tab w:pos="921" w:val="left"/>
        </w:tabs>
        <w:bidi w:val="0"/>
        <w:spacing w:before="0" w:after="140" w:line="315" w:lineRule="exact"/>
        <w:ind w:left="0" w:right="0" w:firstLine="440"/>
        <w:jc w:val="both"/>
      </w:pPr>
      <w:bookmarkStart w:id="755" w:name="bookmark755"/>
      <w:r>
        <w:rPr>
          <w:color w:val="000000"/>
          <w:spacing w:val="0"/>
          <w:w w:val="100"/>
          <w:position w:val="0"/>
        </w:rPr>
        <w:t>（</w:t>
      </w:r>
      <w:bookmarkEnd w:id="755"/>
      <w:r>
        <w:rPr>
          <w:rFonts w:ascii="Times New Roman" w:eastAsia="Times New Roman" w:hAnsi="Times New Roman" w:cs="Times New Roman"/>
          <w:color w:val="000000"/>
          <w:spacing w:val="0"/>
          <w:w w:val="100"/>
          <w:position w:val="0"/>
        </w:rPr>
        <w:t>3</w:t>
      </w:r>
      <w:r>
        <w:rPr>
          <w:color w:val="000000"/>
          <w:spacing w:val="0"/>
          <w:w w:val="100"/>
          <w:position w:val="0"/>
        </w:rPr>
        <w:t>）</w:t>
        <w:tab/>
        <w:t>评价管理层选用会计政策的恰当性和作出会计估计及相关披露的合理性。</w:t>
      </w:r>
    </w:p>
    <w:p>
      <w:pPr>
        <w:pStyle w:val="Style47"/>
        <w:keepNext w:val="0"/>
        <w:keepLines w:val="0"/>
        <w:widowControl w:val="0"/>
        <w:shd w:val="clear" w:color="auto" w:fill="auto"/>
        <w:tabs>
          <w:tab w:pos="1000" w:val="left"/>
        </w:tabs>
        <w:bidi w:val="0"/>
        <w:spacing w:before="0" w:after="140" w:line="316" w:lineRule="exact"/>
        <w:ind w:left="0" w:right="0" w:firstLine="440"/>
        <w:jc w:val="both"/>
      </w:pPr>
      <w:bookmarkStart w:id="756" w:name="bookmark756"/>
      <w:r>
        <w:rPr>
          <w:color w:val="000000"/>
          <w:spacing w:val="0"/>
          <w:w w:val="100"/>
          <w:position w:val="0"/>
        </w:rPr>
        <w:t>（</w:t>
      </w:r>
      <w:bookmarkEnd w:id="756"/>
      <w:r>
        <w:rPr>
          <w:rFonts w:ascii="Times New Roman" w:eastAsia="Times New Roman" w:hAnsi="Times New Roman" w:cs="Times New Roman"/>
          <w:color w:val="000000"/>
          <w:spacing w:val="0"/>
          <w:w w:val="100"/>
          <w:position w:val="0"/>
        </w:rPr>
        <w:t>4</w:t>
      </w:r>
      <w:r>
        <w:rPr>
          <w:color w:val="000000"/>
          <w:spacing w:val="0"/>
          <w:w w:val="100"/>
          <w:position w:val="0"/>
        </w:rPr>
        <w:t>）</w:t>
        <w:tab/>
        <w:t>对管理层使用持续经营假设的恰当性得出结论。同时，根据获取的审计证据，就可能导致对中 科信息持续经营能力产生重大疑虑的事项或情况是否存在重大不确定性得出结论。如果我们得出结论认为 存在重大不确定性，审计准则要求我们在审计报告中提请报表使用者注意财务报表中的相关披露；如果披 露不充分，我们应当发表非无保留意见。我们的结论基于截至审计报告日可获得的信息。然而，未来的事 项或情况可能导致中科信息不能持续经营。</w:t>
      </w:r>
    </w:p>
    <w:p>
      <w:pPr>
        <w:pStyle w:val="Style47"/>
        <w:keepNext w:val="0"/>
        <w:keepLines w:val="0"/>
        <w:widowControl w:val="0"/>
        <w:shd w:val="clear" w:color="auto" w:fill="auto"/>
        <w:tabs>
          <w:tab w:pos="921" w:val="left"/>
        </w:tabs>
        <w:bidi w:val="0"/>
        <w:spacing w:before="0" w:after="140" w:line="315" w:lineRule="exact"/>
        <w:ind w:left="0" w:right="0" w:firstLine="440"/>
        <w:jc w:val="both"/>
      </w:pPr>
      <w:bookmarkStart w:id="757" w:name="bookmark757"/>
      <w:r>
        <w:rPr>
          <w:color w:val="000000"/>
          <w:spacing w:val="0"/>
          <w:w w:val="100"/>
          <w:position w:val="0"/>
        </w:rPr>
        <w:t>（</w:t>
      </w:r>
      <w:bookmarkEnd w:id="757"/>
      <w:r>
        <w:rPr>
          <w:rFonts w:ascii="Times New Roman" w:eastAsia="Times New Roman" w:hAnsi="Times New Roman" w:cs="Times New Roman"/>
          <w:color w:val="000000"/>
          <w:spacing w:val="0"/>
          <w:w w:val="100"/>
          <w:position w:val="0"/>
        </w:rPr>
        <w:t>5</w:t>
      </w:r>
      <w:r>
        <w:rPr>
          <w:color w:val="000000"/>
          <w:spacing w:val="0"/>
          <w:w w:val="100"/>
          <w:position w:val="0"/>
        </w:rPr>
        <w:t>）</w:t>
        <w:tab/>
        <w:t>评价财务报表的总体列报、结构和内容，并评价财务报表是否公允反映相关交易和事项。</w:t>
      </w:r>
    </w:p>
    <w:p>
      <w:pPr>
        <w:pStyle w:val="Style47"/>
        <w:keepNext w:val="0"/>
        <w:keepLines w:val="0"/>
        <w:widowControl w:val="0"/>
        <w:shd w:val="clear" w:color="auto" w:fill="auto"/>
        <w:tabs>
          <w:tab w:pos="995" w:val="left"/>
        </w:tabs>
        <w:bidi w:val="0"/>
        <w:spacing w:before="0" w:after="140" w:line="322" w:lineRule="exact"/>
        <w:ind w:left="0" w:right="0" w:firstLine="440"/>
        <w:jc w:val="both"/>
      </w:pPr>
      <w:bookmarkStart w:id="758" w:name="bookmark758"/>
      <w:r>
        <w:rPr>
          <w:color w:val="000000"/>
          <w:spacing w:val="0"/>
          <w:w w:val="100"/>
          <w:position w:val="0"/>
        </w:rPr>
        <w:t>（</w:t>
      </w:r>
      <w:bookmarkEnd w:id="758"/>
      <w:r>
        <w:rPr>
          <w:rFonts w:ascii="Times New Roman" w:eastAsia="Times New Roman" w:hAnsi="Times New Roman" w:cs="Times New Roman"/>
          <w:color w:val="000000"/>
          <w:spacing w:val="0"/>
          <w:w w:val="100"/>
          <w:position w:val="0"/>
        </w:rPr>
        <w:t>6</w:t>
      </w:r>
      <w:r>
        <w:rPr>
          <w:color w:val="000000"/>
          <w:spacing w:val="0"/>
          <w:w w:val="100"/>
          <w:position w:val="0"/>
        </w:rPr>
        <w:t>）</w:t>
        <w:tab/>
        <w:t>就中科信息中实体或业务活动的财务信息获取充分、适当的审计证据，以对财务报表发表审计 意见。我们负责指导、监督和执行集团审计，并对审计意见承担全部责任。</w:t>
      </w:r>
    </w:p>
    <w:p>
      <w:pPr>
        <w:pStyle w:val="Style47"/>
        <w:keepNext w:val="0"/>
        <w:keepLines w:val="0"/>
        <w:widowControl w:val="0"/>
        <w:shd w:val="clear" w:color="auto" w:fill="auto"/>
        <w:bidi w:val="0"/>
        <w:spacing w:before="0" w:after="140" w:line="312" w:lineRule="exact"/>
        <w:ind w:left="0" w:right="0" w:firstLine="440"/>
        <w:jc w:val="both"/>
      </w:pPr>
      <w:r>
        <w:rPr>
          <w:color w:val="000000"/>
          <w:spacing w:val="0"/>
          <w:w w:val="100"/>
          <w:position w:val="0"/>
        </w:rPr>
        <w:t>我们与治理层就计划的审计范围、时间安排和重大审计发现等事项进行沟通，包括沟通我们在审计中 识别出的值得关注的内部控制缺陷。</w:t>
      </w:r>
    </w:p>
    <w:p>
      <w:pPr>
        <w:pStyle w:val="Style47"/>
        <w:keepNext w:val="0"/>
        <w:keepLines w:val="0"/>
        <w:widowControl w:val="0"/>
        <w:shd w:val="clear" w:color="auto" w:fill="auto"/>
        <w:bidi w:val="0"/>
        <w:spacing w:before="0" w:after="140" w:line="312" w:lineRule="exact"/>
        <w:ind w:left="0" w:right="0" w:firstLine="440"/>
        <w:jc w:val="both"/>
      </w:pPr>
      <w:r>
        <w:rPr>
          <w:color w:val="000000"/>
          <w:spacing w:val="0"/>
          <w:w w:val="100"/>
          <w:position w:val="0"/>
        </w:rPr>
        <w:t>我们还就已遵守与独立性相关的职业道德要求向治理层提供声明，并与治理层沟通可能被合理认为影 响我们独立性的所有关系和其他事项，以及相关的防范措施（如适用）。</w:t>
      </w:r>
    </w:p>
    <w:p>
      <w:pPr>
        <w:pStyle w:val="Style47"/>
        <w:keepNext w:val="0"/>
        <w:keepLines w:val="0"/>
        <w:widowControl w:val="0"/>
        <w:shd w:val="clear" w:color="auto" w:fill="auto"/>
        <w:bidi w:val="0"/>
        <w:spacing w:before="0" w:after="140" w:line="314" w:lineRule="exact"/>
        <w:ind w:left="0" w:right="0" w:firstLine="440"/>
        <w:jc w:val="both"/>
      </w:pPr>
      <w:r>
        <w:rPr>
          <w:color w:val="000000"/>
          <w:spacing w:val="0"/>
          <w:w w:val="100"/>
          <w:position w:val="0"/>
        </w:rPr>
        <w:t>从与治理层沟通过的事项中，我们确定哪些事项对本期合并财务报表审计最为重要，因而构成关键审 计事项。我们在审计报告中描述这些事项，除非法律法规禁止公开披露这些事项，或在极少数情形下，如 果合理预期在审计报告中沟通某事项造成的负面后果超过在公众利益方面产生的益处，我们确定不应在审 计报告中沟通该事项。</w:t>
      </w:r>
      <w:r>
        <w:br w:type="page"/>
      </w:r>
    </w:p>
    <w:p>
      <w:pPr>
        <w:pStyle w:val="Style47"/>
        <w:keepNext w:val="0"/>
        <w:keepLines w:val="0"/>
        <w:widowControl w:val="0"/>
        <w:shd w:val="clear" w:color="auto" w:fill="auto"/>
        <w:bidi w:val="0"/>
        <w:spacing w:before="0" w:after="200" w:line="240" w:lineRule="auto"/>
        <w:ind w:left="0" w:right="0" w:firstLine="0"/>
        <w:jc w:val="both"/>
      </w:pPr>
      <w:r>
        <w:rPr>
          <w:color w:val="000000"/>
          <w:spacing w:val="0"/>
          <w:w w:val="100"/>
          <w:position w:val="0"/>
        </w:rPr>
        <w:t>审计报告（续）</w:t>
      </w:r>
    </w:p>
    <w:p>
      <w:pPr>
        <w:pStyle w:val="Style2"/>
        <w:keepNext w:val="0"/>
        <w:keepLines w:val="0"/>
        <w:widowControl w:val="0"/>
        <w:shd w:val="clear" w:color="auto" w:fill="auto"/>
        <w:bidi w:val="0"/>
        <w:spacing w:before="0" w:after="660" w:line="240" w:lineRule="auto"/>
        <w:ind w:left="0" w:right="0" w:firstLine="0"/>
        <w:jc w:val="right"/>
      </w:pPr>
      <w:r>
        <w:rPr>
          <w:color w:val="000000"/>
          <w:spacing w:val="0"/>
          <w:w w:val="100"/>
          <w:position w:val="0"/>
        </w:rPr>
        <w:t>天职业字</w:t>
      </w:r>
      <w:r>
        <w:rPr>
          <w:rFonts w:ascii="Times New Roman" w:eastAsia="Times New Roman" w:hAnsi="Times New Roman" w:cs="Times New Roman"/>
          <w:color w:val="000000"/>
          <w:spacing w:val="0"/>
          <w:w w:val="100"/>
          <w:position w:val="0"/>
        </w:rPr>
        <w:t>［2021］11232</w:t>
      </w:r>
      <w:r>
        <w:rPr>
          <w:color w:val="000000"/>
          <w:spacing w:val="0"/>
          <w:w w:val="100"/>
          <w:position w:val="0"/>
        </w:rPr>
        <w:t>号</w:t>
      </w:r>
    </w:p>
    <w:p>
      <w:pPr>
        <w:pStyle w:val="Style47"/>
        <w:keepNext w:val="0"/>
        <w:keepLines w:val="0"/>
        <w:widowControl w:val="0"/>
        <w:shd w:val="clear" w:color="auto" w:fill="auto"/>
        <w:bidi w:val="0"/>
        <w:spacing w:before="0" w:after="148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此页无正文</w:t>
      </w:r>
      <w:r>
        <w:rPr>
          <w:rFonts w:ascii="Times New Roman" w:eastAsia="Times New Roman" w:hAnsi="Times New Roman" w:cs="Times New Roman"/>
          <w:color w:val="000000"/>
          <w:spacing w:val="0"/>
          <w:w w:val="100"/>
          <w:position w:val="0"/>
        </w:rPr>
        <w:t>］</w:t>
      </w:r>
    </w:p>
    <w:tbl>
      <w:tblPr>
        <w:tblOverlap w:val="never"/>
        <w:jc w:val="center"/>
        <w:tblLayout w:type="fixed"/>
      </w:tblPr>
      <w:tblGrid>
        <w:gridCol w:w="4032"/>
        <w:gridCol w:w="5261"/>
      </w:tblGrid>
      <w:tr>
        <w:trPr>
          <w:trHeight w:val="1430" w:hRule="exact"/>
        </w:trPr>
        <w:tc>
          <w:tcPr>
            <w:tcBorders>
              <w:top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r>
              <w:rPr>
                <w:rFonts w:ascii="Times New Roman" w:eastAsia="Times New Roman" w:hAnsi="Times New Roman" w:cs="Times New Roman"/>
                <w:color w:val="000000"/>
                <w:spacing w:val="0"/>
                <w:w w:val="100"/>
                <w:position w:val="0"/>
              </w:rPr>
              <w:t>•</w:t>
            </w:r>
            <w:r>
              <w:rPr>
                <w:color w:val="000000"/>
                <w:spacing w:val="0"/>
                <w:w w:val="100"/>
                <w:position w:val="0"/>
              </w:rPr>
              <w:t>北京</w:t>
            </w:r>
          </w:p>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二</w:t>
            </w:r>
            <w:r>
              <w:rPr>
                <w:color w:val="000000"/>
                <w:spacing w:val="0"/>
                <w:w w:val="100"/>
                <w:position w:val="0"/>
              </w:rPr>
              <w:t>。</w:t>
            </w:r>
            <w:r>
              <w:rPr>
                <w:color w:val="000000"/>
                <w:spacing w:val="0"/>
                <w:w w:val="100"/>
                <w:position w:val="0"/>
              </w:rPr>
              <w:t>二一年三月二十九日</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240" w:line="240" w:lineRule="auto"/>
              <w:ind w:left="1220" w:right="0" w:firstLine="0"/>
              <w:jc w:val="left"/>
            </w:pPr>
            <w:r>
              <w:rPr>
                <w:color w:val="000000"/>
                <w:spacing w:val="0"/>
                <w:w w:val="100"/>
                <w:position w:val="0"/>
              </w:rPr>
              <w:t>中国注册会计师</w:t>
            </w:r>
          </w:p>
          <w:p>
            <w:pPr>
              <w:pStyle w:val="Style2"/>
              <w:keepNext w:val="0"/>
              <w:keepLines w:val="0"/>
              <w:widowControl w:val="0"/>
              <w:shd w:val="clear" w:color="auto" w:fill="auto"/>
              <w:bidi w:val="0"/>
              <w:spacing w:before="0" w:after="240" w:line="240" w:lineRule="auto"/>
              <w:ind w:left="1120" w:right="0" w:firstLine="0"/>
              <w:jc w:val="left"/>
            </w:pPr>
            <w:r>
              <w:rPr>
                <w:color w:val="000000"/>
                <w:spacing w:val="0"/>
                <w:w w:val="100"/>
                <w:position w:val="0"/>
              </w:rPr>
              <w:t>（项目合伙人）：</w:t>
            </w:r>
          </w:p>
          <w:p>
            <w:pPr>
              <w:pStyle w:val="Style2"/>
              <w:keepNext w:val="0"/>
              <w:keepLines w:val="0"/>
              <w:widowControl w:val="0"/>
              <w:shd w:val="clear" w:color="auto" w:fill="auto"/>
              <w:bidi w:val="0"/>
              <w:spacing w:before="0" w:after="240" w:line="240" w:lineRule="auto"/>
              <w:ind w:left="1120" w:right="0" w:firstLine="0"/>
              <w:jc w:val="left"/>
            </w:pPr>
            <w:r>
              <w:rPr>
                <w:color w:val="000000"/>
                <w:spacing w:val="0"/>
                <w:w w:val="100"/>
                <w:position w:val="0"/>
              </w:rPr>
              <w:t>中国注册会计师：</w:t>
            </w:r>
          </w:p>
        </w:tc>
      </w:tr>
    </w:tbl>
    <w:p>
      <w:pPr>
        <w:widowControl w:val="0"/>
        <w:spacing w:after="979" w:line="1" w:lineRule="exact"/>
      </w:pPr>
    </w:p>
    <w:p>
      <w:pPr>
        <w:pStyle w:val="Style33"/>
        <w:keepNext/>
        <w:keepLines/>
        <w:widowControl w:val="0"/>
        <w:shd w:val="clear" w:color="auto" w:fill="auto"/>
        <w:bidi w:val="0"/>
        <w:spacing w:before="0" w:after="360" w:line="240" w:lineRule="auto"/>
        <w:ind w:left="0" w:right="0" w:firstLine="0"/>
        <w:jc w:val="left"/>
      </w:pPr>
      <w:bookmarkStart w:id="759" w:name="bookmark759"/>
      <w:bookmarkStart w:id="760" w:name="bookmark760"/>
      <w:bookmarkStart w:id="761" w:name="bookmark761"/>
      <w:bookmarkStart w:id="762" w:name="bookmark762"/>
      <w:r>
        <w:rPr>
          <w:color w:val="000000"/>
          <w:spacing w:val="0"/>
          <w:w w:val="100"/>
          <w:position w:val="0"/>
          <w:sz w:val="24"/>
          <w:szCs w:val="24"/>
        </w:rPr>
        <w:t>二</w:t>
      </w:r>
      <w:bookmarkEnd w:id="761"/>
      <w:r>
        <w:rPr>
          <w:color w:val="000000"/>
          <w:spacing w:val="0"/>
          <w:w w:val="100"/>
          <w:position w:val="0"/>
          <w:sz w:val="24"/>
          <w:szCs w:val="24"/>
        </w:rPr>
        <w:t>、财务报表</w:t>
      </w:r>
      <w:bookmarkEnd w:id="759"/>
      <w:bookmarkEnd w:id="760"/>
      <w:bookmarkEnd w:id="762"/>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财务附注中报表的单位为：元</w:t>
      </w:r>
    </w:p>
    <w:p>
      <w:pPr>
        <w:pStyle w:val="Style44"/>
        <w:keepNext/>
        <w:keepLines/>
        <w:widowControl w:val="0"/>
        <w:shd w:val="clear" w:color="auto" w:fill="auto"/>
        <w:bidi w:val="0"/>
        <w:spacing w:before="0" w:after="360" w:line="240" w:lineRule="auto"/>
        <w:ind w:left="0" w:right="0" w:firstLine="0"/>
        <w:jc w:val="left"/>
      </w:pPr>
      <w:bookmarkStart w:id="763" w:name="bookmark763"/>
      <w:bookmarkStart w:id="764" w:name="bookmark764"/>
      <w:bookmarkStart w:id="765" w:name="bookmark765"/>
      <w:bookmarkStart w:id="766" w:name="bookmark766"/>
      <w:r>
        <w:rPr>
          <w:rFonts w:ascii="Times New Roman" w:eastAsia="Times New Roman" w:hAnsi="Times New Roman" w:cs="Times New Roman"/>
          <w:color w:val="000000"/>
          <w:spacing w:val="0"/>
          <w:w w:val="100"/>
          <w:position w:val="0"/>
        </w:rPr>
        <w:t>1</w:t>
      </w:r>
      <w:bookmarkEnd w:id="765"/>
      <w:r>
        <w:rPr>
          <w:color w:val="000000"/>
          <w:spacing w:val="0"/>
          <w:w w:val="100"/>
          <w:position w:val="0"/>
        </w:rPr>
        <w:t>、合并资产负债表</w:t>
      </w:r>
      <w:bookmarkEnd w:id="763"/>
      <w:bookmarkEnd w:id="764"/>
      <w:bookmarkEnd w:id="766"/>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编制单位：中科院成都信息技术股份有限公司</w:t>
      </w:r>
    </w:p>
    <w:p>
      <w:pPr>
        <w:pStyle w:val="Style2"/>
        <w:keepNext w:val="0"/>
        <w:keepLines w:val="0"/>
        <w:widowControl w:val="0"/>
        <w:shd w:val="clear" w:color="auto" w:fill="auto"/>
        <w:bidi w:val="0"/>
        <w:spacing w:before="0" w:after="12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253,261,079.41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282,924,331.03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23,003,332.80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10,716,935.35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269,304,389.35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245,016,362.46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24,116,786.05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25,709,617.47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应收分保账款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17"/>
          <w:footerReference w:type="default" r:id="rId218"/>
          <w:headerReference w:type="even" r:id="rId219"/>
          <w:footerReference w:type="even" r:id="rId220"/>
          <w:footnotePr>
            <w:pos w:val="pageBottom"/>
            <w:numFmt w:val="decimal"/>
            <w:numRestart w:val="continuous"/>
          </w:footnotePr>
          <w:type w:val="continuous"/>
          <w:pgSz w:w="11900" w:h="16840"/>
          <w:pgMar w:top="1436" w:right="1112" w:bottom="1441" w:left="1058" w:header="0" w:footer="3" w:gutter="0"/>
          <w:cols w:space="720"/>
          <w:noEndnote/>
          <w:rtlGutter w:val="0"/>
          <w:docGrid w:linePitch="360"/>
        </w:sectPr>
      </w:pP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24,877,588.52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31,819,254.42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54,839.17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82,533,222.87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115,707,924.01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31,393,947.06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618,168.61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876,706.99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712,108,514.67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713,193,381.73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113,683,562.89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107,125,640.14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18,653,023.84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19,897,186.21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11,356,983.44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10,122,529.77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11,565,417.33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9,139,928.06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155,258,987.50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146,285,284.18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867,367,502.17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859,478,665.91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w:t>
            </w: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right w:val="single" w:sz="4"/>
            </w:tcBorders>
            <w:shd w:val="clear" w:color="auto" w:fill="D4D4D4"/>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30,040,043.84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115,679,702.72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99,989,277.10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left"/>
              <w:rPr>
                <w:sz w:val="18"/>
                <w:szCs w:val="18"/>
              </w:rPr>
            </w:pPr>
            <w:r>
              <w:rPr>
                <w:rFonts w:ascii="Times New Roman" w:eastAsia="Times New Roman" w:hAnsi="Times New Roman" w:cs="Times New Roman"/>
                <w:color w:val="000000"/>
                <w:spacing w:val="0"/>
                <w:w w:val="100"/>
                <w:position w:val="0"/>
                <w:sz w:val="18"/>
                <w:szCs w:val="18"/>
              </w:rPr>
              <w:t>558,912.60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77,930,141.86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40,989,411.04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5,050,937.62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7,313,445.36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30,033,741.33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25,453,748.96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22,146,867.39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23,893,422.42</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应付股利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left"/>
              <w:rPr>
                <w:sz w:val="18"/>
                <w:szCs w:val="18"/>
              </w:rPr>
            </w:pPr>
            <w:r>
              <w:rPr>
                <w:rFonts w:ascii="Times New Roman" w:eastAsia="Times New Roman" w:hAnsi="Times New Roman" w:cs="Times New Roman"/>
                <w:color w:val="000000"/>
                <w:spacing w:val="0"/>
                <w:w w:val="100"/>
                <w:position w:val="0"/>
                <w:sz w:val="18"/>
                <w:szCs w:val="18"/>
              </w:rPr>
              <w:t>203,837.90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3,002,903.54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247,502,520.08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264,580,035.70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320,000.00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预计负债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2,791,436.31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1,633,787.30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3,111,436.31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1,953,787.30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250,613,956.39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266,533,823.00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178,367,745.82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178,367,745.82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36,302,229.41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34,171,640.99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221,910,177.83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200,480,748.76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归属于母公司所有者权益合计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616,495,153.06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592,935,135.57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258,392.72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9,707.34</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616,753,545.78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592,944,842.91</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867,367,502.17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859,478,665.91</w:t>
            </w:r>
          </w:p>
        </w:tc>
      </w:tr>
    </w:tbl>
    <w:p>
      <w:pPr>
        <w:pStyle w:val="Style44"/>
        <w:keepNext/>
        <w:keepLines/>
        <w:widowControl w:val="0"/>
        <w:shd w:val="clear" w:color="auto" w:fill="auto"/>
        <w:bidi w:val="0"/>
        <w:spacing w:before="0" w:after="380" w:line="240" w:lineRule="auto"/>
        <w:ind w:left="0" w:right="0" w:firstLine="0"/>
        <w:jc w:val="left"/>
      </w:pPr>
      <w:r>
        <mc:AlternateContent>
          <mc:Choice Requires="wps">
            <w:drawing>
              <wp:anchor distT="152400" distB="0" distL="114300" distR="5149850" simplePos="0" relativeHeight="125829404" behindDoc="0" locked="0" layoutInCell="1" allowOverlap="1">
                <wp:simplePos x="0" y="0"/>
                <wp:positionH relativeFrom="page">
                  <wp:posOffset>690245</wp:posOffset>
                </wp:positionH>
                <wp:positionV relativeFrom="margin">
                  <wp:posOffset>5589905</wp:posOffset>
                </wp:positionV>
                <wp:extent cx="1051560" cy="149225"/>
                <wp:wrapTopAndBottom/>
                <wp:docPr id="842" name="Shape 842"/>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法定代表人：史志明</w:t>
                            </w:r>
                          </w:p>
                        </w:txbxContent>
                      </wps:txbx>
                      <wps:bodyPr wrap="none" lIns="0" tIns="0" rIns="0" bIns="0">
                        <a:noAutoFit/>
                      </wps:bodyPr>
                    </wps:wsp>
                  </a:graphicData>
                </a:graphic>
              </wp:anchor>
            </w:drawing>
          </mc:Choice>
          <mc:Fallback>
            <w:pict>
              <v:shape id="_x0000_s1868" type="#_x0000_t202" style="position:absolute;margin-left:54.350000000000001pt;margin-top:440.15000000000003pt;width:82.799999999999997pt;height:11.75pt;z-index:-125829349;mso-wrap-distance-left:9.pt;mso-wrap-distance-top:12.pt;mso-wrap-distance-right:405.5pt;mso-position-horizontal-relative:page;mso-position-vertical-relative:margin" filled="f" stroked="f">
                <v:textbox inset="0,0,0,0">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法定代表人：史志明</w:t>
                      </w:r>
                    </w:p>
                  </w:txbxContent>
                </v:textbox>
                <w10:wrap type="topAndBottom" anchorx="page" anchory="margin"/>
              </v:shape>
            </w:pict>
          </mc:Fallback>
        </mc:AlternateContent>
      </w:r>
      <w:r>
        <mc:AlternateContent>
          <mc:Choice Requires="wps">
            <w:drawing>
              <wp:anchor distT="152400" distB="5715" distL="2345690" distR="2458085" simplePos="0" relativeHeight="125829406" behindDoc="0" locked="0" layoutInCell="1" allowOverlap="1">
                <wp:simplePos x="0" y="0"/>
                <wp:positionH relativeFrom="page">
                  <wp:posOffset>2921635</wp:posOffset>
                </wp:positionH>
                <wp:positionV relativeFrom="margin">
                  <wp:posOffset>5589905</wp:posOffset>
                </wp:positionV>
                <wp:extent cx="1511935" cy="143510"/>
                <wp:wrapTopAndBottom/>
                <wp:docPr id="844" name="Shape 844"/>
                <a:graphic xmlns:a="http://schemas.openxmlformats.org/drawingml/2006/main">
                  <a:graphicData uri="http://schemas.microsoft.com/office/word/2010/wordprocessingShape">
                    <wps:wsp>
                      <wps:cNvSpPr txBox="1"/>
                      <wps:spPr>
                        <a:xfrm>
                          <a:ext cx="1511935" cy="1435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主管会计工作负责人：刘小兵</w:t>
                            </w:r>
                          </w:p>
                        </w:txbxContent>
                      </wps:txbx>
                      <wps:bodyPr wrap="none" lIns="0" tIns="0" rIns="0" bIns="0">
                        <a:noAutoFit/>
                      </wps:bodyPr>
                    </wps:wsp>
                  </a:graphicData>
                </a:graphic>
              </wp:anchor>
            </w:drawing>
          </mc:Choice>
          <mc:Fallback>
            <w:pict>
              <v:shape id="_x0000_s1870" type="#_x0000_t202" style="position:absolute;margin-left:230.05000000000001pt;margin-top:440.15000000000003pt;width:119.05pt;height:11.300000000000001pt;z-index:-125829347;mso-wrap-distance-left:184.70000000000002pt;mso-wrap-distance-top:12.pt;mso-wrap-distance-right:193.55000000000001pt;mso-wrap-distance-bottom:0.45000000000000001pt;mso-position-horizontal-relative:page;mso-position-vertical-relative:margin" filled="f" stroked="f">
                <v:textbox inset="0,0,0,0">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主管会计工作负责人：刘小兵</w:t>
                      </w:r>
                    </w:p>
                  </w:txbxContent>
                </v:textbox>
                <w10:wrap type="topAndBottom" anchorx="page" anchory="margin"/>
              </v:shape>
            </w:pict>
          </mc:Fallback>
        </mc:AlternateContent>
      </w:r>
      <w:r>
        <mc:AlternateContent>
          <mc:Choice Requires="wps">
            <w:drawing>
              <wp:anchor distT="152400" distB="0" distL="5033645" distR="114935" simplePos="0" relativeHeight="125829408" behindDoc="0" locked="0" layoutInCell="1" allowOverlap="1">
                <wp:simplePos x="0" y="0"/>
                <wp:positionH relativeFrom="page">
                  <wp:posOffset>5609590</wp:posOffset>
                </wp:positionH>
                <wp:positionV relativeFrom="margin">
                  <wp:posOffset>5589905</wp:posOffset>
                </wp:positionV>
                <wp:extent cx="1167130" cy="149225"/>
                <wp:wrapTopAndBottom/>
                <wp:docPr id="846" name="Shape 846"/>
                <a:graphic xmlns:a="http://schemas.openxmlformats.org/drawingml/2006/main">
                  <a:graphicData uri="http://schemas.microsoft.com/office/word/2010/wordprocessingShape">
                    <wps:wsp>
                      <wps:cNvSpPr txBox="1"/>
                      <wps:spPr>
                        <a:xfrm>
                          <a:ext cx="1167130" cy="14922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会计机构负责人：杜立</w:t>
                            </w:r>
                          </w:p>
                        </w:txbxContent>
                      </wps:txbx>
                      <wps:bodyPr wrap="none" lIns="0" tIns="0" rIns="0" bIns="0">
                        <a:noAutoFit/>
                      </wps:bodyPr>
                    </wps:wsp>
                  </a:graphicData>
                </a:graphic>
              </wp:anchor>
            </w:drawing>
          </mc:Choice>
          <mc:Fallback>
            <w:pict>
              <v:shape id="_x0000_s1872" type="#_x0000_t202" style="position:absolute;margin-left:441.69999999999999pt;margin-top:440.15000000000003pt;width:91.900000000000006pt;height:11.75pt;z-index:-125829345;mso-wrap-distance-left:396.35000000000002pt;mso-wrap-distance-top:12.pt;mso-wrap-distance-right:9.0500000000000007pt;mso-position-horizontal-relative:page;mso-position-vertical-relative:margin" filled="f" stroked="f">
                <v:textbox inset="0,0,0,0">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会计机构负责人：杜立</w:t>
                      </w:r>
                    </w:p>
                  </w:txbxContent>
                </v:textbox>
                <w10:wrap type="topAndBottom" anchorx="page" anchory="margin"/>
              </v:shape>
            </w:pict>
          </mc:Fallback>
        </mc:AlternateContent>
      </w:r>
      <w:bookmarkStart w:id="767" w:name="bookmark767"/>
      <w:bookmarkStart w:id="768" w:name="bookmark768"/>
      <w:bookmarkStart w:id="769" w:name="bookmark769"/>
      <w:bookmarkStart w:id="770" w:name="bookmark770"/>
      <w:r>
        <w:rPr>
          <w:rFonts w:ascii="Times New Roman" w:eastAsia="Times New Roman" w:hAnsi="Times New Roman" w:cs="Times New Roman"/>
          <w:color w:val="000000"/>
          <w:spacing w:val="0"/>
          <w:w w:val="100"/>
          <w:position w:val="0"/>
        </w:rPr>
        <w:t>2</w:t>
      </w:r>
      <w:bookmarkEnd w:id="769"/>
      <w:r>
        <w:rPr>
          <w:color w:val="000000"/>
          <w:spacing w:val="0"/>
          <w:w w:val="100"/>
          <w:position w:val="0"/>
        </w:rPr>
        <w:t>、母公司资产负债表</w:t>
      </w:r>
      <w:bookmarkEnd w:id="767"/>
      <w:bookmarkEnd w:id="768"/>
      <w:bookmarkEnd w:id="77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202,398,468.69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212,348,557.71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23,003,332.80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10,716,935.35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233,036,187.79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218,035,324.07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预付款项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34,991,186.62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38,515,289.09</w:t>
            </w: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33,704,152.17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35,780,544.43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41,087.08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65,717,562.09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96,574,312.04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22,341,050.12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33,736.48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4,239.16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618,225,676.76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612,397,451.85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181,391,562.89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174,833,640.14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17,106,168.77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17,847,287.42</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11,277,648.48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10,052,530.71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10,344,621.21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8,027,405.32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220,120,001.35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210,760,863.59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838,345,678.11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823,158,315.44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30,040,043.84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衍生金融负债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135,858,582.48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103,435,653.54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75,252,869.13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37,699,973.68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1,833,930.00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2,222,340.00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21,936,063.31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19,784,337.40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24,074,427.67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22,964,104.53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应付股利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203,837.90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197,611.67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2,693,783.82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254,136,804.80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253,659,304.60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320,000.00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1,715,334.54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149,809.49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2,035,334.54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469,809.49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256,172,139.34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254,129,114.09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178,845,571.61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178,845,571.61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减：库存股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36,302,229.41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34,171,640.99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187,110,737.75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176,096,988.75</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582,173,538.77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569,029,201.35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838,345,678.11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823,158,315.44</w:t>
            </w:r>
          </w:p>
        </w:tc>
      </w:tr>
    </w:tbl>
    <w:p>
      <w:pPr>
        <w:widowControl w:val="0"/>
        <w:spacing w:after="299" w:line="1" w:lineRule="exact"/>
      </w:pPr>
    </w:p>
    <w:p>
      <w:pPr>
        <w:pStyle w:val="Style44"/>
        <w:keepNext/>
        <w:keepLines/>
        <w:widowControl w:val="0"/>
        <w:shd w:val="clear" w:color="auto" w:fill="auto"/>
        <w:bidi w:val="0"/>
        <w:spacing w:before="0" w:after="360" w:line="240" w:lineRule="auto"/>
        <w:ind w:left="0" w:right="0" w:firstLine="0"/>
        <w:jc w:val="left"/>
      </w:pPr>
      <w:bookmarkStart w:id="771" w:name="bookmark771"/>
      <w:bookmarkStart w:id="772" w:name="bookmark772"/>
      <w:bookmarkStart w:id="773" w:name="bookmark773"/>
      <w:bookmarkStart w:id="774" w:name="bookmark774"/>
      <w:r>
        <w:rPr>
          <w:rFonts w:ascii="Times New Roman" w:eastAsia="Times New Roman" w:hAnsi="Times New Roman" w:cs="Times New Roman"/>
          <w:color w:val="000000"/>
          <w:spacing w:val="0"/>
          <w:w w:val="100"/>
          <w:position w:val="0"/>
        </w:rPr>
        <w:t>3</w:t>
      </w:r>
      <w:bookmarkEnd w:id="773"/>
      <w:r>
        <w:rPr>
          <w:color w:val="000000"/>
          <w:spacing w:val="0"/>
          <w:w w:val="100"/>
          <w:position w:val="0"/>
        </w:rPr>
        <w:t>、合并利润表</w:t>
      </w:r>
      <w:bookmarkEnd w:id="771"/>
      <w:bookmarkEnd w:id="772"/>
      <w:bookmarkEnd w:id="77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086"/>
        <w:gridCol w:w="3211"/>
        <w:gridCol w:w="3288"/>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一、营业总收入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364,413,271.82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其中：营业收入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364,413,271.82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二、营业总成本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403,448,783.17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343,946,778.01</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其中：营业成本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334,898,917.62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282,286,426.39</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920"/>
              <w:jc w:val="left"/>
              <w:rPr>
                <w:sz w:val="18"/>
                <w:szCs w:val="18"/>
              </w:rPr>
            </w:pPr>
            <w:r>
              <w:rPr>
                <w:color w:val="000000"/>
                <w:spacing w:val="0"/>
                <w:w w:val="100"/>
                <w:position w:val="0"/>
                <w:sz w:val="18"/>
                <w:szCs w:val="18"/>
              </w:rPr>
              <w:t>提取保险责任合同准备金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2,187,160.27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00" w:right="0" w:firstLine="0"/>
              <w:jc w:val="both"/>
              <w:rPr>
                <w:sz w:val="18"/>
                <w:szCs w:val="18"/>
              </w:rPr>
            </w:pPr>
            <w:r>
              <w:rPr>
                <w:rFonts w:ascii="Times New Roman" w:eastAsia="Times New Roman" w:hAnsi="Times New Roman" w:cs="Times New Roman"/>
                <w:color w:val="000000"/>
                <w:spacing w:val="0"/>
                <w:w w:val="100"/>
                <w:position w:val="0"/>
                <w:sz w:val="18"/>
                <w:szCs w:val="18"/>
              </w:rPr>
              <w:t>1,949,278.47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21,743,109.88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25,911,911.39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21,784,425.88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21,861,958.38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24,020,354.89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14,563,032.78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-1,185,185.37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-2,625,829.40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1,496,773.93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390,606.16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color w:val="000000"/>
                <w:spacing w:val="0"/>
                <w:w w:val="100"/>
                <w:position w:val="0"/>
                <w:sz w:val="18"/>
                <w:szCs w:val="18"/>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2,727,113.49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00" w:right="0" w:firstLine="0"/>
              <w:jc w:val="both"/>
              <w:rPr>
                <w:sz w:val="18"/>
                <w:szCs w:val="18"/>
              </w:rPr>
            </w:pPr>
            <w:r>
              <w:rPr>
                <w:rFonts w:ascii="Times New Roman" w:eastAsia="Times New Roman" w:hAnsi="Times New Roman" w:cs="Times New Roman"/>
                <w:color w:val="000000"/>
                <w:spacing w:val="0"/>
                <w:w w:val="100"/>
                <w:position w:val="0"/>
                <w:sz w:val="18"/>
                <w:szCs w:val="18"/>
              </w:rPr>
              <w:t>3,077,249.08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10,462,351.89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11,031,632.81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00" w:right="0" w:firstLine="0"/>
              <w:jc w:val="both"/>
              <w:rPr>
                <w:sz w:val="18"/>
                <w:szCs w:val="18"/>
              </w:rPr>
            </w:pPr>
            <w:r>
              <w:rPr>
                <w:rFonts w:ascii="Times New Roman" w:eastAsia="Times New Roman" w:hAnsi="Times New Roman" w:cs="Times New Roman"/>
                <w:color w:val="000000"/>
                <w:spacing w:val="0"/>
                <w:w w:val="100"/>
                <w:position w:val="0"/>
                <w:sz w:val="18"/>
                <w:szCs w:val="18"/>
              </w:rPr>
              <w:t>8,918,351.44</w:t>
            </w:r>
          </w:p>
        </w:tc>
      </w:tr>
    </w:tbl>
    <w:p>
      <w:pPr>
        <w:widowControl w:val="0"/>
        <w:spacing w:line="1" w:lineRule="exact"/>
      </w:pPr>
      <w:r>
        <w:br w:type="page"/>
      </w:r>
    </w:p>
    <w:tbl>
      <w:tblPr>
        <w:tblOverlap w:val="never"/>
        <w:jc w:val="center"/>
        <w:tblLayout w:type="fixed"/>
      </w:tblPr>
      <w:tblGrid>
        <w:gridCol w:w="3086"/>
        <w:gridCol w:w="3211"/>
        <w:gridCol w:w="3288"/>
      </w:tblGrid>
      <w:tr>
        <w:trPr>
          <w:trHeight w:val="37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740"/>
              <w:jc w:val="both"/>
              <w:rPr>
                <w:sz w:val="18"/>
                <w:szCs w:val="18"/>
              </w:rPr>
            </w:pPr>
            <w:r>
              <w:rPr>
                <w:color w:val="000000"/>
                <w:spacing w:val="0"/>
                <w:w w:val="100"/>
                <w:position w:val="0"/>
                <w:sz w:val="18"/>
                <w:szCs w:val="18"/>
              </w:rPr>
              <w:t>其中：对联营企业和合营企业 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8,519,447.33</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1100" w:right="0" w:firstLine="0"/>
              <w:jc w:val="left"/>
              <w:rPr>
                <w:sz w:val="18"/>
                <w:szCs w:val="18"/>
              </w:rPr>
            </w:pPr>
            <w:r>
              <w:rPr>
                <w:color w:val="000000"/>
                <w:spacing w:val="0"/>
                <w:w w:val="100"/>
                <w:position w:val="0"/>
                <w:sz w:val="18"/>
                <w:szCs w:val="18"/>
              </w:rPr>
              <w:t>以摊余成本计量的金融</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color w:val="000000"/>
                <w:spacing w:val="0"/>
                <w:w w:val="100"/>
                <w:position w:val="0"/>
                <w:sz w:val="18"/>
                <w:szCs w:val="18"/>
              </w:rPr>
              <w:t>汇兑收益（损失以号填列）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净敞口套期收益（损失以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both"/>
              <w:rPr>
                <w:sz w:val="18"/>
                <w:szCs w:val="18"/>
              </w:rPr>
            </w:pPr>
            <w:r>
              <w:rPr>
                <w:color w:val="000000"/>
                <w:spacing w:val="0"/>
                <w:w w:val="100"/>
                <w:position w:val="0"/>
                <w:sz w:val="18"/>
                <w:szCs w:val="18"/>
              </w:rPr>
              <w:t>公允价值变动收益（损失以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信用减值损失（损失以号填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-11,358,283.15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5,993,246.95</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740"/>
              <w:jc w:val="both"/>
              <w:rPr>
                <w:sz w:val="18"/>
                <w:szCs w:val="18"/>
              </w:rPr>
            </w:pPr>
            <w:r>
              <w:rPr>
                <w:color w:val="000000"/>
                <w:spacing w:val="0"/>
                <w:w w:val="100"/>
                <w:position w:val="0"/>
                <w:sz w:val="18"/>
                <w:szCs w:val="18"/>
              </w:rPr>
              <w:t>资产减值损失（损失以号填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-6,782,594.45</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740"/>
              <w:jc w:val="both"/>
              <w:rPr>
                <w:sz w:val="18"/>
                <w:szCs w:val="18"/>
              </w:rPr>
            </w:pPr>
            <w:r>
              <w:rPr>
                <w:color w:val="000000"/>
                <w:spacing w:val="0"/>
                <w:w w:val="100"/>
                <w:position w:val="0"/>
                <w:sz w:val="18"/>
                <w:szCs w:val="18"/>
              </w:rPr>
              <w:t>资产处置收益（损失以号填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-17,396.97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34,884,208.82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39,627,130.56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60,800.59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15,102.79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34,929,906.62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39,117,130.56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2,121,203.75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3,228,831.12</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32,808,702.87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35,888,299.44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（一）按经营持续性分类</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持续经营净利润（净亏损以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32,808,702.87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35,888,299.44</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终止经营净利润（净亏损以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（二）按所有权归属分类</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归属于母公司股东的净利润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32,560,017.49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35,288,967.18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少数股东损益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60" w:right="0" w:firstLine="0"/>
              <w:jc w:val="left"/>
              <w:rPr>
                <w:sz w:val="18"/>
                <w:szCs w:val="18"/>
              </w:rPr>
            </w:pPr>
            <w:r>
              <w:rPr>
                <w:rFonts w:ascii="Times New Roman" w:eastAsia="Times New Roman" w:hAnsi="Times New Roman" w:cs="Times New Roman"/>
                <w:color w:val="000000"/>
                <w:spacing w:val="0"/>
                <w:w w:val="100"/>
                <w:position w:val="0"/>
                <w:sz w:val="18"/>
                <w:szCs w:val="18"/>
              </w:rPr>
              <w:t>248,685.38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599,332.26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200"/>
              <w:jc w:val="left"/>
              <w:rPr>
                <w:sz w:val="18"/>
                <w:szCs w:val="18"/>
              </w:rPr>
            </w:pPr>
            <w:r>
              <w:rPr>
                <w:color w:val="000000"/>
                <w:spacing w:val="0"/>
                <w:w w:val="100"/>
                <w:position w:val="0"/>
                <w:sz w:val="18"/>
                <w:szCs w:val="18"/>
              </w:rPr>
              <w:t>归属母公司所有者的其他综合收益 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380"/>
              <w:jc w:val="both"/>
              <w:rPr>
                <w:sz w:val="18"/>
                <w:szCs w:val="18"/>
              </w:rPr>
            </w:pPr>
            <w:r>
              <w:rPr>
                <w:color w:val="000000"/>
                <w:spacing w:val="0"/>
                <w:w w:val="100"/>
                <w:position w:val="0"/>
                <w:sz w:val="18"/>
                <w:szCs w:val="18"/>
              </w:rPr>
              <w:t>（一）不能重分类进损益的其他综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重新计量设定受益计划变 动额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086"/>
        <w:gridCol w:w="3211"/>
        <w:gridCol w:w="3288"/>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权益法下不能转损益的其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其他权益工具投资公允价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企业自身信用风险公允价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380"/>
              <w:jc w:val="both"/>
              <w:rPr>
                <w:sz w:val="18"/>
                <w:szCs w:val="18"/>
              </w:rPr>
            </w:pPr>
            <w:r>
              <w:rPr>
                <w:color w:val="000000"/>
                <w:spacing w:val="0"/>
                <w:w w:val="100"/>
                <w:position w:val="0"/>
                <w:sz w:val="18"/>
                <w:szCs w:val="18"/>
              </w:rPr>
              <w:t>（二）将重分类进损益的其他综合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权益法下可转损益的其他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其他债权投资公允价值变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金融资产重分类计入其他 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其他债权投资信用减值准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200"/>
              <w:jc w:val="left"/>
              <w:rPr>
                <w:sz w:val="18"/>
                <w:szCs w:val="18"/>
              </w:rPr>
            </w:pPr>
            <w:r>
              <w:rPr>
                <w:color w:val="000000"/>
                <w:spacing w:val="0"/>
                <w:w w:val="100"/>
                <w:position w:val="0"/>
                <w:sz w:val="18"/>
                <w:szCs w:val="18"/>
              </w:rPr>
              <w:t>归属于少数股东的其他综合收益的 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七、综合收益总额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32,808,702.87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35,888,299.44</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380"/>
              <w:jc w:val="left"/>
              <w:rPr>
                <w:sz w:val="18"/>
                <w:szCs w:val="18"/>
              </w:rPr>
            </w:pPr>
            <w:r>
              <w:rPr>
                <w:color w:val="000000"/>
                <w:spacing w:val="0"/>
                <w:w w:val="100"/>
                <w:position w:val="0"/>
                <w:sz w:val="18"/>
                <w:szCs w:val="18"/>
              </w:rPr>
              <w:t>归属于母公司所有者的综合收益 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32,560,017.49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35,288,967.18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归属于少数股东的综合收益总额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248,685.38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599,332.26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八、每股收益：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（一）基本每股收益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0.1960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（二）稀释每股收益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0.1960</w:t>
            </w:r>
          </w:p>
        </w:tc>
      </w:tr>
    </w:tbl>
    <w:p>
      <w:pPr>
        <w:pStyle w:val="Style41"/>
        <w:keepNext w:val="0"/>
        <w:keepLines w:val="0"/>
        <w:widowControl w:val="0"/>
        <w:shd w:val="clear" w:color="auto" w:fill="auto"/>
        <w:bidi w:val="0"/>
        <w:spacing w:before="0" w:after="0" w:line="240" w:lineRule="auto"/>
        <w:ind w:left="0" w:right="0" w:firstLine="0"/>
        <w:jc w:val="center"/>
        <w:rPr>
          <w:sz w:val="18"/>
          <w:szCs w:val="18"/>
        </w:rPr>
      </w:pPr>
      <w:r>
        <mc:AlternateContent>
          <mc:Choice Requires="wps">
            <w:drawing>
              <wp:anchor distT="165100" distB="0" distL="114300" distR="5149215" simplePos="0" relativeHeight="125829410" behindDoc="0" locked="0" layoutInCell="1" allowOverlap="1">
                <wp:simplePos x="0" y="0"/>
                <wp:positionH relativeFrom="page">
                  <wp:posOffset>687070</wp:posOffset>
                </wp:positionH>
                <wp:positionV relativeFrom="margin">
                  <wp:posOffset>7284720</wp:posOffset>
                </wp:positionV>
                <wp:extent cx="1054735" cy="560705"/>
                <wp:wrapTopAndBottom/>
                <wp:docPr id="848" name="Shape 848"/>
                <a:graphic xmlns:a="http://schemas.openxmlformats.org/drawingml/2006/main">
                  <a:graphicData uri="http://schemas.microsoft.com/office/word/2010/wordprocessingShape">
                    <wps:wsp>
                      <wps:cNvSpPr txBox="1"/>
                      <wps:spPr>
                        <a:xfrm>
                          <a:ext cx="1054735" cy="560705"/>
                        </a:xfrm>
                        <a:prstGeom prst="rect"/>
                        <a:noFill/>
                      </wps:spPr>
                      <wps:txbx>
                        <w:txbxContent>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法定代表人：史志明</w:t>
                            </w:r>
                          </w:p>
                          <w:p>
                            <w:pPr>
                              <w:pStyle w:val="Style44"/>
                              <w:keepNext/>
                              <w:keepLines/>
                              <w:widowControl w:val="0"/>
                              <w:shd w:val="clear" w:color="auto" w:fill="auto"/>
                              <w:bidi w:val="0"/>
                              <w:spacing w:before="0" w:after="0" w:line="240" w:lineRule="auto"/>
                              <w:ind w:left="0" w:right="0" w:firstLine="0"/>
                              <w:jc w:val="left"/>
                            </w:pPr>
                            <w:bookmarkStart w:id="746" w:name="bookmark746"/>
                            <w:bookmarkStart w:id="747" w:name="bookmark747"/>
                            <w:bookmarkStart w:id="748" w:name="bookmark748"/>
                            <w:r>
                              <w:rPr>
                                <w:rFonts w:ascii="Times New Roman" w:eastAsia="Times New Roman" w:hAnsi="Times New Roman" w:cs="Times New Roman"/>
                                <w:color w:val="000000"/>
                                <w:spacing w:val="0"/>
                                <w:w w:val="100"/>
                                <w:position w:val="0"/>
                              </w:rPr>
                              <w:t>4</w:t>
                            </w:r>
                            <w:r>
                              <w:rPr>
                                <w:color w:val="000000"/>
                                <w:spacing w:val="0"/>
                                <w:w w:val="100"/>
                                <w:position w:val="0"/>
                              </w:rPr>
                              <w:t>、母公司利润表</w:t>
                            </w:r>
                            <w:bookmarkEnd w:id="746"/>
                            <w:bookmarkEnd w:id="747"/>
                            <w:bookmarkEnd w:id="748"/>
                          </w:p>
                        </w:txbxContent>
                      </wps:txbx>
                      <wps:bodyPr lIns="0" tIns="0" rIns="0" bIns="0">
                        <a:noAutoFit/>
                      </wps:bodyPr>
                    </wps:wsp>
                  </a:graphicData>
                </a:graphic>
              </wp:anchor>
            </w:drawing>
          </mc:Choice>
          <mc:Fallback>
            <w:pict>
              <v:shape id="_x0000_s1874" type="#_x0000_t202" style="position:absolute;margin-left:54.100000000000001pt;margin-top:573.60000000000002pt;width:83.049999999999997pt;height:44.149999999999999pt;z-index:-125829343;mso-wrap-distance-left:9.pt;mso-wrap-distance-top:13.pt;mso-wrap-distance-right:405.44999999999999pt;mso-position-horizontal-relative:page;mso-position-vertical-relative:margin" filled="f" stroked="f">
                <v:textbox inset="0,0,0,0">
                  <w:txbxContent>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法定代表人：史志明</w:t>
                      </w:r>
                    </w:p>
                    <w:p>
                      <w:pPr>
                        <w:pStyle w:val="Style44"/>
                        <w:keepNext/>
                        <w:keepLines/>
                        <w:widowControl w:val="0"/>
                        <w:shd w:val="clear" w:color="auto" w:fill="auto"/>
                        <w:bidi w:val="0"/>
                        <w:spacing w:before="0" w:after="0" w:line="240" w:lineRule="auto"/>
                        <w:ind w:left="0" w:right="0" w:firstLine="0"/>
                        <w:jc w:val="left"/>
                      </w:pPr>
                      <w:bookmarkStart w:id="746" w:name="bookmark746"/>
                      <w:bookmarkStart w:id="747" w:name="bookmark747"/>
                      <w:bookmarkStart w:id="748" w:name="bookmark748"/>
                      <w:r>
                        <w:rPr>
                          <w:rFonts w:ascii="Times New Roman" w:eastAsia="Times New Roman" w:hAnsi="Times New Roman" w:cs="Times New Roman"/>
                          <w:color w:val="000000"/>
                          <w:spacing w:val="0"/>
                          <w:w w:val="100"/>
                          <w:position w:val="0"/>
                        </w:rPr>
                        <w:t>4</w:t>
                      </w:r>
                      <w:r>
                        <w:rPr>
                          <w:color w:val="000000"/>
                          <w:spacing w:val="0"/>
                          <w:w w:val="100"/>
                          <w:position w:val="0"/>
                        </w:rPr>
                        <w:t>、母公司利润表</w:t>
                      </w:r>
                      <w:bookmarkEnd w:id="746"/>
                      <w:bookmarkEnd w:id="747"/>
                      <w:bookmarkEnd w:id="748"/>
                    </w:p>
                  </w:txbxContent>
                </v:textbox>
                <w10:wrap type="topAndBottom" anchorx="page" anchory="margin"/>
              </v:shape>
            </w:pict>
          </mc:Fallback>
        </mc:AlternateContent>
      </w:r>
      <w:r>
        <mc:AlternateContent>
          <mc:Choice Requires="wps">
            <w:drawing>
              <wp:anchor distT="165100" distB="417195" distL="2348230" distR="2458085" simplePos="0" relativeHeight="125829412" behindDoc="0" locked="0" layoutInCell="1" allowOverlap="1">
                <wp:simplePos x="0" y="0"/>
                <wp:positionH relativeFrom="page">
                  <wp:posOffset>2921000</wp:posOffset>
                </wp:positionH>
                <wp:positionV relativeFrom="margin">
                  <wp:posOffset>7284720</wp:posOffset>
                </wp:positionV>
                <wp:extent cx="1511935" cy="143510"/>
                <wp:wrapTopAndBottom/>
                <wp:docPr id="850" name="Shape 850"/>
                <a:graphic xmlns:a="http://schemas.openxmlformats.org/drawingml/2006/main">
                  <a:graphicData uri="http://schemas.microsoft.com/office/word/2010/wordprocessingShape">
                    <wps:wsp>
                      <wps:cNvSpPr txBox="1"/>
                      <wps:spPr>
                        <a:xfrm>
                          <a:ext cx="1511935" cy="14351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主管会计工作负责人：刘小兵</w:t>
                            </w:r>
                          </w:p>
                        </w:txbxContent>
                      </wps:txbx>
                      <wps:bodyPr wrap="none" lIns="0" tIns="0" rIns="0" bIns="0">
                        <a:noAutoFit/>
                      </wps:bodyPr>
                    </wps:wsp>
                  </a:graphicData>
                </a:graphic>
              </wp:anchor>
            </w:drawing>
          </mc:Choice>
          <mc:Fallback>
            <w:pict>
              <v:shape id="_x0000_s1876" type="#_x0000_t202" style="position:absolute;margin-left:230.pt;margin-top:573.60000000000002pt;width:119.05pt;height:11.300000000000001pt;z-index:-125829341;mso-wrap-distance-left:184.90000000000001pt;mso-wrap-distance-top:13.pt;mso-wrap-distance-right:193.55000000000001pt;mso-wrap-distance-bottom:32.850000000000001pt;mso-position-horizontal-relative:page;mso-position-vertical-relative:margin" filled="f" stroked="f">
                <v:textbox inset="0,0,0,0">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主管会计工作负责人：刘小兵</w:t>
                      </w:r>
                    </w:p>
                  </w:txbxContent>
                </v:textbox>
                <w10:wrap type="topAndBottom" anchorx="page" anchory="margin"/>
              </v:shape>
            </w:pict>
          </mc:Fallback>
        </mc:AlternateContent>
      </w:r>
      <w:r>
        <mc:AlternateContent>
          <mc:Choice Requires="wps">
            <w:drawing>
              <wp:anchor distT="165100" distB="411480" distL="5036820" distR="114300" simplePos="0" relativeHeight="125829414" behindDoc="0" locked="0" layoutInCell="1" allowOverlap="1">
                <wp:simplePos x="0" y="0"/>
                <wp:positionH relativeFrom="page">
                  <wp:posOffset>5609590</wp:posOffset>
                </wp:positionH>
                <wp:positionV relativeFrom="margin">
                  <wp:posOffset>7284720</wp:posOffset>
                </wp:positionV>
                <wp:extent cx="1167130" cy="149225"/>
                <wp:wrapTopAndBottom/>
                <wp:docPr id="852" name="Shape 852"/>
                <a:graphic xmlns:a="http://schemas.openxmlformats.org/drawingml/2006/main">
                  <a:graphicData uri="http://schemas.microsoft.com/office/word/2010/wordprocessingShape">
                    <wps:wsp>
                      <wps:cNvSpPr txBox="1"/>
                      <wps:spPr>
                        <a:xfrm>
                          <a:ext cx="1167130" cy="14922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会计机构负责人：杜立</w:t>
                            </w:r>
                          </w:p>
                        </w:txbxContent>
                      </wps:txbx>
                      <wps:bodyPr wrap="none" lIns="0" tIns="0" rIns="0" bIns="0">
                        <a:noAutoFit/>
                      </wps:bodyPr>
                    </wps:wsp>
                  </a:graphicData>
                </a:graphic>
              </wp:anchor>
            </w:drawing>
          </mc:Choice>
          <mc:Fallback>
            <w:pict>
              <v:shape id="_x0000_s1878" type="#_x0000_t202" style="position:absolute;margin-left:441.69999999999999pt;margin-top:573.60000000000002pt;width:91.900000000000006pt;height:11.75pt;z-index:-125829339;mso-wrap-distance-left:396.60000000000002pt;mso-wrap-distance-top:13.pt;mso-wrap-distance-right:9.pt;mso-wrap-distance-bottom:32.399999999999999pt;mso-position-horizontal-relative:page;mso-position-vertical-relative:margin" filled="f" stroked="f">
                <v:textbox inset="0,0,0,0">
                  <w:txbxContent>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会计机构负责人：杜立</w:t>
                      </w:r>
                    </w:p>
                  </w:txbxContent>
                </v:textbox>
                <w10:wrap type="topAndBottom" anchorx="page" anchory="margin"/>
              </v:shape>
            </w:pict>
          </mc:Fallback>
        </mc:AlternateContent>
      </w:r>
      <w:r>
        <w:rPr>
          <w:b w:val="0"/>
          <w:bCs w:val="0"/>
          <w:color w:val="000000"/>
          <w:spacing w:val="0"/>
          <w:w w:val="100"/>
          <w:position w:val="0"/>
          <w:sz w:val="18"/>
          <w:szCs w:val="18"/>
        </w:rPr>
        <w:t>本期发生同一控制下企业合并的，被合并方在合并前实现的净利润为：</w:t>
      </w:r>
      <w:r>
        <w:rPr>
          <w:rFonts w:ascii="Times New Roman" w:eastAsia="Times New Roman" w:hAnsi="Times New Roman" w:cs="Times New Roman"/>
          <w:b w:val="0"/>
          <w:bCs w:val="0"/>
          <w:color w:val="000000"/>
          <w:spacing w:val="0"/>
          <w:w w:val="100"/>
          <w:position w:val="0"/>
          <w:sz w:val="18"/>
          <w:szCs w:val="18"/>
        </w:rPr>
        <w:t>0.00</w:t>
      </w:r>
      <w:r>
        <w:rPr>
          <w:b w:val="0"/>
          <w:bCs w:val="0"/>
          <w:color w:val="000000"/>
          <w:spacing w:val="0"/>
          <w:w w:val="100"/>
          <w:position w:val="0"/>
          <w:sz w:val="18"/>
          <w:szCs w:val="18"/>
        </w:rPr>
        <w:t>元，上期被合并方实现的净利润为：</w:t>
      </w:r>
      <w:r>
        <w:rPr>
          <w:rFonts w:ascii="Times New Roman" w:eastAsia="Times New Roman" w:hAnsi="Times New Roman" w:cs="Times New Roman"/>
          <w:b w:val="0"/>
          <w:bCs w:val="0"/>
          <w:color w:val="000000"/>
          <w:spacing w:val="0"/>
          <w:w w:val="100"/>
          <w:position w:val="0"/>
          <w:sz w:val="18"/>
          <w:szCs w:val="18"/>
        </w:rPr>
        <w:t>0.00</w:t>
      </w:r>
      <w:r>
        <w:rPr>
          <w:b w:val="0"/>
          <w:bCs w:val="0"/>
          <w:color w:val="000000"/>
          <w:spacing w:val="0"/>
          <w:w w:val="100"/>
          <w:position w:val="0"/>
          <w:sz w:val="18"/>
          <w:szCs w:val="18"/>
        </w:rPr>
        <w:t>元。</w:t>
      </w:r>
    </w:p>
    <w:p>
      <w:pPr>
        <w:widowControl w:val="0"/>
        <w:spacing w:line="1" w:lineRule="exact"/>
      </w:pPr>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一、营业收入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355,394,662.63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320,256,442.99</w:t>
            </w: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285,959,413.22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263,054,996.71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1,966,968.16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1,394,985.66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16,725,462.65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22,312,887.42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15,854,347.80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17,305,858.86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14,726,034.67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10,541,516.36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-607,712.38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-2,577,455.67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1,496,773.93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390,606.16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2,139,189.53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3,019,422.17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8,451,632.84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10,126,815.23</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740"/>
              <w:jc w:val="left"/>
              <w:rPr>
                <w:sz w:val="18"/>
                <w:szCs w:val="18"/>
              </w:rPr>
            </w:pPr>
            <w:r>
              <w:rPr>
                <w:color w:val="000000"/>
                <w:spacing w:val="0"/>
                <w:w w:val="100"/>
                <w:position w:val="0"/>
                <w:sz w:val="18"/>
                <w:szCs w:val="18"/>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8,918,351.44</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740"/>
              <w:jc w:val="left"/>
              <w:rPr>
                <w:sz w:val="18"/>
                <w:szCs w:val="18"/>
              </w:rPr>
            </w:pPr>
            <w:r>
              <w:rPr>
                <w:color w:val="000000"/>
                <w:spacing w:val="0"/>
                <w:w w:val="100"/>
                <w:position w:val="0"/>
                <w:sz w:val="18"/>
                <w:szCs w:val="18"/>
              </w:rPr>
              <w:t>其中：对联营企业和合营企</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10,533,072.44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8,519,447.33</w:t>
            </w: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1100" w:right="0" w:firstLine="0"/>
              <w:jc w:val="both"/>
              <w:rPr>
                <w:sz w:val="18"/>
                <w:szCs w:val="18"/>
              </w:rPr>
            </w:pPr>
            <w:r>
              <w:rPr>
                <w:color w:val="000000"/>
                <w:spacing w:val="0"/>
                <w:w w:val="100"/>
                <w:position w:val="0"/>
                <w:sz w:val="18"/>
                <w:szCs w:val="18"/>
              </w:rPr>
              <w:t>以摊余成本计量的金融</w:t>
            </w:r>
          </w:p>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资产终止确认收益（损失以号填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left"/>
              <w:rPr>
                <w:sz w:val="18"/>
                <w:szCs w:val="18"/>
              </w:rPr>
            </w:pPr>
            <w:r>
              <w:rPr>
                <w:color w:val="000000"/>
                <w:spacing w:val="0"/>
                <w:w w:val="100"/>
                <w:position w:val="0"/>
                <w:sz w:val="18"/>
                <w:szCs w:val="18"/>
              </w:rPr>
              <w:t>净敞口套期收益（损失以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left"/>
              <w:rPr>
                <w:sz w:val="18"/>
                <w:szCs w:val="18"/>
              </w:rPr>
            </w:pPr>
            <w:r>
              <w:rPr>
                <w:color w:val="000000"/>
                <w:spacing w:val="0"/>
                <w:w w:val="100"/>
                <w:position w:val="0"/>
                <w:sz w:val="18"/>
                <w:szCs w:val="18"/>
              </w:rPr>
              <w:t>公允价值变动收益（损失以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信用减值损失（损失以号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-8,638,831.39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7,062,932.99</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资产减值损失（损失以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-6,710,976.82</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资产处置收益（损失以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00" w:right="0" w:firstLine="0"/>
              <w:jc w:val="both"/>
              <w:rPr>
                <w:sz w:val="18"/>
                <w:szCs w:val="18"/>
              </w:rPr>
            </w:pPr>
            <w:r>
              <w:rPr>
                <w:rFonts w:ascii="Times New Roman" w:eastAsia="Times New Roman" w:hAnsi="Times New Roman" w:cs="Times New Roman"/>
                <w:color w:val="000000"/>
                <w:spacing w:val="0"/>
                <w:w w:val="100"/>
                <w:position w:val="0"/>
                <w:sz w:val="18"/>
                <w:szCs w:val="18"/>
              </w:rPr>
              <w:t>-17,396.97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23,068,881.84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27,620,776.49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00" w:right="0" w:firstLine="0"/>
              <w:jc w:val="both"/>
              <w:rPr>
                <w:sz w:val="18"/>
                <w:szCs w:val="18"/>
              </w:rPr>
            </w:pPr>
            <w:r>
              <w:rPr>
                <w:rFonts w:ascii="Times New Roman" w:eastAsia="Times New Roman" w:hAnsi="Times New Roman" w:cs="Times New Roman"/>
                <w:color w:val="000000"/>
                <w:spacing w:val="0"/>
                <w:w w:val="100"/>
                <w:position w:val="0"/>
                <w:sz w:val="18"/>
                <w:szCs w:val="18"/>
              </w:rPr>
              <w:t>60,800.00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00" w:right="0" w:firstLine="0"/>
              <w:jc w:val="both"/>
              <w:rPr>
                <w:sz w:val="18"/>
                <w:szCs w:val="18"/>
              </w:rPr>
            </w:pPr>
            <w:r>
              <w:rPr>
                <w:rFonts w:ascii="Times New Roman" w:eastAsia="Times New Roman" w:hAnsi="Times New Roman" w:cs="Times New Roman"/>
                <w:color w:val="000000"/>
                <w:spacing w:val="0"/>
                <w:w w:val="100"/>
                <w:position w:val="0"/>
                <w:sz w:val="18"/>
                <w:szCs w:val="18"/>
              </w:rPr>
              <w:t>15,102.79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390,000.00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三、利润总额（亏损总额以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23,114,579.05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27,230,776.49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970,241.63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1,805,430.27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22,144,337.42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25,425,346.22</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50" w:lineRule="exact"/>
              <w:ind w:left="0" w:right="0" w:firstLine="380"/>
              <w:jc w:val="both"/>
              <w:rPr>
                <w:sz w:val="18"/>
                <w:szCs w:val="18"/>
              </w:rPr>
            </w:pPr>
            <w:r>
              <w:rPr>
                <w:color w:val="000000"/>
                <w:spacing w:val="0"/>
                <w:w w:val="100"/>
                <w:position w:val="0"/>
                <w:sz w:val="18"/>
                <w:szCs w:val="18"/>
              </w:rPr>
              <w:t>（一）持续经营净利润（净亏损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22,144,337.42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25,425,346.22</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59" w:lineRule="exact"/>
              <w:ind w:left="0" w:right="0" w:firstLine="380"/>
              <w:jc w:val="both"/>
              <w:rPr>
                <w:sz w:val="18"/>
                <w:szCs w:val="18"/>
              </w:rPr>
            </w:pPr>
            <w:r>
              <w:rPr>
                <w:color w:val="000000"/>
                <w:spacing w:val="0"/>
                <w:w w:val="100"/>
                <w:position w:val="0"/>
                <w:sz w:val="18"/>
                <w:szCs w:val="18"/>
              </w:rPr>
              <w:t>（二）终止经营净利润（净亏损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380"/>
              <w:jc w:val="left"/>
              <w:rPr>
                <w:sz w:val="18"/>
                <w:szCs w:val="18"/>
              </w:rPr>
            </w:pPr>
            <w:r>
              <w:rPr>
                <w:color w:val="000000"/>
                <w:spacing w:val="0"/>
                <w:w w:val="100"/>
                <w:position w:val="0"/>
                <w:sz w:val="18"/>
                <w:szCs w:val="18"/>
              </w:rPr>
              <w:t>（一）不能重分类进损益的其他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重新计量设定受益计划 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权益法下不能转损益的 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其他权益工具投资公允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企业自身信用风险公允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6" w:lineRule="exact"/>
              <w:ind w:left="0" w:right="0" w:firstLine="380"/>
              <w:jc w:val="left"/>
              <w:rPr>
                <w:sz w:val="18"/>
                <w:szCs w:val="18"/>
              </w:rPr>
            </w:pPr>
            <w:r>
              <w:rPr>
                <w:color w:val="000000"/>
                <w:spacing w:val="0"/>
                <w:w w:val="100"/>
                <w:position w:val="0"/>
                <w:sz w:val="18"/>
                <w:szCs w:val="18"/>
              </w:rPr>
              <w:t>（二）将重分类进损益的其他综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权益法下可转损益的其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其他债权投资公允价值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金融资产重分类计入其</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其他债权投资信用减值</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22,144,337.42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25,425,346.22</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七、每股收益：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（二）稀释每股收益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44"/>
        <w:keepNext/>
        <w:keepLines/>
        <w:widowControl w:val="0"/>
        <w:shd w:val="clear" w:color="auto" w:fill="auto"/>
        <w:bidi w:val="0"/>
        <w:spacing w:before="0" w:after="360" w:line="240" w:lineRule="auto"/>
        <w:ind w:left="0" w:right="0" w:firstLine="0"/>
        <w:jc w:val="left"/>
      </w:pPr>
      <w:bookmarkStart w:id="775" w:name="bookmark775"/>
      <w:bookmarkStart w:id="776" w:name="bookmark776"/>
      <w:bookmarkStart w:id="777" w:name="bookmark777"/>
      <w:bookmarkStart w:id="778" w:name="bookmark778"/>
      <w:r>
        <w:rPr>
          <w:rFonts w:ascii="Times New Roman" w:eastAsia="Times New Roman" w:hAnsi="Times New Roman" w:cs="Times New Roman"/>
          <w:color w:val="000000"/>
          <w:spacing w:val="0"/>
          <w:w w:val="100"/>
          <w:position w:val="0"/>
        </w:rPr>
        <w:t>5</w:t>
      </w:r>
      <w:bookmarkEnd w:id="777"/>
      <w:r>
        <w:rPr>
          <w:color w:val="000000"/>
          <w:spacing w:val="0"/>
          <w:w w:val="100"/>
          <w:position w:val="0"/>
        </w:rPr>
        <w:t>、合并现金流量表</w:t>
      </w:r>
      <w:bookmarkEnd w:id="775"/>
      <w:bookmarkEnd w:id="776"/>
      <w:bookmarkEnd w:id="77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一、经营活动产生的现金流量：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销售商品、提供劳务收到的现金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403,773,975.97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405,936,419.47</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客户存款和同业存放款项净增加</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37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380"/>
              <w:jc w:val="both"/>
              <w:rPr>
                <w:sz w:val="18"/>
                <w:szCs w:val="18"/>
              </w:rPr>
            </w:pPr>
            <w:r>
              <w:rPr>
                <w:color w:val="000000"/>
                <w:spacing w:val="0"/>
                <w:w w:val="100"/>
                <w:position w:val="0"/>
                <w:sz w:val="18"/>
                <w:szCs w:val="18"/>
              </w:rPr>
              <w:t>向其他金融机构拆入资金净增加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收到原保险合同保费取得的现金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收取利息、手续费及佣金的现金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代理买卖证券收到的现金净额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16,067,195.32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16,804,887.15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419,841,171.29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422,741,306.62</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购买商品、接受劳务支付的现金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313,755,951.74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295,826,235.81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both"/>
              <w:rPr>
                <w:sz w:val="18"/>
                <w:szCs w:val="18"/>
              </w:rPr>
            </w:pPr>
            <w:r>
              <w:rPr>
                <w:color w:val="000000"/>
                <w:spacing w:val="0"/>
                <w:w w:val="100"/>
                <w:position w:val="0"/>
                <w:sz w:val="18"/>
                <w:szCs w:val="18"/>
              </w:rPr>
              <w:t>存放中央银行和同业款项净增加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支付原保险合同赔付款项的现金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380"/>
              <w:jc w:val="both"/>
              <w:rPr>
                <w:sz w:val="18"/>
                <w:szCs w:val="18"/>
              </w:rPr>
            </w:pPr>
            <w:r>
              <w:rPr>
                <w:color w:val="000000"/>
                <w:spacing w:val="0"/>
                <w:w w:val="100"/>
                <w:position w:val="0"/>
                <w:sz w:val="18"/>
                <w:szCs w:val="18"/>
              </w:rPr>
              <w:t>支付给职工以及为职工支付的现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59,724,650.14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62,906,089.90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13,900,175.72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17,376,930.04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51,459,867.59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51,603,653.06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438,840,645.19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427,712,908.81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-18,999,473.90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-4,971,602.19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二、投资活动产生的现金流量：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153,884,976.05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取得投资收益收到的现金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left"/>
              <w:rPr>
                <w:sz w:val="18"/>
                <w:szCs w:val="18"/>
              </w:rPr>
            </w:pPr>
            <w:r>
              <w:rPr>
                <w:color w:val="000000"/>
                <w:spacing w:val="0"/>
                <w:w w:val="100"/>
                <w:position w:val="0"/>
                <w:sz w:val="18"/>
                <w:szCs w:val="18"/>
              </w:rPr>
              <w:t>处置固定资产、无形资产和其他 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left"/>
              <w:rPr>
                <w:sz w:val="18"/>
                <w:szCs w:val="18"/>
              </w:rPr>
            </w:pPr>
            <w:r>
              <w:rPr>
                <w:color w:val="000000"/>
                <w:spacing w:val="0"/>
                <w:w w:val="100"/>
                <w:position w:val="0"/>
                <w:sz w:val="18"/>
                <w:szCs w:val="18"/>
              </w:rPr>
              <w:t>处置子公司及其他营业单位收到 的现金净额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4,010,000.00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155,884,976.05</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both"/>
              <w:rPr>
                <w:sz w:val="18"/>
                <w:szCs w:val="18"/>
              </w:rPr>
            </w:pPr>
            <w:r>
              <w:rPr>
                <w:color w:val="000000"/>
                <w:spacing w:val="0"/>
                <w:w w:val="100"/>
                <w:position w:val="0"/>
                <w:sz w:val="18"/>
                <w:szCs w:val="18"/>
              </w:rPr>
              <w:t>购建固定资产、无形资产和其他 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3,422,201.58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5,110,536.90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380"/>
              <w:jc w:val="left"/>
              <w:rPr>
                <w:sz w:val="18"/>
                <w:szCs w:val="18"/>
              </w:rPr>
            </w:pPr>
            <w:r>
              <w:rPr>
                <w:color w:val="000000"/>
                <w:spacing w:val="0"/>
                <w:w w:val="100"/>
                <w:position w:val="0"/>
                <w:sz w:val="18"/>
                <w:szCs w:val="18"/>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3,422,201.58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5,110,536.90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587,798.42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150,774,439.15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三、筹资活动产生的现金流量：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380"/>
              <w:jc w:val="left"/>
              <w:rPr>
                <w:sz w:val="18"/>
                <w:szCs w:val="18"/>
              </w:rPr>
            </w:pPr>
            <w:r>
              <w:rPr>
                <w:color w:val="000000"/>
                <w:spacing w:val="0"/>
                <w:w w:val="100"/>
                <w:position w:val="0"/>
                <w:sz w:val="18"/>
                <w:szCs w:val="18"/>
              </w:rPr>
              <w:t>其中：子公司吸收少数股东投资 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left"/>
              <w:rPr>
                <w:sz w:val="18"/>
                <w:szCs w:val="18"/>
              </w:rPr>
            </w:pPr>
            <w:r>
              <w:rPr>
                <w:color w:val="000000"/>
                <w:spacing w:val="0"/>
                <w:w w:val="100"/>
                <w:position w:val="0"/>
                <w:sz w:val="18"/>
                <w:szCs w:val="18"/>
              </w:rPr>
              <w:t>分配股利、利润或偿付利息支付 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10,486,766.27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9,157,110.91</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380"/>
              <w:jc w:val="left"/>
              <w:rPr>
                <w:sz w:val="18"/>
                <w:szCs w:val="18"/>
              </w:rPr>
            </w:pPr>
            <w:r>
              <w:rPr>
                <w:color w:val="000000"/>
                <w:spacing w:val="0"/>
                <w:w w:val="100"/>
                <w:position w:val="0"/>
                <w:sz w:val="18"/>
                <w:szCs w:val="18"/>
              </w:rPr>
              <w:t>其中：子公司支付给少数股东的 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支付其他与筹资活动有关的现金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40,486,766.27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9,157,110.91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-10,486,766.27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20,842,889.09</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四、汇率变动对现金及现金等价物的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-28,898,441.75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166,645,726.05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加：期初现金及现金等价物余额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275,011,614.40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108,365,888.35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246,113,172.65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275,011,614.40</w:t>
            </w:r>
          </w:p>
        </w:tc>
      </w:tr>
    </w:tbl>
    <w:p>
      <w:pPr>
        <w:widowControl w:val="0"/>
        <w:spacing w:after="299" w:line="1" w:lineRule="exact"/>
      </w:pPr>
    </w:p>
    <w:p>
      <w:pPr>
        <w:pStyle w:val="Style44"/>
        <w:keepNext/>
        <w:keepLines/>
        <w:widowControl w:val="0"/>
        <w:shd w:val="clear" w:color="auto" w:fill="auto"/>
        <w:bidi w:val="0"/>
        <w:spacing w:before="0" w:after="380" w:line="240" w:lineRule="auto"/>
        <w:ind w:left="0" w:right="0" w:firstLine="0"/>
        <w:jc w:val="left"/>
      </w:pPr>
      <w:bookmarkStart w:id="779" w:name="bookmark779"/>
      <w:bookmarkStart w:id="780" w:name="bookmark780"/>
      <w:bookmarkStart w:id="781" w:name="bookmark781"/>
      <w:bookmarkStart w:id="782" w:name="bookmark782"/>
      <w:r>
        <w:rPr>
          <w:rFonts w:ascii="Times New Roman" w:eastAsia="Times New Roman" w:hAnsi="Times New Roman" w:cs="Times New Roman"/>
          <w:color w:val="000000"/>
          <w:spacing w:val="0"/>
          <w:w w:val="100"/>
          <w:position w:val="0"/>
        </w:rPr>
        <w:t>6</w:t>
      </w:r>
      <w:bookmarkEnd w:id="781"/>
      <w:r>
        <w:rPr>
          <w:color w:val="000000"/>
          <w:spacing w:val="0"/>
          <w:w w:val="100"/>
          <w:position w:val="0"/>
        </w:rPr>
        <w:t>、母公司现金流量表</w:t>
      </w:r>
      <w:bookmarkEnd w:id="779"/>
      <w:bookmarkEnd w:id="780"/>
      <w:bookmarkEnd w:id="782"/>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1"/>
        <w:gridCol w:w="3302"/>
        <w:gridCol w:w="3312"/>
      </w:tblGrid>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bl>
    <w:p>
      <w:pPr>
        <w:widowControl w:val="0"/>
        <w:spacing w:line="1" w:lineRule="exact"/>
      </w:pPr>
      <w:r>
        <w:br w:type="page"/>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一、经营活动产生的现金流量：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销售商品、提供劳务收到的现金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336,744,419.68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357,932,353.29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14,019,756.80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16,149,373.26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350,764,176.48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374,081,726.55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购买商品、接受劳务支付的现金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279,514,836.33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279,598,287.07</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380"/>
              <w:jc w:val="both"/>
              <w:rPr>
                <w:sz w:val="18"/>
                <w:szCs w:val="18"/>
              </w:rPr>
            </w:pPr>
            <w:r>
              <w:rPr>
                <w:color w:val="000000"/>
                <w:spacing w:val="0"/>
                <w:w w:val="100"/>
                <w:position w:val="0"/>
                <w:sz w:val="18"/>
                <w:szCs w:val="18"/>
              </w:rPr>
              <w:t>支付给职工以及为职工支付的现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20,894,605.38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41,242,645.69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9,240,161.97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11,513,929.13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40,553,898.19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42,990,343.33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350,203,501.87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375,345,205.22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560,674.61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-1,263,478.67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二、投资活动产生的现金流量：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153,884,976.05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取得投资收益收到的现金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2,000,000.00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both"/>
              <w:rPr>
                <w:sz w:val="18"/>
                <w:szCs w:val="18"/>
              </w:rPr>
            </w:pPr>
            <w:r>
              <w:rPr>
                <w:color w:val="000000"/>
                <w:spacing w:val="0"/>
                <w:w w:val="100"/>
                <w:position w:val="0"/>
                <w:sz w:val="18"/>
                <w:szCs w:val="18"/>
              </w:rPr>
              <w:t>处置固定资产、无形资产和其他 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both"/>
              <w:rPr>
                <w:sz w:val="18"/>
                <w:szCs w:val="18"/>
              </w:rPr>
            </w:pPr>
            <w:r>
              <w:rPr>
                <w:color w:val="000000"/>
                <w:spacing w:val="0"/>
                <w:w w:val="100"/>
                <w:position w:val="0"/>
                <w:sz w:val="18"/>
                <w:szCs w:val="18"/>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4,010,000.00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155,884,976.05</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both"/>
              <w:rPr>
                <w:sz w:val="18"/>
                <w:szCs w:val="18"/>
              </w:rPr>
            </w:pPr>
            <w:r>
              <w:rPr>
                <w:color w:val="000000"/>
                <w:spacing w:val="0"/>
                <w:w w:val="100"/>
                <w:position w:val="0"/>
                <w:sz w:val="18"/>
                <w:szCs w:val="18"/>
              </w:rPr>
              <w:t>购建固定资产、无形资产和其他 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3,269,187.49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4,500,621.97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56,000,000.00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both"/>
              <w:rPr>
                <w:sz w:val="18"/>
                <w:szCs w:val="18"/>
              </w:rPr>
            </w:pPr>
            <w:r>
              <w:rPr>
                <w:color w:val="000000"/>
                <w:spacing w:val="0"/>
                <w:w w:val="100"/>
                <w:position w:val="0"/>
                <w:sz w:val="18"/>
                <w:szCs w:val="18"/>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3,269,187.49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60,500,621.97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rFonts w:ascii="Times New Roman" w:eastAsia="Times New Roman" w:hAnsi="Times New Roman" w:cs="Times New Roman"/>
                <w:color w:val="000000"/>
                <w:spacing w:val="0"/>
                <w:w w:val="100"/>
                <w:position w:val="0"/>
                <w:sz w:val="18"/>
                <w:szCs w:val="18"/>
              </w:rPr>
              <w:t>740,812.51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95,384,354.08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三、筹资活动产生的现金流量：</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偿还债务支付的现金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12"/>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380"/>
              <w:jc w:val="left"/>
              <w:rPr>
                <w:sz w:val="18"/>
                <w:szCs w:val="18"/>
              </w:rPr>
            </w:pPr>
            <w:r>
              <w:rPr>
                <w:color w:val="000000"/>
                <w:spacing w:val="0"/>
                <w:w w:val="100"/>
                <w:position w:val="0"/>
                <w:sz w:val="18"/>
                <w:szCs w:val="18"/>
              </w:rPr>
              <w:t>分配股利、利润或偿付利息支付 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10,486,766.27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9,157,110.91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支付其他与筹资活动有关的现金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40,486,766.27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9,157,110.91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-10,486,766.27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20,842,889.09</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四、汇率变动对现金及现金等价物的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-9,185,279.15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114,963,764.50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加：期初现金及现金等价物余额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204,435,841.08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89,472,076.58</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195,250,561.93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204,435,841.08</w:t>
            </w:r>
          </w:p>
        </w:tc>
      </w:tr>
    </w:tbl>
    <w:p>
      <w:pPr>
        <w:widowControl w:val="0"/>
        <w:spacing w:after="299" w:line="1" w:lineRule="exact"/>
      </w:pPr>
    </w:p>
    <w:p>
      <w:pPr>
        <w:pStyle w:val="Style44"/>
        <w:keepNext/>
        <w:keepLines/>
        <w:widowControl w:val="0"/>
        <w:shd w:val="clear" w:color="auto" w:fill="auto"/>
        <w:bidi w:val="0"/>
        <w:spacing w:before="0" w:after="380" w:line="240" w:lineRule="auto"/>
        <w:ind w:left="0" w:right="0" w:firstLine="0"/>
        <w:jc w:val="left"/>
      </w:pPr>
      <w:bookmarkStart w:id="783" w:name="bookmark783"/>
      <w:bookmarkStart w:id="784" w:name="bookmark784"/>
      <w:bookmarkStart w:id="785" w:name="bookmark785"/>
      <w:bookmarkStart w:id="786" w:name="bookmark786"/>
      <w:r>
        <w:rPr>
          <w:rFonts w:ascii="Times New Roman" w:eastAsia="Times New Roman" w:hAnsi="Times New Roman" w:cs="Times New Roman"/>
          <w:color w:val="000000"/>
          <w:spacing w:val="0"/>
          <w:w w:val="100"/>
          <w:position w:val="0"/>
        </w:rPr>
        <w:t>7</w:t>
      </w:r>
      <w:bookmarkEnd w:id="785"/>
      <w:r>
        <w:rPr>
          <w:color w:val="000000"/>
          <w:spacing w:val="0"/>
          <w:w w:val="100"/>
          <w:position w:val="0"/>
        </w:rPr>
        <w:t>、合并所有者权益变动表</w:t>
      </w:r>
      <w:bookmarkEnd w:id="783"/>
      <w:bookmarkEnd w:id="784"/>
      <w:bookmarkEnd w:id="786"/>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本期金额</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58"/>
        <w:gridCol w:w="499"/>
        <w:gridCol w:w="461"/>
        <w:gridCol w:w="470"/>
        <w:gridCol w:w="466"/>
        <w:gridCol w:w="581"/>
        <w:gridCol w:w="586"/>
        <w:gridCol w:w="586"/>
        <w:gridCol w:w="581"/>
        <w:gridCol w:w="586"/>
        <w:gridCol w:w="581"/>
        <w:gridCol w:w="590"/>
        <w:gridCol w:w="581"/>
        <w:gridCol w:w="586"/>
        <w:gridCol w:w="581"/>
        <w:gridCol w:w="590"/>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项目</w:t>
            </w:r>
          </w:p>
        </w:tc>
        <w:tc>
          <w:tcPr>
            <w:gridSpan w:val="15"/>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r>
      <w:tr>
        <w:trPr>
          <w:trHeight w:val="403" w:hRule="exact"/>
        </w:trPr>
        <w:tc>
          <w:tcPr>
            <w:vMerge/>
            <w:tcBorders>
              <w:left w:val="single" w:sz="4"/>
            </w:tcBorders>
            <w:shd w:val="clear" w:color="auto" w:fill="D4D4D4"/>
            <w:vAlign w:val="center"/>
          </w:tcPr>
          <w:p>
            <w:pPr/>
          </w:p>
        </w:tc>
        <w:tc>
          <w:tcPr>
            <w:gridSpan w:val="1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归属于母公司所有者权益</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少数 股东 权益</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所有 者权 益合 计</w:t>
            </w:r>
          </w:p>
        </w:tc>
      </w:tr>
      <w:tr>
        <w:trPr>
          <w:trHeight w:val="403" w:hRule="exact"/>
        </w:trPr>
        <w:tc>
          <w:tcPr>
            <w:vMerge/>
            <w:tcBorders>
              <w:left w:val="single" w:sz="4"/>
            </w:tcBorders>
            <w:shd w:val="clear" w:color="auto" w:fill="D4D4D4"/>
            <w:vAlign w:val="center"/>
          </w:tcPr>
          <w:p>
            <w:pP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股本</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其他权益工具</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资本</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公积</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减：库 存股</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其他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综合</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收益</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专项 储备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盈余 公积</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一般</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风险</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准备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未分 配利 润</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小计</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710"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优先</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永续 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456"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一、上年期末余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592,93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592,94</w:t>
            </w:r>
          </w:p>
        </w:tc>
      </w:tr>
      <w:tr>
        <w:trPr>
          <w:trHeight w:val="302" w:hRule="exact"/>
        </w:trPr>
        <w:tc>
          <w:tcPr>
            <w:tcBorders>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额</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7,745.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,640.9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0,748.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5,135.</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4,842.</w:t>
            </w:r>
          </w:p>
        </w:tc>
      </w:tr>
      <w:tr>
        <w:trPr>
          <w:trHeight w:val="274" w:hRule="exact"/>
        </w:trPr>
        <w:tc>
          <w:tcPr>
            <w:tcBorders>
              <w:left w:val="single" w:sz="4"/>
            </w:tcBorders>
            <w:shd w:val="clear" w:color="auto" w:fill="D4D4D4"/>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w:t>
            </w:r>
          </w:p>
        </w:tc>
      </w:tr>
      <w:tr>
        <w:trPr>
          <w:trHeight w:val="355"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加：会计政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同一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72"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326" w:lineRule="exact"/>
              <w:ind w:left="0" w:right="0" w:firstLine="0"/>
              <w:jc w:val="left"/>
              <w:rPr>
                <w:sz w:val="18"/>
                <w:szCs w:val="18"/>
              </w:rPr>
            </w:pPr>
            <w:r>
              <w:rPr>
                <w:color w:val="000000"/>
                <w:spacing w:val="0"/>
                <w:w w:val="100"/>
                <w:position w:val="0"/>
                <w:sz w:val="18"/>
                <w:szCs w:val="18"/>
              </w:rPr>
              <w:t>控制下企业合 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6"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二、本年期初余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178,36</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592,93</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592,94</w:t>
            </w:r>
          </w:p>
        </w:tc>
      </w:tr>
      <w:tr>
        <w:trPr>
          <w:trHeight w:val="158" w:hRule="exact"/>
        </w:trPr>
        <w:tc>
          <w:tcPr>
            <w:vMerge w:val="restart"/>
            <w:tcBorders>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额</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7,745.</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,640.9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0,748.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5,135.</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4,842.</w:t>
            </w:r>
          </w:p>
        </w:tc>
      </w:tr>
      <w:tr>
        <w:trPr>
          <w:trHeight w:val="144" w:hRule="exact"/>
        </w:trPr>
        <w:tc>
          <w:tcPr>
            <w:vMerge/>
            <w:tcBorders>
              <w:left w:val="single" w:sz="4"/>
            </w:tcBorders>
            <w:shd w:val="clear" w:color="auto" w:fill="D4D4D4"/>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w:t>
            </w:r>
          </w:p>
        </w:tc>
        <w:tc>
          <w:tcPr>
            <w:tcBorders>
              <w:left w:val="single" w:sz="4"/>
              <w:right w:val="single" w:sz="4"/>
            </w:tcBorders>
            <w:shd w:val="clear" w:color="auto" w:fill="FFFFFF"/>
            <w:vAlign w:val="top"/>
          </w:tcPr>
          <w:p>
            <w:pPr>
              <w:widowControl w:val="0"/>
              <w:rPr>
                <w:sz w:val="10"/>
                <w:szCs w:val="10"/>
              </w:rPr>
            </w:pPr>
          </w:p>
        </w:tc>
      </w:tr>
      <w:tr>
        <w:trPr>
          <w:trHeight w:val="274" w:hRule="exact"/>
        </w:trPr>
        <w:tc>
          <w:tcPr>
            <w:vMerge/>
            <w:tcBorders>
              <w:left w:val="single" w:sz="4"/>
            </w:tcBorders>
            <w:shd w:val="clear" w:color="auto" w:fill="D4D4D4"/>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w:t>
            </w:r>
          </w:p>
        </w:tc>
      </w:tr>
      <w:tr>
        <w:trPr>
          <w:trHeight w:val="600"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341" w:lineRule="exact"/>
              <w:ind w:left="0" w:right="0" w:firstLine="0"/>
              <w:jc w:val="left"/>
              <w:rPr>
                <w:sz w:val="18"/>
                <w:szCs w:val="18"/>
              </w:rPr>
            </w:pPr>
            <w:r>
              <w:rPr>
                <w:color w:val="000000"/>
                <w:spacing w:val="0"/>
                <w:w w:val="100"/>
                <w:position w:val="0"/>
                <w:sz w:val="18"/>
                <w:szCs w:val="18"/>
              </w:rPr>
              <w:t>三、本期增减变 动金额（减少以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21,429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,429.0</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23,560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248,68</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23,808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,702.8</w:t>
            </w:r>
          </w:p>
        </w:tc>
      </w:tr>
      <w:tr>
        <w:trPr>
          <w:trHeight w:val="144" w:hRule="exact"/>
        </w:trPr>
        <w:tc>
          <w:tcPr>
            <w:tcBorders>
              <w:left w:val="single" w:sz="4"/>
            </w:tcBorders>
            <w:shd w:val="clear" w:color="auto" w:fill="D4D4D4"/>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588.42</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5.38</w:t>
            </w:r>
          </w:p>
        </w:tc>
        <w:tc>
          <w:tcPr>
            <w:vMerge/>
            <w:tcBorders>
              <w:left w:val="single" w:sz="4"/>
              <w:right w:val="single" w:sz="4"/>
            </w:tcBorders>
            <w:shd w:val="clear" w:color="auto" w:fill="FFFFFF"/>
            <w:vAlign w:val="center"/>
          </w:tcPr>
          <w:p>
            <w:pPr/>
          </w:p>
        </w:tc>
      </w:tr>
      <w:tr>
        <w:trPr>
          <w:trHeight w:val="278"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（一）综合收益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32,560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32,560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248,68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32,808</w:t>
            </w:r>
          </w:p>
        </w:tc>
      </w:tr>
    </w:tbl>
    <w:p>
      <w:pPr>
        <w:widowControl w:val="0"/>
        <w:spacing w:line="1" w:lineRule="exact"/>
      </w:pPr>
      <w:r>
        <w:br w:type="page"/>
      </w:r>
    </w:p>
    <w:tbl>
      <w:tblPr>
        <w:tblOverlap w:val="never"/>
        <w:jc w:val="center"/>
        <w:tblLayout w:type="fixed"/>
      </w:tblPr>
      <w:tblGrid>
        <w:gridCol w:w="1258"/>
        <w:gridCol w:w="499"/>
        <w:gridCol w:w="461"/>
        <w:gridCol w:w="470"/>
        <w:gridCol w:w="466"/>
        <w:gridCol w:w="581"/>
        <w:gridCol w:w="586"/>
        <w:gridCol w:w="586"/>
        <w:gridCol w:w="581"/>
        <w:gridCol w:w="586"/>
        <w:gridCol w:w="581"/>
        <w:gridCol w:w="590"/>
        <w:gridCol w:w="581"/>
        <w:gridCol w:w="586"/>
        <w:gridCol w:w="581"/>
        <w:gridCol w:w="590"/>
      </w:tblGrid>
      <w:tr>
        <w:trPr>
          <w:trHeight w:val="682" w:hRule="exact"/>
        </w:trPr>
        <w:tc>
          <w:tcPr>
            <w:tcBorders>
              <w:top w:val="single" w:sz="4"/>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sz w:val="18"/>
                <w:szCs w:val="18"/>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588.42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-11,13</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0,588.</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588.42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-2,130,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588.42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提取一般风</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sz w:val="18"/>
                <w:szCs w:val="18"/>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.盈余公积弥</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w:t>
            </w:r>
            <w:r>
              <w:rPr>
                <w:color w:val="000000"/>
                <w:spacing w:val="0"/>
                <w:w w:val="100"/>
                <w:position w:val="0"/>
                <w:sz w:val="18"/>
                <w:szCs w:val="18"/>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.其他综合收 益结转留存收 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58"/>
        <w:gridCol w:w="499"/>
        <w:gridCol w:w="461"/>
        <w:gridCol w:w="470"/>
        <w:gridCol w:w="466"/>
        <w:gridCol w:w="581"/>
        <w:gridCol w:w="586"/>
        <w:gridCol w:w="586"/>
        <w:gridCol w:w="581"/>
        <w:gridCol w:w="586"/>
        <w:gridCol w:w="581"/>
        <w:gridCol w:w="590"/>
        <w:gridCol w:w="581"/>
        <w:gridCol w:w="586"/>
        <w:gridCol w:w="581"/>
        <w:gridCol w:w="59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left"/>
              <w:rPr>
                <w:sz w:val="18"/>
                <w:szCs w:val="18"/>
              </w:rPr>
            </w:pPr>
            <w:r>
              <w:rPr>
                <w:color w:val="000000"/>
                <w:spacing w:val="0"/>
                <w:w w:val="100"/>
                <w:position w:val="0"/>
                <w:sz w:val="18"/>
                <w:szCs w:val="18"/>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p>
            <w:pPr>
              <w:pStyle w:val="Style2"/>
              <w:keepNext w:val="0"/>
              <w:keepLines w:val="0"/>
              <w:widowControl w:val="0"/>
              <w:shd w:val="clear" w:color="auto" w:fill="auto"/>
              <w:bidi w:val="0"/>
              <w:spacing w:before="0" w:after="8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178,36</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7,745.</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36,302</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,229.4</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221,91</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0,177.</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616,49</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5,153.</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258,39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616,75</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3,545.</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上期金额</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19"/>
        <w:gridCol w:w="490"/>
        <w:gridCol w:w="451"/>
        <w:gridCol w:w="446"/>
        <w:gridCol w:w="490"/>
        <w:gridCol w:w="576"/>
        <w:gridCol w:w="576"/>
        <w:gridCol w:w="581"/>
        <w:gridCol w:w="576"/>
        <w:gridCol w:w="576"/>
        <w:gridCol w:w="576"/>
        <w:gridCol w:w="590"/>
        <w:gridCol w:w="566"/>
        <w:gridCol w:w="566"/>
        <w:gridCol w:w="643"/>
        <w:gridCol w:w="662"/>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项目</w:t>
            </w:r>
          </w:p>
        </w:tc>
        <w:tc>
          <w:tcPr>
            <w:gridSpan w:val="15"/>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年年度</w:t>
            </w:r>
          </w:p>
        </w:tc>
      </w:tr>
      <w:tr>
        <w:trPr>
          <w:trHeight w:val="398" w:hRule="exact"/>
        </w:trPr>
        <w:tc>
          <w:tcPr>
            <w:vMerge/>
            <w:tcBorders>
              <w:left w:val="single" w:sz="4"/>
            </w:tcBorders>
            <w:shd w:val="clear" w:color="auto" w:fill="D4D4D4"/>
            <w:vAlign w:val="center"/>
          </w:tcPr>
          <w:p>
            <w:pPr/>
          </w:p>
        </w:tc>
        <w:tc>
          <w:tcPr>
            <w:gridSpan w:val="1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归属于母公司所有者权益</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8"/>
                <w:szCs w:val="18"/>
              </w:rPr>
              <w:t>少数股</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东权益</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所有者 权益合 计</w:t>
            </w:r>
          </w:p>
        </w:tc>
      </w:tr>
      <w:tr>
        <w:trPr>
          <w:trHeight w:val="403" w:hRule="exact"/>
        </w:trPr>
        <w:tc>
          <w:tcPr>
            <w:vMerge/>
            <w:tcBorders>
              <w:left w:val="single" w:sz="4"/>
            </w:tcBorders>
            <w:shd w:val="clear" w:color="auto" w:fill="D4D4D4"/>
            <w:vAlign w:val="center"/>
          </w:tcPr>
          <w:p>
            <w:pP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股本</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其他权益工具</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资本</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公积</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减：库</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存股</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其他</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综合</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收益</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专项 储备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盈余 公积</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一般</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风险</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准备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未分 配利 润</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小计</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715"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优先</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永续 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451"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一、上年期末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566,64</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-589,62</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566,056</w:t>
            </w:r>
          </w:p>
        </w:tc>
      </w:tr>
      <w:tr>
        <w:trPr>
          <w:trHeight w:val="158" w:hRule="exact"/>
        </w:trPr>
        <w:tc>
          <w:tcPr>
            <w:vMerge w:val="restart"/>
            <w:tcBorders>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余额</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7,745.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9,316.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6,168.</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144" w:hRule="exact"/>
        </w:trPr>
        <w:tc>
          <w:tcPr>
            <w:vMerge/>
            <w:tcBorders>
              <w:left w:val="single" w:sz="4"/>
            </w:tcBorders>
            <w:shd w:val="clear" w:color="auto" w:fill="D4D4D4"/>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4.92</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,543.47</w:t>
            </w:r>
          </w:p>
        </w:tc>
      </w:tr>
      <w:tr>
        <w:trPr>
          <w:trHeight w:val="274" w:hRule="exact"/>
        </w:trPr>
        <w:tc>
          <w:tcPr>
            <w:vMerge/>
            <w:tcBorders>
              <w:left w:val="single" w:sz="4"/>
            </w:tcBorders>
            <w:shd w:val="clear" w:color="auto" w:fill="D4D4D4"/>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82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365"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加：会计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政策变更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同一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7"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326" w:lineRule="exact"/>
              <w:ind w:left="0" w:right="0" w:firstLine="0"/>
              <w:jc w:val="both"/>
              <w:rPr>
                <w:sz w:val="18"/>
                <w:szCs w:val="18"/>
              </w:rPr>
            </w:pPr>
            <w:r>
              <w:rPr>
                <w:color w:val="000000"/>
                <w:spacing w:val="0"/>
                <w:w w:val="100"/>
                <w:position w:val="0"/>
                <w:sz w:val="18"/>
                <w:szCs w:val="18"/>
              </w:rPr>
              <w:t>控制下企业合 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vMerge w:val="restart"/>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二、本年期初</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31,629</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176,73</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D4D4D4"/>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w:t>
            </w: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-589,62</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566,056</w:t>
            </w:r>
          </w:p>
        </w:tc>
      </w:tr>
      <w:tr>
        <w:trPr>
          <w:trHeight w:val="154" w:hRule="exact"/>
        </w:trPr>
        <w:tc>
          <w:tcPr>
            <w:vMerge w:val="restart"/>
            <w:tcBorders>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余额</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7,745.</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4,316.</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6,168.</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149" w:hRule="exact"/>
        </w:trPr>
        <w:tc>
          <w:tcPr>
            <w:vMerge/>
            <w:tcBorders>
              <w:left w:val="single" w:sz="4"/>
            </w:tcBorders>
            <w:shd w:val="clear" w:color="auto" w:fill="D4D4D4"/>
            <w:vAlign w:val="bottom"/>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4.92</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,543.47</w:t>
            </w:r>
          </w:p>
        </w:tc>
      </w:tr>
      <w:tr>
        <w:trPr>
          <w:trHeight w:val="274" w:hRule="exact"/>
        </w:trPr>
        <w:tc>
          <w:tcPr>
            <w:tcBorders>
              <w:left w:val="single" w:sz="4"/>
            </w:tcBorders>
            <w:shd w:val="clear" w:color="auto" w:fill="D4D4D4"/>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442" w:hRule="exact"/>
        </w:trPr>
        <w:tc>
          <w:tcPr>
            <w:vMerge w:val="restart"/>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120" w:line="240" w:lineRule="auto"/>
              <w:ind w:left="0" w:right="0" w:firstLine="0"/>
              <w:jc w:val="both"/>
              <w:rPr>
                <w:sz w:val="18"/>
                <w:szCs w:val="18"/>
              </w:rPr>
            </w:pPr>
            <w:r>
              <w:rPr>
                <w:color w:val="000000"/>
                <w:spacing w:val="0"/>
                <w:w w:val="100"/>
                <w:position w:val="0"/>
                <w:sz w:val="18"/>
                <w:szCs w:val="18"/>
              </w:rPr>
              <w:t>三、本期增减</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变动金额（减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23,746</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8" w:hRule="exact"/>
        </w:trPr>
        <w:tc>
          <w:tcPr>
            <w:vMerge/>
            <w:tcBorders>
              <w:left w:val="single" w:sz="4"/>
            </w:tcBorders>
            <w:shd w:val="clear" w:color="auto" w:fill="D4D4D4"/>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w:t>
            </w: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599,332</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26,888,</w:t>
            </w:r>
          </w:p>
        </w:tc>
      </w:tr>
      <w:tr>
        <w:trPr>
          <w:trHeight w:val="134" w:hRule="exact"/>
        </w:trPr>
        <w:tc>
          <w:tcPr>
            <w:tcBorders>
              <w:left w:val="single" w:sz="4"/>
            </w:tcBorders>
            <w:shd w:val="clear" w:color="auto" w:fill="D4D4D4"/>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,432.5</w:t>
            </w: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,967.1</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163" w:hRule="exact"/>
        </w:trPr>
        <w:tc>
          <w:tcPr>
            <w:vMerge w:val="restart"/>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534.62</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299.44</w:t>
            </w:r>
          </w:p>
        </w:tc>
      </w:tr>
      <w:tr>
        <w:trPr>
          <w:trHeight w:val="144" w:hRule="exact"/>
        </w:trPr>
        <w:tc>
          <w:tcPr>
            <w:vMerge/>
            <w:tcBorders>
              <w:left w:val="single" w:sz="4"/>
            </w:tcBorders>
            <w:shd w:val="clear" w:color="auto" w:fill="D4D4D4"/>
            <w:vAlign w:val="top"/>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widowControl w:val="0"/>
              <w:rPr>
                <w:sz w:val="10"/>
                <w:szCs w:val="10"/>
              </w:rPr>
            </w:pPr>
          </w:p>
        </w:tc>
      </w:tr>
      <w:tr>
        <w:trPr>
          <w:trHeight w:val="288"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列）</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586" w:hRule="exact"/>
        </w:trPr>
        <w:tc>
          <w:tcPr>
            <w:vMerge w:val="restart"/>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（一）综合收 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35,288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,967.1</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35,288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,967.1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599,332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35,888,</w:t>
            </w:r>
          </w:p>
        </w:tc>
      </w:tr>
      <w:tr>
        <w:trPr>
          <w:trHeight w:val="163" w:hRule="exact"/>
        </w:trPr>
        <w:tc>
          <w:tcPr>
            <w:vMerge/>
            <w:tcBorders>
              <w:left w:val="single" w:sz="4"/>
            </w:tcBorders>
            <w:shd w:val="clear" w:color="auto" w:fill="D4D4D4"/>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299.44</w:t>
            </w:r>
          </w:p>
        </w:tc>
      </w:tr>
      <w:tr>
        <w:trPr>
          <w:trHeight w:val="274" w:hRule="exact"/>
        </w:trPr>
        <w:tc>
          <w:tcPr>
            <w:tcBorders>
              <w:left w:val="single" w:sz="4"/>
            </w:tcBorders>
            <w:shd w:val="clear" w:color="auto" w:fill="D4D4D4"/>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682"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color w:val="000000"/>
                <w:spacing w:val="0"/>
                <w:w w:val="100"/>
                <w:position w:val="0"/>
                <w:sz w:val="18"/>
                <w:szCs w:val="18"/>
              </w:rPr>
              <w:t>（二）所有者</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投入和减少资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19"/>
        <w:gridCol w:w="490"/>
        <w:gridCol w:w="451"/>
        <w:gridCol w:w="446"/>
        <w:gridCol w:w="490"/>
        <w:gridCol w:w="576"/>
        <w:gridCol w:w="576"/>
        <w:gridCol w:w="581"/>
        <w:gridCol w:w="576"/>
        <w:gridCol w:w="576"/>
        <w:gridCol w:w="576"/>
        <w:gridCol w:w="590"/>
        <w:gridCol w:w="566"/>
        <w:gridCol w:w="566"/>
        <w:gridCol w:w="643"/>
        <w:gridCol w:w="662"/>
      </w:tblGrid>
      <w:tr>
        <w:trPr>
          <w:trHeight w:val="37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w:t>
            </w:r>
            <w:r>
              <w:rPr>
                <w:color w:val="000000"/>
                <w:spacing w:val="0"/>
                <w:w w:val="100"/>
                <w:position w:val="0"/>
                <w:sz w:val="18"/>
                <w:szCs w:val="18"/>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534.62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-11,54</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2,534.</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w:t>
            </w:r>
            <w:r>
              <w:rPr>
                <w:color w:val="000000"/>
                <w:spacing w:val="0"/>
                <w:w w:val="100"/>
                <w:position w:val="0"/>
                <w:sz w:val="18"/>
                <w:szCs w:val="18"/>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534.62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-2,542,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534.62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-提取一般风</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•对所有者</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（或股东）的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（四）所有者 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5"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w:t>
            </w:r>
            <w:r>
              <w:rPr>
                <w:color w:val="000000"/>
                <w:spacing w:val="0"/>
                <w:w w:val="100"/>
                <w:position w:val="0"/>
                <w:sz w:val="18"/>
                <w:szCs w:val="18"/>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-盈余公积弥</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（五）专项储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19"/>
        <w:gridCol w:w="490"/>
        <w:gridCol w:w="451"/>
        <w:gridCol w:w="446"/>
        <w:gridCol w:w="490"/>
        <w:gridCol w:w="576"/>
        <w:gridCol w:w="576"/>
        <w:gridCol w:w="581"/>
        <w:gridCol w:w="576"/>
        <w:gridCol w:w="576"/>
        <w:gridCol w:w="576"/>
        <w:gridCol w:w="590"/>
        <w:gridCol w:w="566"/>
        <w:gridCol w:w="566"/>
        <w:gridCol w:w="643"/>
        <w:gridCol w:w="662"/>
      </w:tblGrid>
      <w:tr>
        <w:trPr>
          <w:trHeight w:val="37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rPr>
              <w:t>四、本期期末</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p>
            <w:pPr>
              <w:pStyle w:val="Style2"/>
              <w:keepNext w:val="0"/>
              <w:keepLines w:val="0"/>
              <w:widowControl w:val="0"/>
              <w:shd w:val="clear" w:color="auto" w:fill="auto"/>
              <w:bidi w:val="0"/>
              <w:spacing w:before="0" w:after="8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178,36</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7,745.</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,640.9</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200,48</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0,748.</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592,93</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5,135.</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9,707.3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592,944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,842.91</w:t>
            </w:r>
          </w:p>
        </w:tc>
      </w:tr>
    </w:tbl>
    <w:p>
      <w:pPr>
        <w:widowControl w:val="0"/>
        <w:spacing w:after="299" w:line="1" w:lineRule="exact"/>
      </w:pPr>
    </w:p>
    <w:p>
      <w:pPr>
        <w:pStyle w:val="Style44"/>
        <w:keepNext/>
        <w:keepLines/>
        <w:widowControl w:val="0"/>
        <w:shd w:val="clear" w:color="auto" w:fill="auto"/>
        <w:bidi w:val="0"/>
        <w:spacing w:before="0" w:after="380" w:line="240" w:lineRule="auto"/>
        <w:ind w:left="0" w:right="0" w:firstLine="0"/>
        <w:jc w:val="left"/>
      </w:pPr>
      <w:bookmarkStart w:id="787" w:name="bookmark787"/>
      <w:bookmarkStart w:id="788" w:name="bookmark788"/>
      <w:bookmarkStart w:id="789" w:name="bookmark789"/>
      <w:bookmarkStart w:id="790" w:name="bookmark790"/>
      <w:r>
        <w:rPr>
          <w:rFonts w:ascii="Times New Roman" w:eastAsia="Times New Roman" w:hAnsi="Times New Roman" w:cs="Times New Roman"/>
          <w:color w:val="000000"/>
          <w:spacing w:val="0"/>
          <w:w w:val="100"/>
          <w:position w:val="0"/>
        </w:rPr>
        <w:t>8</w:t>
      </w:r>
      <w:bookmarkEnd w:id="789"/>
      <w:r>
        <w:rPr>
          <w:color w:val="000000"/>
          <w:spacing w:val="0"/>
          <w:w w:val="100"/>
          <w:position w:val="0"/>
        </w:rPr>
        <w:t>、母公司所有者权益变动表</w:t>
      </w:r>
      <w:bookmarkEnd w:id="787"/>
      <w:bookmarkEnd w:id="788"/>
      <w:bookmarkEnd w:id="790"/>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本期金额</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0"/>
        <w:gridCol w:w="634"/>
        <w:gridCol w:w="605"/>
        <w:gridCol w:w="600"/>
        <w:gridCol w:w="605"/>
        <w:gridCol w:w="725"/>
        <w:gridCol w:w="730"/>
        <w:gridCol w:w="725"/>
        <w:gridCol w:w="725"/>
        <w:gridCol w:w="730"/>
        <w:gridCol w:w="614"/>
        <w:gridCol w:w="710"/>
        <w:gridCol w:w="874"/>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1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年度</w:t>
            </w:r>
          </w:p>
        </w:tc>
      </w:tr>
      <w:tr>
        <w:trPr>
          <w:trHeight w:val="403" w:hRule="exact"/>
        </w:trPr>
        <w:tc>
          <w:tcPr>
            <w:vMerge/>
            <w:tcBorders>
              <w:left w:val="single" w:sz="4"/>
            </w:tcBorders>
            <w:shd w:val="clear" w:color="auto" w:fill="D4D4D4"/>
            <w:vAlign w:val="center"/>
          </w:tcPr>
          <w:p>
            <w:pP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股本</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其他权益工具</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资本公 积</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减：库存 股</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8"/>
                <w:szCs w:val="18"/>
              </w:rPr>
              <w:t>其他综</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合收益</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专项储 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盈余公 积</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未分配 利润</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8"/>
                <w:szCs w:val="18"/>
              </w:rPr>
              <w:t>所有者权</w:t>
            </w:r>
          </w:p>
          <w:p>
            <w:pPr>
              <w:pStyle w:val="Style2"/>
              <w:keepNext w:val="0"/>
              <w:keepLines w:val="0"/>
              <w:widowControl w:val="0"/>
              <w:shd w:val="clear" w:color="auto" w:fill="auto"/>
              <w:bidi w:val="0"/>
              <w:spacing w:before="0" w:after="0" w:line="240" w:lineRule="auto"/>
              <w:ind w:left="0" w:right="160" w:firstLine="0"/>
              <w:jc w:val="right"/>
              <w:rPr>
                <w:sz w:val="18"/>
                <w:szCs w:val="18"/>
              </w:rPr>
            </w:pPr>
            <w:r>
              <w:rPr>
                <w:color w:val="000000"/>
                <w:spacing w:val="0"/>
                <w:w w:val="100"/>
                <w:position w:val="0"/>
                <w:sz w:val="18"/>
                <w:szCs w:val="18"/>
              </w:rPr>
              <w:t>益合计</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优先股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一、上年期末余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p>
            <w:pPr>
              <w:pStyle w:val="Style2"/>
              <w:keepNext w:val="0"/>
              <w:keepLines w:val="0"/>
              <w:widowControl w:val="0"/>
              <w:shd w:val="clear" w:color="auto" w:fill="auto"/>
              <w:bidi w:val="0"/>
              <w:spacing w:before="0" w:after="8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178,845,</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571.61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w:t>
            </w:r>
          </w:p>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40.99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176,09</w:t>
            </w:r>
          </w:p>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6,988.7</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569,029,2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01.35</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加：会计政</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740"/>
              <w:jc w:val="left"/>
              <w:rPr>
                <w:sz w:val="18"/>
                <w:szCs w:val="18"/>
              </w:rPr>
            </w:pPr>
            <w:r>
              <w:rPr>
                <w:color w:val="000000"/>
                <w:spacing w:val="0"/>
                <w:w w:val="100"/>
                <w:position w:val="0"/>
                <w:sz w:val="18"/>
                <w:szCs w:val="18"/>
              </w:rPr>
              <w:t>前期</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二、本年期初余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p>
            <w:pPr>
              <w:pStyle w:val="Style2"/>
              <w:keepNext w:val="0"/>
              <w:keepLines w:val="0"/>
              <w:widowControl w:val="0"/>
              <w:shd w:val="clear" w:color="auto" w:fill="auto"/>
              <w:bidi w:val="0"/>
              <w:spacing w:before="0" w:after="8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178,845,</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571.61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w:t>
            </w:r>
          </w:p>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40.99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176,09</w:t>
            </w:r>
          </w:p>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6,988.7</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569,029,2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01.35</w:t>
            </w: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336" w:lineRule="exact"/>
              <w:ind w:left="0" w:right="0" w:firstLine="0"/>
              <w:jc w:val="left"/>
              <w:rPr>
                <w:sz w:val="18"/>
                <w:szCs w:val="18"/>
              </w:rPr>
            </w:pPr>
            <w:r>
              <w:rPr>
                <w:color w:val="000000"/>
                <w:spacing w:val="0"/>
                <w:w w:val="100"/>
                <w:position w:val="0"/>
                <w:sz w:val="18"/>
                <w:szCs w:val="18"/>
              </w:rPr>
              <w:t>三、本期增减变 动金额（减少以</w:t>
            </w:r>
          </w:p>
          <w:p>
            <w:pPr>
              <w:pStyle w:val="Style2"/>
              <w:keepNext w:val="0"/>
              <w:keepLines w:val="0"/>
              <w:widowControl w:val="0"/>
              <w:shd w:val="clear" w:color="auto" w:fill="auto"/>
              <w:bidi w:val="0"/>
              <w:spacing w:before="0" w:after="0" w:line="389"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2,130,58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11,013,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13,144,33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7.42</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22,144,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337.42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22,144,33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7.42</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.股份支付计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310"/>
        <w:gridCol w:w="634"/>
        <w:gridCol w:w="605"/>
        <w:gridCol w:w="600"/>
        <w:gridCol w:w="605"/>
        <w:gridCol w:w="725"/>
        <w:gridCol w:w="730"/>
        <w:gridCol w:w="725"/>
        <w:gridCol w:w="725"/>
        <w:gridCol w:w="730"/>
        <w:gridCol w:w="614"/>
        <w:gridCol w:w="710"/>
        <w:gridCol w:w="874"/>
      </w:tblGrid>
      <w:tr>
        <w:trPr>
          <w:trHeight w:val="68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2,130,58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-11,130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,588.42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2,130,58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-2,130,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588.42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-9,000,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sz w:val="18"/>
                <w:szCs w:val="18"/>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.盈余公积弥</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w:t>
            </w:r>
            <w:r>
              <w:rPr>
                <w:color w:val="000000"/>
                <w:spacing w:val="0"/>
                <w:w w:val="100"/>
                <w:position w:val="0"/>
                <w:sz w:val="18"/>
                <w:szCs w:val="18"/>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left"/>
              <w:rPr>
                <w:sz w:val="18"/>
                <w:szCs w:val="18"/>
              </w:rPr>
            </w:pPr>
            <w:r>
              <w:rPr>
                <w:color w:val="000000"/>
                <w:spacing w:val="0"/>
                <w:w w:val="100"/>
                <w:position w:val="0"/>
                <w:sz w:val="18"/>
                <w:szCs w:val="18"/>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178,845,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571.61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36,302,2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187,11</w:t>
            </w:r>
          </w:p>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0,737.7</w:t>
            </w:r>
          </w:p>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582,173,5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上期金额</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38"/>
        <w:gridCol w:w="595"/>
        <w:gridCol w:w="1714"/>
        <w:gridCol w:w="686"/>
        <w:gridCol w:w="686"/>
        <w:gridCol w:w="682"/>
        <w:gridCol w:w="782"/>
        <w:gridCol w:w="667"/>
        <w:gridCol w:w="797"/>
        <w:gridCol w:w="797"/>
        <w:gridCol w:w="941"/>
      </w:tblGrid>
      <w:tr>
        <w:trPr>
          <w:trHeight w:val="41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10"/>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年年度</w:t>
            </w:r>
          </w:p>
        </w:tc>
      </w:tr>
      <w:tr>
        <w:trPr>
          <w:trHeight w:val="408" w:hRule="exact"/>
        </w:trPr>
        <w:tc>
          <w:tcPr>
            <w:vMerge/>
            <w:tcBorders>
              <w:left w:val="single" w:sz="4"/>
              <w:bottom w:val="single" w:sz="4"/>
            </w:tcBorders>
            <w:shd w:val="clear" w:color="auto" w:fill="D4D4D4"/>
            <w:vAlign w:val="center"/>
          </w:tcPr>
          <w:p>
            <w:pP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股本</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其他权益工具</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资本公</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减:库存</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其他综</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专项储备</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盈余公</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未分配利</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w:t>
            </w:r>
          </w:p>
        </w:tc>
      </w:tr>
    </w:tbl>
    <w:p>
      <w:pPr>
        <w:widowControl w:val="0"/>
        <w:spacing w:line="1" w:lineRule="exact"/>
      </w:pPr>
      <w:r>
        <w:br w:type="page"/>
      </w:r>
    </w:p>
    <w:tbl>
      <w:tblPr>
        <w:tblOverlap w:val="never"/>
        <w:jc w:val="center"/>
        <w:tblLayout w:type="fixed"/>
      </w:tblPr>
      <w:tblGrid>
        <w:gridCol w:w="1238"/>
        <w:gridCol w:w="595"/>
        <w:gridCol w:w="571"/>
        <w:gridCol w:w="571"/>
        <w:gridCol w:w="571"/>
        <w:gridCol w:w="686"/>
        <w:gridCol w:w="686"/>
        <w:gridCol w:w="682"/>
        <w:gridCol w:w="782"/>
        <w:gridCol w:w="667"/>
        <w:gridCol w:w="797"/>
        <w:gridCol w:w="797"/>
        <w:gridCol w:w="941"/>
      </w:tblGrid>
      <w:tr>
        <w:trPr>
          <w:trHeight w:val="720"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优先</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永续 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积</w:t>
            </w:r>
          </w:p>
        </w:tc>
        <w:tc>
          <w:tcPr>
            <w:tcBorders>
              <w:top w:val="single" w:sz="4"/>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股</w:t>
            </w:r>
          </w:p>
        </w:tc>
        <w:tc>
          <w:tcPr>
            <w:tcBorders>
              <w:top w:val="single" w:sz="4"/>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合收益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240" w:firstLine="0"/>
              <w:jc w:val="right"/>
              <w:rPr>
                <w:sz w:val="18"/>
                <w:szCs w:val="18"/>
              </w:rPr>
            </w:pPr>
            <w:r>
              <w:rPr>
                <w:color w:val="000000"/>
                <w:spacing w:val="0"/>
                <w:w w:val="100"/>
                <w:position w:val="0"/>
                <w:sz w:val="18"/>
                <w:szCs w:val="18"/>
              </w:rPr>
              <w:t>积</w:t>
            </w:r>
          </w:p>
        </w:tc>
        <w:tc>
          <w:tcPr>
            <w:tcBorders>
              <w:top w:val="single" w:sz="4"/>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润</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益合计</w:t>
            </w: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一、上年期末余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p>
            <w:pPr>
              <w:pStyle w:val="Style2"/>
              <w:keepNext w:val="0"/>
              <w:keepLines w:val="0"/>
              <w:widowControl w:val="0"/>
              <w:shd w:val="clear" w:color="auto" w:fill="auto"/>
              <w:bidi w:val="0"/>
              <w:spacing w:before="0" w:after="8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178,845</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,571.61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31,629,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162,129,1</w:t>
            </w:r>
          </w:p>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77.15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552,603,85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380"/>
              <w:jc w:val="both"/>
              <w:rPr>
                <w:sz w:val="18"/>
                <w:szCs w:val="18"/>
              </w:rPr>
            </w:pPr>
            <w:r>
              <w:rPr>
                <w:color w:val="000000"/>
                <w:spacing w:val="0"/>
                <w:w w:val="100"/>
                <w:position w:val="0"/>
                <w:sz w:val="18"/>
                <w:szCs w:val="18"/>
              </w:rPr>
              <w:t>加:会计政</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740"/>
              <w:jc w:val="left"/>
              <w:rPr>
                <w:sz w:val="18"/>
                <w:szCs w:val="18"/>
              </w:rPr>
            </w:pPr>
            <w:r>
              <w:rPr>
                <w:color w:val="000000"/>
                <w:spacing w:val="0"/>
                <w:w w:val="100"/>
                <w:position w:val="0"/>
                <w:sz w:val="18"/>
                <w:szCs w:val="18"/>
              </w:rPr>
              <w:t>前期</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二、本年期初余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p>
            <w:pPr>
              <w:pStyle w:val="Style2"/>
              <w:keepNext w:val="0"/>
              <w:keepLines w:val="0"/>
              <w:widowControl w:val="0"/>
              <w:shd w:val="clear" w:color="auto" w:fill="auto"/>
              <w:bidi w:val="0"/>
              <w:spacing w:before="0" w:after="8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178,845</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,571.61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31,629,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162,214,1</w:t>
            </w:r>
          </w:p>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77.15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552,603,85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w:t>
            </w: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341" w:lineRule="exact"/>
              <w:ind w:left="0" w:right="0" w:firstLine="0"/>
              <w:jc w:val="both"/>
              <w:rPr>
                <w:sz w:val="18"/>
                <w:szCs w:val="18"/>
              </w:rPr>
            </w:pPr>
            <w:r>
              <w:rPr>
                <w:color w:val="000000"/>
                <w:spacing w:val="0"/>
                <w:w w:val="100"/>
                <w:position w:val="0"/>
                <w:sz w:val="18"/>
                <w:szCs w:val="18"/>
              </w:rPr>
              <w:t>三、本期增减变 动金额（减少以</w:t>
            </w:r>
          </w:p>
          <w:p>
            <w:pPr>
              <w:pStyle w:val="Style2"/>
              <w:keepNext w:val="0"/>
              <w:keepLines w:val="0"/>
              <w:widowControl w:val="0"/>
              <w:shd w:val="clear" w:color="auto" w:fill="auto"/>
              <w:bidi w:val="0"/>
              <w:spacing w:before="0" w:after="0" w:line="396"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13,882,81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16,425,346.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25,425,34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25,425,346.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sz w:val="18"/>
                <w:szCs w:val="18"/>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-11,542,5</w:t>
            </w:r>
          </w:p>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-2,542,53</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both"/>
              <w:rPr>
                <w:sz w:val="18"/>
                <w:szCs w:val="18"/>
              </w:rPr>
            </w:pPr>
            <w:r>
              <w:rPr>
                <w:color w:val="000000"/>
                <w:spacing w:val="0"/>
                <w:w w:val="100"/>
                <w:position w:val="0"/>
                <w:sz w:val="18"/>
                <w:szCs w:val="18"/>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sz w:val="18"/>
                <w:szCs w:val="18"/>
              </w:rPr>
              <w:t>.资本公积转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21"/>
          <w:footerReference w:type="default" r:id="rId222"/>
          <w:headerReference w:type="even" r:id="rId223"/>
          <w:footerReference w:type="even" r:id="rId224"/>
          <w:footnotePr>
            <w:pos w:val="pageBottom"/>
            <w:numFmt w:val="decimal"/>
            <w:numRestart w:val="continuous"/>
          </w:footnotePr>
          <w:pgSz w:w="11900" w:h="16840"/>
          <w:pgMar w:top="1436" w:right="1112" w:bottom="1441" w:left="1058" w:header="0" w:footer="3" w:gutter="0"/>
          <w:cols w:space="720"/>
          <w:noEndnote/>
          <w:rtlGutter w:val="0"/>
          <w:docGrid w:linePitch="360"/>
        </w:sectPr>
      </w:pPr>
    </w:p>
    <w:tbl>
      <w:tblPr>
        <w:tblOverlap w:val="never"/>
        <w:jc w:val="left"/>
        <w:tblLayout w:type="fixed"/>
      </w:tblPr>
      <w:tblGrid>
        <w:gridCol w:w="1238"/>
        <w:gridCol w:w="595"/>
        <w:gridCol w:w="571"/>
        <w:gridCol w:w="571"/>
        <w:gridCol w:w="571"/>
        <w:gridCol w:w="686"/>
        <w:gridCol w:w="686"/>
        <w:gridCol w:w="682"/>
        <w:gridCol w:w="782"/>
        <w:gridCol w:w="667"/>
        <w:gridCol w:w="797"/>
        <w:gridCol w:w="797"/>
        <w:gridCol w:w="941"/>
      </w:tblGrid>
      <w:tr>
        <w:trPr>
          <w:trHeight w:val="68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w:t>
            </w:r>
            <w:r>
              <w:rPr>
                <w:color w:val="000000"/>
                <w:spacing w:val="0"/>
                <w:w w:val="100"/>
                <w:position w:val="0"/>
                <w:sz w:val="18"/>
                <w:szCs w:val="18"/>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.盈余公积弥</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w:t>
            </w:r>
            <w:r>
              <w:rPr>
                <w:color w:val="000000"/>
                <w:spacing w:val="0"/>
                <w:w w:val="100"/>
                <w:position w:val="0"/>
                <w:sz w:val="18"/>
                <w:szCs w:val="18"/>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2"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left"/>
              <w:rPr>
                <w:sz w:val="18"/>
                <w:szCs w:val="18"/>
              </w:rPr>
            </w:pPr>
            <w:r>
              <w:rPr>
                <w:color w:val="000000"/>
                <w:spacing w:val="0"/>
                <w:w w:val="100"/>
                <w:position w:val="0"/>
                <w:sz w:val="18"/>
                <w:szCs w:val="18"/>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p>
            <w:pPr>
              <w:pStyle w:val="Style2"/>
              <w:keepNext w:val="0"/>
              <w:keepLines w:val="0"/>
              <w:widowControl w:val="0"/>
              <w:shd w:val="clear" w:color="auto" w:fill="auto"/>
              <w:bidi w:val="0"/>
              <w:spacing w:before="0" w:after="8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178,845</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,571.61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640.99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176,096,9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569,029,20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w:t>
            </w:r>
          </w:p>
        </w:tc>
      </w:tr>
    </w:tbl>
    <w:p>
      <w:pPr>
        <w:widowControl w:val="0"/>
        <w:spacing w:after="299" w:line="1" w:lineRule="exact"/>
      </w:pPr>
    </w:p>
    <w:p>
      <w:pPr>
        <w:pStyle w:val="Style33"/>
        <w:keepNext/>
        <w:keepLines/>
        <w:widowControl w:val="0"/>
        <w:shd w:val="clear" w:color="auto" w:fill="auto"/>
        <w:bidi w:val="0"/>
        <w:spacing w:before="0" w:after="440" w:line="240" w:lineRule="auto"/>
        <w:ind w:left="0" w:right="0" w:firstLine="0"/>
        <w:jc w:val="left"/>
      </w:pPr>
      <w:bookmarkStart w:id="791" w:name="bookmark791"/>
      <w:bookmarkStart w:id="792" w:name="bookmark792"/>
      <w:bookmarkStart w:id="793" w:name="bookmark793"/>
      <w:bookmarkStart w:id="794" w:name="bookmark794"/>
      <w:r>
        <w:rPr>
          <w:color w:val="000000"/>
          <w:spacing w:val="0"/>
          <w:w w:val="100"/>
          <w:position w:val="0"/>
          <w:sz w:val="24"/>
          <w:szCs w:val="24"/>
        </w:rPr>
        <w:t>三</w:t>
      </w:r>
      <w:bookmarkEnd w:id="793"/>
      <w:r>
        <w:rPr>
          <w:color w:val="000000"/>
          <w:spacing w:val="0"/>
          <w:w w:val="100"/>
          <w:position w:val="0"/>
          <w:sz w:val="24"/>
          <w:szCs w:val="24"/>
        </w:rPr>
        <w:t>、公司基本情况</w:t>
      </w:r>
      <w:bookmarkEnd w:id="791"/>
      <w:bookmarkEnd w:id="792"/>
      <w:bookmarkEnd w:id="794"/>
    </w:p>
    <w:p>
      <w:pPr>
        <w:pStyle w:val="Style47"/>
        <w:keepNext w:val="0"/>
        <w:keepLines w:val="0"/>
        <w:widowControl w:val="0"/>
        <w:shd w:val="clear" w:color="auto" w:fill="auto"/>
        <w:tabs>
          <w:tab w:pos="1029" w:val="left"/>
        </w:tabs>
        <w:bidi w:val="0"/>
        <w:spacing w:before="0" w:after="200" w:line="240" w:lineRule="auto"/>
        <w:ind w:left="0" w:right="0" w:firstLine="440"/>
        <w:jc w:val="both"/>
      </w:pPr>
      <w:bookmarkStart w:id="795" w:name="bookmark795"/>
      <w:r>
        <w:rPr>
          <w:color w:val="000000"/>
          <w:spacing w:val="0"/>
          <w:w w:val="100"/>
          <w:position w:val="0"/>
        </w:rPr>
        <w:t>（</w:t>
      </w:r>
      <w:bookmarkEnd w:id="795"/>
      <w:r>
        <w:rPr>
          <w:color w:val="000000"/>
          <w:spacing w:val="0"/>
          <w:w w:val="100"/>
          <w:position w:val="0"/>
        </w:rPr>
        <w:t>一）</w:t>
        <w:tab/>
        <w:t>公司注册地、组织形式和总部地址</w:t>
      </w:r>
    </w:p>
    <w:p>
      <w:pPr>
        <w:pStyle w:val="Style47"/>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中科院成都信息技术股份有限公司（以下简称</w:t>
      </w:r>
      <w:r>
        <w:rPr>
          <w:rFonts w:ascii="Times New Roman" w:eastAsia="Times New Roman" w:hAnsi="Times New Roman" w:cs="Times New Roman"/>
          <w:color w:val="000000"/>
          <w:spacing w:val="0"/>
          <w:w w:val="100"/>
          <w:position w:val="0"/>
        </w:rPr>
        <w:t>“</w:t>
      </w:r>
      <w:r>
        <w:rPr>
          <w:color w:val="000000"/>
          <w:spacing w:val="0"/>
          <w:w w:val="100"/>
          <w:position w:val="0"/>
        </w:rPr>
        <w:t>本公司''或</w:t>
      </w:r>
      <w:r>
        <w:rPr>
          <w:rFonts w:ascii="Times New Roman" w:eastAsia="Times New Roman" w:hAnsi="Times New Roman" w:cs="Times New Roman"/>
          <w:color w:val="000000"/>
          <w:spacing w:val="0"/>
          <w:w w:val="100"/>
          <w:position w:val="0"/>
        </w:rPr>
        <w:t>“</w:t>
      </w:r>
      <w:r>
        <w:rPr>
          <w:color w:val="000000"/>
          <w:spacing w:val="0"/>
          <w:w w:val="100"/>
          <w:position w:val="0"/>
        </w:rPr>
        <w:t>公司</w:t>
      </w:r>
      <w:r>
        <w:rPr>
          <w:color w:val="000000"/>
          <w:spacing w:val="0"/>
          <w:w w:val="100"/>
          <w:position w:val="0"/>
        </w:rPr>
        <w:t>''，</w:t>
      </w:r>
      <w:r>
        <w:rPr>
          <w:color w:val="000000"/>
          <w:spacing w:val="0"/>
          <w:w w:val="100"/>
          <w:position w:val="0"/>
        </w:rPr>
        <w:t>在包含子公司时统称</w:t>
      </w:r>
      <w:r>
        <w:rPr>
          <w:rFonts w:ascii="Times New Roman" w:eastAsia="Times New Roman" w:hAnsi="Times New Roman" w:cs="Times New Roman"/>
          <w:color w:val="000000"/>
          <w:spacing w:val="0"/>
          <w:w w:val="100"/>
          <w:position w:val="0"/>
        </w:rPr>
        <w:t>“</w:t>
      </w:r>
      <w:r>
        <w:rPr>
          <w:color w:val="000000"/>
          <w:spacing w:val="0"/>
          <w:w w:val="100"/>
          <w:position w:val="0"/>
        </w:rPr>
        <w:t>本集团</w:t>
      </w:r>
      <w:r>
        <w:rPr>
          <w:color w:val="000000"/>
          <w:spacing w:val="0"/>
          <w:w w:val="100"/>
          <w:position w:val="0"/>
        </w:rPr>
        <w:t>''），</w:t>
      </w: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系由中国科学院、付忠良、宋昌元等十二名在职职工共同出资设立，于</w:t>
      </w:r>
      <w:r>
        <w:rPr>
          <w:rFonts w:ascii="Times New Roman" w:eastAsia="Times New Roman" w:hAnsi="Times New Roman" w:cs="Times New Roman"/>
          <w:color w:val="000000"/>
          <w:spacing w:val="0"/>
          <w:w w:val="100"/>
          <w:position w:val="0"/>
        </w:rPr>
        <w:t>2001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日，取得成都市工商</w:t>
      </w: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行政管理局核发的《企业法人营业执照》。本公司统一社会信用代码：</w:t>
      </w:r>
      <w:r>
        <w:rPr>
          <w:rFonts w:ascii="Times New Roman" w:eastAsia="Times New Roman" w:hAnsi="Times New Roman" w:cs="Times New Roman"/>
          <w:color w:val="000000"/>
          <w:spacing w:val="0"/>
          <w:w w:val="100"/>
          <w:position w:val="0"/>
        </w:rPr>
        <w:t>915101007301965784</w:t>
      </w:r>
      <w:r>
        <w:rPr>
          <w:color w:val="000000"/>
          <w:spacing w:val="0"/>
          <w:w w:val="100"/>
          <w:position w:val="0"/>
        </w:rPr>
        <w:t>；注册地址：</w:t>
      </w: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成都高新区天晖路</w:t>
      </w:r>
      <w:r>
        <w:rPr>
          <w:rFonts w:ascii="Times New Roman" w:eastAsia="Times New Roman" w:hAnsi="Times New Roman" w:cs="Times New Roman"/>
          <w:color w:val="000000"/>
          <w:spacing w:val="0"/>
          <w:w w:val="100"/>
          <w:position w:val="0"/>
        </w:rPr>
        <w:t>360</w:t>
      </w:r>
      <w:r>
        <w:rPr>
          <w:color w:val="000000"/>
          <w:spacing w:val="0"/>
          <w:w w:val="100"/>
          <w:position w:val="0"/>
        </w:rPr>
        <w:t>号晶科</w:t>
      </w:r>
      <w:r>
        <w:rPr>
          <w:rFonts w:ascii="Times New Roman" w:eastAsia="Times New Roman" w:hAnsi="Times New Roman" w:cs="Times New Roman"/>
          <w:color w:val="000000"/>
          <w:spacing w:val="0"/>
          <w:w w:val="100"/>
          <w:position w:val="0"/>
        </w:rPr>
        <w:t>1</w:t>
      </w:r>
      <w:r>
        <w:rPr>
          <w:color w:val="000000"/>
          <w:spacing w:val="0"/>
          <w:w w:val="100"/>
          <w:position w:val="0"/>
        </w:rPr>
        <w:t>号大厦</w:t>
      </w:r>
      <w:r>
        <w:rPr>
          <w:rFonts w:ascii="Times New Roman" w:eastAsia="Times New Roman" w:hAnsi="Times New Roman" w:cs="Times New Roman"/>
          <w:color w:val="000000"/>
          <w:spacing w:val="0"/>
          <w:w w:val="100"/>
          <w:position w:val="0"/>
        </w:rPr>
        <w:t>18</w:t>
      </w:r>
      <w:r>
        <w:rPr>
          <w:color w:val="000000"/>
          <w:spacing w:val="0"/>
          <w:w w:val="100"/>
          <w:position w:val="0"/>
        </w:rPr>
        <w:t>栋</w:t>
      </w:r>
      <w:r>
        <w:rPr>
          <w:rFonts w:ascii="Times New Roman" w:eastAsia="Times New Roman" w:hAnsi="Times New Roman" w:cs="Times New Roman"/>
          <w:color w:val="000000"/>
          <w:spacing w:val="0"/>
          <w:w w:val="100"/>
          <w:position w:val="0"/>
        </w:rPr>
        <w:t>1803</w:t>
      </w:r>
      <w:r>
        <w:rPr>
          <w:color w:val="000000"/>
          <w:spacing w:val="0"/>
          <w:w w:val="100"/>
          <w:position w:val="0"/>
        </w:rPr>
        <w:t>室；法定代表人：史志明。</w:t>
      </w:r>
    </w:p>
    <w:p>
      <w:pPr>
        <w:pStyle w:val="Style47"/>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经历次变更，截至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日，公司注册资本为</w:t>
      </w:r>
      <w:r>
        <w:rPr>
          <w:rFonts w:ascii="Times New Roman" w:eastAsia="Times New Roman" w:hAnsi="Times New Roman" w:cs="Times New Roman"/>
          <w:color w:val="000000"/>
          <w:spacing w:val="0"/>
          <w:w w:val="100"/>
          <w:position w:val="0"/>
        </w:rPr>
        <w:t>18,000.00</w:t>
      </w:r>
      <w:r>
        <w:rPr>
          <w:color w:val="000000"/>
          <w:spacing w:val="0"/>
          <w:w w:val="100"/>
          <w:position w:val="0"/>
        </w:rPr>
        <w:t>万元，股份总数为</w:t>
      </w:r>
      <w:r>
        <w:rPr>
          <w:rFonts w:ascii="Times New Roman" w:eastAsia="Times New Roman" w:hAnsi="Times New Roman" w:cs="Times New Roman"/>
          <w:color w:val="000000"/>
          <w:spacing w:val="0"/>
          <w:w w:val="100"/>
          <w:position w:val="0"/>
        </w:rPr>
        <w:t>18,000.00</w:t>
      </w:r>
      <w:r>
        <w:rPr>
          <w:color w:val="000000"/>
          <w:spacing w:val="0"/>
          <w:w w:val="100"/>
          <w:position w:val="0"/>
        </w:rPr>
        <w:t>万股（每股</w:t>
      </w: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面值</w:t>
      </w:r>
      <w:r>
        <w:rPr>
          <w:rFonts w:ascii="Times New Roman" w:eastAsia="Times New Roman" w:hAnsi="Times New Roman" w:cs="Times New Roman"/>
          <w:color w:val="000000"/>
          <w:spacing w:val="0"/>
          <w:w w:val="100"/>
          <w:position w:val="0"/>
        </w:rPr>
        <w:t>1</w:t>
      </w:r>
      <w:r>
        <w:rPr>
          <w:color w:val="000000"/>
          <w:spacing w:val="0"/>
          <w:w w:val="100"/>
          <w:position w:val="0"/>
        </w:rPr>
        <w:t>元）。其中：无限售条件的流通股份：</w:t>
      </w:r>
      <w:r>
        <w:rPr>
          <w:rFonts w:ascii="Times New Roman" w:eastAsia="Times New Roman" w:hAnsi="Times New Roman" w:cs="Times New Roman"/>
          <w:color w:val="000000"/>
          <w:spacing w:val="0"/>
          <w:w w:val="100"/>
          <w:position w:val="0"/>
        </w:rPr>
        <w:t>A</w:t>
      </w:r>
      <w:r>
        <w:rPr>
          <w:color w:val="000000"/>
          <w:spacing w:val="0"/>
          <w:w w:val="100"/>
          <w:position w:val="0"/>
        </w:rPr>
        <w:t>股</w:t>
      </w:r>
      <w:r>
        <w:rPr>
          <w:rFonts w:ascii="Times New Roman" w:eastAsia="Times New Roman" w:hAnsi="Times New Roman" w:cs="Times New Roman"/>
          <w:color w:val="000000"/>
          <w:spacing w:val="0"/>
          <w:w w:val="100"/>
          <w:position w:val="0"/>
        </w:rPr>
        <w:t>18,000.00</w:t>
      </w:r>
      <w:r>
        <w:rPr>
          <w:color w:val="000000"/>
          <w:spacing w:val="0"/>
          <w:w w:val="100"/>
          <w:position w:val="0"/>
        </w:rPr>
        <w:t>万股。</w:t>
      </w:r>
    </w:p>
    <w:p>
      <w:pPr>
        <w:pStyle w:val="Style47"/>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上市时间：</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w:t>
      </w:r>
    </w:p>
    <w:p>
      <w:pPr>
        <w:pStyle w:val="Style47"/>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股票简称：中科信息</w:t>
      </w:r>
    </w:p>
    <w:p>
      <w:pPr>
        <w:pStyle w:val="Style2"/>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股票代码：</w:t>
      </w:r>
      <w:r>
        <w:rPr>
          <w:rFonts w:ascii="Times New Roman" w:eastAsia="Times New Roman" w:hAnsi="Times New Roman" w:cs="Times New Roman"/>
          <w:color w:val="000000"/>
          <w:spacing w:val="0"/>
          <w:w w:val="100"/>
          <w:position w:val="0"/>
        </w:rPr>
        <w:t>300678</w:t>
      </w:r>
    </w:p>
    <w:p>
      <w:pPr>
        <w:pStyle w:val="Style47"/>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上市地点：深圳证券交易所</w:t>
      </w:r>
    </w:p>
    <w:p>
      <w:pPr>
        <w:pStyle w:val="Style47"/>
        <w:keepNext w:val="0"/>
        <w:keepLines w:val="0"/>
        <w:widowControl w:val="0"/>
        <w:shd w:val="clear" w:color="auto" w:fill="auto"/>
        <w:tabs>
          <w:tab w:pos="1029" w:val="left"/>
        </w:tabs>
        <w:bidi w:val="0"/>
        <w:spacing w:before="0" w:after="800" w:line="240" w:lineRule="auto"/>
        <w:ind w:left="0" w:right="0" w:firstLine="440"/>
        <w:jc w:val="left"/>
      </w:pPr>
      <w:bookmarkStart w:id="796" w:name="bookmark796"/>
      <w:r>
        <w:rPr>
          <w:color w:val="000000"/>
          <w:spacing w:val="0"/>
          <w:w w:val="100"/>
          <w:position w:val="0"/>
        </w:rPr>
        <w:t>（</w:t>
      </w:r>
      <w:bookmarkEnd w:id="796"/>
      <w:r>
        <w:rPr>
          <w:color w:val="000000"/>
          <w:spacing w:val="0"/>
          <w:w w:val="100"/>
          <w:position w:val="0"/>
        </w:rPr>
        <w:t>二）</w:t>
        <w:tab/>
        <w:t>公司的业务性质和主要经营活动</w:t>
      </w:r>
    </w:p>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center"/>
        <w:rPr>
          <w:sz w:val="12"/>
          <w:szCs w:val="12"/>
        </w:rPr>
      </w:pPr>
      <w:r>
        <w:rPr>
          <w:rFonts w:ascii="SimHei" w:eastAsia="SimHei" w:hAnsi="SimHei" w:cs="SimHei"/>
          <w:color w:val="A2A2A2"/>
          <w:spacing w:val="0"/>
          <w:w w:val="100"/>
          <w:position w:val="0"/>
          <w:sz w:val="12"/>
          <w:szCs w:val="12"/>
        </w:rPr>
        <w:t>巨潮查讯</w:t>
      </w:r>
    </w:p>
    <w:p>
      <w:pPr>
        <w:pStyle w:val="Style86"/>
        <w:keepNext w:val="0"/>
        <w:keepLines w:val="0"/>
        <w:widowControl w:val="0"/>
        <w:shd w:val="clear" w:color="auto" w:fill="auto"/>
        <w:bidi w:val="0"/>
        <w:spacing w:before="0" w:after="200" w:line="240" w:lineRule="auto"/>
        <w:ind w:left="0" w:right="0" w:firstLine="0"/>
        <w:jc w:val="right"/>
        <w:sectPr>
          <w:headerReference w:type="default" r:id="rId225"/>
          <w:footerReference w:type="default" r:id="rId226"/>
          <w:headerReference w:type="even" r:id="rId227"/>
          <w:footerReference w:type="even" r:id="rId228"/>
          <w:footnotePr>
            <w:pos w:val="pageBottom"/>
            <w:numFmt w:val="decimal"/>
            <w:numRestart w:val="continuous"/>
          </w:footnotePr>
          <w:pgSz w:w="11900" w:h="16840"/>
          <w:pgMar w:top="1436" w:right="24" w:bottom="169"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47"/>
        <w:keepNext w:val="0"/>
        <w:keepLines w:val="0"/>
        <w:widowControl w:val="0"/>
        <w:numPr>
          <w:ilvl w:val="0"/>
          <w:numId w:val="49"/>
        </w:numPr>
        <w:shd w:val="clear" w:color="auto" w:fill="auto"/>
        <w:tabs>
          <w:tab w:pos="747" w:val="left"/>
        </w:tabs>
        <w:bidi w:val="0"/>
        <w:spacing w:before="80" w:after="0" w:line="468" w:lineRule="exact"/>
        <w:ind w:left="0" w:right="0" w:firstLine="440"/>
        <w:jc w:val="both"/>
      </w:pPr>
      <w:bookmarkStart w:id="797" w:name="bookmark797"/>
      <w:bookmarkEnd w:id="797"/>
      <w:r>
        <w:rPr>
          <w:color w:val="000000"/>
          <w:spacing w:val="0"/>
          <w:w w:val="100"/>
          <w:position w:val="0"/>
        </w:rPr>
        <w:t>经营范围：以计算机软件为重点的电子信息领域相关技术产品开发、生产（生产行业另设分支机构 或另择经营产地经营）、销售、服务；计算机应用与计算机通讯系统工程设计与实施；信息技术咨询服务; 计算机及网络通讯设备、电子设备及元器件、计算机软硬件产品代理；涉密计算机系统集成（凭资质许可 证在有效期内经营）；建筑智能化工程设计、施工（凭资质证在有效期内经营）；安防工程设计、施工（凭 资质证在有效期内经营）；防雷工程设计、施工（凭资质证在有效期内经营）；电子工程安装、通信线路 和设备安装（凭资质证在有效期内经营））；仪器仪表、教学模具的技术服务；房屋租赁。（以上经营范 围依法须经批准的项目，经相关部门批准后方可开展经营活动）。</w:t>
      </w:r>
    </w:p>
    <w:p>
      <w:pPr>
        <w:pStyle w:val="Style47"/>
        <w:keepNext w:val="0"/>
        <w:keepLines w:val="0"/>
        <w:widowControl w:val="0"/>
        <w:numPr>
          <w:ilvl w:val="0"/>
          <w:numId w:val="49"/>
        </w:numPr>
        <w:shd w:val="clear" w:color="auto" w:fill="auto"/>
        <w:tabs>
          <w:tab w:pos="774" w:val="left"/>
        </w:tabs>
        <w:bidi w:val="0"/>
        <w:spacing w:before="0" w:after="0" w:line="468" w:lineRule="exact"/>
        <w:ind w:left="0" w:right="0" w:firstLine="440"/>
        <w:jc w:val="left"/>
      </w:pPr>
      <w:bookmarkStart w:id="798" w:name="bookmark798"/>
      <w:bookmarkEnd w:id="798"/>
      <w:r>
        <w:rPr>
          <w:color w:val="000000"/>
          <w:spacing w:val="0"/>
          <w:w w:val="100"/>
          <w:position w:val="0"/>
        </w:rPr>
        <w:t>主要产品包括：信息化解决方案、技术开发、技术服务等。</w:t>
      </w:r>
    </w:p>
    <w:p>
      <w:pPr>
        <w:pStyle w:val="Style47"/>
        <w:keepNext w:val="0"/>
        <w:keepLines w:val="0"/>
        <w:widowControl w:val="0"/>
        <w:shd w:val="clear" w:color="auto" w:fill="auto"/>
        <w:tabs>
          <w:tab w:pos="1029" w:val="left"/>
        </w:tabs>
        <w:bidi w:val="0"/>
        <w:spacing w:before="0" w:after="0" w:line="468" w:lineRule="exact"/>
        <w:ind w:left="0" w:right="0" w:firstLine="440"/>
        <w:jc w:val="both"/>
      </w:pPr>
      <w:bookmarkStart w:id="799" w:name="bookmark799"/>
      <w:r>
        <w:rPr>
          <w:color w:val="000000"/>
          <w:spacing w:val="0"/>
          <w:w w:val="100"/>
          <w:position w:val="0"/>
        </w:rPr>
        <w:t>（</w:t>
      </w:r>
      <w:bookmarkEnd w:id="799"/>
      <w:r>
        <w:rPr>
          <w:color w:val="000000"/>
          <w:spacing w:val="0"/>
          <w:w w:val="100"/>
          <w:position w:val="0"/>
        </w:rPr>
        <w:t>三）</w:t>
        <w:tab/>
        <w:t>母公司以及集团最终母公司的名称</w:t>
      </w:r>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中国科学院控股有限公司为本公司的实际控制人。</w:t>
      </w:r>
    </w:p>
    <w:p>
      <w:pPr>
        <w:pStyle w:val="Style47"/>
        <w:keepNext w:val="0"/>
        <w:keepLines w:val="0"/>
        <w:widowControl w:val="0"/>
        <w:shd w:val="clear" w:color="auto" w:fill="auto"/>
        <w:tabs>
          <w:tab w:pos="1029" w:val="left"/>
        </w:tabs>
        <w:bidi w:val="0"/>
        <w:spacing w:before="0" w:after="0" w:line="468" w:lineRule="exact"/>
        <w:ind w:left="0" w:right="0" w:firstLine="440"/>
        <w:jc w:val="left"/>
      </w:pPr>
      <w:bookmarkStart w:id="800" w:name="bookmark800"/>
      <w:r>
        <w:rPr>
          <w:color w:val="000000"/>
          <w:spacing w:val="0"/>
          <w:w w:val="100"/>
          <w:position w:val="0"/>
        </w:rPr>
        <w:t>（</w:t>
      </w:r>
      <w:bookmarkEnd w:id="800"/>
      <w:r>
        <w:rPr>
          <w:color w:val="000000"/>
          <w:spacing w:val="0"/>
          <w:w w:val="100"/>
          <w:position w:val="0"/>
        </w:rPr>
        <w:t>四）</w:t>
        <w:tab/>
        <w:t>本财务报表由本公司董事会于</w:t>
      </w: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日批准报出。</w:t>
      </w:r>
    </w:p>
    <w:p>
      <w:pPr>
        <w:pStyle w:val="Style47"/>
        <w:keepNext w:val="0"/>
        <w:keepLines w:val="0"/>
        <w:widowControl w:val="0"/>
        <w:shd w:val="clear" w:color="auto" w:fill="auto"/>
        <w:tabs>
          <w:tab w:pos="1126" w:val="left"/>
        </w:tabs>
        <w:bidi w:val="0"/>
        <w:spacing w:before="0" w:after="440" w:line="468" w:lineRule="exact"/>
        <w:ind w:left="0" w:right="0" w:firstLine="440"/>
        <w:jc w:val="both"/>
      </w:pPr>
      <w:bookmarkStart w:id="801" w:name="bookmark801"/>
      <w:r>
        <w:rPr>
          <w:color w:val="000000"/>
          <w:spacing w:val="0"/>
          <w:w w:val="100"/>
          <w:position w:val="0"/>
        </w:rPr>
        <w:t>（</w:t>
      </w:r>
      <w:bookmarkEnd w:id="801"/>
      <w:r>
        <w:rPr>
          <w:color w:val="000000"/>
          <w:spacing w:val="0"/>
          <w:w w:val="100"/>
          <w:position w:val="0"/>
        </w:rPr>
        <w:t>五）</w:t>
        <w:tab/>
        <w:t>本集团合并财务报表的合并范围以控制为基础确定，包括本公司及全部子公司的财务报表。子 公司，是指被本公司控制的企业或主体，本期的合并财务报表范围及其变化情况见附注</w:t>
      </w:r>
      <w:r>
        <w:rPr>
          <w:rFonts w:ascii="Times New Roman" w:eastAsia="Times New Roman" w:hAnsi="Times New Roman" w:cs="Times New Roman"/>
          <w:color w:val="000000"/>
          <w:spacing w:val="0"/>
          <w:w w:val="100"/>
          <w:position w:val="0"/>
        </w:rPr>
        <w:t>“</w:t>
      </w:r>
      <w:r>
        <w:rPr>
          <w:color w:val="000000"/>
          <w:spacing w:val="0"/>
          <w:w w:val="100"/>
          <w:position w:val="0"/>
        </w:rPr>
        <w:t>七、合并范围的 变更''、</w:t>
      </w:r>
      <w:r>
        <w:rPr>
          <w:rFonts w:ascii="Times New Roman" w:eastAsia="Times New Roman" w:hAnsi="Times New Roman" w:cs="Times New Roman"/>
          <w:color w:val="000000"/>
          <w:spacing w:val="0"/>
          <w:w w:val="100"/>
          <w:position w:val="0"/>
        </w:rPr>
        <w:t>“</w:t>
      </w:r>
      <w:r>
        <w:rPr>
          <w:color w:val="000000"/>
          <w:spacing w:val="0"/>
          <w:w w:val="100"/>
          <w:position w:val="0"/>
        </w:rPr>
        <w:t>八、在其他主体中的权益</w:t>
      </w:r>
    </w:p>
    <w:p>
      <w:pPr>
        <w:pStyle w:val="Style33"/>
        <w:keepNext/>
        <w:keepLines/>
        <w:widowControl w:val="0"/>
        <w:shd w:val="clear" w:color="auto" w:fill="auto"/>
        <w:tabs>
          <w:tab w:pos="531" w:val="left"/>
        </w:tabs>
        <w:bidi w:val="0"/>
        <w:spacing w:before="0" w:after="140" w:line="240" w:lineRule="auto"/>
        <w:ind w:left="0" w:right="0" w:firstLine="0"/>
        <w:jc w:val="left"/>
      </w:pPr>
      <w:bookmarkStart w:id="802" w:name="bookmark802"/>
      <w:bookmarkStart w:id="803" w:name="bookmark803"/>
      <w:bookmarkStart w:id="804" w:name="bookmark804"/>
      <w:bookmarkStart w:id="805" w:name="bookmark805"/>
      <w:r>
        <w:rPr>
          <w:color w:val="000000"/>
          <w:spacing w:val="0"/>
          <w:w w:val="100"/>
          <w:position w:val="0"/>
          <w:sz w:val="24"/>
          <w:szCs w:val="24"/>
        </w:rPr>
        <w:t>四</w:t>
      </w:r>
      <w:bookmarkEnd w:id="804"/>
      <w:r>
        <w:rPr>
          <w:color w:val="000000"/>
          <w:spacing w:val="0"/>
          <w:w w:val="100"/>
          <w:position w:val="0"/>
          <w:sz w:val="24"/>
          <w:szCs w:val="24"/>
        </w:rPr>
        <w:t>、</w:t>
        <w:tab/>
        <w:t>财务报表的编制基础</w:t>
      </w:r>
      <w:bookmarkEnd w:id="802"/>
      <w:bookmarkEnd w:id="803"/>
      <w:bookmarkEnd w:id="805"/>
    </w:p>
    <w:p>
      <w:pPr>
        <w:pStyle w:val="Style44"/>
        <w:keepNext/>
        <w:keepLines/>
        <w:widowControl w:val="0"/>
        <w:shd w:val="clear" w:color="auto" w:fill="auto"/>
        <w:tabs>
          <w:tab w:pos="368" w:val="left"/>
        </w:tabs>
        <w:bidi w:val="0"/>
        <w:spacing w:before="0" w:after="200" w:line="468" w:lineRule="exact"/>
        <w:ind w:left="0" w:right="0" w:firstLine="0"/>
        <w:jc w:val="left"/>
      </w:pPr>
      <w:bookmarkStart w:id="806" w:name="bookmark806"/>
      <w:bookmarkStart w:id="807" w:name="bookmark807"/>
      <w:bookmarkStart w:id="808" w:name="bookmark808"/>
      <w:bookmarkStart w:id="809" w:name="bookmark809"/>
      <w:r>
        <w:rPr>
          <w:rFonts w:ascii="Times New Roman" w:eastAsia="Times New Roman" w:hAnsi="Times New Roman" w:cs="Times New Roman"/>
          <w:color w:val="000000"/>
          <w:spacing w:val="0"/>
          <w:w w:val="100"/>
          <w:position w:val="0"/>
        </w:rPr>
        <w:t>1</w:t>
      </w:r>
      <w:bookmarkEnd w:id="808"/>
      <w:r>
        <w:rPr>
          <w:color w:val="000000"/>
          <w:spacing w:val="0"/>
          <w:w w:val="100"/>
          <w:position w:val="0"/>
        </w:rPr>
        <w:t>、</w:t>
        <w:tab/>
        <w:t>编制基础</w:t>
      </w:r>
      <w:bookmarkEnd w:id="806"/>
      <w:bookmarkEnd w:id="807"/>
      <w:bookmarkEnd w:id="809"/>
    </w:p>
    <w:p>
      <w:pPr>
        <w:pStyle w:val="Style47"/>
        <w:keepNext w:val="0"/>
        <w:keepLines w:val="0"/>
        <w:widowControl w:val="0"/>
        <w:shd w:val="clear" w:color="auto" w:fill="auto"/>
        <w:bidi w:val="0"/>
        <w:spacing w:before="0" w:after="200" w:line="470" w:lineRule="exact"/>
        <w:ind w:left="0" w:right="0" w:firstLine="440"/>
        <w:jc w:val="both"/>
      </w:pPr>
      <w:r>
        <w:rPr>
          <w:color w:val="000000"/>
          <w:spacing w:val="0"/>
          <w:w w:val="100"/>
          <w:position w:val="0"/>
        </w:rPr>
        <w:t>本财务报表以公司持续经营假设为基础，根据实际发生的交易事项，按照企业会计准则的有关规定， 并基于以下所述重要会计政策、会计估计进行编制。</w:t>
      </w:r>
    </w:p>
    <w:p>
      <w:pPr>
        <w:pStyle w:val="Style44"/>
        <w:keepNext/>
        <w:keepLines/>
        <w:widowControl w:val="0"/>
        <w:shd w:val="clear" w:color="auto" w:fill="auto"/>
        <w:tabs>
          <w:tab w:pos="378" w:val="left"/>
        </w:tabs>
        <w:bidi w:val="0"/>
        <w:spacing w:before="0" w:after="140" w:line="468" w:lineRule="exact"/>
        <w:ind w:left="0" w:right="0" w:firstLine="0"/>
        <w:jc w:val="left"/>
      </w:pPr>
      <w:bookmarkStart w:id="810" w:name="bookmark810"/>
      <w:bookmarkStart w:id="811" w:name="bookmark811"/>
      <w:bookmarkStart w:id="812" w:name="bookmark812"/>
      <w:bookmarkStart w:id="813" w:name="bookmark813"/>
      <w:r>
        <w:rPr>
          <w:rFonts w:ascii="Times New Roman" w:eastAsia="Times New Roman" w:hAnsi="Times New Roman" w:cs="Times New Roman"/>
          <w:color w:val="000000"/>
          <w:spacing w:val="0"/>
          <w:w w:val="100"/>
          <w:position w:val="0"/>
        </w:rPr>
        <w:t>2</w:t>
      </w:r>
      <w:bookmarkEnd w:id="812"/>
      <w:r>
        <w:rPr>
          <w:color w:val="000000"/>
          <w:spacing w:val="0"/>
          <w:w w:val="100"/>
          <w:position w:val="0"/>
        </w:rPr>
        <w:t>、</w:t>
        <w:tab/>
        <w:t>持续经营</w:t>
      </w:r>
      <w:bookmarkEnd w:id="810"/>
      <w:bookmarkEnd w:id="811"/>
      <w:bookmarkEnd w:id="813"/>
    </w:p>
    <w:p>
      <w:pPr>
        <w:pStyle w:val="Style47"/>
        <w:keepNext w:val="0"/>
        <w:keepLines w:val="0"/>
        <w:widowControl w:val="0"/>
        <w:shd w:val="clear" w:color="auto" w:fill="auto"/>
        <w:bidi w:val="0"/>
        <w:spacing w:before="0" w:after="360" w:line="468" w:lineRule="exact"/>
        <w:ind w:left="0" w:right="0" w:firstLine="440"/>
        <w:jc w:val="left"/>
      </w:pPr>
      <w:r>
        <w:rPr>
          <w:color w:val="000000"/>
          <w:spacing w:val="0"/>
          <w:w w:val="100"/>
          <w:position w:val="0"/>
        </w:rPr>
        <w:t>本集团自本报告期末起</w:t>
      </w:r>
      <w:r>
        <w:rPr>
          <w:rFonts w:ascii="Times New Roman" w:eastAsia="Times New Roman" w:hAnsi="Times New Roman" w:cs="Times New Roman"/>
          <w:color w:val="000000"/>
          <w:spacing w:val="0"/>
          <w:w w:val="100"/>
          <w:position w:val="0"/>
        </w:rPr>
        <w:t>12</w:t>
      </w:r>
      <w:r>
        <w:rPr>
          <w:color w:val="000000"/>
          <w:spacing w:val="0"/>
          <w:w w:val="100"/>
          <w:position w:val="0"/>
        </w:rPr>
        <w:t>个月具备持续经营能力，无影响持续经营能力的重大事项。</w:t>
      </w:r>
    </w:p>
    <w:p>
      <w:pPr>
        <w:pStyle w:val="Style33"/>
        <w:keepNext/>
        <w:keepLines/>
        <w:widowControl w:val="0"/>
        <w:shd w:val="clear" w:color="auto" w:fill="auto"/>
        <w:tabs>
          <w:tab w:pos="531" w:val="left"/>
        </w:tabs>
        <w:bidi w:val="0"/>
        <w:spacing w:before="0" w:after="360" w:line="240" w:lineRule="auto"/>
        <w:ind w:left="0" w:right="0" w:firstLine="0"/>
        <w:jc w:val="left"/>
      </w:pPr>
      <w:bookmarkStart w:id="814" w:name="bookmark814"/>
      <w:bookmarkStart w:id="815" w:name="bookmark815"/>
      <w:bookmarkStart w:id="816" w:name="bookmark816"/>
      <w:bookmarkStart w:id="817" w:name="bookmark817"/>
      <w:r>
        <w:rPr>
          <w:color w:val="000000"/>
          <w:spacing w:val="0"/>
          <w:w w:val="100"/>
          <w:position w:val="0"/>
          <w:sz w:val="24"/>
          <w:szCs w:val="24"/>
        </w:rPr>
        <w:t>五</w:t>
      </w:r>
      <w:bookmarkEnd w:id="816"/>
      <w:r>
        <w:rPr>
          <w:color w:val="000000"/>
          <w:spacing w:val="0"/>
          <w:w w:val="100"/>
          <w:position w:val="0"/>
          <w:sz w:val="24"/>
          <w:szCs w:val="24"/>
        </w:rPr>
        <w:t>、</w:t>
        <w:tab/>
        <w:t>重要会计政策及会计估计</w:t>
      </w:r>
      <w:bookmarkEnd w:id="814"/>
      <w:bookmarkEnd w:id="815"/>
      <w:bookmarkEnd w:id="817"/>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具体会计政策和会计估计提示：</w:t>
      </w:r>
    </w:p>
    <w:p>
      <w:pPr>
        <w:pStyle w:val="Style44"/>
        <w:keepNext/>
        <w:keepLines/>
        <w:widowControl w:val="0"/>
        <w:shd w:val="clear" w:color="auto" w:fill="auto"/>
        <w:bidi w:val="0"/>
        <w:spacing w:before="0" w:after="200" w:line="468" w:lineRule="exact"/>
        <w:ind w:left="0" w:right="0" w:firstLine="0"/>
        <w:jc w:val="left"/>
      </w:pPr>
      <w:bookmarkStart w:id="818" w:name="bookmark818"/>
      <w:bookmarkStart w:id="819" w:name="bookmark819"/>
      <w:bookmarkStart w:id="820" w:name="bookmark820"/>
      <w:bookmarkStart w:id="821" w:name="bookmark821"/>
      <w:r>
        <w:rPr>
          <w:rFonts w:ascii="Times New Roman" w:eastAsia="Times New Roman" w:hAnsi="Times New Roman" w:cs="Times New Roman"/>
          <w:color w:val="000000"/>
          <w:spacing w:val="0"/>
          <w:w w:val="100"/>
          <w:position w:val="0"/>
        </w:rPr>
        <w:t>1</w:t>
      </w:r>
      <w:bookmarkEnd w:id="820"/>
      <w:r>
        <w:rPr>
          <w:color w:val="000000"/>
          <w:spacing w:val="0"/>
          <w:w w:val="100"/>
          <w:position w:val="0"/>
        </w:rPr>
        <w:t>、遵循企业会计准则的声明</w:t>
      </w:r>
      <w:bookmarkEnd w:id="818"/>
      <w:bookmarkEnd w:id="819"/>
      <w:bookmarkEnd w:id="821"/>
    </w:p>
    <w:p>
      <w:pPr>
        <w:pStyle w:val="Style47"/>
        <w:keepNext w:val="0"/>
        <w:keepLines w:val="0"/>
        <w:widowControl w:val="0"/>
        <w:shd w:val="clear" w:color="auto" w:fill="auto"/>
        <w:bidi w:val="0"/>
        <w:spacing w:before="0" w:after="200" w:line="470" w:lineRule="exact"/>
        <w:ind w:left="0" w:right="0" w:firstLine="440"/>
        <w:jc w:val="both"/>
      </w:pPr>
      <w:r>
        <w:rPr>
          <w:color w:val="000000"/>
          <w:spacing w:val="0"/>
          <w:w w:val="100"/>
          <w:position w:val="0"/>
        </w:rPr>
        <w:t>本集团基于上述编制基础编制的财务报表符合财政部已颁布的最新企业会计准则及其应用指南、解释 以及其他相关规定（统称</w:t>
      </w:r>
      <w:r>
        <w:rPr>
          <w:rFonts w:ascii="Times New Roman" w:eastAsia="Times New Roman" w:hAnsi="Times New Roman" w:cs="Times New Roman"/>
          <w:color w:val="000000"/>
          <w:spacing w:val="0"/>
          <w:w w:val="100"/>
          <w:position w:val="0"/>
        </w:rPr>
        <w:t>“</w:t>
      </w:r>
      <w:r>
        <w:rPr>
          <w:color w:val="000000"/>
          <w:spacing w:val="0"/>
          <w:w w:val="100"/>
          <w:position w:val="0"/>
        </w:rPr>
        <w:t>企业会计准则</w:t>
      </w:r>
      <w:r>
        <w:rPr>
          <w:rFonts w:ascii="Times New Roman" w:eastAsia="Times New Roman" w:hAnsi="Times New Roman" w:cs="Times New Roman"/>
          <w:color w:val="000000"/>
          <w:spacing w:val="0"/>
          <w:w w:val="100"/>
          <w:position w:val="0"/>
        </w:rPr>
        <w:t>”</w:t>
      </w:r>
      <w:r>
        <w:rPr>
          <w:color w:val="000000"/>
          <w:spacing w:val="0"/>
          <w:w w:val="100"/>
          <w:position w:val="0"/>
        </w:rPr>
        <w:t>）的要求，真实完整地反映了公司的财务状况、经营成果和现金 流量等有关信息。</w:t>
      </w:r>
    </w:p>
    <w:p>
      <w:pPr>
        <w:pStyle w:val="Style47"/>
        <w:keepNext w:val="0"/>
        <w:keepLines w:val="0"/>
        <w:widowControl w:val="0"/>
        <w:shd w:val="clear" w:color="auto" w:fill="auto"/>
        <w:bidi w:val="0"/>
        <w:spacing w:before="0" w:after="540" w:line="463" w:lineRule="exact"/>
        <w:ind w:left="0" w:right="0" w:firstLine="440"/>
        <w:jc w:val="both"/>
      </w:pPr>
      <w:r>
        <w:rPr>
          <w:color w:val="000000"/>
          <w:spacing w:val="0"/>
          <w:w w:val="100"/>
          <w:position w:val="0"/>
        </w:rPr>
        <w:t>此外，本财务报告编制参照了证监会发布的《公开发行证券的公司信息披露编报规则第</w:t>
      </w:r>
      <w:r>
        <w:rPr>
          <w:rFonts w:ascii="Times New Roman" w:eastAsia="Times New Roman" w:hAnsi="Times New Roman" w:cs="Times New Roman"/>
          <w:color w:val="000000"/>
          <w:spacing w:val="0"/>
          <w:w w:val="100"/>
          <w:position w:val="0"/>
        </w:rPr>
        <w:t>15</w:t>
      </w:r>
      <w:r>
        <w:rPr>
          <w:color w:val="000000"/>
          <w:spacing w:val="0"/>
          <w:w w:val="100"/>
          <w:position w:val="0"/>
        </w:rPr>
        <w:t>号一财务 报告的一般规定》（</w:t>
      </w:r>
      <w:r>
        <w:rPr>
          <w:rFonts w:ascii="Times New Roman" w:eastAsia="Times New Roman" w:hAnsi="Times New Roman" w:cs="Times New Roman"/>
          <w:color w:val="000000"/>
          <w:spacing w:val="0"/>
          <w:w w:val="100"/>
          <w:position w:val="0"/>
        </w:rPr>
        <w:t>2014</w:t>
      </w:r>
      <w:r>
        <w:rPr>
          <w:color w:val="000000"/>
          <w:spacing w:val="0"/>
          <w:w w:val="100"/>
          <w:position w:val="0"/>
        </w:rPr>
        <w:t>年修订）以及《关于上市公司执行新企业会计准则有关事项的通知》（会计部函 〔</w:t>
      </w:r>
      <w:r>
        <w:rPr>
          <w:rFonts w:ascii="Times New Roman" w:eastAsia="Times New Roman" w:hAnsi="Times New Roman" w:cs="Times New Roman"/>
          <w:color w:val="000000"/>
          <w:spacing w:val="0"/>
          <w:w w:val="100"/>
          <w:position w:val="0"/>
        </w:rPr>
        <w:t>2018</w:t>
      </w:r>
      <w:r>
        <w:rPr>
          <w:color w:val="000000"/>
          <w:spacing w:val="0"/>
          <w:w w:val="100"/>
          <w:position w:val="0"/>
        </w:rPr>
        <w:t xml:space="preserve">） </w:t>
      </w:r>
      <w:r>
        <w:rPr>
          <w:rFonts w:ascii="Times New Roman" w:eastAsia="Times New Roman" w:hAnsi="Times New Roman" w:cs="Times New Roman"/>
          <w:color w:val="000000"/>
          <w:spacing w:val="0"/>
          <w:w w:val="100"/>
          <w:position w:val="0"/>
        </w:rPr>
        <w:t>453</w:t>
      </w:r>
      <w:r>
        <w:rPr>
          <w:color w:val="000000"/>
          <w:spacing w:val="0"/>
          <w:w w:val="100"/>
          <w:position w:val="0"/>
        </w:rPr>
        <w:t>号）的列报和披露要求。</w:t>
      </w:r>
    </w:p>
    <w:p>
      <w:pPr>
        <w:pStyle w:val="Style44"/>
        <w:keepNext/>
        <w:keepLines/>
        <w:widowControl w:val="0"/>
        <w:shd w:val="clear" w:color="auto" w:fill="auto"/>
        <w:tabs>
          <w:tab w:pos="378" w:val="left"/>
        </w:tabs>
        <w:bidi w:val="0"/>
        <w:spacing w:before="0" w:after="140" w:line="470" w:lineRule="exact"/>
        <w:ind w:left="0" w:right="0" w:firstLine="0"/>
        <w:jc w:val="both"/>
      </w:pPr>
      <w:bookmarkStart w:id="822" w:name="bookmark822"/>
      <w:bookmarkStart w:id="823" w:name="bookmark823"/>
      <w:bookmarkStart w:id="824" w:name="bookmark824"/>
      <w:bookmarkStart w:id="825" w:name="bookmark825"/>
      <w:r>
        <w:rPr>
          <w:rFonts w:ascii="Times New Roman" w:eastAsia="Times New Roman" w:hAnsi="Times New Roman" w:cs="Times New Roman"/>
          <w:color w:val="000000"/>
          <w:spacing w:val="0"/>
          <w:w w:val="100"/>
          <w:position w:val="0"/>
        </w:rPr>
        <w:t>2</w:t>
      </w:r>
      <w:bookmarkEnd w:id="824"/>
      <w:r>
        <w:rPr>
          <w:color w:val="000000"/>
          <w:spacing w:val="0"/>
          <w:w w:val="100"/>
          <w:position w:val="0"/>
        </w:rPr>
        <w:t>、</w:t>
        <w:tab/>
        <w:t>会计期间</w:t>
      </w:r>
      <w:bookmarkEnd w:id="822"/>
      <w:bookmarkEnd w:id="823"/>
      <w:bookmarkEnd w:id="825"/>
    </w:p>
    <w:p>
      <w:pPr>
        <w:pStyle w:val="Style47"/>
        <w:keepNext w:val="0"/>
        <w:keepLines w:val="0"/>
        <w:widowControl w:val="0"/>
        <w:shd w:val="clear" w:color="auto" w:fill="auto"/>
        <w:bidi w:val="0"/>
        <w:spacing w:before="0" w:after="140" w:line="470" w:lineRule="exact"/>
        <w:ind w:left="0" w:right="0" w:firstLine="440"/>
        <w:jc w:val="both"/>
      </w:pPr>
      <w:r>
        <w:rPr>
          <w:color w:val="000000"/>
          <w:spacing w:val="0"/>
          <w:w w:val="100"/>
          <w:position w:val="0"/>
        </w:rPr>
        <w:t>本集团的会计年度从公历</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日至</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日止。</w:t>
      </w:r>
    </w:p>
    <w:p>
      <w:pPr>
        <w:pStyle w:val="Style44"/>
        <w:keepNext/>
        <w:keepLines/>
        <w:widowControl w:val="0"/>
        <w:shd w:val="clear" w:color="auto" w:fill="auto"/>
        <w:tabs>
          <w:tab w:pos="378" w:val="left"/>
        </w:tabs>
        <w:bidi w:val="0"/>
        <w:spacing w:before="0" w:after="140" w:line="470" w:lineRule="exact"/>
        <w:ind w:left="0" w:right="0" w:firstLine="0"/>
        <w:jc w:val="both"/>
      </w:pPr>
      <w:bookmarkStart w:id="826" w:name="bookmark826"/>
      <w:bookmarkStart w:id="827" w:name="bookmark827"/>
      <w:bookmarkStart w:id="828" w:name="bookmark828"/>
      <w:bookmarkStart w:id="829" w:name="bookmark829"/>
      <w:r>
        <w:rPr>
          <w:rFonts w:ascii="Times New Roman" w:eastAsia="Times New Roman" w:hAnsi="Times New Roman" w:cs="Times New Roman"/>
          <w:color w:val="000000"/>
          <w:spacing w:val="0"/>
          <w:w w:val="100"/>
          <w:position w:val="0"/>
        </w:rPr>
        <w:t>3</w:t>
      </w:r>
      <w:bookmarkEnd w:id="828"/>
      <w:r>
        <w:rPr>
          <w:color w:val="000000"/>
          <w:spacing w:val="0"/>
          <w:w w:val="100"/>
          <w:position w:val="0"/>
        </w:rPr>
        <w:t>、</w:t>
        <w:tab/>
        <w:t>记账本位币</w:t>
      </w:r>
      <w:bookmarkEnd w:id="826"/>
      <w:bookmarkEnd w:id="827"/>
      <w:bookmarkEnd w:id="829"/>
    </w:p>
    <w:p>
      <w:pPr>
        <w:pStyle w:val="Style47"/>
        <w:keepNext w:val="0"/>
        <w:keepLines w:val="0"/>
        <w:widowControl w:val="0"/>
        <w:shd w:val="clear" w:color="auto" w:fill="auto"/>
        <w:bidi w:val="0"/>
        <w:spacing w:before="0" w:after="140" w:line="470" w:lineRule="exact"/>
        <w:ind w:left="0" w:right="0" w:firstLine="440"/>
        <w:jc w:val="both"/>
      </w:pPr>
      <w:r>
        <w:rPr>
          <w:color w:val="000000"/>
          <w:spacing w:val="0"/>
          <w:w w:val="100"/>
          <w:position w:val="0"/>
        </w:rPr>
        <w:t>本集团采用人民币作为记账本位币。</w:t>
      </w:r>
    </w:p>
    <w:p>
      <w:pPr>
        <w:pStyle w:val="Style44"/>
        <w:keepNext/>
        <w:keepLines/>
        <w:widowControl w:val="0"/>
        <w:shd w:val="clear" w:color="auto" w:fill="auto"/>
        <w:tabs>
          <w:tab w:pos="378" w:val="left"/>
        </w:tabs>
        <w:bidi w:val="0"/>
        <w:spacing w:before="0" w:after="220" w:line="470" w:lineRule="exact"/>
        <w:ind w:left="0" w:right="0" w:firstLine="0"/>
        <w:jc w:val="left"/>
      </w:pPr>
      <w:bookmarkStart w:id="830" w:name="bookmark830"/>
      <w:bookmarkStart w:id="831" w:name="bookmark831"/>
      <w:bookmarkStart w:id="832" w:name="bookmark832"/>
      <w:bookmarkStart w:id="833" w:name="bookmark833"/>
      <w:r>
        <w:rPr>
          <w:rFonts w:ascii="Times New Roman" w:eastAsia="Times New Roman" w:hAnsi="Times New Roman" w:cs="Times New Roman"/>
          <w:color w:val="000000"/>
          <w:spacing w:val="0"/>
          <w:w w:val="100"/>
          <w:position w:val="0"/>
        </w:rPr>
        <w:t>4</w:t>
      </w:r>
      <w:bookmarkEnd w:id="832"/>
      <w:r>
        <w:rPr>
          <w:color w:val="000000"/>
          <w:spacing w:val="0"/>
          <w:w w:val="100"/>
          <w:position w:val="0"/>
        </w:rPr>
        <w:t>、</w:t>
        <w:tab/>
        <w:t>同一控制下和非同一控制下企业合并的会计处理方法</w:t>
      </w:r>
      <w:bookmarkEnd w:id="830"/>
      <w:bookmarkEnd w:id="831"/>
      <w:bookmarkEnd w:id="833"/>
    </w:p>
    <w:p>
      <w:pPr>
        <w:pStyle w:val="Style47"/>
        <w:keepNext w:val="0"/>
        <w:keepLines w:val="0"/>
        <w:widowControl w:val="0"/>
        <w:numPr>
          <w:ilvl w:val="0"/>
          <w:numId w:val="51"/>
        </w:numPr>
        <w:shd w:val="clear" w:color="auto" w:fill="auto"/>
        <w:tabs>
          <w:tab w:pos="755" w:val="left"/>
        </w:tabs>
        <w:bidi w:val="0"/>
        <w:spacing w:before="0" w:after="0" w:line="470" w:lineRule="exact"/>
        <w:ind w:left="0" w:right="0" w:firstLine="440"/>
        <w:jc w:val="both"/>
      </w:pPr>
      <w:bookmarkStart w:id="834" w:name="bookmark834"/>
      <w:bookmarkEnd w:id="834"/>
      <w:r>
        <w:rPr>
          <w:color w:val="000000"/>
          <w:spacing w:val="0"/>
          <w:w w:val="100"/>
          <w:position w:val="0"/>
        </w:rPr>
        <w:t>同一控制下企业合并的会计处理方法</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本集团在一次交易取得或通过多次交易分步实现同一控制下企业合并，企业合并中取得的资产和负 债，按照合并日被合并方在最终控制方合并财务报表中的的账面价值计量。本集团取得的净资产账面价值 与支付的合并对价账面价值（或发行股份面值总额）的差额，调整资本公积；资本公积不足冲减的，调整 留存收益。</w:t>
      </w:r>
    </w:p>
    <w:p>
      <w:pPr>
        <w:pStyle w:val="Style47"/>
        <w:keepNext w:val="0"/>
        <w:keepLines w:val="0"/>
        <w:widowControl w:val="0"/>
        <w:numPr>
          <w:ilvl w:val="0"/>
          <w:numId w:val="51"/>
        </w:numPr>
        <w:shd w:val="clear" w:color="auto" w:fill="auto"/>
        <w:tabs>
          <w:tab w:pos="774" w:val="left"/>
        </w:tabs>
        <w:bidi w:val="0"/>
        <w:spacing w:before="0" w:after="0" w:line="470" w:lineRule="exact"/>
        <w:ind w:left="0" w:right="0" w:firstLine="440"/>
        <w:jc w:val="both"/>
      </w:pPr>
      <w:bookmarkStart w:id="835" w:name="bookmark835"/>
      <w:bookmarkEnd w:id="835"/>
      <w:r>
        <w:rPr>
          <w:color w:val="000000"/>
          <w:spacing w:val="0"/>
          <w:w w:val="100"/>
          <w:position w:val="0"/>
        </w:rPr>
        <w:t>非同一控制下企业合并的会计处理方法</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本集团在购买日对合并成本大于合并中取得的被购买方可辨认净资产公允价值份额的差额，确认为商 誉；如果合并成本小于合并中取得的被购买方可辨认净资产公允价值份额，首先对取得的被购买方各项可 辨认资产、负债及或有负债的公允价值以及合并成本的计量进行复核，经复核后合并成本仍小于合并中取 得的被购买方可辨认净资产公允价值份额的，其差额计入当期损益。</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通过多次交易分步实现非同一控制下企业合并，应按以下顺序处理：</w:t>
      </w:r>
    </w:p>
    <w:p>
      <w:pPr>
        <w:pStyle w:val="Style47"/>
        <w:keepNext w:val="0"/>
        <w:keepLines w:val="0"/>
        <w:widowControl w:val="0"/>
        <w:shd w:val="clear" w:color="auto" w:fill="auto"/>
        <w:tabs>
          <w:tab w:pos="1021" w:val="left"/>
        </w:tabs>
        <w:bidi w:val="0"/>
        <w:spacing w:before="0" w:after="0" w:line="470" w:lineRule="exact"/>
        <w:ind w:left="0" w:right="0" w:firstLine="440"/>
        <w:jc w:val="both"/>
      </w:pPr>
      <w:bookmarkStart w:id="836" w:name="bookmark836"/>
      <w:r>
        <w:rPr>
          <w:color w:val="000000"/>
          <w:spacing w:val="0"/>
          <w:w w:val="100"/>
          <w:position w:val="0"/>
        </w:rPr>
        <w:t>（</w:t>
      </w:r>
      <w:bookmarkEnd w:id="836"/>
      <w:r>
        <w:rPr>
          <w:rFonts w:ascii="Times New Roman" w:eastAsia="Times New Roman" w:hAnsi="Times New Roman" w:cs="Times New Roman"/>
          <w:color w:val="000000"/>
          <w:spacing w:val="0"/>
          <w:w w:val="100"/>
          <w:position w:val="0"/>
        </w:rPr>
        <w:t>1</w:t>
      </w:r>
      <w:r>
        <w:rPr>
          <w:color w:val="000000"/>
          <w:spacing w:val="0"/>
          <w:w w:val="100"/>
          <w:position w:val="0"/>
        </w:rPr>
        <w:t>）</w:t>
        <w:tab/>
        <w:t>调整长期股权投资初始投资成本。购买日之前持有股权采用权益法核算的，按照该股权在购买 日的公允价值进行重新计量，公允价值与其账面价值的差额计入当期投资收益；购买日之前持有的被购买 方的股权涉及权益法核算下的其他综合收益、其他所有者权益变动的，转为购买日所属当期收益，由于被 投资方重新计量设定受益计划净负债或净资产变动以及持有的其他权益工具投资公允价值变动而产生的 其他综合收益除外。</w:t>
      </w:r>
    </w:p>
    <w:p>
      <w:pPr>
        <w:pStyle w:val="Style47"/>
        <w:keepNext w:val="0"/>
        <w:keepLines w:val="0"/>
        <w:widowControl w:val="0"/>
        <w:shd w:val="clear" w:color="auto" w:fill="auto"/>
        <w:tabs>
          <w:tab w:pos="1021" w:val="left"/>
        </w:tabs>
        <w:bidi w:val="0"/>
        <w:spacing w:before="0" w:after="140" w:line="470" w:lineRule="exact"/>
        <w:ind w:left="0" w:right="0" w:firstLine="440"/>
        <w:jc w:val="both"/>
      </w:pPr>
      <w:bookmarkStart w:id="837" w:name="bookmark837"/>
      <w:r>
        <w:rPr>
          <w:color w:val="000000"/>
          <w:spacing w:val="0"/>
          <w:w w:val="100"/>
          <w:position w:val="0"/>
        </w:rPr>
        <w:t>（</w:t>
      </w:r>
      <w:bookmarkEnd w:id="837"/>
      <w:r>
        <w:rPr>
          <w:rFonts w:ascii="Times New Roman" w:eastAsia="Times New Roman" w:hAnsi="Times New Roman" w:cs="Times New Roman"/>
          <w:color w:val="000000"/>
          <w:spacing w:val="0"/>
          <w:w w:val="100"/>
          <w:position w:val="0"/>
        </w:rPr>
        <w:t>2</w:t>
      </w:r>
      <w:r>
        <w:rPr>
          <w:color w:val="000000"/>
          <w:spacing w:val="0"/>
          <w:w w:val="100"/>
          <w:position w:val="0"/>
        </w:rPr>
        <w:t>）</w:t>
        <w:tab/>
        <w:t>确认商誉（或计入当期损益的金额）。将第一步调整后长期股权投资初始投资成本与购买日应 享有子公司可辨认净资产公允价值份额比较，前者大于后者，差额确认为商誉；前者小于后者，差额计入 当期损益。</w:t>
      </w:r>
    </w:p>
    <w:p>
      <w:pPr>
        <w:pStyle w:val="Style47"/>
        <w:keepNext w:val="0"/>
        <w:keepLines w:val="0"/>
        <w:widowControl w:val="0"/>
        <w:shd w:val="clear" w:color="auto" w:fill="auto"/>
        <w:bidi w:val="0"/>
        <w:spacing w:before="0" w:after="0" w:line="470" w:lineRule="exact"/>
        <w:ind w:left="0" w:right="0" w:firstLine="440"/>
        <w:jc w:val="left"/>
      </w:pPr>
      <w:r>
        <w:rPr>
          <w:color w:val="000000"/>
          <w:spacing w:val="0"/>
          <w:w w:val="100"/>
          <w:position w:val="0"/>
        </w:rPr>
        <w:t>通过多次交易分步处置股权至丧失对子公司控制权的情形</w:t>
      </w:r>
    </w:p>
    <w:p>
      <w:pPr>
        <w:pStyle w:val="Style47"/>
        <w:keepNext w:val="0"/>
        <w:keepLines w:val="0"/>
        <w:widowControl w:val="0"/>
        <w:shd w:val="clear" w:color="auto" w:fill="auto"/>
        <w:tabs>
          <w:tab w:pos="923" w:val="left"/>
        </w:tabs>
        <w:bidi w:val="0"/>
        <w:spacing w:before="0" w:after="0" w:line="470" w:lineRule="exact"/>
        <w:ind w:left="0" w:right="0" w:firstLine="440"/>
        <w:jc w:val="left"/>
      </w:pPr>
      <w:bookmarkStart w:id="838" w:name="bookmark838"/>
      <w:r>
        <w:rPr>
          <w:color w:val="000000"/>
          <w:spacing w:val="0"/>
          <w:w w:val="100"/>
          <w:position w:val="0"/>
        </w:rPr>
        <w:t>（</w:t>
      </w:r>
      <w:bookmarkEnd w:id="838"/>
      <w:r>
        <w:rPr>
          <w:rFonts w:ascii="Times New Roman" w:eastAsia="Times New Roman" w:hAnsi="Times New Roman" w:cs="Times New Roman"/>
          <w:color w:val="000000"/>
          <w:spacing w:val="0"/>
          <w:w w:val="100"/>
          <w:position w:val="0"/>
        </w:rPr>
        <w:t>1</w:t>
      </w:r>
      <w:r>
        <w:rPr>
          <w:color w:val="000000"/>
          <w:spacing w:val="0"/>
          <w:w w:val="100"/>
          <w:position w:val="0"/>
        </w:rPr>
        <w:t>）</w:t>
        <w:tab/>
        <w:t>判断分步处置股权至丧失对子公司控制权过程中的各项交易是否属于</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color w:val="000000"/>
          <w:spacing w:val="0"/>
          <w:w w:val="100"/>
          <w:position w:val="0"/>
        </w:rPr>
        <w:t>''</w:t>
      </w:r>
      <w:r>
        <w:rPr>
          <w:color w:val="000000"/>
          <w:spacing w:val="0"/>
          <w:w w:val="100"/>
          <w:position w:val="0"/>
        </w:rPr>
        <w:t>的原则</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处置对子公司股权投资的各项交易的条款、条件以及经济影响符合以下一种或多种情况，通常表明应 将多次交易事项作为一揽子交易进行会计处理：</w:t>
      </w:r>
    </w:p>
    <w:p>
      <w:pPr>
        <w:pStyle w:val="Style47"/>
        <w:keepNext w:val="0"/>
        <w:keepLines w:val="0"/>
        <w:widowControl w:val="0"/>
        <w:shd w:val="clear" w:color="auto" w:fill="auto"/>
        <w:tabs>
          <w:tab w:pos="814" w:val="left"/>
        </w:tabs>
        <w:bidi w:val="0"/>
        <w:spacing w:before="0" w:after="200" w:line="470" w:lineRule="exact"/>
        <w:ind w:left="0" w:right="0" w:firstLine="440"/>
        <w:jc w:val="left"/>
      </w:pPr>
      <w:bookmarkStart w:id="839" w:name="bookmark839"/>
      <w:r>
        <w:rPr>
          <w:rFonts w:ascii="Times New Roman" w:eastAsia="Times New Roman" w:hAnsi="Times New Roman" w:cs="Times New Roman"/>
          <w:color w:val="000000"/>
          <w:spacing w:val="0"/>
          <w:w w:val="100"/>
          <w:position w:val="0"/>
        </w:rPr>
        <w:t>1</w:t>
      </w:r>
      <w:bookmarkEnd w:id="839"/>
      <w:r>
        <w:rPr>
          <w:color w:val="000000"/>
          <w:spacing w:val="0"/>
          <w:w w:val="100"/>
          <w:position w:val="0"/>
        </w:rPr>
        <w:t>）</w:t>
        <w:tab/>
        <w:t>这些交易是同时或者在考虑了彼此影响的情况下订立的；</w:t>
      </w:r>
    </w:p>
    <w:p>
      <w:pPr>
        <w:pStyle w:val="Style47"/>
        <w:keepNext w:val="0"/>
        <w:keepLines w:val="0"/>
        <w:widowControl w:val="0"/>
        <w:shd w:val="clear" w:color="auto" w:fill="auto"/>
        <w:tabs>
          <w:tab w:pos="832" w:val="left"/>
        </w:tabs>
        <w:bidi w:val="0"/>
        <w:spacing w:before="0" w:after="0"/>
        <w:ind w:left="0" w:right="0" w:firstLine="440"/>
        <w:jc w:val="left"/>
      </w:pPr>
      <w:bookmarkStart w:id="840" w:name="bookmark840"/>
      <w:r>
        <w:rPr>
          <w:rFonts w:ascii="Times New Roman" w:eastAsia="Times New Roman" w:hAnsi="Times New Roman" w:cs="Times New Roman"/>
          <w:color w:val="000000"/>
          <w:spacing w:val="0"/>
          <w:w w:val="100"/>
          <w:position w:val="0"/>
        </w:rPr>
        <w:t>2</w:t>
      </w:r>
      <w:bookmarkEnd w:id="840"/>
      <w:r>
        <w:rPr>
          <w:color w:val="000000"/>
          <w:spacing w:val="0"/>
          <w:w w:val="100"/>
          <w:position w:val="0"/>
        </w:rPr>
        <w:t>）</w:t>
        <w:tab/>
        <w:t>这些交易整体才能达成一项完整的商业结果；</w:t>
      </w:r>
    </w:p>
    <w:p>
      <w:pPr>
        <w:pStyle w:val="Style47"/>
        <w:keepNext w:val="0"/>
        <w:keepLines w:val="0"/>
        <w:widowControl w:val="0"/>
        <w:shd w:val="clear" w:color="auto" w:fill="auto"/>
        <w:tabs>
          <w:tab w:pos="832" w:val="left"/>
        </w:tabs>
        <w:bidi w:val="0"/>
        <w:spacing w:before="0" w:after="0"/>
        <w:ind w:left="0" w:right="0" w:firstLine="440"/>
        <w:jc w:val="left"/>
      </w:pPr>
      <w:bookmarkStart w:id="841" w:name="bookmark841"/>
      <w:r>
        <w:rPr>
          <w:rFonts w:ascii="Times New Roman" w:eastAsia="Times New Roman" w:hAnsi="Times New Roman" w:cs="Times New Roman"/>
          <w:color w:val="000000"/>
          <w:spacing w:val="0"/>
          <w:w w:val="100"/>
          <w:position w:val="0"/>
        </w:rPr>
        <w:t>3</w:t>
      </w:r>
      <w:bookmarkEnd w:id="841"/>
      <w:r>
        <w:rPr>
          <w:color w:val="000000"/>
          <w:spacing w:val="0"/>
          <w:w w:val="100"/>
          <w:position w:val="0"/>
        </w:rPr>
        <w:t>）</w:t>
        <w:tab/>
        <w:t>一项交易的发生取决于其他至少一项交易的发生；</w:t>
      </w:r>
    </w:p>
    <w:p>
      <w:pPr>
        <w:pStyle w:val="Style47"/>
        <w:keepNext w:val="0"/>
        <w:keepLines w:val="0"/>
        <w:widowControl w:val="0"/>
        <w:shd w:val="clear" w:color="auto" w:fill="auto"/>
        <w:tabs>
          <w:tab w:pos="832" w:val="left"/>
        </w:tabs>
        <w:bidi w:val="0"/>
        <w:spacing w:before="0" w:after="0" w:line="470" w:lineRule="exact"/>
        <w:ind w:left="0" w:right="0" w:firstLine="440"/>
        <w:jc w:val="left"/>
      </w:pPr>
      <w:bookmarkStart w:id="842" w:name="bookmark842"/>
      <w:r>
        <w:rPr>
          <w:rFonts w:ascii="Times New Roman" w:eastAsia="Times New Roman" w:hAnsi="Times New Roman" w:cs="Times New Roman"/>
          <w:color w:val="000000"/>
          <w:spacing w:val="0"/>
          <w:w w:val="100"/>
          <w:position w:val="0"/>
        </w:rPr>
        <w:t>4</w:t>
      </w:r>
      <w:bookmarkEnd w:id="842"/>
      <w:r>
        <w:rPr>
          <w:color w:val="000000"/>
          <w:spacing w:val="0"/>
          <w:w w:val="100"/>
          <w:position w:val="0"/>
        </w:rPr>
        <w:t>）</w:t>
        <w:tab/>
        <w:t>一项交易单独看是不经济的，但是和其他交易一并考虑时是经济的。</w:t>
      </w:r>
    </w:p>
    <w:p>
      <w:pPr>
        <w:pStyle w:val="Style47"/>
        <w:keepNext w:val="0"/>
        <w:keepLines w:val="0"/>
        <w:widowControl w:val="0"/>
        <w:shd w:val="clear" w:color="auto" w:fill="auto"/>
        <w:tabs>
          <w:tab w:pos="923" w:val="left"/>
        </w:tabs>
        <w:bidi w:val="0"/>
        <w:spacing w:before="0" w:after="0" w:line="470" w:lineRule="exact"/>
        <w:ind w:left="0" w:right="0" w:firstLine="440"/>
        <w:jc w:val="left"/>
      </w:pPr>
      <w:bookmarkStart w:id="843" w:name="bookmark843"/>
      <w:r>
        <w:rPr>
          <w:color w:val="000000"/>
          <w:spacing w:val="0"/>
          <w:w w:val="100"/>
          <w:position w:val="0"/>
        </w:rPr>
        <w:t>（</w:t>
      </w:r>
      <w:bookmarkEnd w:id="843"/>
      <w:r>
        <w:rPr>
          <w:rFonts w:ascii="Times New Roman" w:eastAsia="Times New Roman" w:hAnsi="Times New Roman" w:cs="Times New Roman"/>
          <w:color w:val="000000"/>
          <w:spacing w:val="0"/>
          <w:w w:val="100"/>
          <w:position w:val="0"/>
        </w:rPr>
        <w:t>2</w:t>
      </w:r>
      <w:r>
        <w:rPr>
          <w:color w:val="000000"/>
          <w:spacing w:val="0"/>
          <w:w w:val="100"/>
          <w:position w:val="0"/>
        </w:rPr>
        <w:t>）</w:t>
        <w:tab/>
        <w:t>分步处置股权至丧失对子公司控制权过程中的各项交易属于</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rFonts w:ascii="Times New Roman" w:eastAsia="Times New Roman" w:hAnsi="Times New Roman" w:cs="Times New Roman"/>
          <w:color w:val="000000"/>
          <w:spacing w:val="0"/>
          <w:w w:val="100"/>
          <w:position w:val="0"/>
        </w:rPr>
        <w:t>”</w:t>
      </w:r>
      <w:r>
        <w:rPr>
          <w:color w:val="000000"/>
          <w:spacing w:val="0"/>
          <w:w w:val="100"/>
          <w:position w:val="0"/>
        </w:rPr>
        <w:t>的会计处理方法</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处置对子公司股权投资直至丧失控制权的各项交易属于一揽子交易的，应当将各项交易作为一项处置 子公司并丧失控制权的交易进行会计处理；但是，在丧失控制权之前每一次处置价款与处置投资对应的享 有该子公司净资产份额的差额，在合并财务报表中应当确认为其他综合收益，在丧失控制权时一并转入丧 失控制权当期的损益。</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在合并财务报表中，对于剩余股权，应当按照其在丧失控制权日的公允价值进行重新计量。处置股权 取得的对价与剩余股权公允价值之和，减去按原持股比例计算应享有原子公司自购买日开始持续计算的净 资产的份额之间的差额，计入丧失控制权当期的投资收益。与原子公司股权投资相关的其他综合收益，应 当在丧失控制权时转为当期投资收益或留存收益。</w:t>
      </w:r>
    </w:p>
    <w:p>
      <w:pPr>
        <w:pStyle w:val="Style47"/>
        <w:keepNext w:val="0"/>
        <w:keepLines w:val="0"/>
        <w:widowControl w:val="0"/>
        <w:shd w:val="clear" w:color="auto" w:fill="auto"/>
        <w:tabs>
          <w:tab w:pos="1034" w:val="left"/>
        </w:tabs>
        <w:bidi w:val="0"/>
        <w:spacing w:before="0" w:after="0" w:line="470" w:lineRule="exact"/>
        <w:ind w:left="440" w:right="0" w:firstLine="0"/>
        <w:jc w:val="left"/>
      </w:pPr>
      <w:bookmarkStart w:id="844" w:name="bookmark844"/>
      <w:r>
        <w:rPr>
          <w:color w:val="000000"/>
          <w:spacing w:val="0"/>
          <w:w w:val="100"/>
          <w:position w:val="0"/>
        </w:rPr>
        <w:t>（</w:t>
      </w:r>
      <w:bookmarkEnd w:id="844"/>
      <w:r>
        <w:rPr>
          <w:rFonts w:ascii="Times New Roman" w:eastAsia="Times New Roman" w:hAnsi="Times New Roman" w:cs="Times New Roman"/>
          <w:color w:val="000000"/>
          <w:spacing w:val="0"/>
          <w:w w:val="100"/>
          <w:position w:val="0"/>
        </w:rPr>
        <w:t>3</w:t>
      </w:r>
      <w:r>
        <w:rPr>
          <w:color w:val="000000"/>
          <w:spacing w:val="0"/>
          <w:w w:val="100"/>
          <w:position w:val="0"/>
        </w:rPr>
        <w:t>）</w:t>
        <w:tab/>
        <w:t>分步处置股权至丧失对子公司控制权过程中的各项交易不属于</w:t>
      </w:r>
      <w:r>
        <w:rPr>
          <w:rFonts w:ascii="Times New Roman" w:eastAsia="Times New Roman" w:hAnsi="Times New Roman" w:cs="Times New Roman"/>
          <w:color w:val="000000"/>
          <w:spacing w:val="0"/>
          <w:w w:val="100"/>
          <w:position w:val="0"/>
        </w:rPr>
        <w:t>“</w:t>
      </w:r>
      <w:r>
        <w:rPr>
          <w:color w:val="000000"/>
          <w:spacing w:val="0"/>
          <w:w w:val="100"/>
          <w:position w:val="0"/>
        </w:rPr>
        <w:t>一揽子交易</w:t>
      </w:r>
      <w:r>
        <w:rPr>
          <w:color w:val="000000"/>
          <w:spacing w:val="0"/>
          <w:w w:val="100"/>
          <w:position w:val="0"/>
        </w:rPr>
        <w:t>''</w:t>
      </w:r>
      <w:r>
        <w:rPr>
          <w:color w:val="000000"/>
          <w:spacing w:val="0"/>
          <w:w w:val="100"/>
          <w:position w:val="0"/>
        </w:rPr>
        <w:t>的会计处理方法 处置对子公司的投资未丧失控制权的，合并财务报表中处置价款与处置投资对应的享有该子公司净资</w:t>
      </w:r>
    </w:p>
    <w:p>
      <w:pPr>
        <w:pStyle w:val="Style47"/>
        <w:keepNext w:val="0"/>
        <w:keepLines w:val="0"/>
        <w:widowControl w:val="0"/>
        <w:shd w:val="clear" w:color="auto" w:fill="auto"/>
        <w:bidi w:val="0"/>
        <w:spacing w:before="0" w:after="0" w:line="470" w:lineRule="exact"/>
        <w:ind w:left="0" w:right="0" w:firstLine="0"/>
        <w:jc w:val="left"/>
      </w:pPr>
      <w:r>
        <w:rPr>
          <w:color w:val="000000"/>
          <w:spacing w:val="0"/>
          <w:w w:val="100"/>
          <w:position w:val="0"/>
        </w:rPr>
        <w:t>产份额的差额计入资本公积（资本溢价或股本溢价），资本溢价不足冲减的，应当调整留存收益。</w:t>
      </w:r>
    </w:p>
    <w:p>
      <w:pPr>
        <w:pStyle w:val="Style47"/>
        <w:keepNext w:val="0"/>
        <w:keepLines w:val="0"/>
        <w:widowControl w:val="0"/>
        <w:shd w:val="clear" w:color="auto" w:fill="auto"/>
        <w:bidi w:val="0"/>
        <w:spacing w:before="0" w:after="420" w:line="470" w:lineRule="exact"/>
        <w:ind w:left="0" w:right="0" w:firstLine="440"/>
        <w:jc w:val="both"/>
      </w:pPr>
      <w:r>
        <w:rPr>
          <w:color w:val="000000"/>
          <w:spacing w:val="0"/>
          <w:w w:val="100"/>
          <w:position w:val="0"/>
        </w:rPr>
        <w:t>处置对子公司的投资丧失控制权的，在合并财务报表中，对于剩余股权，应当按照其在丧失控制权日 的公允价值进行重新计量。处置股权取得的对价与剩余股权公允价值之和，减去按原持股比例计算应享有 原有子公司自购买日开始持续计算的净资产的份额之间的差额，计入丧失控制权当期的投资收益。与原有 子公司股权投资相关的其他综合收益，应当在丧失控制权时转为当期投资收益或留存收益。</w:t>
      </w:r>
    </w:p>
    <w:p>
      <w:pPr>
        <w:pStyle w:val="Style44"/>
        <w:keepNext/>
        <w:keepLines/>
        <w:widowControl w:val="0"/>
        <w:shd w:val="clear" w:color="auto" w:fill="auto"/>
        <w:bidi w:val="0"/>
        <w:spacing w:before="0" w:after="200" w:line="240" w:lineRule="auto"/>
        <w:ind w:left="0" w:right="0" w:firstLine="0"/>
        <w:jc w:val="left"/>
      </w:pPr>
      <w:bookmarkStart w:id="845" w:name="bookmark845"/>
      <w:bookmarkStart w:id="846" w:name="bookmark846"/>
      <w:bookmarkStart w:id="847" w:name="bookmark847"/>
      <w:bookmarkStart w:id="848" w:name="bookmark848"/>
      <w:r>
        <w:rPr>
          <w:rFonts w:ascii="Times New Roman" w:eastAsia="Times New Roman" w:hAnsi="Times New Roman" w:cs="Times New Roman"/>
          <w:color w:val="000000"/>
          <w:spacing w:val="0"/>
          <w:w w:val="100"/>
          <w:position w:val="0"/>
        </w:rPr>
        <w:t>5</w:t>
      </w:r>
      <w:bookmarkEnd w:id="847"/>
      <w:r>
        <w:rPr>
          <w:color w:val="000000"/>
          <w:spacing w:val="0"/>
          <w:w w:val="100"/>
          <w:position w:val="0"/>
        </w:rPr>
        <w:t>、合并财务报表的编制方法</w:t>
      </w:r>
      <w:bookmarkEnd w:id="845"/>
      <w:bookmarkEnd w:id="846"/>
      <w:bookmarkEnd w:id="848"/>
    </w:p>
    <w:p>
      <w:pPr>
        <w:pStyle w:val="Style47"/>
        <w:keepNext w:val="0"/>
        <w:keepLines w:val="0"/>
        <w:widowControl w:val="0"/>
        <w:shd w:val="clear" w:color="auto" w:fill="auto"/>
        <w:bidi w:val="0"/>
        <w:spacing w:before="0" w:after="0" w:line="456" w:lineRule="exact"/>
        <w:ind w:left="0" w:right="0" w:firstLine="440"/>
        <w:jc w:val="both"/>
      </w:pPr>
      <w:r>
        <w:rPr>
          <w:color w:val="000000"/>
          <w:spacing w:val="0"/>
          <w:w w:val="100"/>
          <w:position w:val="0"/>
        </w:rPr>
        <w:t>合并财务报表以母公司及其子公司的财务报表为基础，根据其他有关资料，由本集团按照《企业会计 准则第</w:t>
      </w:r>
      <w:r>
        <w:rPr>
          <w:rFonts w:ascii="Times New Roman" w:eastAsia="Times New Roman" w:hAnsi="Times New Roman" w:cs="Times New Roman"/>
          <w:color w:val="000000"/>
          <w:spacing w:val="0"/>
          <w:w w:val="100"/>
          <w:position w:val="0"/>
        </w:rPr>
        <w:t>33</w:t>
      </w:r>
      <w:r>
        <w:rPr>
          <w:color w:val="000000"/>
          <w:spacing w:val="0"/>
          <w:w w:val="100"/>
          <w:position w:val="0"/>
        </w:rPr>
        <w:t>号一合并财务报表》编制。</w:t>
      </w:r>
    </w:p>
    <w:p>
      <w:pPr>
        <w:pStyle w:val="Style47"/>
        <w:keepNext w:val="0"/>
        <w:keepLines w:val="0"/>
        <w:widowControl w:val="0"/>
        <w:shd w:val="clear" w:color="auto" w:fill="auto"/>
        <w:bidi w:val="0"/>
        <w:spacing w:before="0" w:after="0" w:line="456" w:lineRule="exact"/>
        <w:ind w:left="0" w:right="0" w:firstLine="440"/>
        <w:jc w:val="both"/>
      </w:pPr>
      <w:r>
        <w:rPr>
          <w:color w:val="000000"/>
          <w:spacing w:val="0"/>
          <w:w w:val="100"/>
          <w:position w:val="0"/>
        </w:rPr>
        <w:t>本集团将所有控制的子公司及结构化主体纳入合并财务报表范围。</w:t>
      </w:r>
    </w:p>
    <w:p>
      <w:pPr>
        <w:pStyle w:val="Style47"/>
        <w:keepNext w:val="0"/>
        <w:keepLines w:val="0"/>
        <w:widowControl w:val="0"/>
        <w:shd w:val="clear" w:color="auto" w:fill="auto"/>
        <w:bidi w:val="0"/>
        <w:spacing w:before="0" w:after="0" w:line="456" w:lineRule="exact"/>
        <w:ind w:left="0" w:right="0" w:firstLine="440"/>
        <w:jc w:val="both"/>
        <w:sectPr>
          <w:headerReference w:type="default" r:id="rId229"/>
          <w:footerReference w:type="default" r:id="rId230"/>
          <w:headerReference w:type="even" r:id="rId231"/>
          <w:footerReference w:type="even" r:id="rId232"/>
          <w:headerReference w:type="first" r:id="rId233"/>
          <w:footerReference w:type="first" r:id="rId234"/>
          <w:footnotePr>
            <w:pos w:val="pageBottom"/>
            <w:numFmt w:val="decimal"/>
            <w:numRestart w:val="continuous"/>
          </w:footnotePr>
          <w:pgSz w:w="11900" w:h="16840"/>
          <w:pgMar w:top="1244" w:right="22" w:bottom="1455" w:left="1101" w:header="0" w:footer="3" w:gutter="0"/>
          <w:cols w:space="720"/>
          <w:noEndnote/>
          <w:titlePg/>
          <w:rtlGutter w:val="0"/>
          <w:docGrid w:linePitch="360"/>
        </w:sectPr>
      </w:pPr>
      <w:r>
        <w:rPr>
          <w:color w:val="000000"/>
          <w:spacing w:val="0"/>
          <w:w w:val="100"/>
          <w:position w:val="0"/>
        </w:rPr>
        <w:t xml:space="preserve">在编制合并财务报表时，子公司与本集团采用的会计政策或会计期间不一致的，按照本集团的会计政 </w:t>
      </w:r>
    </w:p>
    <w:p>
      <w:pPr>
        <w:pStyle w:val="Style47"/>
        <w:keepNext w:val="0"/>
        <w:keepLines w:val="0"/>
        <w:widowControl w:val="0"/>
        <w:shd w:val="clear" w:color="auto" w:fill="auto"/>
        <w:bidi w:val="0"/>
        <w:spacing w:before="0" w:after="0" w:line="456" w:lineRule="exact"/>
        <w:ind w:left="0" w:right="0" w:firstLine="0"/>
        <w:jc w:val="both"/>
      </w:pPr>
      <w:r>
        <w:rPr>
          <w:color w:val="000000"/>
          <w:spacing w:val="0"/>
          <w:w w:val="100"/>
          <w:position w:val="0"/>
        </w:rPr>
        <w:t>策或会计期间对子公司财务报表进行必要的调整。</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合并范围内的所有重大内部交易、往来余额及未实现利润在合并报表编制时予以抵销。子公司的所有 者权益中不属于母公司的份额以及当期净损益、其他综合收益及综合收益总额中属于少数股东权益的份 额，分别在合并财务报表</w:t>
      </w:r>
      <w:r>
        <w:rPr>
          <w:rFonts w:ascii="Times New Roman" w:eastAsia="Times New Roman" w:hAnsi="Times New Roman" w:cs="Times New Roman"/>
          <w:color w:val="000000"/>
          <w:spacing w:val="0"/>
          <w:w w:val="100"/>
          <w:position w:val="0"/>
        </w:rPr>
        <w:t>“</w:t>
      </w:r>
      <w:r>
        <w:rPr>
          <w:color w:val="000000"/>
          <w:spacing w:val="0"/>
          <w:w w:val="100"/>
          <w:position w:val="0"/>
        </w:rPr>
        <w:t>少数股东权益、少数股东损益、归属于少数股东的其他综合收益及归属于少数 股东的综合收益总额</w:t>
      </w:r>
      <w:r>
        <w:rPr>
          <w:rFonts w:ascii="Times New Roman" w:eastAsia="Times New Roman" w:hAnsi="Times New Roman" w:cs="Times New Roman"/>
          <w:color w:val="000000"/>
          <w:spacing w:val="0"/>
          <w:w w:val="100"/>
          <w:position w:val="0"/>
        </w:rPr>
        <w:t>”</w:t>
      </w:r>
      <w:r>
        <w:rPr>
          <w:color w:val="000000"/>
          <w:spacing w:val="0"/>
          <w:w w:val="100"/>
          <w:position w:val="0"/>
        </w:rPr>
        <w:t>项目列示。</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对于同一控制下企业合并取得的子公司，其经营成果和现金流量自合并当期期初纳入合并财务报表。 编制比较合并财务报表时，对上年财务报表的相关项目进行调整，视同合并后形成的报告主体自最终控制 方开始控制时点起一直存在。</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通过多次交易分步取得同一控制下被投资单位的股权，最终形成企业合并，编制合并报表时，视同在 最终控制方开始控制时即以目前的状态存在进行调整，在编制比较报表时，以不早于本集团和被合并方同 处于最终控制方的控制之下的时点为限，将被合并方的有关资产、负债并入本集团合并财务报表的比较报 表中，并将合并而增加的净资产在比较报表中调整所有者权益项下的相关项目。为避免对被合并方净资产 的价值进行重复计算，本集团在达到合并之前持有的长期股权投资，在取得原股权之日与本集团和被合并 方处于同一方最终控制之日孰晚日起至合并日之间已确认有关损益、其他综合收益和其他净资产变动，应 分别冲减比较报表期间的期初留存收益和当期损益。</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对于非同一控制下企业合并取得子公司，经营成果和现金流量自本集团取得控制权之日起纳入合并财 务报表。在编制合并财务报表时，以购买日确定的各项可辨认资产、负债及或有负债的公允价值为基础对 子公司的财务报表进行调整。</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通过多次交易分步取得非同一控制下被投资单位的股权，最终形成企业合并，编制合并报表时，对于 购买日之前持有的被购买方的股权，按照该股权在购买日的公允价值进行重新计量，公允价值与其账面价 值的差额计入当期投资收益；与其相关的购买日之前持有的被购买方的股权涉及权益法核算下的其他综合 收益以及除净损益、其他综合收益和利润分配外的其他所有者权益变动，在购买日所属当期转为投资损益, 由于被投资方重新计量设定受益计划净负债或净资产变动而产生的其他综合收益除外。</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本集团在不丧失控制权的情况下部分处置对子公司的长期股权投资，在合并财务报表中，处置价款与 处置长期股权投资相对应享有子公司自购买日或合并日开始持续计算的净资产份额之间的差额，调整资本 溢价或股本溢价，资本公积不足冲减的，调整留存收益。</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 xml:space="preserve">本集团因处置部分股权投资等原因丧失了对被投资方的控制权的，在编制合并财务报表时，对于剩余 股权，按照其在丧失控制权日的公允价值进行重新计量。处置股权取得的对价与剩余股权公允价值之和， 减去按原持股比例计算应享有原有子公司自购买日或合并日开始持续计算的净资产的份额之间的差额，计 入丧失控制权当期的投资损益，同时冲减商誉。与原有子公司股权投资相关的其他综合收益等，在丧失控 </w:t>
      </w:r>
      <w:r>
        <w:rPr>
          <w:color w:val="000000"/>
          <w:spacing w:val="0"/>
          <w:w w:val="100"/>
          <w:position w:val="0"/>
        </w:rPr>
        <w:t>制权时转为当期投资损益。</w:t>
      </w:r>
    </w:p>
    <w:p>
      <w:pPr>
        <w:pStyle w:val="Style47"/>
        <w:keepNext w:val="0"/>
        <w:keepLines w:val="0"/>
        <w:widowControl w:val="0"/>
        <w:shd w:val="clear" w:color="auto" w:fill="auto"/>
        <w:bidi w:val="0"/>
        <w:spacing w:before="0" w:after="420" w:line="469" w:lineRule="exact"/>
        <w:ind w:left="0" w:right="0" w:firstLine="440"/>
        <w:jc w:val="both"/>
      </w:pPr>
      <w:r>
        <w:rPr>
          <w:color w:val="000000"/>
          <w:spacing w:val="0"/>
          <w:w w:val="100"/>
          <w:position w:val="0"/>
        </w:rPr>
        <w:t>本集团通过多次交易分步处置对子公司股权投资直至丧失控制权的，如果处置对子公司股权投资直至 丧失控制权的各项交易属于一揽子交易的，应当将各项交易作为一项处置子公司并丧失控制权的交易进行 会计处理；但是，在丧失控制权之前每一次处置价款与处置投资对应的享有该子公司净资产份额的差额， 在合并财务报表中确认为其他综合收益，在丧失控制权时一并转入丧失控制权当期的投资损益。</w:t>
      </w:r>
    </w:p>
    <w:p>
      <w:pPr>
        <w:pStyle w:val="Style44"/>
        <w:keepNext/>
        <w:keepLines/>
        <w:widowControl w:val="0"/>
        <w:shd w:val="clear" w:color="auto" w:fill="auto"/>
        <w:tabs>
          <w:tab w:pos="378" w:val="left"/>
        </w:tabs>
        <w:bidi w:val="0"/>
        <w:spacing w:before="0" w:after="180" w:line="492" w:lineRule="auto"/>
        <w:ind w:left="0" w:right="0" w:firstLine="0"/>
        <w:jc w:val="left"/>
      </w:pPr>
      <w:bookmarkStart w:id="849" w:name="bookmark849"/>
      <w:bookmarkStart w:id="850" w:name="bookmark850"/>
      <w:bookmarkStart w:id="851" w:name="bookmark851"/>
      <w:bookmarkStart w:id="852" w:name="bookmark852"/>
      <w:r>
        <w:rPr>
          <w:rFonts w:ascii="Times New Roman" w:eastAsia="Times New Roman" w:hAnsi="Times New Roman" w:cs="Times New Roman"/>
          <w:color w:val="000000"/>
          <w:spacing w:val="0"/>
          <w:w w:val="100"/>
          <w:position w:val="0"/>
        </w:rPr>
        <w:t>6</w:t>
      </w:r>
      <w:bookmarkEnd w:id="851"/>
      <w:r>
        <w:rPr>
          <w:color w:val="000000"/>
          <w:spacing w:val="0"/>
          <w:w w:val="100"/>
          <w:position w:val="0"/>
        </w:rPr>
        <w:t>、</w:t>
        <w:tab/>
        <w:t>合营安排分类及共同经营会计处理方法</w:t>
      </w:r>
      <w:bookmarkEnd w:id="849"/>
      <w:bookmarkEnd w:id="850"/>
      <w:bookmarkEnd w:id="852"/>
    </w:p>
    <w:p>
      <w:pPr>
        <w:pStyle w:val="Style47"/>
        <w:keepNext w:val="0"/>
        <w:keepLines w:val="0"/>
        <w:widowControl w:val="0"/>
        <w:numPr>
          <w:ilvl w:val="0"/>
          <w:numId w:val="53"/>
        </w:numPr>
        <w:shd w:val="clear" w:color="auto" w:fill="auto"/>
        <w:tabs>
          <w:tab w:pos="755" w:val="left"/>
        </w:tabs>
        <w:bidi w:val="0"/>
        <w:spacing w:before="0" w:after="0" w:line="492" w:lineRule="auto"/>
        <w:ind w:left="0" w:right="0" w:firstLine="440"/>
        <w:jc w:val="both"/>
      </w:pPr>
      <w:bookmarkStart w:id="853" w:name="bookmark853"/>
      <w:bookmarkEnd w:id="853"/>
      <w:r>
        <w:rPr>
          <w:color w:val="000000"/>
          <w:spacing w:val="0"/>
          <w:w w:val="100"/>
          <w:position w:val="0"/>
        </w:rPr>
        <w:t>合营安排的认定和分类</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合营安排，是指一项由两个或两个以上的参与方共同控制的安排。合营安排具有下列特征：（</w:t>
      </w:r>
      <w:r>
        <w:rPr>
          <w:rFonts w:ascii="Times New Roman" w:eastAsia="Times New Roman" w:hAnsi="Times New Roman" w:cs="Times New Roman"/>
          <w:color w:val="000000"/>
          <w:spacing w:val="0"/>
          <w:w w:val="100"/>
          <w:position w:val="0"/>
        </w:rPr>
        <w:t>1</w:t>
      </w:r>
      <w:r>
        <w:rPr>
          <w:color w:val="000000"/>
          <w:spacing w:val="0"/>
          <w:w w:val="100"/>
          <w:position w:val="0"/>
        </w:rPr>
        <w:t>）各 参与方均受到该安排的约束；（</w:t>
      </w:r>
      <w:r>
        <w:rPr>
          <w:rFonts w:ascii="Times New Roman" w:eastAsia="Times New Roman" w:hAnsi="Times New Roman" w:cs="Times New Roman"/>
          <w:color w:val="000000"/>
          <w:spacing w:val="0"/>
          <w:w w:val="100"/>
          <w:position w:val="0"/>
        </w:rPr>
        <w:t xml:space="preserve">2 </w:t>
      </w:r>
      <w:r>
        <w:rPr>
          <w:color w:val="000000"/>
          <w:spacing w:val="0"/>
          <w:w w:val="100"/>
          <w:position w:val="0"/>
        </w:rPr>
        <w:t>）两个或两个以上的参与方对该安排实施共同控制。任何一个参与方都 不能够单独控制该安排，对该安排具有共同控制的任何一个参与方均能够阻止其他参与方或参与方组合单 独控制该安排。</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共同控制，是指按照相关约定对某项安排所共有的控制，并且该安排的相关活动必须经过分享控制权 的参与方一致同意后才能决策。</w:t>
      </w:r>
    </w:p>
    <w:p>
      <w:pPr>
        <w:pStyle w:val="Style47"/>
        <w:keepNext w:val="0"/>
        <w:keepLines w:val="0"/>
        <w:widowControl w:val="0"/>
        <w:shd w:val="clear" w:color="auto" w:fill="auto"/>
        <w:bidi w:val="0"/>
        <w:spacing w:before="0" w:after="180" w:line="470" w:lineRule="exact"/>
        <w:ind w:left="0" w:right="0" w:firstLine="440"/>
        <w:jc w:val="both"/>
      </w:pPr>
      <w:r>
        <w:rPr>
          <w:color w:val="000000"/>
          <w:spacing w:val="0"/>
          <w:w w:val="100"/>
          <w:position w:val="0"/>
        </w:rPr>
        <w:t>合营安排分为共同经营和合营企业。共同经营，是指合营方享有该安排相关资产且承担该安排相关负 债的合营安排。合营企业，是指合营方仅对该安排的净资产享有权利的合营安排。</w:t>
      </w:r>
    </w:p>
    <w:p>
      <w:pPr>
        <w:pStyle w:val="Style47"/>
        <w:keepNext w:val="0"/>
        <w:keepLines w:val="0"/>
        <w:widowControl w:val="0"/>
        <w:numPr>
          <w:ilvl w:val="0"/>
          <w:numId w:val="53"/>
        </w:numPr>
        <w:shd w:val="clear" w:color="auto" w:fill="auto"/>
        <w:tabs>
          <w:tab w:pos="774" w:val="left"/>
        </w:tabs>
        <w:bidi w:val="0"/>
        <w:spacing w:before="0" w:after="0" w:line="492" w:lineRule="auto"/>
        <w:ind w:left="0" w:right="0" w:firstLine="440"/>
        <w:jc w:val="both"/>
      </w:pPr>
      <w:bookmarkStart w:id="854" w:name="bookmark854"/>
      <w:bookmarkEnd w:id="854"/>
      <w:r>
        <w:rPr>
          <w:color w:val="000000"/>
          <w:spacing w:val="0"/>
          <w:w w:val="100"/>
          <w:position w:val="0"/>
        </w:rPr>
        <w:t>合营安排的会计处理</w:t>
      </w: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共同经营参与方应当确认其与共同经营中利益份额相关的下列项目，并按照相关企业会计准则的规定 进行会计处理：（</w:t>
      </w:r>
      <w:r>
        <w:rPr>
          <w:rFonts w:ascii="Times New Roman" w:eastAsia="Times New Roman" w:hAnsi="Times New Roman" w:cs="Times New Roman"/>
          <w:color w:val="000000"/>
          <w:spacing w:val="0"/>
          <w:w w:val="100"/>
          <w:position w:val="0"/>
        </w:rPr>
        <w:t>1</w:t>
      </w:r>
      <w:r>
        <w:rPr>
          <w:color w:val="000000"/>
          <w:spacing w:val="0"/>
          <w:w w:val="100"/>
          <w:position w:val="0"/>
        </w:rPr>
        <w:t>）确认单独所持有的资产，以及按其份额确认共同持有的资产；（</w:t>
      </w:r>
      <w:r>
        <w:rPr>
          <w:rFonts w:ascii="Times New Roman" w:eastAsia="Times New Roman" w:hAnsi="Times New Roman" w:cs="Times New Roman"/>
          <w:color w:val="000000"/>
          <w:spacing w:val="0"/>
          <w:w w:val="100"/>
          <w:position w:val="0"/>
        </w:rPr>
        <w:t>2</w:t>
      </w:r>
      <w:r>
        <w:rPr>
          <w:color w:val="000000"/>
          <w:spacing w:val="0"/>
          <w:w w:val="100"/>
          <w:position w:val="0"/>
        </w:rPr>
        <w:t>）确认单独所承担 的负债，以及按其份额确认共同承担的负债；（</w:t>
      </w:r>
      <w:r>
        <w:rPr>
          <w:rFonts w:ascii="Times New Roman" w:eastAsia="Times New Roman" w:hAnsi="Times New Roman" w:cs="Times New Roman"/>
          <w:color w:val="000000"/>
          <w:spacing w:val="0"/>
          <w:w w:val="100"/>
          <w:position w:val="0"/>
        </w:rPr>
        <w:t>3</w:t>
      </w:r>
      <w:r>
        <w:rPr>
          <w:color w:val="000000"/>
          <w:spacing w:val="0"/>
          <w:w w:val="100"/>
          <w:position w:val="0"/>
        </w:rPr>
        <w:t>）确认出售其享有的共同经营产出份额所产生的收入；</w:t>
      </w:r>
    </w:p>
    <w:p>
      <w:pPr>
        <w:pStyle w:val="Style47"/>
        <w:keepNext w:val="0"/>
        <w:keepLines w:val="0"/>
        <w:widowControl w:val="0"/>
        <w:shd w:val="clear" w:color="auto" w:fill="auto"/>
        <w:bidi w:val="0"/>
        <w:spacing w:before="0" w:after="0" w:line="470" w:lineRule="exact"/>
        <w:ind w:left="0" w:right="0" w:firstLine="0"/>
        <w:jc w:val="both"/>
      </w:pPr>
      <w:bookmarkStart w:id="855" w:name="bookmark855"/>
      <w:r>
        <w:rPr>
          <w:color w:val="000000"/>
          <w:spacing w:val="0"/>
          <w:w w:val="100"/>
          <w:position w:val="0"/>
        </w:rPr>
        <w:t>（</w:t>
      </w:r>
      <w:bookmarkEnd w:id="855"/>
      <w:r>
        <w:rPr>
          <w:rFonts w:ascii="Times New Roman" w:eastAsia="Times New Roman" w:hAnsi="Times New Roman" w:cs="Times New Roman"/>
          <w:color w:val="000000"/>
          <w:spacing w:val="0"/>
          <w:w w:val="100"/>
          <w:position w:val="0"/>
        </w:rPr>
        <w:t>4</w:t>
      </w:r>
      <w:r>
        <w:rPr>
          <w:color w:val="000000"/>
          <w:spacing w:val="0"/>
          <w:w w:val="100"/>
          <w:position w:val="0"/>
        </w:rPr>
        <w:t>）按其份额确认共同经营因出售产出所产生的收入；（</w:t>
      </w:r>
      <w:r>
        <w:rPr>
          <w:rFonts w:ascii="Times New Roman" w:eastAsia="Times New Roman" w:hAnsi="Times New Roman" w:cs="Times New Roman"/>
          <w:color w:val="000000"/>
          <w:spacing w:val="0"/>
          <w:w w:val="100"/>
          <w:position w:val="0"/>
        </w:rPr>
        <w:t>5</w:t>
      </w:r>
      <w:r>
        <w:rPr>
          <w:color w:val="000000"/>
          <w:spacing w:val="0"/>
          <w:w w:val="100"/>
          <w:position w:val="0"/>
        </w:rPr>
        <w:t>）确认单独所发生的费用，以及按其份额确认 共同经营发生的费用。</w:t>
      </w:r>
    </w:p>
    <w:p>
      <w:pPr>
        <w:pStyle w:val="Style47"/>
        <w:keepNext w:val="0"/>
        <w:keepLines w:val="0"/>
        <w:widowControl w:val="0"/>
        <w:shd w:val="clear" w:color="auto" w:fill="auto"/>
        <w:bidi w:val="0"/>
        <w:spacing w:before="0" w:after="420" w:line="470" w:lineRule="exact"/>
        <w:ind w:left="0" w:right="0" w:firstLine="440"/>
        <w:jc w:val="both"/>
      </w:pPr>
      <w:r>
        <w:rPr>
          <w:color w:val="000000"/>
          <w:spacing w:val="0"/>
          <w:w w:val="100"/>
          <w:position w:val="0"/>
        </w:rPr>
        <w:t>合营企业参与方应当按照《企业会计准则第</w:t>
      </w:r>
      <w:r>
        <w:rPr>
          <w:rFonts w:ascii="Times New Roman" w:eastAsia="Times New Roman" w:hAnsi="Times New Roman" w:cs="Times New Roman"/>
          <w:color w:val="000000"/>
          <w:spacing w:val="0"/>
          <w:w w:val="100"/>
          <w:position w:val="0"/>
        </w:rPr>
        <w:t>2</w:t>
      </w:r>
      <w:r>
        <w:rPr>
          <w:color w:val="000000"/>
          <w:spacing w:val="0"/>
          <w:w w:val="100"/>
          <w:position w:val="0"/>
        </w:rPr>
        <w:t>号——长期股权投资》的规定对合营企业的投资进行会 计处理。</w:t>
      </w:r>
    </w:p>
    <w:p>
      <w:pPr>
        <w:pStyle w:val="Style44"/>
        <w:keepNext/>
        <w:keepLines/>
        <w:widowControl w:val="0"/>
        <w:shd w:val="clear" w:color="auto" w:fill="auto"/>
        <w:tabs>
          <w:tab w:pos="378" w:val="left"/>
        </w:tabs>
        <w:bidi w:val="0"/>
        <w:spacing w:before="0" w:after="0" w:line="492" w:lineRule="auto"/>
        <w:ind w:left="0" w:right="0" w:firstLine="0"/>
        <w:jc w:val="left"/>
      </w:pPr>
      <w:bookmarkStart w:id="856" w:name="bookmark856"/>
      <w:bookmarkStart w:id="857" w:name="bookmark857"/>
      <w:bookmarkStart w:id="858" w:name="bookmark858"/>
      <w:bookmarkStart w:id="859" w:name="bookmark859"/>
      <w:r>
        <w:rPr>
          <w:rFonts w:ascii="Times New Roman" w:eastAsia="Times New Roman" w:hAnsi="Times New Roman" w:cs="Times New Roman"/>
          <w:color w:val="000000"/>
          <w:spacing w:val="0"/>
          <w:w w:val="100"/>
          <w:position w:val="0"/>
        </w:rPr>
        <w:t>7</w:t>
      </w:r>
      <w:bookmarkEnd w:id="858"/>
      <w:r>
        <w:rPr>
          <w:color w:val="000000"/>
          <w:spacing w:val="0"/>
          <w:w w:val="100"/>
          <w:position w:val="0"/>
        </w:rPr>
        <w:t>、</w:t>
        <w:tab/>
        <w:t>现金及现金等价物的确定标准</w:t>
      </w:r>
      <w:bookmarkEnd w:id="856"/>
      <w:bookmarkEnd w:id="857"/>
      <w:bookmarkEnd w:id="859"/>
    </w:p>
    <w:p>
      <w:pPr>
        <w:pStyle w:val="Style47"/>
        <w:keepNext w:val="0"/>
        <w:keepLines w:val="0"/>
        <w:widowControl w:val="0"/>
        <w:shd w:val="clear" w:color="auto" w:fill="auto"/>
        <w:bidi w:val="0"/>
        <w:spacing w:before="0" w:after="300" w:line="470" w:lineRule="exact"/>
        <w:ind w:left="0" w:right="0" w:firstLine="440"/>
        <w:jc w:val="both"/>
        <w:sectPr>
          <w:headerReference w:type="default" r:id="rId235"/>
          <w:footerReference w:type="default" r:id="rId236"/>
          <w:headerReference w:type="even" r:id="rId237"/>
          <w:footerReference w:type="even" r:id="rId238"/>
          <w:footnotePr>
            <w:pos w:val="pageBottom"/>
            <w:numFmt w:val="decimal"/>
            <w:numRestart w:val="continuous"/>
          </w:footnotePr>
          <w:type w:val="continuous"/>
          <w:pgSz w:w="11900" w:h="16840"/>
          <w:pgMar w:top="1244" w:right="22" w:bottom="1455" w:left="1101" w:header="0" w:footer="3" w:gutter="0"/>
          <w:cols w:space="720"/>
          <w:noEndnote/>
          <w:rtlGutter w:val="0"/>
          <w:docGrid w:linePitch="360"/>
        </w:sectPr>
      </w:pPr>
      <w:r>
        <w:rPr>
          <w:color w:val="000000"/>
          <w:spacing w:val="0"/>
          <w:w w:val="100"/>
          <w:position w:val="0"/>
        </w:rPr>
        <w:t>现金流量表的现金指企业库存现金及可以随时用于支付的存款。现金等价物指持有的期限短（一般是 指从购买日起三个月内到期）、流动性强、易于转换为已知金额现金、价值变动风险很小的投资。</w:t>
      </w:r>
    </w:p>
    <w:p>
      <w:pPr>
        <w:pStyle w:val="Style44"/>
        <w:keepNext/>
        <w:keepLines/>
        <w:widowControl w:val="0"/>
        <w:shd w:val="clear" w:color="auto" w:fill="auto"/>
        <w:tabs>
          <w:tab w:pos="378" w:val="left"/>
        </w:tabs>
        <w:bidi w:val="0"/>
        <w:spacing w:before="0" w:after="420" w:line="471" w:lineRule="exact"/>
        <w:ind w:left="0" w:right="0" w:firstLine="0"/>
        <w:jc w:val="left"/>
      </w:pPr>
      <w:bookmarkStart w:id="860" w:name="bookmark860"/>
      <w:bookmarkStart w:id="861" w:name="bookmark861"/>
      <w:bookmarkStart w:id="862" w:name="bookmark862"/>
      <w:bookmarkStart w:id="863" w:name="bookmark863"/>
      <w:r>
        <w:rPr>
          <w:rFonts w:ascii="Times New Roman" w:eastAsia="Times New Roman" w:hAnsi="Times New Roman" w:cs="Times New Roman"/>
          <w:color w:val="000000"/>
          <w:spacing w:val="0"/>
          <w:w w:val="100"/>
          <w:position w:val="0"/>
        </w:rPr>
        <w:t>8</w:t>
      </w:r>
      <w:bookmarkEnd w:id="862"/>
      <w:r>
        <w:rPr>
          <w:color w:val="000000"/>
          <w:spacing w:val="0"/>
          <w:w w:val="100"/>
          <w:position w:val="0"/>
        </w:rPr>
        <w:t>、</w:t>
        <w:tab/>
        <w:t>外币业务和外币报表折算</w:t>
      </w:r>
      <w:bookmarkEnd w:id="860"/>
      <w:bookmarkEnd w:id="861"/>
      <w:bookmarkEnd w:id="863"/>
    </w:p>
    <w:p>
      <w:pPr>
        <w:pStyle w:val="Style47"/>
        <w:keepNext w:val="0"/>
        <w:keepLines w:val="0"/>
        <w:widowControl w:val="0"/>
        <w:numPr>
          <w:ilvl w:val="0"/>
          <w:numId w:val="55"/>
        </w:numPr>
        <w:shd w:val="clear" w:color="auto" w:fill="auto"/>
        <w:tabs>
          <w:tab w:pos="755" w:val="left"/>
        </w:tabs>
        <w:bidi w:val="0"/>
        <w:spacing w:before="0" w:after="0"/>
        <w:ind w:left="0" w:right="0" w:firstLine="440"/>
        <w:jc w:val="both"/>
      </w:pPr>
      <w:bookmarkStart w:id="864" w:name="bookmark864"/>
      <w:bookmarkEnd w:id="864"/>
      <w:r>
        <w:rPr>
          <w:color w:val="000000"/>
          <w:spacing w:val="0"/>
          <w:w w:val="100"/>
          <w:position w:val="0"/>
        </w:rPr>
        <w:t>外币业务折算</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外币交易在初始确认时，采用交易发生日的即期汇率折算为人民币金额。资产负债表日，外币货币性 项目采用资产负债表日即期汇率折算，因汇率不同而产生的汇兑差额，除与购建符合资本化条件资产有关 的外币专门借款本金及利息的汇兑差额外，计入当期损益；以历史成本计量的外币非货币性项目仍采用交 易发生日的即期汇率折算，不改变其人民币金额；以公允价值计量的外币非货币性项目，采用公允价值确 定日的即期汇率折算，差额计入当期损益或其他综合收益。</w:t>
      </w:r>
    </w:p>
    <w:p>
      <w:pPr>
        <w:pStyle w:val="Style47"/>
        <w:keepNext w:val="0"/>
        <w:keepLines w:val="0"/>
        <w:widowControl w:val="0"/>
        <w:numPr>
          <w:ilvl w:val="0"/>
          <w:numId w:val="55"/>
        </w:numPr>
        <w:shd w:val="clear" w:color="auto" w:fill="auto"/>
        <w:tabs>
          <w:tab w:pos="774" w:val="left"/>
        </w:tabs>
        <w:bidi w:val="0"/>
        <w:spacing w:before="0" w:after="0"/>
        <w:ind w:left="0" w:right="0" w:firstLine="440"/>
        <w:jc w:val="both"/>
      </w:pPr>
      <w:bookmarkStart w:id="865" w:name="bookmark865"/>
      <w:bookmarkEnd w:id="865"/>
      <w:r>
        <w:rPr>
          <w:color w:val="000000"/>
          <w:spacing w:val="0"/>
          <w:w w:val="100"/>
          <w:position w:val="0"/>
        </w:rPr>
        <w:t>外币财务报表折算</w:t>
      </w:r>
    </w:p>
    <w:p>
      <w:pPr>
        <w:pStyle w:val="Style47"/>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资产负债表中的资产和负债项目，采用资产负债表日的即期汇率折算；所有者权益项目除</w:t>
      </w:r>
      <w:r>
        <w:rPr>
          <w:rFonts w:ascii="Times New Roman" w:eastAsia="Times New Roman" w:hAnsi="Times New Roman" w:cs="Times New Roman"/>
          <w:color w:val="000000"/>
          <w:spacing w:val="0"/>
          <w:w w:val="100"/>
          <w:position w:val="0"/>
        </w:rPr>
        <w:t>“</w:t>
      </w:r>
      <w:r>
        <w:rPr>
          <w:color w:val="000000"/>
          <w:spacing w:val="0"/>
          <w:w w:val="100"/>
          <w:position w:val="0"/>
        </w:rPr>
        <w:t>未分配利 润</w:t>
      </w:r>
      <w:r>
        <w:rPr>
          <w:color w:val="000000"/>
          <w:spacing w:val="0"/>
          <w:w w:val="100"/>
          <w:position w:val="0"/>
        </w:rPr>
        <w:t>''</w:t>
      </w:r>
      <w:r>
        <w:rPr>
          <w:color w:val="000000"/>
          <w:spacing w:val="0"/>
          <w:w w:val="100"/>
          <w:position w:val="0"/>
        </w:rPr>
        <w:t>项目外，其他项目采用交易发生日的即期汇率折算；利润表中的收入和费用项目，采用交易发生日的 即期汇率</w:t>
      </w:r>
      <w:r>
        <w:rPr>
          <w:rFonts w:ascii="Times New Roman" w:eastAsia="Times New Roman" w:hAnsi="Times New Roman" w:cs="Times New Roman"/>
          <w:color w:val="000000"/>
          <w:spacing w:val="0"/>
          <w:w w:val="100"/>
          <w:position w:val="0"/>
        </w:rPr>
        <w:t>/</w:t>
      </w:r>
      <w:r>
        <w:rPr>
          <w:color w:val="000000"/>
          <w:spacing w:val="0"/>
          <w:w w:val="100"/>
          <w:position w:val="0"/>
        </w:rPr>
        <w:t>交易发生日即期汇率的近似汇率折算。按照上述折算产生的外币财务报表折算差额，确认为其他 综合收益。</w:t>
      </w:r>
    </w:p>
    <w:p>
      <w:pPr>
        <w:pStyle w:val="Style44"/>
        <w:keepNext/>
        <w:keepLines/>
        <w:widowControl w:val="0"/>
        <w:shd w:val="clear" w:color="auto" w:fill="auto"/>
        <w:tabs>
          <w:tab w:pos="378" w:val="left"/>
        </w:tabs>
        <w:bidi w:val="0"/>
        <w:spacing w:before="0" w:after="200" w:line="471" w:lineRule="exact"/>
        <w:ind w:left="0" w:right="0" w:firstLine="0"/>
        <w:jc w:val="both"/>
      </w:pPr>
      <w:bookmarkStart w:id="866" w:name="bookmark866"/>
      <w:bookmarkStart w:id="867" w:name="bookmark867"/>
      <w:bookmarkStart w:id="868" w:name="bookmark868"/>
      <w:bookmarkStart w:id="869" w:name="bookmark869"/>
      <w:r>
        <w:rPr>
          <w:rFonts w:ascii="Times New Roman" w:eastAsia="Times New Roman" w:hAnsi="Times New Roman" w:cs="Times New Roman"/>
          <w:color w:val="000000"/>
          <w:spacing w:val="0"/>
          <w:w w:val="100"/>
          <w:position w:val="0"/>
        </w:rPr>
        <w:t>9</w:t>
      </w:r>
      <w:bookmarkEnd w:id="868"/>
      <w:r>
        <w:rPr>
          <w:color w:val="000000"/>
          <w:spacing w:val="0"/>
          <w:w w:val="100"/>
          <w:position w:val="0"/>
        </w:rPr>
        <w:t>、</w:t>
        <w:tab/>
        <w:t>金融工具</w:t>
      </w:r>
      <w:bookmarkEnd w:id="866"/>
      <w:bookmarkEnd w:id="867"/>
      <w:bookmarkEnd w:id="869"/>
    </w:p>
    <w:p>
      <w:pPr>
        <w:pStyle w:val="Style47"/>
        <w:keepNext w:val="0"/>
        <w:keepLines w:val="0"/>
        <w:widowControl w:val="0"/>
        <w:numPr>
          <w:ilvl w:val="0"/>
          <w:numId w:val="57"/>
        </w:numPr>
        <w:shd w:val="clear" w:color="auto" w:fill="auto"/>
        <w:tabs>
          <w:tab w:pos="755" w:val="left"/>
        </w:tabs>
        <w:bidi w:val="0"/>
        <w:spacing w:before="0" w:after="0" w:line="471" w:lineRule="exact"/>
        <w:ind w:left="0" w:right="0" w:firstLine="440"/>
        <w:jc w:val="both"/>
      </w:pPr>
      <w:bookmarkStart w:id="870" w:name="bookmark870"/>
      <w:bookmarkEnd w:id="870"/>
      <w:r>
        <w:rPr>
          <w:color w:val="000000"/>
          <w:spacing w:val="0"/>
          <w:w w:val="100"/>
          <w:position w:val="0"/>
        </w:rPr>
        <w:t>金融工具的确认和终止确认</w:t>
      </w:r>
    </w:p>
    <w:p>
      <w:pPr>
        <w:pStyle w:val="Style47"/>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本集团于成为金融工具合同的一方时确认一项金融资产或金融负债。</w:t>
      </w:r>
    </w:p>
    <w:p>
      <w:pPr>
        <w:pStyle w:val="Style47"/>
        <w:keepNext w:val="0"/>
        <w:keepLines w:val="0"/>
        <w:widowControl w:val="0"/>
        <w:shd w:val="clear" w:color="auto" w:fill="auto"/>
        <w:bidi w:val="0"/>
        <w:spacing w:before="0" w:after="0" w:line="471" w:lineRule="exact"/>
        <w:ind w:left="0" w:right="0" w:firstLine="440"/>
        <w:jc w:val="both"/>
      </w:pPr>
      <w:r>
        <w:rPr>
          <w:color w:val="000000"/>
          <w:spacing w:val="0"/>
          <w:w w:val="100"/>
          <w:position w:val="0"/>
        </w:rPr>
        <w:t>以常规方式买卖金融资产，按交易日会计进行确认和终止确认。常规方式买卖金融资产，是指按照合 同条款的约定，在法规或通行惯例规定的期限内收取或交付金融资产。交易日，是指本集团承诺买入或卖 出金融资产的日期。</w:t>
      </w:r>
    </w:p>
    <w:p>
      <w:pPr>
        <w:pStyle w:val="Style47"/>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满足下列条件的，终止确认金融资产</w:t>
      </w:r>
      <w:r>
        <w:rPr>
          <w:rFonts w:ascii="Times New Roman" w:eastAsia="Times New Roman" w:hAnsi="Times New Roman" w:cs="Times New Roman"/>
          <w:color w:val="000000"/>
          <w:spacing w:val="0"/>
          <w:w w:val="100"/>
          <w:position w:val="0"/>
        </w:rPr>
        <w:t>（</w:t>
      </w:r>
      <w:r>
        <w:rPr>
          <w:color w:val="000000"/>
          <w:spacing w:val="0"/>
          <w:w w:val="100"/>
          <w:position w:val="0"/>
        </w:rPr>
        <w:t>或金融资产的一部分，或一组类似金融资产的一部分</w:t>
      </w:r>
      <w:r>
        <w:rPr>
          <w:rFonts w:ascii="Times New Roman" w:eastAsia="Times New Roman" w:hAnsi="Times New Roman" w:cs="Times New Roman"/>
          <w:color w:val="000000"/>
          <w:spacing w:val="0"/>
          <w:w w:val="100"/>
          <w:position w:val="0"/>
        </w:rPr>
        <w:t>）</w:t>
      </w:r>
      <w:r>
        <w:rPr>
          <w:color w:val="000000"/>
          <w:spacing w:val="0"/>
          <w:w w:val="100"/>
          <w:position w:val="0"/>
        </w:rPr>
        <w:t>，即从其 账户和资产负债表内予以转销：</w:t>
      </w:r>
    </w:p>
    <w:p>
      <w:pPr>
        <w:pStyle w:val="Style47"/>
        <w:keepNext w:val="0"/>
        <w:keepLines w:val="0"/>
        <w:widowControl w:val="0"/>
        <w:shd w:val="clear" w:color="auto" w:fill="auto"/>
        <w:tabs>
          <w:tab w:pos="923" w:val="left"/>
        </w:tabs>
        <w:bidi w:val="0"/>
        <w:spacing w:before="0" w:after="0" w:line="471" w:lineRule="exact"/>
        <w:ind w:left="0" w:right="0" w:firstLine="440"/>
        <w:jc w:val="both"/>
      </w:pPr>
      <w:bookmarkStart w:id="871" w:name="bookmark871"/>
      <w:r>
        <w:rPr>
          <w:color w:val="000000"/>
          <w:spacing w:val="0"/>
          <w:w w:val="100"/>
          <w:position w:val="0"/>
        </w:rPr>
        <w:t>（</w:t>
      </w:r>
      <w:bookmarkEnd w:id="871"/>
      <w:r>
        <w:rPr>
          <w:rFonts w:ascii="Times New Roman" w:eastAsia="Times New Roman" w:hAnsi="Times New Roman" w:cs="Times New Roman"/>
          <w:color w:val="000000"/>
          <w:spacing w:val="0"/>
          <w:w w:val="100"/>
          <w:position w:val="0"/>
        </w:rPr>
        <w:t>1</w:t>
      </w:r>
      <w:r>
        <w:rPr>
          <w:color w:val="000000"/>
          <w:spacing w:val="0"/>
          <w:w w:val="100"/>
          <w:position w:val="0"/>
        </w:rPr>
        <w:t>）</w:t>
        <w:tab/>
        <w:t>收取金融资产现金流量的权利届满；</w:t>
      </w:r>
    </w:p>
    <w:p>
      <w:pPr>
        <w:pStyle w:val="Style47"/>
        <w:keepNext w:val="0"/>
        <w:keepLines w:val="0"/>
        <w:widowControl w:val="0"/>
        <w:shd w:val="clear" w:color="auto" w:fill="auto"/>
        <w:tabs>
          <w:tab w:pos="1021" w:val="left"/>
        </w:tabs>
        <w:bidi w:val="0"/>
        <w:spacing w:before="0" w:after="200" w:line="471" w:lineRule="exact"/>
        <w:ind w:left="0" w:right="0" w:firstLine="440"/>
        <w:jc w:val="both"/>
      </w:pPr>
      <w:bookmarkStart w:id="872" w:name="bookmark872"/>
      <w:r>
        <w:rPr>
          <w:color w:val="000000"/>
          <w:spacing w:val="0"/>
          <w:w w:val="100"/>
          <w:position w:val="0"/>
        </w:rPr>
        <w:t>（</w:t>
      </w:r>
      <w:bookmarkEnd w:id="872"/>
      <w:r>
        <w:rPr>
          <w:rFonts w:ascii="Times New Roman" w:eastAsia="Times New Roman" w:hAnsi="Times New Roman" w:cs="Times New Roman"/>
          <w:color w:val="000000"/>
          <w:spacing w:val="0"/>
          <w:w w:val="100"/>
          <w:position w:val="0"/>
        </w:rPr>
        <w:t>2</w:t>
      </w:r>
      <w:r>
        <w:rPr>
          <w:color w:val="000000"/>
          <w:spacing w:val="0"/>
          <w:w w:val="100"/>
          <w:position w:val="0"/>
        </w:rPr>
        <w:t>）</w:t>
        <w:tab/>
        <w:t>转移了收取金融资产现金流量的权利，或在</w:t>
      </w:r>
      <w:r>
        <w:rPr>
          <w:rFonts w:ascii="Times New Roman" w:eastAsia="Times New Roman" w:hAnsi="Times New Roman" w:cs="Times New Roman"/>
          <w:color w:val="000000"/>
          <w:spacing w:val="0"/>
          <w:w w:val="100"/>
          <w:position w:val="0"/>
        </w:rPr>
        <w:t>“</w:t>
      </w:r>
      <w:r>
        <w:rPr>
          <w:color w:val="000000"/>
          <w:spacing w:val="0"/>
          <w:w w:val="100"/>
          <w:position w:val="0"/>
        </w:rPr>
        <w:t>过手协议</w:t>
      </w:r>
      <w:r>
        <w:rPr>
          <w:color w:val="000000"/>
          <w:spacing w:val="0"/>
          <w:w w:val="100"/>
          <w:position w:val="0"/>
        </w:rPr>
        <w:t>''</w:t>
      </w:r>
      <w:r>
        <w:rPr>
          <w:color w:val="000000"/>
          <w:spacing w:val="0"/>
          <w:w w:val="100"/>
          <w:position w:val="0"/>
        </w:rPr>
        <w:t>下承担了及时将收取的现金流量全额支付 给第三方的义务；并且</w:t>
      </w:r>
      <w:r>
        <w:rPr>
          <w:color w:val="000000"/>
          <w:spacing w:val="0"/>
          <w:w w:val="100"/>
          <w:position w:val="0"/>
        </w:rPr>
        <w:t>（</w:t>
      </w:r>
      <w:r>
        <w:rPr>
          <w:rFonts w:ascii="Times New Roman" w:eastAsia="Times New Roman" w:hAnsi="Times New Roman" w:cs="Times New Roman"/>
          <w:color w:val="000000"/>
          <w:spacing w:val="0"/>
          <w:w w:val="100"/>
          <w:position w:val="0"/>
        </w:rPr>
        <w:t>a</w:t>
      </w:r>
      <w:r>
        <w:rPr>
          <w:color w:val="000000"/>
          <w:spacing w:val="0"/>
          <w:w w:val="100"/>
          <w:position w:val="0"/>
        </w:rPr>
        <w:t>）</w:t>
      </w:r>
      <w:r>
        <w:rPr>
          <w:color w:val="000000"/>
          <w:spacing w:val="0"/>
          <w:w w:val="100"/>
          <w:position w:val="0"/>
        </w:rPr>
        <w:t>实质上转让了金融资产所有权上几乎所有的风险和报酬，或</w:t>
      </w:r>
      <w:r>
        <w:rPr>
          <w:color w:val="000000"/>
          <w:spacing w:val="0"/>
          <w:w w:val="100"/>
          <w:position w:val="0"/>
        </w:rPr>
        <w:t>（</w:t>
      </w:r>
      <w:r>
        <w:rPr>
          <w:rFonts w:ascii="Times New Roman" w:eastAsia="Times New Roman" w:hAnsi="Times New Roman" w:cs="Times New Roman"/>
          <w:color w:val="000000"/>
          <w:spacing w:val="0"/>
          <w:w w:val="100"/>
          <w:position w:val="0"/>
        </w:rPr>
        <w:t>b</w:t>
      </w:r>
      <w:r>
        <w:rPr>
          <w:color w:val="000000"/>
          <w:spacing w:val="0"/>
          <w:w w:val="100"/>
          <w:position w:val="0"/>
        </w:rPr>
        <w:t>）</w:t>
      </w:r>
      <w:r>
        <w:rPr>
          <w:color w:val="000000"/>
          <w:spacing w:val="0"/>
          <w:w w:val="100"/>
          <w:position w:val="0"/>
        </w:rPr>
        <w:t>虽然实质上 既没有转移也没有保留金融资产所有权上几乎所有的风险和报酬，但放弃了对该金融资产的控制。</w:t>
      </w:r>
    </w:p>
    <w:p>
      <w:pPr>
        <w:pStyle w:val="Style47"/>
        <w:keepNext w:val="0"/>
        <w:keepLines w:val="0"/>
        <w:widowControl w:val="0"/>
        <w:numPr>
          <w:ilvl w:val="0"/>
          <w:numId w:val="57"/>
        </w:numPr>
        <w:shd w:val="clear" w:color="auto" w:fill="auto"/>
        <w:tabs>
          <w:tab w:pos="774" w:val="left"/>
        </w:tabs>
        <w:bidi w:val="0"/>
        <w:spacing w:before="0" w:after="0" w:line="492" w:lineRule="auto"/>
        <w:ind w:left="0" w:right="0" w:firstLine="440"/>
        <w:jc w:val="both"/>
      </w:pPr>
      <w:bookmarkStart w:id="873" w:name="bookmark873"/>
      <w:bookmarkEnd w:id="873"/>
      <w:r>
        <w:rPr>
          <w:color w:val="000000"/>
          <w:spacing w:val="0"/>
          <w:w w:val="100"/>
          <w:position w:val="0"/>
        </w:rPr>
        <w:t>金融资产分类和计量</w:t>
      </w:r>
    </w:p>
    <w:p>
      <w:pPr>
        <w:pStyle w:val="Style47"/>
        <w:keepNext w:val="0"/>
        <w:keepLines w:val="0"/>
        <w:widowControl w:val="0"/>
        <w:shd w:val="clear" w:color="auto" w:fill="auto"/>
        <w:bidi w:val="0"/>
        <w:spacing w:before="0" w:after="200" w:line="471" w:lineRule="exact"/>
        <w:ind w:left="0" w:right="0" w:firstLine="440"/>
        <w:jc w:val="both"/>
      </w:pPr>
      <w:r>
        <w:rPr>
          <w:color w:val="000000"/>
          <w:spacing w:val="0"/>
          <w:w w:val="100"/>
          <w:position w:val="0"/>
        </w:rPr>
        <w:t>本集团的金融资产于初始确认时根据本集团管理金融资产的业务模式和金融资产的合同现金流量特 征分类为：以摊余成本计量的金融资产、以公允价值计量且其变动计入其他综合收益的金融资产以及以公 允价值计量且其变动计入当期损益的金融资产。金融资产的后续计量取决于其分类。</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本集团对金融资产的分类，依据本集团管理金融资产的业务模式和金融资产的现金流量特征进行分 类。</w:t>
      </w:r>
    </w:p>
    <w:p>
      <w:pPr>
        <w:pStyle w:val="Style47"/>
        <w:keepNext w:val="0"/>
        <w:keepLines w:val="0"/>
        <w:widowControl w:val="0"/>
        <w:numPr>
          <w:ilvl w:val="0"/>
          <w:numId w:val="59"/>
        </w:numPr>
        <w:shd w:val="clear" w:color="auto" w:fill="auto"/>
        <w:bidi w:val="0"/>
        <w:spacing w:before="0" w:after="0" w:line="468" w:lineRule="exact"/>
        <w:ind w:left="0" w:right="0" w:firstLine="420"/>
        <w:jc w:val="left"/>
      </w:pPr>
      <w:bookmarkStart w:id="874" w:name="bookmark874"/>
      <w:bookmarkEnd w:id="874"/>
      <w:r>
        <w:rPr>
          <w:color w:val="000000"/>
          <w:spacing w:val="0"/>
          <w:w w:val="100"/>
          <w:position w:val="0"/>
        </w:rPr>
        <w:t>以摊余成本计量的金融资产</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金融资产同时符合下列条件的，分类为以摊余成本计量的金融资产：本集团管理该金融资产的业务模 式是以收取合同现金流量为目标；该金融资产的合同条款规定，在特定日期产生的现金流量，仅为对本金 和以未偿付本金金额为基础的利息的支付。对于此类金融资产，采用实际利率法，按照摊余成本进行后续 计量，其摊销或减值产生的利得或损失，均计入当期损益。</w:t>
      </w:r>
    </w:p>
    <w:p>
      <w:pPr>
        <w:pStyle w:val="Style47"/>
        <w:keepNext w:val="0"/>
        <w:keepLines w:val="0"/>
        <w:widowControl w:val="0"/>
        <w:shd w:val="clear" w:color="auto" w:fill="auto"/>
        <w:bidi w:val="0"/>
        <w:spacing w:before="0" w:after="0" w:line="468" w:lineRule="exact"/>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rPr>
        <w:t xml:space="preserve">2 </w:t>
      </w:r>
      <w:r>
        <w:rPr>
          <w:color w:val="000000"/>
          <w:spacing w:val="0"/>
          <w:w w:val="100"/>
          <w:position w:val="0"/>
        </w:rPr>
        <w:t>)以公允价值计量且其变动计入其他综合收益的债务工具投资</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金融资产同时符合下列条件的，分类为以公允价值计量且其变动计入其他综合收益的金融资产：本集 团管理该金融资产的业务模式是既以收取合同现金流量为目标又以出售金融资产为目标；该金融资产的合 同条款规定，在特定日期产生的现金流量，仅为对本金和以未偿付本金金额为基础的利息的支付。对于此 类金融资产，采用公允价值进行后续计量。其折价或溢价采用实际利率法进行摊销并确认为利息收入或费 用。除减值损失及外币货币性金融资产的汇兑差额确认为当期损益外，此类金融资产的公允价值变动作为 其他综合收益确认，直到该金融资产终止确认时，其累计利得或损失转入当期损益。与此类金融资产相关 利息收入，计入当期损益。</w:t>
      </w:r>
    </w:p>
    <w:p>
      <w:pPr>
        <w:pStyle w:val="Style47"/>
        <w:keepNext w:val="0"/>
        <w:keepLines w:val="0"/>
        <w:widowControl w:val="0"/>
        <w:numPr>
          <w:ilvl w:val="0"/>
          <w:numId w:val="61"/>
        </w:numPr>
        <w:shd w:val="clear" w:color="auto" w:fill="auto"/>
        <w:tabs>
          <w:tab w:pos="896" w:val="left"/>
        </w:tabs>
        <w:bidi w:val="0"/>
        <w:spacing w:before="0" w:after="0" w:line="468" w:lineRule="exact"/>
        <w:ind w:left="0" w:right="0" w:firstLine="420"/>
        <w:jc w:val="left"/>
      </w:pPr>
      <w:bookmarkStart w:id="875" w:name="bookmark875"/>
      <w:bookmarkEnd w:id="875"/>
      <w:r>
        <w:rPr>
          <w:color w:val="000000"/>
          <w:spacing w:val="0"/>
          <w:w w:val="100"/>
          <w:position w:val="0"/>
        </w:rPr>
        <w:t>以公允价值计量且其变动计入其他综合收益的权益工具投资</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本集团不可撤销地选择将部分非交易性权益工具投资指定为以公允价值计量且其变动计入其他综合 收益的金融资产，仅将相关股利收入计入当期损益，公允价值变动作为其他综合收益确认，直到该金融资 产终止确认时，其累计利得或损失转入留存收益。</w:t>
      </w:r>
    </w:p>
    <w:p>
      <w:pPr>
        <w:pStyle w:val="Style47"/>
        <w:keepNext w:val="0"/>
        <w:keepLines w:val="0"/>
        <w:widowControl w:val="0"/>
        <w:numPr>
          <w:ilvl w:val="0"/>
          <w:numId w:val="61"/>
        </w:numPr>
        <w:shd w:val="clear" w:color="auto" w:fill="auto"/>
        <w:tabs>
          <w:tab w:pos="896" w:val="left"/>
        </w:tabs>
        <w:bidi w:val="0"/>
        <w:spacing w:before="0" w:after="0" w:line="468" w:lineRule="exact"/>
        <w:ind w:left="0" w:right="0" w:firstLine="420"/>
        <w:jc w:val="left"/>
      </w:pPr>
      <w:bookmarkStart w:id="876" w:name="bookmark876"/>
      <w:bookmarkEnd w:id="876"/>
      <w:r>
        <w:rPr>
          <w:color w:val="000000"/>
          <w:spacing w:val="0"/>
          <w:w w:val="100"/>
          <w:position w:val="0"/>
        </w:rPr>
        <w:t>以公允价值计量且其变动计入当期损益的金融资产</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上述以摊余成本计量的金融资产和以公允价值计量且其变动计入其他综合收益的金融资产之外的金 融资产，分类为以公允价值计量且其变动计入当期损益的金融资产。在初始确认时，为了能够消除或显著 减少会计错配，可以将金融资产指定为以公允价值计量且其变动计入当期损益的金融资产。对于此类金融 资产，采用公允价值进行后续计量，所有公允价值变动计入当期损益。</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当且仅当本集团改变管理金融资产的业务模式时，才对所有受影响的相关金融资产进行重分类。</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对于以公允价值计量且其变动计入当期损益的金融资产，相关交易费用直接计入当期损益，其他类别</w:t>
      </w:r>
    </w:p>
    <w:p>
      <w:pPr>
        <w:pStyle w:val="Style47"/>
        <w:keepNext w:val="0"/>
        <w:keepLines w:val="0"/>
        <w:widowControl w:val="0"/>
        <w:shd w:val="clear" w:color="auto" w:fill="auto"/>
        <w:bidi w:val="0"/>
        <w:spacing w:before="0" w:after="200" w:line="468" w:lineRule="exact"/>
        <w:ind w:left="0" w:right="0" w:firstLine="0"/>
        <w:jc w:val="left"/>
      </w:pPr>
      <w:r>
        <w:rPr>
          <w:color w:val="000000"/>
          <w:spacing w:val="0"/>
          <w:w w:val="100"/>
          <w:position w:val="0"/>
        </w:rPr>
        <w:t>的金融资产相关交易费用计入其初始确认金额。</w:t>
      </w:r>
    </w:p>
    <w:p>
      <w:pPr>
        <w:pStyle w:val="Style47"/>
        <w:keepNext w:val="0"/>
        <w:keepLines w:val="0"/>
        <w:widowControl w:val="0"/>
        <w:numPr>
          <w:ilvl w:val="0"/>
          <w:numId w:val="57"/>
        </w:numPr>
        <w:shd w:val="clear" w:color="auto" w:fill="auto"/>
        <w:bidi w:val="0"/>
        <w:spacing w:before="0" w:after="0"/>
        <w:ind w:left="0" w:right="0" w:firstLine="420"/>
        <w:jc w:val="both"/>
      </w:pPr>
      <w:bookmarkStart w:id="877" w:name="bookmark877"/>
      <w:bookmarkEnd w:id="877"/>
      <w:r>
        <w:rPr>
          <w:color w:val="000000"/>
          <w:spacing w:val="0"/>
          <w:w w:val="100"/>
          <w:position w:val="0"/>
        </w:rPr>
        <w:t>金融负债分类和计量</w:t>
      </w:r>
    </w:p>
    <w:p>
      <w:pPr>
        <w:pStyle w:val="Style47"/>
        <w:keepNext w:val="0"/>
        <w:keepLines w:val="0"/>
        <w:widowControl w:val="0"/>
        <w:shd w:val="clear" w:color="auto" w:fill="auto"/>
        <w:bidi w:val="0"/>
        <w:spacing w:before="0" w:after="0" w:line="468" w:lineRule="exact"/>
        <w:ind w:left="0" w:right="0" w:firstLine="420"/>
        <w:jc w:val="both"/>
        <w:sectPr>
          <w:headerReference w:type="default" r:id="rId239"/>
          <w:footerReference w:type="default" r:id="rId240"/>
          <w:headerReference w:type="even" r:id="rId241"/>
          <w:footerReference w:type="even" r:id="rId242"/>
          <w:headerReference w:type="first" r:id="rId243"/>
          <w:footerReference w:type="first" r:id="rId244"/>
          <w:footnotePr>
            <w:pos w:val="pageBottom"/>
            <w:numFmt w:val="decimal"/>
            <w:numRestart w:val="continuous"/>
          </w:footnotePr>
          <w:pgSz w:w="11900" w:h="16840"/>
          <w:pgMar w:top="1244" w:right="22" w:bottom="1455" w:left="1101" w:header="0" w:footer="3" w:gutter="0"/>
          <w:cols w:space="720"/>
          <w:noEndnote/>
          <w:titlePg/>
          <w:rtlGutter w:val="0"/>
          <w:docGrid w:linePitch="360"/>
        </w:sectPr>
      </w:pPr>
      <w:r>
        <w:rPr>
          <w:color w:val="000000"/>
          <w:spacing w:val="0"/>
          <w:w w:val="100"/>
          <w:position w:val="0"/>
        </w:rPr>
        <w:t>本集团的金融负债于初始确认时分类为：以摊余成本计量的金融负债与以公允价值计量且其变动计入 当期损益的金融负债。</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符合以下条件之一的金融负债可在初始计量时指定为以公允价值计量且其变动计入当期损益的金融 负债：（</w:t>
      </w:r>
      <w:r>
        <w:rPr>
          <w:rFonts w:ascii="Times New Roman" w:eastAsia="Times New Roman" w:hAnsi="Times New Roman" w:cs="Times New Roman"/>
          <w:color w:val="000000"/>
          <w:spacing w:val="0"/>
          <w:w w:val="100"/>
          <w:position w:val="0"/>
        </w:rPr>
        <w:t>1</w:t>
      </w:r>
      <w:r>
        <w:rPr>
          <w:color w:val="000000"/>
          <w:spacing w:val="0"/>
          <w:w w:val="100"/>
          <w:position w:val="0"/>
        </w:rPr>
        <w:t>）该项指定能够消除或显著减少会计错配；（</w:t>
      </w:r>
      <w:r>
        <w:rPr>
          <w:rFonts w:ascii="Times New Roman" w:eastAsia="Times New Roman" w:hAnsi="Times New Roman" w:cs="Times New Roman"/>
          <w:color w:val="000000"/>
          <w:spacing w:val="0"/>
          <w:w w:val="100"/>
          <w:position w:val="0"/>
        </w:rPr>
        <w:t>2</w:t>
      </w:r>
      <w:r>
        <w:rPr>
          <w:color w:val="000000"/>
          <w:spacing w:val="0"/>
          <w:w w:val="100"/>
          <w:position w:val="0"/>
        </w:rPr>
        <w:t>）根据正式书面文件载明的集团风险管理或投资 策略，以公允价值为基础对金融负债组合或金融资产和金融负债组合进行管理和业绩评价，并在集团内部 以此为基础向关键管理人员报告；（</w:t>
      </w:r>
      <w:r>
        <w:rPr>
          <w:rFonts w:ascii="Times New Roman" w:eastAsia="Times New Roman" w:hAnsi="Times New Roman" w:cs="Times New Roman"/>
          <w:color w:val="000000"/>
          <w:spacing w:val="0"/>
          <w:w w:val="100"/>
          <w:position w:val="0"/>
        </w:rPr>
        <w:t xml:space="preserve">3 </w:t>
      </w:r>
      <w:r>
        <w:rPr>
          <w:color w:val="000000"/>
          <w:spacing w:val="0"/>
          <w:w w:val="100"/>
          <w:position w:val="0"/>
        </w:rPr>
        <w:t>）该金融负债包含需单独分拆的嵌入衍生工具。</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本集团在初始确认时确定金融负债的分类。对于以公允价值计量且其变动计入当期损益的金融负债， 相关交易费用直接计入当期损益，其他金融负债的相关交易费用计入其初始确认金额。</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金融负债的后续计量取决于其分类：</w:t>
      </w:r>
    </w:p>
    <w:p>
      <w:pPr>
        <w:pStyle w:val="Style47"/>
        <w:keepNext w:val="0"/>
        <w:keepLines w:val="0"/>
        <w:widowControl w:val="0"/>
        <w:shd w:val="clear" w:color="auto" w:fill="auto"/>
        <w:tabs>
          <w:tab w:pos="903" w:val="left"/>
        </w:tabs>
        <w:bidi w:val="0"/>
        <w:spacing w:before="0" w:after="0" w:line="468" w:lineRule="exact"/>
        <w:ind w:left="0" w:right="0" w:firstLine="420"/>
        <w:jc w:val="both"/>
      </w:pPr>
      <w:bookmarkStart w:id="878" w:name="bookmark878"/>
      <w:r>
        <w:rPr>
          <w:color w:val="000000"/>
          <w:spacing w:val="0"/>
          <w:w w:val="100"/>
          <w:position w:val="0"/>
        </w:rPr>
        <w:t>（</w:t>
      </w:r>
      <w:bookmarkEnd w:id="878"/>
      <w:r>
        <w:rPr>
          <w:rFonts w:ascii="Times New Roman" w:eastAsia="Times New Roman" w:hAnsi="Times New Roman" w:cs="Times New Roman"/>
          <w:color w:val="000000"/>
          <w:spacing w:val="0"/>
          <w:w w:val="100"/>
          <w:position w:val="0"/>
        </w:rPr>
        <w:t>1</w:t>
      </w:r>
      <w:r>
        <w:rPr>
          <w:color w:val="000000"/>
          <w:spacing w:val="0"/>
          <w:w w:val="100"/>
          <w:position w:val="0"/>
        </w:rPr>
        <w:t>）</w:t>
        <w:tab/>
        <w:t>以摊余成本计量的金融负债</w:t>
      </w:r>
    </w:p>
    <w:p>
      <w:pPr>
        <w:pStyle w:val="Style47"/>
        <w:keepNext w:val="0"/>
        <w:keepLines w:val="0"/>
        <w:widowControl w:val="0"/>
        <w:shd w:val="clear" w:color="auto" w:fill="auto"/>
        <w:bidi w:val="0"/>
        <w:spacing w:before="0" w:after="0" w:line="468" w:lineRule="exact"/>
        <w:ind w:left="0" w:right="0" w:firstLine="420"/>
        <w:jc w:val="left"/>
      </w:pPr>
      <w:r>
        <w:rPr>
          <w:color w:val="000000"/>
          <w:spacing w:val="0"/>
          <w:w w:val="100"/>
          <w:position w:val="0"/>
        </w:rPr>
        <w:t>对于此类金融负债，采用实际利率法，按照摊余成本进行后续计量。</w:t>
      </w:r>
    </w:p>
    <w:p>
      <w:pPr>
        <w:pStyle w:val="Style47"/>
        <w:keepNext w:val="0"/>
        <w:keepLines w:val="0"/>
        <w:widowControl w:val="0"/>
        <w:shd w:val="clear" w:color="auto" w:fill="auto"/>
        <w:tabs>
          <w:tab w:pos="903" w:val="left"/>
        </w:tabs>
        <w:bidi w:val="0"/>
        <w:spacing w:before="0" w:after="0" w:line="468" w:lineRule="exact"/>
        <w:ind w:left="0" w:right="0" w:firstLine="420"/>
        <w:jc w:val="left"/>
      </w:pPr>
      <w:bookmarkStart w:id="879" w:name="bookmark879"/>
      <w:r>
        <w:rPr>
          <w:color w:val="000000"/>
          <w:spacing w:val="0"/>
          <w:w w:val="100"/>
          <w:position w:val="0"/>
        </w:rPr>
        <w:t>（</w:t>
      </w:r>
      <w:bookmarkEnd w:id="879"/>
      <w:r>
        <w:rPr>
          <w:rFonts w:ascii="Times New Roman" w:eastAsia="Times New Roman" w:hAnsi="Times New Roman" w:cs="Times New Roman"/>
          <w:color w:val="000000"/>
          <w:spacing w:val="0"/>
          <w:w w:val="100"/>
          <w:position w:val="0"/>
        </w:rPr>
        <w:t>2</w:t>
      </w:r>
      <w:r>
        <w:rPr>
          <w:color w:val="000000"/>
          <w:spacing w:val="0"/>
          <w:w w:val="100"/>
          <w:position w:val="0"/>
        </w:rPr>
        <w:t>）</w:t>
        <w:tab/>
        <w:t>以公允价值计量且其变动计入当期损益的金融负债</w:t>
      </w:r>
    </w:p>
    <w:p>
      <w:pPr>
        <w:pStyle w:val="Style47"/>
        <w:keepNext w:val="0"/>
        <w:keepLines w:val="0"/>
        <w:widowControl w:val="0"/>
        <w:shd w:val="clear" w:color="auto" w:fill="auto"/>
        <w:bidi w:val="0"/>
        <w:spacing w:before="0" w:after="200" w:line="468" w:lineRule="exact"/>
        <w:ind w:left="0" w:right="0" w:firstLine="420"/>
        <w:jc w:val="left"/>
      </w:pPr>
      <w:r>
        <w:rPr>
          <w:color w:val="000000"/>
          <w:spacing w:val="0"/>
          <w:w w:val="100"/>
          <w:position w:val="0"/>
        </w:rPr>
        <w:t>以公允价值计量且其变动计入当期损益的金融负债,包括交易性金融负债</w:t>
      </w:r>
      <w:r>
        <w:rPr>
          <w:rFonts w:ascii="Times New Roman" w:eastAsia="Times New Roman" w:hAnsi="Times New Roman" w:cs="Times New Roman"/>
          <w:color w:val="000000"/>
          <w:spacing w:val="0"/>
          <w:w w:val="100"/>
          <w:position w:val="0"/>
        </w:rPr>
        <w:t>（</w:t>
      </w:r>
      <w:r>
        <w:rPr>
          <w:color w:val="000000"/>
          <w:spacing w:val="0"/>
          <w:w w:val="100"/>
          <w:position w:val="0"/>
        </w:rPr>
        <w:t>含属于金融负债的衍生工具</w:t>
      </w:r>
      <w:r>
        <w:rPr>
          <w:rFonts w:ascii="Times New Roman" w:eastAsia="Times New Roman" w:hAnsi="Times New Roman" w:cs="Times New Roman"/>
          <w:color w:val="000000"/>
          <w:spacing w:val="0"/>
          <w:w w:val="100"/>
          <w:position w:val="0"/>
        </w:rPr>
        <w:t xml:space="preserve">） </w:t>
      </w:r>
      <w:r>
        <w:rPr>
          <w:color w:val="000000"/>
          <w:spacing w:val="0"/>
          <w:w w:val="100"/>
          <w:position w:val="0"/>
        </w:rPr>
        <w:t>和初始确认时指定为以公允价值计量且其变动计入当期损益的金融负债。</w:t>
      </w:r>
    </w:p>
    <w:p>
      <w:pPr>
        <w:pStyle w:val="Style47"/>
        <w:keepNext w:val="0"/>
        <w:keepLines w:val="0"/>
        <w:widowControl w:val="0"/>
        <w:numPr>
          <w:ilvl w:val="0"/>
          <w:numId w:val="57"/>
        </w:numPr>
        <w:shd w:val="clear" w:color="auto" w:fill="auto"/>
        <w:tabs>
          <w:tab w:pos="754" w:val="left"/>
        </w:tabs>
        <w:bidi w:val="0"/>
        <w:spacing w:before="0" w:after="0"/>
        <w:ind w:left="0" w:right="0" w:firstLine="420"/>
        <w:jc w:val="both"/>
      </w:pPr>
      <w:bookmarkStart w:id="880" w:name="bookmark880"/>
      <w:bookmarkEnd w:id="880"/>
      <w:r>
        <w:rPr>
          <w:color w:val="000000"/>
          <w:spacing w:val="0"/>
          <w:w w:val="100"/>
          <w:position w:val="0"/>
        </w:rPr>
        <w:t>金融工具抵销</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同时满足下列条件的，金融资产和金融负债以相互抵销后的净额在资产负债表内列示：具有抵销已确 认金额的法定权利，且该种法定权利是当前可执行的；计划以净额结算，或同时变现该金融资产和清偿该 金融负债。</w:t>
      </w:r>
    </w:p>
    <w:p>
      <w:pPr>
        <w:pStyle w:val="Style47"/>
        <w:keepNext w:val="0"/>
        <w:keepLines w:val="0"/>
        <w:widowControl w:val="0"/>
        <w:numPr>
          <w:ilvl w:val="0"/>
          <w:numId w:val="57"/>
        </w:numPr>
        <w:shd w:val="clear" w:color="auto" w:fill="auto"/>
        <w:tabs>
          <w:tab w:pos="754" w:val="left"/>
        </w:tabs>
        <w:bidi w:val="0"/>
        <w:spacing w:before="0" w:after="0"/>
        <w:ind w:left="0" w:right="0" w:firstLine="420"/>
        <w:jc w:val="both"/>
      </w:pPr>
      <w:bookmarkStart w:id="881" w:name="bookmark881"/>
      <w:bookmarkEnd w:id="881"/>
      <w:r>
        <w:rPr>
          <w:color w:val="000000"/>
          <w:spacing w:val="0"/>
          <w:w w:val="100"/>
          <w:position w:val="0"/>
        </w:rPr>
        <w:t>金融资产减值</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本集团对于以摊余成本计量的金融资产、以公允价值计量且其变动计入其他综合收益的债务工具投资 和财务担保合同等，以预期信用损失为基础确认损失准备。信用损失，是指本集团按照原实际利率折现的、 根据合同应收的所有合同现金流量与预期收取的所有现金流量之间的差额，即全部现金短缺的现值。</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本集团考虑所有合理且有依据的信息，包括前瞻性信息，以单项或组合的方式对以摊余成本计量的金 融资产和以公允价值计量且其变动计入其他综合收益的金融资产（债务工具）的预期信用损失进行估计。</w:t>
      </w:r>
    </w:p>
    <w:p>
      <w:pPr>
        <w:pStyle w:val="Style47"/>
        <w:keepNext w:val="0"/>
        <w:keepLines w:val="0"/>
        <w:widowControl w:val="0"/>
        <w:shd w:val="clear" w:color="auto" w:fill="auto"/>
        <w:bidi w:val="0"/>
        <w:spacing w:before="0" w:after="0" w:line="468" w:lineRule="exact"/>
        <w:ind w:left="0" w:right="0" w:firstLine="420"/>
        <w:jc w:val="left"/>
      </w:pPr>
      <w:bookmarkStart w:id="882" w:name="bookmark882"/>
      <w:r>
        <w:rPr>
          <w:color w:val="000000"/>
          <w:spacing w:val="0"/>
          <w:w w:val="100"/>
          <w:position w:val="0"/>
        </w:rPr>
        <w:t>（</w:t>
      </w:r>
      <w:bookmarkEnd w:id="882"/>
      <w:r>
        <w:rPr>
          <w:rFonts w:ascii="Times New Roman" w:eastAsia="Times New Roman" w:hAnsi="Times New Roman" w:cs="Times New Roman"/>
          <w:color w:val="000000"/>
          <w:spacing w:val="0"/>
          <w:w w:val="100"/>
          <w:position w:val="0"/>
        </w:rPr>
        <w:t>1</w:t>
      </w:r>
      <w:r>
        <w:rPr>
          <w:color w:val="000000"/>
          <w:spacing w:val="0"/>
          <w:w w:val="100"/>
          <w:position w:val="0"/>
        </w:rPr>
        <w:t>）预期信用损失一般模型</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如果该金融工具的信用风险自初始确认后已显著增加，本集团按照相当于该金融工具整个存续期内预 期信用损失的金额计量其损失准备；如果该金融工具的信用风险自初始确认后并未显著增加，本集团按照 相当于该金融工具未来</w:t>
      </w:r>
      <w:r>
        <w:rPr>
          <w:rFonts w:ascii="Times New Roman" w:eastAsia="Times New Roman" w:hAnsi="Times New Roman" w:cs="Times New Roman"/>
          <w:color w:val="000000"/>
          <w:spacing w:val="0"/>
          <w:w w:val="100"/>
          <w:position w:val="0"/>
        </w:rPr>
        <w:t>12</w:t>
      </w:r>
      <w:r>
        <w:rPr>
          <w:color w:val="000000"/>
          <w:spacing w:val="0"/>
          <w:w w:val="100"/>
          <w:position w:val="0"/>
        </w:rPr>
        <w:t>个月内预期信用损失的金额计量其损失准备。由此形成的损失准备的增加或转回 金额，作为减值损失或利得计入当期损益。本集团对信用风险的具体评估，详见附注</w:t>
      </w:r>
      <w:r>
        <w:rPr>
          <w:rFonts w:ascii="Times New Roman" w:eastAsia="Times New Roman" w:hAnsi="Times New Roman" w:cs="Times New Roman"/>
          <w:color w:val="000000"/>
          <w:spacing w:val="0"/>
          <w:w w:val="100"/>
          <w:position w:val="0"/>
        </w:rPr>
        <w:t>“</w:t>
      </w:r>
      <w:r>
        <w:rPr>
          <w:color w:val="000000"/>
          <w:spacing w:val="0"/>
          <w:w w:val="100"/>
          <w:position w:val="0"/>
        </w:rPr>
        <w:t>九、与金融工具相 关的风险</w:t>
      </w:r>
    </w:p>
    <w:p>
      <w:pPr>
        <w:pStyle w:val="Style47"/>
        <w:keepNext w:val="0"/>
        <w:keepLines w:val="0"/>
        <w:widowControl w:val="0"/>
        <w:shd w:val="clear" w:color="auto" w:fill="auto"/>
        <w:bidi w:val="0"/>
        <w:spacing w:before="0" w:after="100" w:line="468" w:lineRule="exact"/>
        <w:ind w:left="0" w:right="0" w:firstLine="420"/>
        <w:jc w:val="both"/>
      </w:pPr>
      <w:r>
        <w:rPr>
          <w:color w:val="000000"/>
          <w:spacing w:val="0"/>
          <w:w w:val="100"/>
          <w:position w:val="0"/>
        </w:rPr>
        <w:t>通常逾期超过</w:t>
      </w:r>
      <w:r>
        <w:rPr>
          <w:rFonts w:ascii="Times New Roman" w:eastAsia="Times New Roman" w:hAnsi="Times New Roman" w:cs="Times New Roman"/>
          <w:color w:val="000000"/>
          <w:spacing w:val="0"/>
          <w:w w:val="100"/>
          <w:position w:val="0"/>
        </w:rPr>
        <w:t>30</w:t>
      </w:r>
      <w:r>
        <w:rPr>
          <w:color w:val="000000"/>
          <w:spacing w:val="0"/>
          <w:w w:val="100"/>
          <w:position w:val="0"/>
        </w:rPr>
        <w:t>日，本集团即认为该金融工具的信用风险已显著增加，除非有确凿证据证明该金融工 具的信用风险自初始确认后并未显著增加。</w:t>
      </w:r>
    </w:p>
    <w:p>
      <w:pPr>
        <w:pStyle w:val="Style47"/>
        <w:keepNext w:val="0"/>
        <w:keepLines w:val="0"/>
        <w:widowControl w:val="0"/>
        <w:shd w:val="clear" w:color="auto" w:fill="auto"/>
        <w:bidi w:val="0"/>
        <w:spacing w:before="0" w:after="0" w:line="475" w:lineRule="exact"/>
        <w:ind w:left="0" w:right="0" w:firstLine="420"/>
        <w:jc w:val="both"/>
      </w:pPr>
      <w:r>
        <w:rPr>
          <w:color w:val="000000"/>
          <w:spacing w:val="0"/>
          <w:w w:val="100"/>
          <w:position w:val="0"/>
        </w:rPr>
        <w:t>具体来说，本集团将购买或源生时未发生信用减值的金融工具发生信用减值的过程分为三个阶段，对 于不同阶段的金融工具的减值有不同的会计处理方法：</w:t>
      </w:r>
    </w:p>
    <w:p>
      <w:pPr>
        <w:pStyle w:val="Style47"/>
        <w:keepNext w:val="0"/>
        <w:keepLines w:val="0"/>
        <w:widowControl w:val="0"/>
        <w:shd w:val="clear" w:color="auto" w:fill="auto"/>
        <w:bidi w:val="0"/>
        <w:spacing w:before="0" w:after="0" w:line="475" w:lineRule="exact"/>
        <w:ind w:left="0" w:right="0" w:firstLine="420"/>
        <w:jc w:val="both"/>
      </w:pPr>
      <w:r>
        <w:rPr>
          <w:color w:val="000000"/>
          <w:spacing w:val="0"/>
          <w:w w:val="100"/>
          <w:position w:val="0"/>
        </w:rPr>
        <w:t>第一阶段：信用风险自初始确认后未显著增加</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对于处于该阶段的金融工具，企业应当按照未来</w:t>
      </w:r>
      <w:r>
        <w:rPr>
          <w:rFonts w:ascii="Times New Roman" w:eastAsia="Times New Roman" w:hAnsi="Times New Roman" w:cs="Times New Roman"/>
          <w:color w:val="000000"/>
          <w:spacing w:val="0"/>
          <w:w w:val="100"/>
          <w:position w:val="0"/>
        </w:rPr>
        <w:t>12</w:t>
      </w:r>
      <w:r>
        <w:rPr>
          <w:color w:val="000000"/>
          <w:spacing w:val="0"/>
          <w:w w:val="100"/>
          <w:position w:val="0"/>
        </w:rPr>
        <w:t>个月的预期信用损失计量损失准备，并按其账面余 额（即未扣除减值准备）和实际利率计算利息收入（若该工具为金融资产，下同）。</w:t>
      </w:r>
    </w:p>
    <w:p>
      <w:pPr>
        <w:pStyle w:val="Style47"/>
        <w:keepNext w:val="0"/>
        <w:keepLines w:val="0"/>
        <w:widowControl w:val="0"/>
        <w:shd w:val="clear" w:color="auto" w:fill="auto"/>
        <w:bidi w:val="0"/>
        <w:spacing w:before="0" w:after="0" w:line="472" w:lineRule="exact"/>
        <w:ind w:left="0" w:right="0" w:firstLine="420"/>
        <w:jc w:val="left"/>
      </w:pPr>
      <w:r>
        <w:rPr>
          <w:color w:val="000000"/>
          <w:spacing w:val="0"/>
          <w:w w:val="100"/>
          <w:position w:val="0"/>
        </w:rPr>
        <w:t>第二阶段：信用风险自初始确认后己显著增加但尚未发生信用减值</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对于处于该阶段的金融工具，企业应当按照该工具整个存续期的预期信用损失计量损失准备，并按其 账面余额和实际利率计算利息收入。</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第三阶段：初始确认后发生信用减值</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对于处于该阶段的金融工具，企业应当按照该工具整个存续期的预期信用损失计量损失准备，但对利 息收入的计算不同于处于前两阶段的金融资产。对于已发生信用减值的金融资产，企业应当按其摊余成本 （账面余额减己计提减值准备，也即账面价值）和实际利率计算利息收入。</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对于购买或源生时已发生信用减值的金融资产，企业应当仅将初始确认后整个存续期内预期信用损失 的变动确认为损失准备，并按其摊余成本和经信用调整的实际利率计算利息收入。</w:t>
      </w:r>
    </w:p>
    <w:p>
      <w:pPr>
        <w:pStyle w:val="Style47"/>
        <w:keepNext w:val="0"/>
        <w:keepLines w:val="0"/>
        <w:widowControl w:val="0"/>
        <w:shd w:val="clear" w:color="auto" w:fill="auto"/>
        <w:tabs>
          <w:tab w:pos="1002" w:val="left"/>
        </w:tabs>
        <w:bidi w:val="0"/>
        <w:spacing w:before="0" w:after="0" w:line="472" w:lineRule="exact"/>
        <w:ind w:left="0" w:right="0" w:firstLine="420"/>
        <w:jc w:val="both"/>
      </w:pPr>
      <w:bookmarkStart w:id="883" w:name="bookmark883"/>
      <w:r>
        <w:rPr>
          <w:color w:val="000000"/>
          <w:spacing w:val="0"/>
          <w:w w:val="100"/>
          <w:position w:val="0"/>
        </w:rPr>
        <w:t>（</w:t>
      </w:r>
      <w:bookmarkEnd w:id="883"/>
      <w:r>
        <w:rPr>
          <w:rFonts w:ascii="Times New Roman" w:eastAsia="Times New Roman" w:hAnsi="Times New Roman" w:cs="Times New Roman"/>
          <w:color w:val="000000"/>
          <w:spacing w:val="0"/>
          <w:w w:val="100"/>
          <w:position w:val="0"/>
        </w:rPr>
        <w:t>2</w:t>
      </w:r>
      <w:r>
        <w:rPr>
          <w:color w:val="000000"/>
          <w:spacing w:val="0"/>
          <w:w w:val="100"/>
          <w:position w:val="0"/>
        </w:rPr>
        <w:t>）</w:t>
        <w:tab/>
        <w:t>本集团对在资产负债表日具有较低信用风险的金融工具，选择不与其初始确认时的信用风险进 行比较，而直接做出该工具的信用风险自初始确认后未显著增加的假定。</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如果企业确定金融工具的违约风险较低，借款人在短期内履行其支付合同现金流量义务的能力很强， 并且即使较长时期内经济形势和经营环境存在不利变化，也不一定会降低借款人履行其支付合同现金流量 义务的能力，那么该金融工具可被视为具有较低的信用风险。</w:t>
      </w:r>
    </w:p>
    <w:p>
      <w:pPr>
        <w:pStyle w:val="Style47"/>
        <w:keepNext w:val="0"/>
        <w:keepLines w:val="0"/>
        <w:widowControl w:val="0"/>
        <w:shd w:val="clear" w:color="auto" w:fill="auto"/>
        <w:tabs>
          <w:tab w:pos="894" w:val="left"/>
        </w:tabs>
        <w:bidi w:val="0"/>
        <w:spacing w:before="0" w:after="0" w:line="472" w:lineRule="exact"/>
        <w:ind w:left="0" w:right="0" w:firstLine="420"/>
        <w:jc w:val="both"/>
      </w:pPr>
      <w:bookmarkStart w:id="884" w:name="bookmark884"/>
      <w:r>
        <w:rPr>
          <w:color w:val="000000"/>
          <w:spacing w:val="0"/>
          <w:w w:val="100"/>
          <w:position w:val="0"/>
        </w:rPr>
        <w:t>（</w:t>
      </w:r>
      <w:bookmarkEnd w:id="884"/>
      <w:r>
        <w:rPr>
          <w:rFonts w:ascii="Times New Roman" w:eastAsia="Times New Roman" w:hAnsi="Times New Roman" w:cs="Times New Roman"/>
          <w:color w:val="000000"/>
          <w:spacing w:val="0"/>
          <w:w w:val="100"/>
          <w:position w:val="0"/>
        </w:rPr>
        <w:t>3</w:t>
      </w:r>
      <w:r>
        <w:rPr>
          <w:color w:val="000000"/>
          <w:spacing w:val="0"/>
          <w:w w:val="100"/>
          <w:position w:val="0"/>
        </w:rPr>
        <w:t>）</w:t>
        <w:tab/>
        <w:t>应收款项及租赁应收款</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本集团对于《企业会计准则第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号——收入》所规定的、不含重大融资成分（包括根据该准则不考虑 不超过一年的合同中融资成分的情况）的应收款项，采用预期信用损失的简化模型，始终按照整个存续期 内预期信用损失的金额计量其损失准备。</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本集团对包含重大融资成分的应收款项和《企业会计准则第</w:t>
      </w:r>
      <w:r>
        <w:rPr>
          <w:rFonts w:ascii="Times New Roman" w:eastAsia="Times New Roman" w:hAnsi="Times New Roman" w:cs="Times New Roman"/>
          <w:color w:val="000000"/>
          <w:spacing w:val="0"/>
          <w:w w:val="100"/>
          <w:position w:val="0"/>
        </w:rPr>
        <w:t>21</w:t>
      </w:r>
      <w:r>
        <w:rPr>
          <w:color w:val="000000"/>
          <w:spacing w:val="0"/>
          <w:w w:val="100"/>
          <w:position w:val="0"/>
        </w:rPr>
        <w:t>号——租赁》规范的租赁应收款，本集 团作出会计政策选择，选择采用预期信用损失的简化模型，即按照相当于整个存续期内预期信用损失的金 额计量损失准备。①期末对有客观证据表明其已发生减值以及其他适用于单项评估的应收票据、应收账款, 应收款项融资及长期应收款等的应收款项单独进行减值测试，根据其预计未来现金流量现值低于其账面价 值的差额，确认减值损失，计提坏账准备。</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②当单项金融资产无法以合理成本评估预期信用损失的信息时，本集团依据信用风险特征划分应收款 项组合，在组合基础上计算预期信用损失。</w:t>
      </w:r>
    </w:p>
    <w:tbl>
      <w:tblPr>
        <w:tblOverlap w:val="never"/>
        <w:jc w:val="left"/>
        <w:tblLayout w:type="fixed"/>
      </w:tblPr>
      <w:tblGrid>
        <w:gridCol w:w="1166"/>
        <w:gridCol w:w="1848"/>
        <w:gridCol w:w="1795"/>
        <w:gridCol w:w="2870"/>
        <w:gridCol w:w="1022"/>
      </w:tblGrid>
      <w:tr>
        <w:trPr>
          <w:trHeight w:val="475" w:hRule="exact"/>
        </w:trPr>
        <w:tc>
          <w:tcPr>
            <w:tcBorders>
              <w:top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360"/>
              <w:jc w:val="left"/>
              <w:rPr>
                <w:sz w:val="15"/>
                <w:szCs w:val="15"/>
              </w:rPr>
            </w:pPr>
            <w:r>
              <w:rPr>
                <w:b/>
                <w:bCs/>
                <w:color w:val="000000"/>
                <w:spacing w:val="0"/>
                <w:w w:val="100"/>
                <w:position w:val="0"/>
                <w:sz w:val="15"/>
                <w:szCs w:val="15"/>
              </w:rPr>
              <w:t>组合名称</w:t>
            </w:r>
          </w:p>
        </w:tc>
        <w:tc>
          <w:tcPr>
            <w:tcBorders>
              <w:top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640"/>
              <w:jc w:val="left"/>
              <w:rPr>
                <w:sz w:val="15"/>
                <w:szCs w:val="15"/>
              </w:rPr>
            </w:pPr>
            <w:r>
              <w:rPr>
                <w:b/>
                <w:bCs/>
                <w:color w:val="000000"/>
                <w:spacing w:val="0"/>
                <w:w w:val="100"/>
                <w:position w:val="0"/>
                <w:sz w:val="15"/>
                <w:szCs w:val="15"/>
              </w:rPr>
              <w:t>确定组合依据</w:t>
            </w:r>
          </w:p>
        </w:tc>
        <w:tc>
          <w:tcPr>
            <w:tcBorders>
              <w:top w:val="single" w:sz="4"/>
            </w:tcBorders>
            <w:shd w:val="clear" w:color="auto" w:fill="FFFFFF"/>
            <w:vAlign w:val="top"/>
          </w:tcPr>
          <w:p>
            <w:pPr>
              <w:framePr w:w="8702" w:h="2818" w:vSpace="576" w:wrap="notBeside" w:vAnchor="text" w:hAnchor="text" w:y="1"/>
              <w:widowControl w:val="0"/>
              <w:rPr>
                <w:sz w:val="10"/>
                <w:szCs w:val="10"/>
              </w:rPr>
            </w:pPr>
          </w:p>
        </w:tc>
        <w:tc>
          <w:tcPr>
            <w:tcBorders>
              <w:top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820"/>
              <w:jc w:val="left"/>
              <w:rPr>
                <w:sz w:val="15"/>
                <w:szCs w:val="15"/>
              </w:rPr>
            </w:pPr>
            <w:r>
              <w:rPr>
                <w:b/>
                <w:bCs/>
                <w:color w:val="000000"/>
                <w:spacing w:val="0"/>
                <w:w w:val="100"/>
                <w:position w:val="0"/>
                <w:sz w:val="15"/>
                <w:szCs w:val="15"/>
              </w:rPr>
              <w:t>计提方法</w:t>
            </w:r>
          </w:p>
        </w:tc>
        <w:tc>
          <w:tcPr>
            <w:tcBorders>
              <w:top w:val="single" w:sz="4"/>
            </w:tcBorders>
            <w:shd w:val="clear" w:color="auto" w:fill="FFFFFF"/>
            <w:vAlign w:val="top"/>
          </w:tcPr>
          <w:p>
            <w:pPr>
              <w:framePr w:w="8702" w:h="2818" w:vSpace="576" w:wrap="notBeside" w:vAnchor="text" w:hAnchor="text" w:y="1"/>
              <w:widowControl w:val="0"/>
              <w:rPr>
                <w:sz w:val="10"/>
                <w:szCs w:val="10"/>
              </w:rPr>
            </w:pPr>
          </w:p>
        </w:tc>
      </w:tr>
      <w:tr>
        <w:trPr>
          <w:trHeight w:val="778" w:hRule="exact"/>
        </w:trPr>
        <w:tc>
          <w:tcPr>
            <w:tcBorders>
              <w:top w:val="single" w:sz="4"/>
            </w:tcBorders>
            <w:shd w:val="clear" w:color="auto" w:fill="FFFFFF"/>
            <w:vAlign w:val="top"/>
          </w:tcPr>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应收票据组合</w:t>
            </w:r>
            <w:r>
              <w:rPr>
                <w:rFonts w:ascii="Times New Roman" w:eastAsia="Times New Roman" w:hAnsi="Times New Roman" w:cs="Times New Roman"/>
                <w:color w:val="000000"/>
                <w:spacing w:val="0"/>
                <w:w w:val="100"/>
                <w:position w:val="0"/>
                <w:sz w:val="15"/>
                <w:szCs w:val="15"/>
              </w:rPr>
              <w:t>1</w:t>
            </w:r>
          </w:p>
        </w:tc>
        <w:tc>
          <w:tcPr>
            <w:gridSpan w:val="2"/>
            <w:tcBorders>
              <w:top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140" w:line="240" w:lineRule="auto"/>
              <w:ind w:left="0" w:right="0" w:firstLine="140"/>
              <w:jc w:val="left"/>
              <w:rPr>
                <w:sz w:val="15"/>
                <w:szCs w:val="15"/>
              </w:rPr>
            </w:pPr>
            <w:r>
              <w:rPr>
                <w:color w:val="000000"/>
                <w:spacing w:val="0"/>
                <w:w w:val="100"/>
                <w:position w:val="0"/>
                <w:sz w:val="15"/>
                <w:szCs w:val="15"/>
              </w:rPr>
              <w:t>本组合为信用较高的商业承单独进行减值测试</w:t>
            </w:r>
          </w:p>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140"/>
              <w:jc w:val="left"/>
              <w:rPr>
                <w:sz w:val="15"/>
                <w:szCs w:val="15"/>
              </w:rPr>
            </w:pPr>
            <w:r>
              <w:rPr>
                <w:color w:val="000000"/>
                <w:spacing w:val="0"/>
                <w:w w:val="100"/>
                <w:position w:val="0"/>
                <w:sz w:val="15"/>
                <w:szCs w:val="15"/>
              </w:rPr>
              <w:t>兑汇票和银行承兑汇票</w:t>
            </w:r>
          </w:p>
        </w:tc>
        <w:tc>
          <w:tcPr>
            <w:tcBorders>
              <w:top w:val="single" w:sz="4"/>
            </w:tcBorders>
            <w:shd w:val="clear" w:color="auto" w:fill="FFFFFF"/>
            <w:vAlign w:val="top"/>
          </w:tcPr>
          <w:p>
            <w:pPr>
              <w:framePr w:w="8702" w:h="2818" w:vSpace="576" w:wrap="notBeside" w:vAnchor="text" w:hAnchor="text" w:y="1"/>
              <w:widowControl w:val="0"/>
              <w:rPr>
                <w:sz w:val="10"/>
                <w:szCs w:val="10"/>
              </w:rPr>
            </w:pPr>
          </w:p>
        </w:tc>
        <w:tc>
          <w:tcPr>
            <w:tcBorders>
              <w:top w:val="single" w:sz="4"/>
            </w:tcBorders>
            <w:shd w:val="clear" w:color="auto" w:fill="FFFFFF"/>
            <w:vAlign w:val="top"/>
          </w:tcPr>
          <w:p>
            <w:pPr>
              <w:framePr w:w="8702" w:h="2818" w:vSpace="576" w:wrap="notBeside" w:vAnchor="text" w:hAnchor="text" w:y="1"/>
              <w:widowControl w:val="0"/>
              <w:rPr>
                <w:sz w:val="10"/>
                <w:szCs w:val="10"/>
              </w:rPr>
            </w:pPr>
          </w:p>
        </w:tc>
      </w:tr>
      <w:tr>
        <w:trPr>
          <w:trHeight w:val="778" w:hRule="exact"/>
        </w:trPr>
        <w:tc>
          <w:tcPr>
            <w:tcBorders>
              <w:top w:val="single" w:sz="4"/>
            </w:tcBorders>
            <w:shd w:val="clear" w:color="auto" w:fill="FFFFFF"/>
            <w:vAlign w:val="top"/>
          </w:tcPr>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应收票据组合</w:t>
            </w:r>
            <w:r>
              <w:rPr>
                <w:rFonts w:ascii="Times New Roman" w:eastAsia="Times New Roman" w:hAnsi="Times New Roman" w:cs="Times New Roman"/>
                <w:color w:val="000000"/>
                <w:spacing w:val="0"/>
                <w:w w:val="100"/>
                <w:position w:val="0"/>
                <w:sz w:val="15"/>
                <w:szCs w:val="15"/>
              </w:rPr>
              <w:t>2</w:t>
            </w:r>
          </w:p>
        </w:tc>
        <w:tc>
          <w:tcPr>
            <w:gridSpan w:val="3"/>
            <w:tcBorders>
              <w:top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140" w:line="240" w:lineRule="auto"/>
              <w:ind w:left="0" w:right="0" w:firstLine="140"/>
              <w:jc w:val="left"/>
              <w:rPr>
                <w:sz w:val="15"/>
                <w:szCs w:val="15"/>
              </w:rPr>
            </w:pPr>
            <w:r>
              <w:rPr>
                <w:color w:val="000000"/>
                <w:spacing w:val="0"/>
                <w:w w:val="100"/>
                <w:position w:val="0"/>
                <w:sz w:val="15"/>
                <w:szCs w:val="15"/>
              </w:rPr>
              <w:t>信用风险较低的商业承兑汇参考历史信用损失经验，结合当前状况以及对未来经济状况的预测,</w:t>
            </w:r>
          </w:p>
          <w:p>
            <w:pPr>
              <w:pStyle w:val="Style2"/>
              <w:keepNext w:val="0"/>
              <w:keepLines w:val="0"/>
              <w:framePr w:w="8702" w:h="2818" w:vSpace="576" w:wrap="notBeside" w:vAnchor="text" w:hAnchor="text" w:y="1"/>
              <w:widowControl w:val="0"/>
              <w:shd w:val="clear" w:color="auto" w:fill="auto"/>
              <w:tabs>
                <w:tab w:pos="2017" w:val="left"/>
              </w:tabs>
              <w:bidi w:val="0"/>
              <w:spacing w:before="0" w:after="0" w:line="240" w:lineRule="auto"/>
              <w:ind w:left="0" w:right="0" w:firstLine="140"/>
              <w:jc w:val="left"/>
              <w:rPr>
                <w:sz w:val="15"/>
                <w:szCs w:val="15"/>
              </w:rPr>
            </w:pPr>
            <w:r>
              <w:rPr>
                <w:color w:val="000000"/>
                <w:spacing w:val="0"/>
                <w:w w:val="100"/>
                <w:position w:val="0"/>
                <w:sz w:val="15"/>
                <w:szCs w:val="15"/>
              </w:rPr>
              <w:t>票</w:t>
              <w:tab/>
              <w:t>账龄与整个存续期预期信用损失率对照表，计算预期信用损失</w:t>
            </w:r>
          </w:p>
        </w:tc>
        <w:tc>
          <w:tcPr>
            <w:tcBorders>
              <w:top w:val="single" w:sz="4"/>
            </w:tcBorders>
            <w:shd w:val="clear" w:color="auto" w:fill="FFFFFF"/>
            <w:vAlign w:val="top"/>
          </w:tcPr>
          <w:p>
            <w:pPr>
              <w:pStyle w:val="Style2"/>
              <w:keepNext w:val="0"/>
              <w:keepLines w:val="0"/>
              <w:framePr w:w="8702" w:h="2818" w:vSpace="576" w:wrap="notBeside" w:vAnchor="text" w:hAnchor="text" w:y="1"/>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5"/>
                <w:szCs w:val="15"/>
              </w:rPr>
              <w:t>编制应收账款</w:t>
            </w:r>
          </w:p>
        </w:tc>
      </w:tr>
      <w:tr>
        <w:trPr>
          <w:trHeight w:val="787" w:hRule="exact"/>
        </w:trPr>
        <w:tc>
          <w:tcPr>
            <w:gridSpan w:val="2"/>
            <w:tcBorders>
              <w:top w:val="single" w:sz="4"/>
              <w:bottom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应收账款信用风险账龄风险组合</w:t>
            </w:r>
          </w:p>
          <w:p>
            <w:pPr>
              <w:pStyle w:val="Style2"/>
              <w:keepNext w:val="0"/>
              <w:keepLines w:val="0"/>
              <w:framePr w:w="8702" w:h="2818" w:vSpace="576" w:wrap="notBeside" w:vAnchor="text" w:hAnchor="text"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特征组合</w:t>
            </w:r>
          </w:p>
        </w:tc>
        <w:tc>
          <w:tcPr>
            <w:gridSpan w:val="2"/>
            <w:tcBorders>
              <w:top w:val="single" w:sz="4"/>
              <w:bottom w:val="single" w:sz="4"/>
            </w:tcBorders>
            <w:shd w:val="clear" w:color="auto" w:fill="FFFFFF"/>
            <w:vAlign w:val="center"/>
          </w:tcPr>
          <w:p>
            <w:pPr>
              <w:pStyle w:val="Style2"/>
              <w:keepNext w:val="0"/>
              <w:keepLines w:val="0"/>
              <w:framePr w:w="8702" w:h="2818" w:vSpace="576" w:wrap="notBeside" w:vAnchor="text" w:hAnchor="text" w:y="1"/>
              <w:widowControl w:val="0"/>
              <w:shd w:val="clear" w:color="auto" w:fill="auto"/>
              <w:bidi w:val="0"/>
              <w:spacing w:before="0" w:after="0" w:line="302" w:lineRule="exact"/>
              <w:ind w:left="200" w:right="0" w:firstLine="0"/>
              <w:jc w:val="left"/>
              <w:rPr>
                <w:sz w:val="15"/>
                <w:szCs w:val="15"/>
              </w:rPr>
            </w:pPr>
            <w:r>
              <w:rPr>
                <w:color w:val="000000"/>
                <w:spacing w:val="0"/>
                <w:w w:val="100"/>
                <w:position w:val="0"/>
                <w:sz w:val="15"/>
                <w:szCs w:val="15"/>
              </w:rPr>
              <w:t>参考历史信用损失经验，结合当前状况以及对未来经济状况的预测, 账龄与整个存续期预期信用损失率对照表，计算预期信用损失</w:t>
            </w:r>
          </w:p>
        </w:tc>
        <w:tc>
          <w:tcPr>
            <w:tcBorders>
              <w:top w:val="single" w:sz="4"/>
              <w:bottom w:val="single" w:sz="4"/>
            </w:tcBorders>
            <w:shd w:val="clear" w:color="auto" w:fill="FFFFFF"/>
            <w:vAlign w:val="top"/>
          </w:tcPr>
          <w:p>
            <w:pPr>
              <w:pStyle w:val="Style2"/>
              <w:keepNext w:val="0"/>
              <w:keepLines w:val="0"/>
              <w:framePr w:w="8702" w:h="2818" w:vSpace="576" w:wrap="notBeside" w:vAnchor="text" w:hAnchor="text" w:y="1"/>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5"/>
                <w:szCs w:val="15"/>
              </w:rPr>
              <w:t>编制应收账款</w:t>
            </w:r>
          </w:p>
        </w:tc>
      </w:tr>
    </w:tbl>
    <w:p>
      <w:pPr>
        <w:pStyle w:val="Style41"/>
        <w:keepNext w:val="0"/>
        <w:keepLines w:val="0"/>
        <w:framePr w:w="2074" w:h="206" w:hSpace="8702" w:wrap="notBeside" w:vAnchor="text" w:hAnchor="text" w:x="20" w:y="2891"/>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应收账款无风险组无风险组合</w:t>
      </w:r>
    </w:p>
    <w:p>
      <w:pPr>
        <w:pStyle w:val="Style41"/>
        <w:keepNext w:val="0"/>
        <w:keepLines w:val="0"/>
        <w:framePr w:w="1094" w:h="206" w:hSpace="9682" w:wrap="notBeside" w:vAnchor="text" w:hAnchor="text" w:x="3198" w:y="2891"/>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不计提坏账准备</w:t>
      </w:r>
    </w:p>
    <w:p>
      <w:pPr>
        <w:pStyle w:val="Style41"/>
        <w:keepNext w:val="0"/>
        <w:keepLines w:val="0"/>
        <w:framePr w:w="197" w:h="245" w:hSpace="10579" w:wrap="notBeside" w:vAnchor="text" w:hAnchor="text" w:x="20" w:y="3150"/>
        <w:widowControl w:val="0"/>
        <w:shd w:val="clear" w:color="auto" w:fill="auto"/>
        <w:bidi w:val="0"/>
        <w:spacing w:before="0" w:after="0" w:line="240" w:lineRule="auto"/>
        <w:ind w:left="0" w:right="0" w:firstLine="0"/>
        <w:jc w:val="left"/>
        <w:rPr>
          <w:sz w:val="15"/>
          <w:szCs w:val="15"/>
        </w:rPr>
      </w:pPr>
      <w:r>
        <w:rPr>
          <w:b w:val="0"/>
          <w:bCs w:val="0"/>
          <w:color w:val="000000"/>
          <w:spacing w:val="0"/>
          <w:w w:val="100"/>
          <w:position w:val="0"/>
          <w:sz w:val="15"/>
          <w:szCs w:val="15"/>
        </w:rPr>
        <w:t>合</w:t>
      </w:r>
    </w:p>
    <w:p>
      <w:pPr>
        <w:widowControl w:val="0"/>
        <w:spacing w:line="1" w:lineRule="exact"/>
      </w:pPr>
    </w:p>
    <w:p>
      <w:pPr>
        <w:pStyle w:val="Style4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③信用风险特征组合的账龄与整个存续期预期信用损失率对照表</w:t>
      </w:r>
    </w:p>
    <w:tbl>
      <w:tblPr>
        <w:tblOverlap w:val="never"/>
        <w:jc w:val="left"/>
        <w:tblLayout w:type="fixed"/>
      </w:tblPr>
      <w:tblGrid>
        <w:gridCol w:w="4080"/>
        <w:gridCol w:w="4622"/>
      </w:tblGrid>
      <w:tr>
        <w:trPr>
          <w:trHeight w:val="355"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b/>
                <w:bCs/>
                <w:color w:val="000000"/>
                <w:spacing w:val="0"/>
                <w:w w:val="100"/>
                <w:position w:val="0"/>
                <w:sz w:val="18"/>
                <w:szCs w:val="18"/>
              </w:rPr>
              <w:t>账龄</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预期信用损失率（</w:t>
            </w:r>
            <w:r>
              <w:rPr>
                <w:b/>
                <w:bCs/>
                <w:color w:val="000000"/>
                <w:spacing w:val="0"/>
                <w:w w:val="100"/>
                <w:position w:val="0"/>
                <w:sz w:val="19"/>
                <w:szCs w:val="19"/>
              </w:rPr>
              <w:t>％</w:t>
            </w:r>
            <w:r>
              <w:rPr>
                <w:b/>
                <w:bCs/>
                <w:color w:val="000000"/>
                <w:spacing w:val="0"/>
                <w:w w:val="100"/>
                <w:position w:val="0"/>
                <w:sz w:val="18"/>
                <w:szCs w:val="18"/>
              </w:rPr>
              <w:t>）</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年，以下同）</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r>
      <w:tr>
        <w:trPr>
          <w:trHeight w:val="35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年</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80" w:right="0" w:firstLine="0"/>
              <w:jc w:val="left"/>
              <w:rPr>
                <w:sz w:val="18"/>
                <w:szCs w:val="18"/>
              </w:rPr>
            </w:pPr>
            <w:r>
              <w:rPr>
                <w:rFonts w:ascii="Times New Roman" w:eastAsia="Times New Roman" w:hAnsi="Times New Roman" w:cs="Times New Roman"/>
                <w:color w:val="000000"/>
                <w:spacing w:val="0"/>
                <w:w w:val="100"/>
                <w:position w:val="0"/>
                <w:sz w:val="18"/>
                <w:szCs w:val="18"/>
              </w:rPr>
              <w:t>10.00</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w:t>
            </w:r>
            <w:r>
              <w:rPr>
                <w:color w:val="000000"/>
                <w:spacing w:val="0"/>
                <w:w w:val="100"/>
                <w:position w:val="0"/>
                <w:sz w:val="18"/>
                <w:szCs w:val="18"/>
              </w:rPr>
              <w:t>年</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80" w:right="0" w:firstLine="0"/>
              <w:jc w:val="left"/>
              <w:rPr>
                <w:sz w:val="18"/>
                <w:szCs w:val="18"/>
              </w:rPr>
            </w:pPr>
            <w:r>
              <w:rPr>
                <w:rFonts w:ascii="Times New Roman" w:eastAsia="Times New Roman" w:hAnsi="Times New Roman" w:cs="Times New Roman"/>
                <w:color w:val="000000"/>
                <w:spacing w:val="0"/>
                <w:w w:val="100"/>
                <w:position w:val="0"/>
                <w:sz w:val="18"/>
                <w:szCs w:val="18"/>
              </w:rPr>
              <w:t>30.00</w:t>
            </w:r>
          </w:p>
        </w:tc>
      </w:tr>
      <w:tr>
        <w:trPr>
          <w:trHeight w:val="35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w:t>
            </w:r>
            <w:r>
              <w:rPr>
                <w:color w:val="000000"/>
                <w:spacing w:val="0"/>
                <w:w w:val="100"/>
                <w:position w:val="0"/>
                <w:sz w:val="18"/>
                <w:szCs w:val="18"/>
              </w:rPr>
              <w:t>年</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8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r>
      <w:tr>
        <w:trPr>
          <w:trHeight w:val="34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w:t>
            </w:r>
            <w:r>
              <w:rPr>
                <w:color w:val="000000"/>
                <w:spacing w:val="0"/>
                <w:w w:val="100"/>
                <w:position w:val="0"/>
                <w:sz w:val="18"/>
                <w:szCs w:val="18"/>
              </w:rPr>
              <w:t>年</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4180" w:right="0" w:firstLine="0"/>
              <w:jc w:val="left"/>
              <w:rPr>
                <w:sz w:val="18"/>
                <w:szCs w:val="18"/>
              </w:rPr>
            </w:pPr>
            <w:r>
              <w:rPr>
                <w:rFonts w:ascii="Times New Roman" w:eastAsia="Times New Roman" w:hAnsi="Times New Roman" w:cs="Times New Roman"/>
                <w:color w:val="000000"/>
                <w:spacing w:val="0"/>
                <w:w w:val="100"/>
                <w:position w:val="0"/>
                <w:sz w:val="18"/>
                <w:szCs w:val="18"/>
              </w:rPr>
              <w:t>70.00</w:t>
            </w:r>
          </w:p>
        </w:tc>
      </w:tr>
      <w:tr>
        <w:trPr>
          <w:trHeight w:val="293"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年以上</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bl>
    <w:p>
      <w:pPr>
        <w:widowControl w:val="0"/>
        <w:spacing w:after="359" w:line="1" w:lineRule="exact"/>
      </w:pPr>
    </w:p>
    <w:p>
      <w:pPr>
        <w:pStyle w:val="Style47"/>
        <w:keepNext w:val="0"/>
        <w:keepLines w:val="0"/>
        <w:widowControl w:val="0"/>
        <w:numPr>
          <w:ilvl w:val="0"/>
          <w:numId w:val="57"/>
        </w:numPr>
        <w:shd w:val="clear" w:color="auto" w:fill="auto"/>
        <w:bidi w:val="0"/>
        <w:spacing w:before="0" w:after="0" w:line="468" w:lineRule="exact"/>
        <w:ind w:left="0" w:right="0" w:firstLine="420"/>
        <w:jc w:val="both"/>
      </w:pPr>
      <w:bookmarkStart w:id="885" w:name="bookmark885"/>
      <w:bookmarkEnd w:id="885"/>
      <w:r>
        <w:rPr>
          <w:color w:val="000000"/>
          <w:spacing w:val="0"/>
          <w:w w:val="100"/>
          <w:position w:val="0"/>
        </w:rPr>
        <w:t>金融资产转移</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本集团已将金融资产所有权上几乎所有的风险和报酬转移给转入方的，终止确认该金融资产；保留了 金融资产所有权上几乎所有的风险和报酬的，不终止确认该金融资产。</w:t>
      </w:r>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本集团既没有转移也没有保留金融资产所有权上几乎所有的风险和报酬的，分别下列情况处理：放弃 了对该金融资产控制的，终止确认该金融资产并确认产生的资产和负债；未放弃对该金融资产控制的，按 照其继续涉入所转移金融资产的程度确认有关金融资产，并相应确认有关负债。</w:t>
      </w:r>
    </w:p>
    <w:p>
      <w:pPr>
        <w:pStyle w:val="Style47"/>
        <w:keepNext w:val="0"/>
        <w:keepLines w:val="0"/>
        <w:widowControl w:val="0"/>
        <w:shd w:val="clear" w:color="auto" w:fill="auto"/>
        <w:bidi w:val="0"/>
        <w:spacing w:before="0" w:after="200" w:line="468" w:lineRule="exact"/>
        <w:ind w:left="0" w:right="0" w:firstLine="420"/>
        <w:jc w:val="both"/>
      </w:pPr>
      <w:r>
        <w:rPr>
          <w:color w:val="000000"/>
          <w:spacing w:val="0"/>
          <w:w w:val="100"/>
          <w:position w:val="0"/>
        </w:rPr>
        <w:t>通过对所转移金融资产提供财务担保方式继续涉入的，按照金融资产的账面价值和财务担保金额两者 之中的较低者，确认继续涉入形成的资产。财务担保金额，是指所收到的对价中，将被要求偿还的最高金 额。</w:t>
      </w:r>
    </w:p>
    <w:p>
      <w:pPr>
        <w:pStyle w:val="Style44"/>
        <w:keepNext/>
        <w:keepLines/>
        <w:widowControl w:val="0"/>
        <w:shd w:val="clear" w:color="auto" w:fill="auto"/>
        <w:bidi w:val="0"/>
        <w:spacing w:before="0" w:after="200" w:line="468" w:lineRule="exact"/>
        <w:ind w:left="0" w:right="0" w:firstLine="0"/>
        <w:jc w:val="left"/>
      </w:pPr>
      <w:bookmarkStart w:id="886" w:name="bookmark886"/>
      <w:bookmarkStart w:id="887" w:name="bookmark887"/>
      <w:bookmarkStart w:id="888" w:name="bookmark888"/>
      <w:bookmarkStart w:id="889" w:name="bookmark889"/>
      <w:r>
        <w:rPr>
          <w:rFonts w:ascii="Times New Roman" w:eastAsia="Times New Roman" w:hAnsi="Times New Roman" w:cs="Times New Roman"/>
          <w:color w:val="000000"/>
          <w:spacing w:val="0"/>
          <w:w w:val="100"/>
          <w:position w:val="0"/>
        </w:rPr>
        <w:t>1</w:t>
      </w:r>
      <w:bookmarkEnd w:id="888"/>
      <w:r>
        <w:rPr>
          <w:rFonts w:ascii="Times New Roman" w:eastAsia="Times New Roman" w:hAnsi="Times New Roman" w:cs="Times New Roman"/>
          <w:color w:val="000000"/>
          <w:spacing w:val="0"/>
          <w:w w:val="100"/>
          <w:position w:val="0"/>
        </w:rPr>
        <w:t>0</w:t>
      </w:r>
      <w:r>
        <w:rPr>
          <w:color w:val="000000"/>
          <w:spacing w:val="0"/>
          <w:w w:val="100"/>
          <w:position w:val="0"/>
        </w:rPr>
        <w:t>、应收款项融资</w:t>
      </w:r>
      <w:bookmarkEnd w:id="886"/>
      <w:bookmarkEnd w:id="887"/>
      <w:bookmarkEnd w:id="889"/>
    </w:p>
    <w:p>
      <w:pPr>
        <w:pStyle w:val="Style47"/>
        <w:keepNext w:val="0"/>
        <w:keepLines w:val="0"/>
        <w:widowControl w:val="0"/>
        <w:shd w:val="clear" w:color="auto" w:fill="auto"/>
        <w:bidi w:val="0"/>
        <w:spacing w:before="0" w:after="280" w:line="468" w:lineRule="exact"/>
        <w:ind w:left="0" w:right="0" w:firstLine="420"/>
        <w:jc w:val="both"/>
        <w:sectPr>
          <w:headerReference w:type="default" r:id="rId245"/>
          <w:footerReference w:type="default" r:id="rId246"/>
          <w:headerReference w:type="even" r:id="rId247"/>
          <w:footerReference w:type="even" r:id="rId248"/>
          <w:footnotePr>
            <w:pos w:val="pageBottom"/>
            <w:numFmt w:val="decimal"/>
            <w:numRestart w:val="continuous"/>
          </w:footnotePr>
          <w:type w:val="continuous"/>
          <w:pgSz w:w="11900" w:h="16840"/>
          <w:pgMar w:top="1244" w:right="22" w:bottom="1455" w:left="1101" w:header="0" w:footer="3" w:gutter="0"/>
          <w:cols w:space="720"/>
          <w:noEndnote/>
          <w:rtlGutter w:val="0"/>
          <w:docGrid w:linePitch="360"/>
        </w:sectPr>
      </w:pPr>
      <w:r>
        <w:rPr>
          <w:color w:val="000000"/>
          <w:spacing w:val="0"/>
          <w:w w:val="100"/>
          <w:position w:val="0"/>
        </w:rPr>
        <w:t>金融资产同时符合下列条件的，分类为以公允价值计量且其变动计入其他综合收益的金融资产：本集 团管理该金融资产的业务模式是既以收取合同现金流量为目标又以出售金融资产为目标；该金融资产的合 同条款规定，在特定日期产生的现金流量，仅为对本金和以未偿付本金金额为基础的利息的支付。</w:t>
      </w:r>
    </w:p>
    <w:p>
      <w:pPr>
        <w:pStyle w:val="Style47"/>
        <w:keepNext w:val="0"/>
        <w:keepLines w:val="0"/>
        <w:widowControl w:val="0"/>
        <w:shd w:val="clear" w:color="auto" w:fill="auto"/>
        <w:bidi w:val="0"/>
        <w:spacing w:before="0" w:after="400" w:line="470" w:lineRule="exact"/>
        <w:ind w:left="0" w:right="0" w:firstLine="420"/>
        <w:jc w:val="both"/>
      </w:pPr>
      <w:r>
        <w:rPr>
          <w:color w:val="000000"/>
          <w:spacing w:val="0"/>
          <w:w w:val="100"/>
          <w:position w:val="0"/>
        </w:rPr>
        <w:t>本集团将持有的应收款项，以贴现或背书等形式转让，且该类业务较为频繁、涉及金额也较大的，其 管理业务模式实质为既收取合同现金流量又出售，按照金融工具准则的相关规定，将其分类至以公允价值 计量变动且其变动计入其他综合收益的金融资产。</w:t>
      </w:r>
    </w:p>
    <w:p>
      <w:pPr>
        <w:pStyle w:val="Style44"/>
        <w:keepNext/>
        <w:keepLines/>
        <w:widowControl w:val="0"/>
        <w:shd w:val="clear" w:color="auto" w:fill="auto"/>
        <w:tabs>
          <w:tab w:pos="477" w:val="left"/>
        </w:tabs>
        <w:bidi w:val="0"/>
        <w:spacing w:before="0" w:after="0" w:line="492" w:lineRule="auto"/>
        <w:ind w:left="0" w:right="0" w:firstLine="0"/>
        <w:jc w:val="both"/>
      </w:pPr>
      <w:bookmarkStart w:id="890" w:name="bookmark890"/>
      <w:bookmarkStart w:id="891" w:name="bookmark891"/>
      <w:bookmarkStart w:id="892" w:name="bookmark892"/>
      <w:bookmarkStart w:id="893" w:name="bookmark893"/>
      <w:r>
        <w:rPr>
          <w:rFonts w:ascii="Times New Roman" w:eastAsia="Times New Roman" w:hAnsi="Times New Roman" w:cs="Times New Roman"/>
          <w:color w:val="000000"/>
          <w:spacing w:val="0"/>
          <w:w w:val="100"/>
          <w:position w:val="0"/>
        </w:rPr>
        <w:t>1</w:t>
      </w:r>
      <w:bookmarkEnd w:id="892"/>
      <w:r>
        <w:rPr>
          <w:rFonts w:ascii="Times New Roman" w:eastAsia="Times New Roman" w:hAnsi="Times New Roman" w:cs="Times New Roman"/>
          <w:color w:val="000000"/>
          <w:spacing w:val="0"/>
          <w:w w:val="100"/>
          <w:position w:val="0"/>
        </w:rPr>
        <w:t>1</w:t>
      </w:r>
      <w:r>
        <w:rPr>
          <w:color w:val="000000"/>
          <w:spacing w:val="0"/>
          <w:w w:val="100"/>
          <w:position w:val="0"/>
        </w:rPr>
        <w:t>、</w:t>
        <w:tab/>
        <w:t>存货</w:t>
      </w:r>
      <w:bookmarkEnd w:id="890"/>
      <w:bookmarkEnd w:id="891"/>
      <w:bookmarkEnd w:id="893"/>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本集团存货主要包括原材料、低值易耗品、合同履约成本等。</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存货实行永续盘存制，存货在取得时按实际成本计价；领用或发出存货，采用个别认定法确定其实际 成本。低值易耗品采用一次转销法进行摊销。</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在资产负债表日，存货按成本与可变现净值孰低原则计价，当其可变现净值低于成本时，计提存货跌 价准备。</w:t>
      </w:r>
    </w:p>
    <w:p>
      <w:pPr>
        <w:pStyle w:val="Style47"/>
        <w:keepNext w:val="0"/>
        <w:keepLines w:val="0"/>
        <w:widowControl w:val="0"/>
        <w:shd w:val="clear" w:color="auto" w:fill="auto"/>
        <w:bidi w:val="0"/>
        <w:spacing w:before="0" w:after="0" w:line="472" w:lineRule="exact"/>
        <w:ind w:left="0" w:right="0" w:firstLine="420"/>
        <w:jc w:val="both"/>
      </w:pPr>
      <w:r>
        <w:rPr>
          <w:color w:val="000000"/>
          <w:spacing w:val="0"/>
          <w:w w:val="100"/>
          <w:position w:val="0"/>
        </w:rPr>
        <w:t>为信息化项目建设、提供技术服务、技术开发等而持有的以备项目建设或者提供服务过程中需要使用、 消耗的存货，若已签订项目合同或者服务合同等，其可变现净值以合同价格为基础计算。</w:t>
      </w:r>
    </w:p>
    <w:p>
      <w:pPr>
        <w:pStyle w:val="Style47"/>
        <w:keepNext w:val="0"/>
        <w:keepLines w:val="0"/>
        <w:widowControl w:val="0"/>
        <w:shd w:val="clear" w:color="auto" w:fill="auto"/>
        <w:bidi w:val="0"/>
        <w:spacing w:before="0" w:after="400" w:line="472" w:lineRule="exact"/>
        <w:ind w:left="0" w:right="0" w:firstLine="420"/>
        <w:jc w:val="both"/>
      </w:pPr>
      <w:r>
        <w:rPr>
          <w:color w:val="000000"/>
          <w:spacing w:val="0"/>
          <w:w w:val="100"/>
          <w:position w:val="0"/>
        </w:rPr>
        <w:t>本集团于期末对合同履约成本进行检查，如果合同项目预计总成本将超过合同总收入时，提取跌价准 备，将预计损失确认为当期损益。</w:t>
      </w:r>
    </w:p>
    <w:p>
      <w:pPr>
        <w:pStyle w:val="Style44"/>
        <w:keepNext/>
        <w:keepLines/>
        <w:widowControl w:val="0"/>
        <w:shd w:val="clear" w:color="auto" w:fill="auto"/>
        <w:tabs>
          <w:tab w:pos="477" w:val="left"/>
        </w:tabs>
        <w:bidi w:val="0"/>
        <w:spacing w:before="0" w:after="180" w:line="492" w:lineRule="auto"/>
        <w:ind w:left="0" w:right="0" w:firstLine="0"/>
        <w:jc w:val="both"/>
      </w:pPr>
      <w:bookmarkStart w:id="894" w:name="bookmark894"/>
      <w:bookmarkStart w:id="895" w:name="bookmark895"/>
      <w:bookmarkStart w:id="896" w:name="bookmark896"/>
      <w:bookmarkStart w:id="897" w:name="bookmark897"/>
      <w:r>
        <w:rPr>
          <w:rFonts w:ascii="Times New Roman" w:eastAsia="Times New Roman" w:hAnsi="Times New Roman" w:cs="Times New Roman"/>
          <w:color w:val="000000"/>
          <w:spacing w:val="0"/>
          <w:w w:val="100"/>
          <w:position w:val="0"/>
        </w:rPr>
        <w:t>1</w:t>
      </w:r>
      <w:bookmarkEnd w:id="896"/>
      <w:r>
        <w:rPr>
          <w:rFonts w:ascii="Times New Roman" w:eastAsia="Times New Roman" w:hAnsi="Times New Roman" w:cs="Times New Roman"/>
          <w:color w:val="000000"/>
          <w:spacing w:val="0"/>
          <w:w w:val="100"/>
          <w:position w:val="0"/>
        </w:rPr>
        <w:t>2</w:t>
      </w:r>
      <w:r>
        <w:rPr>
          <w:color w:val="000000"/>
          <w:spacing w:val="0"/>
          <w:w w:val="100"/>
          <w:position w:val="0"/>
        </w:rPr>
        <w:t>、</w:t>
        <w:tab/>
        <w:t>合同资产</w:t>
      </w:r>
      <w:bookmarkEnd w:id="894"/>
      <w:bookmarkEnd w:id="895"/>
      <w:bookmarkEnd w:id="897"/>
    </w:p>
    <w:p>
      <w:pPr>
        <w:pStyle w:val="Style47"/>
        <w:keepNext w:val="0"/>
        <w:keepLines w:val="0"/>
        <w:widowControl w:val="0"/>
        <w:numPr>
          <w:ilvl w:val="0"/>
          <w:numId w:val="63"/>
        </w:numPr>
        <w:shd w:val="clear" w:color="auto" w:fill="auto"/>
        <w:tabs>
          <w:tab w:pos="735" w:val="left"/>
        </w:tabs>
        <w:bidi w:val="0"/>
        <w:spacing w:before="0" w:after="0"/>
        <w:ind w:left="0" w:right="0" w:firstLine="420"/>
        <w:jc w:val="both"/>
      </w:pPr>
      <w:bookmarkStart w:id="898" w:name="bookmark898"/>
      <w:bookmarkEnd w:id="898"/>
      <w:r>
        <w:rPr>
          <w:color w:val="000000"/>
          <w:spacing w:val="0"/>
          <w:w w:val="100"/>
          <w:position w:val="0"/>
        </w:rPr>
        <w:t>合同资产的确认方法及标准</w:t>
      </w:r>
    </w:p>
    <w:p>
      <w:pPr>
        <w:pStyle w:val="Style47"/>
        <w:keepNext w:val="0"/>
        <w:keepLines w:val="0"/>
        <w:widowControl w:val="0"/>
        <w:shd w:val="clear" w:color="auto" w:fill="auto"/>
        <w:bidi w:val="0"/>
        <w:spacing w:before="0" w:after="180" w:line="467" w:lineRule="exact"/>
        <w:ind w:left="0" w:right="0" w:firstLine="420"/>
        <w:jc w:val="both"/>
      </w:pPr>
      <w:r>
        <w:rPr>
          <w:color w:val="000000"/>
          <w:spacing w:val="0"/>
          <w:w w:val="100"/>
          <w:position w:val="0"/>
        </w:rPr>
        <w:t>本集团根据履行履约义务与客户付款之间的关系在资产负债表中列示合同资产或合同负债。本集团已 向客户转让商品或提供服务而有权收取的对价（除应收款项）列示为合同资产。</w:t>
      </w:r>
    </w:p>
    <w:p>
      <w:pPr>
        <w:pStyle w:val="Style47"/>
        <w:keepNext w:val="0"/>
        <w:keepLines w:val="0"/>
        <w:widowControl w:val="0"/>
        <w:numPr>
          <w:ilvl w:val="0"/>
          <w:numId w:val="63"/>
        </w:numPr>
        <w:shd w:val="clear" w:color="auto" w:fill="auto"/>
        <w:tabs>
          <w:tab w:pos="754" w:val="left"/>
        </w:tabs>
        <w:bidi w:val="0"/>
        <w:spacing w:before="0" w:after="0"/>
        <w:ind w:left="0" w:right="0" w:firstLine="420"/>
        <w:jc w:val="both"/>
      </w:pPr>
      <w:bookmarkStart w:id="899" w:name="bookmark899"/>
      <w:bookmarkEnd w:id="899"/>
      <w:r>
        <w:rPr>
          <w:color w:val="000000"/>
          <w:spacing w:val="0"/>
          <w:w w:val="100"/>
          <w:position w:val="0"/>
        </w:rPr>
        <w:t>合同资产预期信用损失的确定方法及会计处理方法</w:t>
      </w:r>
    </w:p>
    <w:p>
      <w:pPr>
        <w:pStyle w:val="Style47"/>
        <w:keepNext w:val="0"/>
        <w:keepLines w:val="0"/>
        <w:widowControl w:val="0"/>
        <w:shd w:val="clear" w:color="auto" w:fill="auto"/>
        <w:bidi w:val="0"/>
        <w:spacing w:before="0" w:after="0" w:line="467" w:lineRule="exact"/>
        <w:ind w:left="0" w:right="0" w:firstLine="420"/>
        <w:jc w:val="both"/>
      </w:pPr>
      <w:r>
        <w:rPr>
          <w:color w:val="000000"/>
          <w:spacing w:val="0"/>
          <w:w w:val="100"/>
          <w:position w:val="0"/>
        </w:rPr>
        <w:t>对于不包含重大融资成分的合同资产，本集团采用预期信用损失的简化模型，即始终按照相当于整个 存续期内预期信用损失的金额计量其损失准备，由此形成的损失准备的增加或转回金额，作为减值损失或 利得计入当期损益。</w:t>
      </w:r>
    </w:p>
    <w:p>
      <w:pPr>
        <w:pStyle w:val="Style47"/>
        <w:keepNext w:val="0"/>
        <w:keepLines w:val="0"/>
        <w:widowControl w:val="0"/>
        <w:shd w:val="clear" w:color="auto" w:fill="auto"/>
        <w:bidi w:val="0"/>
        <w:spacing w:before="0" w:after="400" w:line="467" w:lineRule="exact"/>
        <w:ind w:left="0" w:right="0" w:firstLine="420"/>
        <w:jc w:val="both"/>
      </w:pPr>
      <w:r>
        <w:rPr>
          <w:color w:val="000000"/>
          <w:spacing w:val="0"/>
          <w:w w:val="100"/>
          <w:position w:val="0"/>
        </w:rPr>
        <w:t>对于包含重大融资成分的合同资产，本集团选择采用预期信用损失的简化模型，即始终按照相当于整 个存续期内预期信用损失的金额计量其损失准备，由此形成的损失准备的增加或转回金额，作为减值损失 或利得计入当期损益。</w:t>
      </w:r>
    </w:p>
    <w:p>
      <w:pPr>
        <w:pStyle w:val="Style44"/>
        <w:keepNext/>
        <w:keepLines/>
        <w:widowControl w:val="0"/>
        <w:shd w:val="clear" w:color="auto" w:fill="auto"/>
        <w:tabs>
          <w:tab w:pos="477" w:val="left"/>
        </w:tabs>
        <w:bidi w:val="0"/>
        <w:spacing w:before="0" w:after="180" w:line="492" w:lineRule="auto"/>
        <w:ind w:left="0" w:right="0" w:firstLine="0"/>
        <w:jc w:val="both"/>
      </w:pPr>
      <w:bookmarkStart w:id="900" w:name="bookmark900"/>
      <w:bookmarkStart w:id="901" w:name="bookmark901"/>
      <w:bookmarkStart w:id="902" w:name="bookmark902"/>
      <w:bookmarkStart w:id="903" w:name="bookmark903"/>
      <w:r>
        <w:rPr>
          <w:rFonts w:ascii="Times New Roman" w:eastAsia="Times New Roman" w:hAnsi="Times New Roman" w:cs="Times New Roman"/>
          <w:color w:val="000000"/>
          <w:spacing w:val="0"/>
          <w:w w:val="100"/>
          <w:position w:val="0"/>
        </w:rPr>
        <w:t>1</w:t>
      </w:r>
      <w:bookmarkEnd w:id="902"/>
      <w:r>
        <w:rPr>
          <w:rFonts w:ascii="Times New Roman" w:eastAsia="Times New Roman" w:hAnsi="Times New Roman" w:cs="Times New Roman"/>
          <w:color w:val="000000"/>
          <w:spacing w:val="0"/>
          <w:w w:val="100"/>
          <w:position w:val="0"/>
        </w:rPr>
        <w:t>3</w:t>
      </w:r>
      <w:r>
        <w:rPr>
          <w:color w:val="000000"/>
          <w:spacing w:val="0"/>
          <w:w w:val="100"/>
          <w:position w:val="0"/>
        </w:rPr>
        <w:t>、</w:t>
        <w:tab/>
        <w:t>持有待售资产</w:t>
      </w:r>
      <w:bookmarkEnd w:id="900"/>
      <w:bookmarkEnd w:id="901"/>
      <w:bookmarkEnd w:id="903"/>
    </w:p>
    <w:p>
      <w:pPr>
        <w:pStyle w:val="Style47"/>
        <w:keepNext w:val="0"/>
        <w:keepLines w:val="0"/>
        <w:widowControl w:val="0"/>
        <w:shd w:val="clear" w:color="auto" w:fill="auto"/>
        <w:bidi w:val="0"/>
        <w:spacing w:before="0" w:after="180" w:line="240" w:lineRule="auto"/>
        <w:ind w:left="0" w:right="0" w:firstLine="420"/>
        <w:jc w:val="both"/>
      </w:pPr>
      <w:r>
        <w:rPr>
          <w:color w:val="000000"/>
          <w:spacing w:val="0"/>
          <w:w w:val="100"/>
          <w:position w:val="0"/>
        </w:rPr>
        <w:t>本集团将同时满足下列条件的集团组成部分（或非流动资产）划分为持有待售：（</w:t>
      </w:r>
      <w:r>
        <w:rPr>
          <w:rFonts w:ascii="Times New Roman" w:eastAsia="Times New Roman" w:hAnsi="Times New Roman" w:cs="Times New Roman"/>
          <w:color w:val="000000"/>
          <w:spacing w:val="0"/>
          <w:w w:val="100"/>
          <w:position w:val="0"/>
        </w:rPr>
        <w:t>1</w:t>
      </w:r>
      <w:r>
        <w:rPr>
          <w:color w:val="000000"/>
          <w:spacing w:val="0"/>
          <w:w w:val="100"/>
          <w:position w:val="0"/>
        </w:rPr>
        <w:t>）根据类似交易</w:t>
      </w:r>
    </w:p>
    <w:p>
      <w:pPr>
        <w:pStyle w:val="Style4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中出售此类资产或处置组的惯例，在当前状况下即可立即出售；（</w:t>
      </w:r>
      <w:r>
        <w:rPr>
          <w:rFonts w:ascii="Times New Roman" w:eastAsia="Times New Roman" w:hAnsi="Times New Roman" w:cs="Times New Roman"/>
          <w:color w:val="000000"/>
          <w:spacing w:val="0"/>
          <w:w w:val="100"/>
          <w:position w:val="0"/>
        </w:rPr>
        <w:t>2</w:t>
      </w:r>
      <w:r>
        <w:rPr>
          <w:color w:val="000000"/>
          <w:spacing w:val="0"/>
          <w:w w:val="100"/>
          <w:position w:val="0"/>
        </w:rPr>
        <w:t xml:space="preserve">）出售极可能发生，已经就一项出售 </w:t>
      </w:r>
      <w:r>
        <w:rPr>
          <w:color w:val="000000"/>
          <w:spacing w:val="0"/>
          <w:w w:val="100"/>
          <w:position w:val="0"/>
        </w:rPr>
        <w:t>计划作出决议且获得确定的购买承诺（确定的购买承诺，是指企业与其他方签订的具有法律约束力的购买 协议，该协议包含交易价格、时间和足够严厉的违约惩罚等重要条款，使协议出现重大调整或者撤销的可 能性极小。预计出售将在一年内完成。已经获得按照有关规定需得到相关权力机构或者监管部门的批准。</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本集团将持有待售的预计净残值调整为反映其公允价值减去出售费用后的净额（但不得超过该项持有 待售的原账面价值），原账面价值高于调整后预计净残值的差额，作为资产减值损失计入当期损益，同时 计提持有待售资产减值准备。对于持有待售的处置组确认的资产减值损失金额，应当先抵减处置组中商誉 的账面价值，再根据处置组中适用本准则计量规定的各项非流动资产账面价值所占比重，按比例抵减其账 面价值。</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后续资产负债表日持有待售的非流动资产公允价值减去出售费用后的净额增加的，以前减记的金额应 当予以恢复，并在划分为持有待售类别后确认的资产减值损失金额内转回，转回金额计入当期损益。划分 为持有待售类别前确认的资产减值损失不得转回。后续资产负债表日持有待售的处置组公允价值减去出售 费用后的净额增加的，以前减记的金额应当予以恢复，并在划分为持有待售类别后适用本准则计量规定的 非流动资产确认的资产减值损失金额内转回，转回金额计入当期损益。已抵减的商誉账面价值，以及适用 本准则计量规定的非流动资产在划分为持有待售类别前确认的资产减值损失不得转回。持有待售的处置组 确认的资产减值损失后续转回金额，应当根据处置组中除商誉外适用本准则计量规定的各项非流动资产 账面价值所占比重，按比例增加其账面价值。</w:t>
      </w:r>
    </w:p>
    <w:p>
      <w:pPr>
        <w:pStyle w:val="Style47"/>
        <w:keepNext w:val="0"/>
        <w:keepLines w:val="0"/>
        <w:widowControl w:val="0"/>
        <w:shd w:val="clear" w:color="auto" w:fill="auto"/>
        <w:bidi w:val="0"/>
        <w:spacing w:before="0" w:after="420" w:line="469" w:lineRule="exact"/>
        <w:ind w:left="0" w:right="0" w:firstLine="420"/>
        <w:jc w:val="both"/>
      </w:pPr>
      <w:r>
        <w:rPr>
          <w:color w:val="000000"/>
          <w:spacing w:val="0"/>
          <w:w w:val="100"/>
          <w:position w:val="0"/>
        </w:rPr>
        <w:t>企业因出售对子公司的投资等原因导致其丧失对子公司控制权的，无论出售后企业是否保留部分权益 性投资，应当在拟出售的对子公司投资满足持有待售类别划分条件时，在母公司个别财务报表中将对子公 司投资整体划分为持有待售类别，在合并财务报表中将子公司所有资产和负债划分为持有待售类别。</w:t>
      </w:r>
    </w:p>
    <w:p>
      <w:pPr>
        <w:pStyle w:val="Style44"/>
        <w:keepNext/>
        <w:keepLines/>
        <w:widowControl w:val="0"/>
        <w:shd w:val="clear" w:color="auto" w:fill="auto"/>
        <w:bidi w:val="0"/>
        <w:spacing w:before="0" w:after="0" w:line="480" w:lineRule="auto"/>
        <w:ind w:left="0" w:right="0" w:firstLine="0"/>
        <w:jc w:val="both"/>
      </w:pPr>
      <w:bookmarkStart w:id="904" w:name="bookmark904"/>
      <w:bookmarkStart w:id="905" w:name="bookmark905"/>
      <w:bookmarkStart w:id="906" w:name="bookmark906"/>
      <w:bookmarkStart w:id="907" w:name="bookmark907"/>
      <w:r>
        <w:rPr>
          <w:rFonts w:ascii="Times New Roman" w:eastAsia="Times New Roman" w:hAnsi="Times New Roman" w:cs="Times New Roman"/>
          <w:color w:val="000000"/>
          <w:spacing w:val="0"/>
          <w:w w:val="100"/>
          <w:position w:val="0"/>
        </w:rPr>
        <w:t>1</w:t>
      </w:r>
      <w:bookmarkEnd w:id="906"/>
      <w:r>
        <w:rPr>
          <w:rFonts w:ascii="Times New Roman" w:eastAsia="Times New Roman" w:hAnsi="Times New Roman" w:cs="Times New Roman"/>
          <w:color w:val="000000"/>
          <w:spacing w:val="0"/>
          <w:w w:val="100"/>
          <w:position w:val="0"/>
        </w:rPr>
        <w:t>4</w:t>
      </w:r>
      <w:r>
        <w:rPr>
          <w:color w:val="000000"/>
          <w:spacing w:val="0"/>
          <w:w w:val="100"/>
          <w:position w:val="0"/>
        </w:rPr>
        <w:t>、长期股权投资</w:t>
      </w:r>
      <w:bookmarkEnd w:id="904"/>
      <w:bookmarkEnd w:id="905"/>
      <w:bookmarkEnd w:id="907"/>
    </w:p>
    <w:p>
      <w:pPr>
        <w:pStyle w:val="Style47"/>
        <w:keepNext w:val="0"/>
        <w:keepLines w:val="0"/>
        <w:widowControl w:val="0"/>
        <w:numPr>
          <w:ilvl w:val="0"/>
          <w:numId w:val="65"/>
        </w:numPr>
        <w:shd w:val="clear" w:color="auto" w:fill="auto"/>
        <w:bidi w:val="0"/>
        <w:spacing w:before="0" w:after="0" w:line="468" w:lineRule="exact"/>
        <w:ind w:left="0" w:right="0" w:firstLine="420"/>
        <w:jc w:val="both"/>
      </w:pPr>
      <w:bookmarkStart w:id="908" w:name="bookmark908"/>
      <w:bookmarkEnd w:id="908"/>
      <w:r>
        <w:rPr>
          <w:color w:val="000000"/>
          <w:spacing w:val="0"/>
          <w:w w:val="100"/>
          <w:position w:val="0"/>
        </w:rPr>
        <w:t>投资成本的确定</w:t>
      </w:r>
    </w:p>
    <w:p>
      <w:pPr>
        <w:pStyle w:val="Style47"/>
        <w:keepNext w:val="0"/>
        <w:keepLines w:val="0"/>
        <w:widowControl w:val="0"/>
        <w:shd w:val="clear" w:color="auto" w:fill="auto"/>
        <w:bidi w:val="0"/>
        <w:spacing w:before="0" w:after="0" w:line="468" w:lineRule="exact"/>
        <w:ind w:left="0" w:right="0" w:firstLine="420"/>
        <w:jc w:val="both"/>
      </w:pPr>
      <w:bookmarkStart w:id="909" w:name="bookmark909"/>
      <w:r>
        <w:rPr>
          <w:color w:val="000000"/>
          <w:spacing w:val="0"/>
          <w:w w:val="100"/>
          <w:position w:val="0"/>
        </w:rPr>
        <w:t>（</w:t>
      </w:r>
      <w:bookmarkEnd w:id="909"/>
      <w:r>
        <w:rPr>
          <w:rFonts w:ascii="Times New Roman" w:eastAsia="Times New Roman" w:hAnsi="Times New Roman" w:cs="Times New Roman"/>
          <w:color w:val="000000"/>
          <w:spacing w:val="0"/>
          <w:w w:val="100"/>
          <w:position w:val="0"/>
        </w:rPr>
        <w:t>1</w:t>
      </w:r>
      <w:r>
        <w:rPr>
          <w:color w:val="000000"/>
          <w:spacing w:val="0"/>
          <w:w w:val="100"/>
          <w:position w:val="0"/>
        </w:rPr>
        <w:t>）同一控制下的企业合并形成的，合并方以支付现金、转让非现金资产、承担债务或发行权益性 证券作为合并对价的，在合并日按照被合并方所有者权益在最终控制方合并财务报表中的账面价值的份额 作为其初始投资成本。长期股权投资初始投资成本与支付的合并对价的账面价值或发行股份的面值总额之 间的差额调整资本公积</w:t>
      </w:r>
      <w:r>
        <w:rPr>
          <w:rFonts w:ascii="Times New Roman" w:eastAsia="Times New Roman" w:hAnsi="Times New Roman" w:cs="Times New Roman"/>
          <w:color w:val="000000"/>
          <w:spacing w:val="0"/>
          <w:w w:val="100"/>
          <w:position w:val="0"/>
        </w:rPr>
        <w:t>（</w:t>
      </w:r>
      <w:r>
        <w:rPr>
          <w:color w:val="000000"/>
          <w:spacing w:val="0"/>
          <w:w w:val="100"/>
          <w:position w:val="0"/>
        </w:rPr>
        <w:t>资本溢价或股本溢价</w:t>
      </w:r>
      <w:r>
        <w:rPr>
          <w:rFonts w:ascii="Times New Roman" w:eastAsia="Times New Roman" w:hAnsi="Times New Roman" w:cs="Times New Roman"/>
          <w:color w:val="000000"/>
          <w:spacing w:val="0"/>
          <w:w w:val="100"/>
          <w:position w:val="0"/>
        </w:rPr>
        <w:t>）</w:t>
      </w:r>
      <w:r>
        <w:rPr>
          <w:color w:val="000000"/>
          <w:spacing w:val="0"/>
          <w:w w:val="100"/>
          <w:position w:val="0"/>
        </w:rPr>
        <w:t>；资本公积不足冲减的，调整留存收益。</w:t>
      </w:r>
    </w:p>
    <w:p>
      <w:pPr>
        <w:pStyle w:val="Style47"/>
        <w:keepNext w:val="0"/>
        <w:keepLines w:val="0"/>
        <w:widowControl w:val="0"/>
        <w:shd w:val="clear" w:color="auto" w:fill="auto"/>
        <w:bidi w:val="0"/>
        <w:spacing w:before="0" w:after="200" w:line="468" w:lineRule="exact"/>
        <w:ind w:left="0" w:right="0" w:firstLine="420"/>
        <w:jc w:val="both"/>
        <w:sectPr>
          <w:headerReference w:type="default" r:id="rId249"/>
          <w:footerReference w:type="default" r:id="rId250"/>
          <w:headerReference w:type="even" r:id="rId251"/>
          <w:footerReference w:type="even" r:id="rId252"/>
          <w:footnotePr>
            <w:pos w:val="pageBottom"/>
            <w:numFmt w:val="decimal"/>
            <w:numRestart w:val="continuous"/>
          </w:footnotePr>
          <w:type w:val="continuous"/>
          <w:pgSz w:w="11900" w:h="16840"/>
          <w:pgMar w:top="1244" w:right="22" w:bottom="1455" w:left="1101" w:header="0" w:footer="3" w:gutter="0"/>
          <w:cols w:space="720"/>
          <w:noEndnote/>
          <w:rtlGutter w:val="0"/>
          <w:docGrid w:linePitch="360"/>
        </w:sectPr>
      </w:pPr>
      <w:r>
        <w:rPr>
          <w:color w:val="000000"/>
          <w:spacing w:val="0"/>
          <w:w w:val="100"/>
          <w:position w:val="0"/>
        </w:rPr>
        <w:t>分步实现同一控制下企业合并的，应当以持股比例计算的合并日应享有被合并方账面所有者权益份额 作为该项投资的初始投资成本。初始投资成本与其原长期股权投资账面价值加上合并日取得进一步股份新 支付对价的账面价值之和的差额，调整资本公积（资本溢价或股本溢价），资本公积不足冲减的，冲减留 存收益。</w:t>
      </w:r>
    </w:p>
    <w:p>
      <w:pPr>
        <w:pStyle w:val="Style47"/>
        <w:keepNext w:val="0"/>
        <w:keepLines w:val="0"/>
        <w:widowControl w:val="0"/>
        <w:shd w:val="clear" w:color="auto" w:fill="auto"/>
        <w:tabs>
          <w:tab w:pos="995" w:val="left"/>
        </w:tabs>
        <w:bidi w:val="0"/>
        <w:spacing w:before="0" w:after="0" w:line="472" w:lineRule="exact"/>
        <w:ind w:left="0" w:right="0" w:firstLine="420"/>
        <w:jc w:val="both"/>
      </w:pPr>
      <w:bookmarkStart w:id="910" w:name="bookmark910"/>
      <w:r>
        <w:rPr>
          <w:color w:val="000000"/>
          <w:spacing w:val="0"/>
          <w:w w:val="100"/>
          <w:position w:val="0"/>
        </w:rPr>
        <w:t>（</w:t>
      </w:r>
      <w:bookmarkEnd w:id="910"/>
      <w:r>
        <w:rPr>
          <w:rFonts w:ascii="Times New Roman" w:eastAsia="Times New Roman" w:hAnsi="Times New Roman" w:cs="Times New Roman"/>
          <w:color w:val="000000"/>
          <w:spacing w:val="0"/>
          <w:w w:val="100"/>
          <w:position w:val="0"/>
        </w:rPr>
        <w:t>2</w:t>
      </w:r>
      <w:r>
        <w:rPr>
          <w:color w:val="000000"/>
          <w:spacing w:val="0"/>
          <w:w w:val="100"/>
          <w:position w:val="0"/>
        </w:rPr>
        <w:t>）</w:t>
        <w:tab/>
        <w:t>非同一控制下的企业合并形成的，在购买日按照支付的合并对价的公允价值作为其初始投资成 本。</w:t>
      </w:r>
    </w:p>
    <w:p>
      <w:pPr>
        <w:pStyle w:val="Style47"/>
        <w:keepNext w:val="0"/>
        <w:keepLines w:val="0"/>
        <w:widowControl w:val="0"/>
        <w:shd w:val="clear" w:color="auto" w:fill="auto"/>
        <w:tabs>
          <w:tab w:pos="986" w:val="left"/>
        </w:tabs>
        <w:bidi w:val="0"/>
        <w:spacing w:before="0" w:after="200" w:line="472" w:lineRule="exact"/>
        <w:ind w:left="0" w:right="0" w:firstLine="420"/>
        <w:jc w:val="both"/>
      </w:pPr>
      <w:bookmarkStart w:id="911" w:name="bookmark911"/>
      <w:r>
        <w:rPr>
          <w:color w:val="000000"/>
          <w:spacing w:val="0"/>
          <w:w w:val="100"/>
          <w:position w:val="0"/>
        </w:rPr>
        <w:t>（</w:t>
      </w:r>
      <w:bookmarkEnd w:id="911"/>
      <w:r>
        <w:rPr>
          <w:rFonts w:ascii="Times New Roman" w:eastAsia="Times New Roman" w:hAnsi="Times New Roman" w:cs="Times New Roman"/>
          <w:color w:val="000000"/>
          <w:spacing w:val="0"/>
          <w:w w:val="100"/>
          <w:position w:val="0"/>
        </w:rPr>
        <w:t>3</w:t>
      </w:r>
      <w:r>
        <w:rPr>
          <w:color w:val="000000"/>
          <w:spacing w:val="0"/>
          <w:w w:val="100"/>
          <w:position w:val="0"/>
        </w:rPr>
        <w:t>）</w:t>
        <w:tab/>
        <w:t>除企业合并形成以外的：以支付现金取得的，按照实际支付的购买价款作为其初始投资成本； 以发行权益性证券取得的，按照发行权益性证券的公允价值作为其初始投资成本；投资者投入的，按照投 资合同或协议约定的价值作为其初始投资成本（合同或协议约定价值不公允的除外）。</w:t>
      </w:r>
    </w:p>
    <w:p>
      <w:pPr>
        <w:pStyle w:val="Style47"/>
        <w:keepNext w:val="0"/>
        <w:keepLines w:val="0"/>
        <w:widowControl w:val="0"/>
        <w:numPr>
          <w:ilvl w:val="0"/>
          <w:numId w:val="65"/>
        </w:numPr>
        <w:shd w:val="clear" w:color="auto" w:fill="auto"/>
        <w:tabs>
          <w:tab w:pos="729" w:val="left"/>
        </w:tabs>
        <w:bidi w:val="0"/>
        <w:spacing w:before="0" w:after="0"/>
        <w:ind w:left="0" w:right="0" w:firstLine="420"/>
        <w:jc w:val="both"/>
      </w:pPr>
      <w:bookmarkStart w:id="912" w:name="bookmark912"/>
      <w:bookmarkEnd w:id="912"/>
      <w:r>
        <w:rPr>
          <w:color w:val="000000"/>
          <w:spacing w:val="0"/>
          <w:w w:val="100"/>
          <w:position w:val="0"/>
        </w:rPr>
        <w:t>后续计量及损益确认方法</w:t>
      </w:r>
    </w:p>
    <w:p>
      <w:pPr>
        <w:pStyle w:val="Style47"/>
        <w:keepNext w:val="0"/>
        <w:keepLines w:val="0"/>
        <w:widowControl w:val="0"/>
        <w:shd w:val="clear" w:color="auto" w:fill="auto"/>
        <w:bidi w:val="0"/>
        <w:spacing w:before="0" w:after="0" w:line="467" w:lineRule="exact"/>
        <w:ind w:left="0" w:right="0" w:firstLine="420"/>
        <w:jc w:val="both"/>
      </w:pPr>
      <w:r>
        <w:rPr>
          <w:color w:val="000000"/>
          <w:spacing w:val="0"/>
          <w:w w:val="100"/>
          <w:position w:val="0"/>
        </w:rPr>
        <w:t>本集团能够对被投资单位实施控制的长期股权投资</w:t>
      </w:r>
      <w:r>
        <w:rPr>
          <w:color w:val="000000"/>
          <w:spacing w:val="0"/>
          <w:w w:val="100"/>
          <w:position w:val="0"/>
        </w:rPr>
        <w:t>，</w:t>
      </w:r>
      <w:r>
        <w:rPr>
          <w:color w:val="000000"/>
          <w:spacing w:val="0"/>
          <w:w w:val="100"/>
          <w:position w:val="0"/>
        </w:rPr>
        <w:t>在本集团个别财务报表中采用成本法核算；对具有 共同控制或重大影响的长期股权投资，采用权益法核算。</w:t>
      </w:r>
    </w:p>
    <w:p>
      <w:pPr>
        <w:pStyle w:val="Style47"/>
        <w:keepNext w:val="0"/>
        <w:keepLines w:val="0"/>
        <w:widowControl w:val="0"/>
        <w:shd w:val="clear" w:color="auto" w:fill="auto"/>
        <w:bidi w:val="0"/>
        <w:spacing w:before="0" w:after="0" w:line="467" w:lineRule="exact"/>
        <w:ind w:left="0" w:right="0" w:firstLine="420"/>
        <w:jc w:val="both"/>
      </w:pPr>
      <w:r>
        <w:rPr>
          <w:color w:val="000000"/>
          <w:spacing w:val="0"/>
          <w:w w:val="100"/>
          <w:position w:val="0"/>
        </w:rPr>
        <w:t>采用成本法时</w:t>
      </w:r>
      <w:r>
        <w:rPr>
          <w:color w:val="000000"/>
          <w:spacing w:val="0"/>
          <w:w w:val="100"/>
          <w:position w:val="0"/>
        </w:rPr>
        <w:t>，</w:t>
      </w:r>
      <w:r>
        <w:rPr>
          <w:color w:val="000000"/>
          <w:spacing w:val="0"/>
          <w:w w:val="100"/>
          <w:position w:val="0"/>
        </w:rPr>
        <w:t>长期股权投资按初始投资成本计价</w:t>
      </w:r>
      <w:r>
        <w:rPr>
          <w:color w:val="000000"/>
          <w:spacing w:val="0"/>
          <w:w w:val="100"/>
          <w:position w:val="0"/>
        </w:rPr>
        <w:t>，</w:t>
      </w:r>
      <w:r>
        <w:rPr>
          <w:color w:val="000000"/>
          <w:spacing w:val="0"/>
          <w:w w:val="100"/>
          <w:position w:val="0"/>
        </w:rPr>
        <w:t>除取得投资时实际支付的价款或对价中包含的已宣 告但尚未发放的现金股利或利润外</w:t>
      </w:r>
      <w:r>
        <w:rPr>
          <w:color w:val="000000"/>
          <w:spacing w:val="0"/>
          <w:w w:val="100"/>
          <w:position w:val="0"/>
        </w:rPr>
        <w:t>，</w:t>
      </w:r>
      <w:r>
        <w:rPr>
          <w:color w:val="000000"/>
          <w:spacing w:val="0"/>
          <w:w w:val="100"/>
          <w:position w:val="0"/>
        </w:rPr>
        <w:t>按享有被投资单位宣告分派的现金股利或利润</w:t>
      </w:r>
      <w:r>
        <w:rPr>
          <w:color w:val="000000"/>
          <w:spacing w:val="0"/>
          <w:w w:val="100"/>
          <w:position w:val="0"/>
        </w:rPr>
        <w:t>，</w:t>
      </w:r>
      <w:r>
        <w:rPr>
          <w:color w:val="000000"/>
          <w:spacing w:val="0"/>
          <w:w w:val="100"/>
          <w:position w:val="0"/>
        </w:rPr>
        <w:t>确认为当期投资收益</w:t>
      </w:r>
      <w:r>
        <w:rPr>
          <w:color w:val="000000"/>
          <w:spacing w:val="0"/>
          <w:w w:val="100"/>
          <w:position w:val="0"/>
        </w:rPr>
        <w:t>，</w:t>
      </w:r>
      <w:r>
        <w:rPr>
          <w:color w:val="000000"/>
          <w:spacing w:val="0"/>
          <w:w w:val="100"/>
          <w:position w:val="0"/>
        </w:rPr>
        <w:t>并 同时根据有关资产减值政策考虑长期投资是否减值。</w:t>
      </w:r>
    </w:p>
    <w:p>
      <w:pPr>
        <w:pStyle w:val="Style47"/>
        <w:keepNext w:val="0"/>
        <w:keepLines w:val="0"/>
        <w:widowControl w:val="0"/>
        <w:shd w:val="clear" w:color="auto" w:fill="auto"/>
        <w:bidi w:val="0"/>
        <w:spacing w:before="0" w:after="0" w:line="467" w:lineRule="exact"/>
        <w:ind w:left="0" w:right="0" w:firstLine="420"/>
        <w:jc w:val="both"/>
      </w:pPr>
      <w:r>
        <w:rPr>
          <w:color w:val="000000"/>
          <w:spacing w:val="0"/>
          <w:w w:val="100"/>
          <w:position w:val="0"/>
        </w:rPr>
        <w:t>采用权益法时</w:t>
      </w:r>
      <w:r>
        <w:rPr>
          <w:color w:val="000000"/>
          <w:spacing w:val="0"/>
          <w:w w:val="100"/>
          <w:position w:val="0"/>
        </w:rPr>
        <w:t>，</w:t>
      </w:r>
      <w:r>
        <w:rPr>
          <w:color w:val="000000"/>
          <w:spacing w:val="0"/>
          <w:w w:val="100"/>
          <w:position w:val="0"/>
        </w:rPr>
        <w:t>长期股权投资的初始投资成本大于投资时应享有被投资单位可辨认净资产公允价值份 额的</w:t>
      </w:r>
      <w:r>
        <w:rPr>
          <w:color w:val="000000"/>
          <w:spacing w:val="0"/>
          <w:w w:val="100"/>
          <w:position w:val="0"/>
        </w:rPr>
        <w:t>，</w:t>
      </w:r>
      <w:r>
        <w:rPr>
          <w:color w:val="000000"/>
          <w:spacing w:val="0"/>
          <w:w w:val="100"/>
          <w:position w:val="0"/>
        </w:rPr>
        <w:t>归入长期股权投资的初始投资成本；长期股权投资的初始投资成本小于投资时应享有被投资单位可辨 认净资产公允价值份额的</w:t>
      </w:r>
      <w:r>
        <w:rPr>
          <w:rFonts w:ascii="Times New Roman" w:eastAsia="Times New Roman" w:hAnsi="Times New Roman" w:cs="Times New Roman"/>
          <w:color w:val="000000"/>
          <w:spacing w:val="0"/>
          <w:w w:val="100"/>
          <w:position w:val="0"/>
        </w:rPr>
        <w:t>,</w:t>
      </w:r>
      <w:r>
        <w:rPr>
          <w:color w:val="000000"/>
          <w:spacing w:val="0"/>
          <w:w w:val="100"/>
          <w:position w:val="0"/>
        </w:rPr>
        <w:t>其差额计入当期损益</w:t>
      </w:r>
      <w:r>
        <w:rPr>
          <w:color w:val="000000"/>
          <w:spacing w:val="0"/>
          <w:w w:val="100"/>
          <w:position w:val="0"/>
        </w:rPr>
        <w:t>，</w:t>
      </w:r>
      <w:r>
        <w:rPr>
          <w:color w:val="000000"/>
          <w:spacing w:val="0"/>
          <w:w w:val="100"/>
          <w:position w:val="0"/>
        </w:rPr>
        <w:t>同时调整长期股权投资的成本。</w:t>
      </w:r>
    </w:p>
    <w:p>
      <w:pPr>
        <w:pStyle w:val="Style47"/>
        <w:keepNext w:val="0"/>
        <w:keepLines w:val="0"/>
        <w:widowControl w:val="0"/>
        <w:shd w:val="clear" w:color="auto" w:fill="auto"/>
        <w:bidi w:val="0"/>
        <w:spacing w:before="0" w:after="200" w:line="467" w:lineRule="exact"/>
        <w:ind w:left="0" w:right="0" w:firstLine="420"/>
        <w:jc w:val="both"/>
      </w:pPr>
      <w:r>
        <w:rPr>
          <w:color w:val="000000"/>
          <w:spacing w:val="0"/>
          <w:w w:val="100"/>
          <w:position w:val="0"/>
        </w:rPr>
        <w:t>采用权益法时</w:t>
      </w:r>
      <w:r>
        <w:rPr>
          <w:color w:val="000000"/>
          <w:spacing w:val="0"/>
          <w:w w:val="100"/>
          <w:position w:val="0"/>
        </w:rPr>
        <w:t>，</w:t>
      </w:r>
      <w:r>
        <w:rPr>
          <w:color w:val="000000"/>
          <w:spacing w:val="0"/>
          <w:w w:val="100"/>
          <w:position w:val="0"/>
        </w:rPr>
        <w:t>取得长期股权投资后</w:t>
      </w:r>
      <w:r>
        <w:rPr>
          <w:rFonts w:ascii="Times New Roman" w:eastAsia="Times New Roman" w:hAnsi="Times New Roman" w:cs="Times New Roman"/>
          <w:color w:val="000000"/>
          <w:spacing w:val="0"/>
          <w:w w:val="100"/>
          <w:position w:val="0"/>
        </w:rPr>
        <w:t>,</w:t>
      </w:r>
      <w:r>
        <w:rPr>
          <w:color w:val="000000"/>
          <w:spacing w:val="0"/>
          <w:w w:val="100"/>
          <w:position w:val="0"/>
        </w:rPr>
        <w:t>按照应享有或应分担的被投资单位实现的净损益的份额</w:t>
      </w:r>
      <w:r>
        <w:rPr>
          <w:color w:val="000000"/>
          <w:spacing w:val="0"/>
          <w:w w:val="100"/>
          <w:position w:val="0"/>
        </w:rPr>
        <w:t>，</w:t>
      </w:r>
      <w:r>
        <w:rPr>
          <w:color w:val="000000"/>
          <w:spacing w:val="0"/>
          <w:w w:val="100"/>
          <w:position w:val="0"/>
        </w:rPr>
        <w:t>确认投资 损益并调整长期股权投资的账面价值。在确认应享有被投资单位净损益的份额时</w:t>
      </w:r>
      <w:r>
        <w:rPr>
          <w:color w:val="000000"/>
          <w:spacing w:val="0"/>
          <w:w w:val="100"/>
          <w:position w:val="0"/>
        </w:rPr>
        <w:t>，</w:t>
      </w:r>
      <w:r>
        <w:rPr>
          <w:color w:val="000000"/>
          <w:spacing w:val="0"/>
          <w:w w:val="100"/>
          <w:position w:val="0"/>
        </w:rPr>
        <w:t>以取得投资时被投资单位 各项可辨认资产等的公允价值为基础</w:t>
      </w:r>
      <w:r>
        <w:rPr>
          <w:rFonts w:ascii="Times New Roman" w:eastAsia="Times New Roman" w:hAnsi="Times New Roman" w:cs="Times New Roman"/>
          <w:color w:val="000000"/>
          <w:spacing w:val="0"/>
          <w:w w:val="100"/>
          <w:position w:val="0"/>
        </w:rPr>
        <w:t>,</w:t>
      </w:r>
      <w:r>
        <w:rPr>
          <w:color w:val="000000"/>
          <w:spacing w:val="0"/>
          <w:w w:val="100"/>
          <w:position w:val="0"/>
        </w:rPr>
        <w:t>按照本集团的会计政策及会计期间</w:t>
      </w:r>
      <w:r>
        <w:rPr>
          <w:color w:val="000000"/>
          <w:spacing w:val="0"/>
          <w:w w:val="100"/>
          <w:position w:val="0"/>
        </w:rPr>
        <w:t>，</w:t>
      </w:r>
      <w:r>
        <w:rPr>
          <w:color w:val="000000"/>
          <w:spacing w:val="0"/>
          <w:w w:val="100"/>
          <w:position w:val="0"/>
        </w:rPr>
        <w:t>并抵销与联营企业及合营企业之 间发生的内部交易损益按照持股比例计算归属于投资企业的部分</w:t>
      </w:r>
      <w:r>
        <w:rPr>
          <w:rFonts w:ascii="Times New Roman" w:eastAsia="Times New Roman" w:hAnsi="Times New Roman" w:cs="Times New Roman"/>
          <w:color w:val="000000"/>
          <w:spacing w:val="0"/>
          <w:w w:val="100"/>
          <w:position w:val="0"/>
        </w:rPr>
        <w:t>（</w:t>
      </w:r>
      <w:r>
        <w:rPr>
          <w:color w:val="000000"/>
          <w:spacing w:val="0"/>
          <w:w w:val="100"/>
          <w:position w:val="0"/>
        </w:rPr>
        <w:t>但内部交易损失属于资产减值损失的</w:t>
      </w:r>
      <w:r>
        <w:rPr>
          <w:color w:val="000000"/>
          <w:spacing w:val="0"/>
          <w:w w:val="100"/>
          <w:position w:val="0"/>
        </w:rPr>
        <w:t>，</w:t>
      </w:r>
      <w:r>
        <w:rPr>
          <w:color w:val="000000"/>
          <w:spacing w:val="0"/>
          <w:w w:val="100"/>
          <w:position w:val="0"/>
        </w:rPr>
        <w:t>应 全额确认</w:t>
      </w:r>
      <w:r>
        <w:rPr>
          <w:rFonts w:ascii="Times New Roman" w:eastAsia="Times New Roman" w:hAnsi="Times New Roman" w:cs="Times New Roman"/>
          <w:color w:val="000000"/>
          <w:spacing w:val="0"/>
          <w:w w:val="100"/>
          <w:position w:val="0"/>
        </w:rPr>
        <w:t>）</w:t>
      </w:r>
      <w:r>
        <w:rPr>
          <w:color w:val="000000"/>
          <w:spacing w:val="0"/>
          <w:w w:val="100"/>
          <w:position w:val="0"/>
        </w:rPr>
        <w:t>，对被投资单位的净利润进行调整后确认。按照被投资单位宣告分派的利润或现金股利计算应分 得的部分</w:t>
      </w:r>
      <w:r>
        <w:rPr>
          <w:color w:val="000000"/>
          <w:spacing w:val="0"/>
          <w:w w:val="100"/>
          <w:position w:val="0"/>
        </w:rPr>
        <w:t>，</w:t>
      </w:r>
      <w:r>
        <w:rPr>
          <w:color w:val="000000"/>
          <w:spacing w:val="0"/>
          <w:w w:val="100"/>
          <w:position w:val="0"/>
        </w:rPr>
        <w:t>相应减少长期股权投资的账面价值。本集团确认被投资单位发生的净亏损</w:t>
      </w:r>
      <w:r>
        <w:rPr>
          <w:rFonts w:ascii="Times New Roman" w:eastAsia="Times New Roman" w:hAnsi="Times New Roman" w:cs="Times New Roman"/>
          <w:color w:val="000000"/>
          <w:spacing w:val="0"/>
          <w:w w:val="100"/>
          <w:position w:val="0"/>
        </w:rPr>
        <w:t>,</w:t>
      </w:r>
      <w:r>
        <w:rPr>
          <w:color w:val="000000"/>
          <w:spacing w:val="0"/>
          <w:w w:val="100"/>
          <w:position w:val="0"/>
        </w:rPr>
        <w:t>以长期股权投资的账 面价值以及其他实质上构成对被投资单位净投资的长期权益减记至零为限</w:t>
      </w:r>
      <w:r>
        <w:rPr>
          <w:color w:val="000000"/>
          <w:spacing w:val="0"/>
          <w:w w:val="100"/>
          <w:position w:val="0"/>
        </w:rPr>
        <w:t>，</w:t>
      </w:r>
      <w:r>
        <w:rPr>
          <w:color w:val="000000"/>
          <w:spacing w:val="0"/>
          <w:w w:val="100"/>
          <w:position w:val="0"/>
        </w:rPr>
        <w:t>本集团负有承担额外损失义务 的除外。对于被投资单位除净损益以外所有者权益的其他变动</w:t>
      </w:r>
      <w:r>
        <w:rPr>
          <w:color w:val="000000"/>
          <w:spacing w:val="0"/>
          <w:w w:val="100"/>
          <w:position w:val="0"/>
        </w:rPr>
        <w:t>，</w:t>
      </w:r>
      <w:r>
        <w:rPr>
          <w:color w:val="000000"/>
          <w:spacing w:val="0"/>
          <w:w w:val="100"/>
          <w:position w:val="0"/>
        </w:rPr>
        <w:t>调整长期股权投资的账面价值并计入所有者 权益。</w:t>
      </w:r>
    </w:p>
    <w:p>
      <w:pPr>
        <w:pStyle w:val="Style47"/>
        <w:keepNext w:val="0"/>
        <w:keepLines w:val="0"/>
        <w:widowControl w:val="0"/>
        <w:numPr>
          <w:ilvl w:val="0"/>
          <w:numId w:val="65"/>
        </w:numPr>
        <w:shd w:val="clear" w:color="auto" w:fill="auto"/>
        <w:tabs>
          <w:tab w:pos="729" w:val="left"/>
        </w:tabs>
        <w:bidi w:val="0"/>
        <w:spacing w:before="0" w:after="0"/>
        <w:ind w:left="0" w:right="0" w:firstLine="420"/>
        <w:jc w:val="both"/>
      </w:pPr>
      <w:bookmarkStart w:id="913" w:name="bookmark913"/>
      <w:bookmarkEnd w:id="913"/>
      <w:r>
        <w:rPr>
          <w:color w:val="000000"/>
          <w:spacing w:val="0"/>
          <w:w w:val="100"/>
          <w:position w:val="0"/>
        </w:rPr>
        <w:t>确定对被投资单位具有控制、重大影响的依据</w:t>
      </w:r>
    </w:p>
    <w:p>
      <w:pPr>
        <w:pStyle w:val="Style47"/>
        <w:keepNext w:val="0"/>
        <w:keepLines w:val="0"/>
        <w:widowControl w:val="0"/>
        <w:shd w:val="clear" w:color="auto" w:fill="auto"/>
        <w:bidi w:val="0"/>
        <w:spacing w:before="0" w:after="200" w:line="467" w:lineRule="exact"/>
        <w:ind w:left="0" w:right="0" w:firstLine="420"/>
        <w:jc w:val="both"/>
      </w:pPr>
      <w:r>
        <w:rPr>
          <w:color w:val="000000"/>
          <w:spacing w:val="0"/>
          <w:w w:val="100"/>
          <w:position w:val="0"/>
        </w:rPr>
        <w:t>控制，是指拥有对被投资方的权力，通过参与被投资方的相关活动而享有可变回报，并且有能力运用 对被投资方的权力影响回报金额；重大影响，是指投资方对被投资单位的财务和经营政策有参与决策的权 力，但并不能够控制或者与其他方一起共同控制这些政策的制定。</w:t>
      </w:r>
    </w:p>
    <w:p>
      <w:pPr>
        <w:pStyle w:val="Style47"/>
        <w:keepNext w:val="0"/>
        <w:keepLines w:val="0"/>
        <w:widowControl w:val="0"/>
        <w:numPr>
          <w:ilvl w:val="0"/>
          <w:numId w:val="65"/>
        </w:numPr>
        <w:shd w:val="clear" w:color="auto" w:fill="auto"/>
        <w:tabs>
          <w:tab w:pos="729" w:val="left"/>
        </w:tabs>
        <w:bidi w:val="0"/>
        <w:spacing w:before="0" w:after="0"/>
        <w:ind w:left="0" w:right="0" w:firstLine="420"/>
        <w:jc w:val="both"/>
      </w:pPr>
      <w:bookmarkStart w:id="914" w:name="bookmark914"/>
      <w:bookmarkEnd w:id="914"/>
      <w:r>
        <w:rPr>
          <w:color w:val="000000"/>
          <w:spacing w:val="0"/>
          <w:w w:val="100"/>
          <w:position w:val="0"/>
        </w:rPr>
        <w:t>长期股权投资的处置</w:t>
      </w:r>
    </w:p>
    <w:p>
      <w:pPr>
        <w:pStyle w:val="Style47"/>
        <w:keepNext w:val="0"/>
        <w:keepLines w:val="0"/>
        <w:widowControl w:val="0"/>
        <w:shd w:val="clear" w:color="auto" w:fill="auto"/>
        <w:bidi w:val="0"/>
        <w:spacing w:before="0" w:after="0" w:line="467" w:lineRule="exact"/>
        <w:ind w:left="0" w:right="0" w:firstLine="420"/>
        <w:jc w:val="both"/>
      </w:pPr>
      <w:bookmarkStart w:id="915" w:name="bookmark915"/>
      <w:r>
        <w:rPr>
          <w:color w:val="000000"/>
          <w:spacing w:val="0"/>
          <w:w w:val="100"/>
          <w:position w:val="0"/>
        </w:rPr>
        <w:t>（</w:t>
      </w:r>
      <w:bookmarkEnd w:id="915"/>
      <w:r>
        <w:rPr>
          <w:rFonts w:ascii="Times New Roman" w:eastAsia="Times New Roman" w:hAnsi="Times New Roman" w:cs="Times New Roman"/>
          <w:color w:val="000000"/>
          <w:spacing w:val="0"/>
          <w:w w:val="100"/>
          <w:position w:val="0"/>
        </w:rPr>
        <w:t>1</w:t>
      </w:r>
      <w:r>
        <w:rPr>
          <w:color w:val="000000"/>
          <w:spacing w:val="0"/>
          <w:w w:val="100"/>
          <w:position w:val="0"/>
        </w:rPr>
        <w:t>）部分处置对子公司的长期股权投资，但不丧失控制权的情形</w:t>
      </w:r>
    </w:p>
    <w:p>
      <w:pPr>
        <w:pStyle w:val="Style47"/>
        <w:keepNext w:val="0"/>
        <w:keepLines w:val="0"/>
        <w:widowControl w:val="0"/>
        <w:shd w:val="clear" w:color="auto" w:fill="auto"/>
        <w:bidi w:val="0"/>
        <w:spacing w:before="0" w:after="0" w:line="467" w:lineRule="exact"/>
        <w:ind w:left="0" w:right="0" w:firstLine="420"/>
        <w:jc w:val="both"/>
      </w:pPr>
      <w:r>
        <w:rPr>
          <w:color w:val="000000"/>
          <w:spacing w:val="0"/>
          <w:w w:val="100"/>
          <w:position w:val="0"/>
        </w:rPr>
        <w:t xml:space="preserve">部分处置对子公司的长期股权投资，但不丧失控制权时，应当将处置价款与处置投资对应的账面价值 </w:t>
      </w:r>
      <w:r>
        <w:rPr>
          <w:color w:val="000000"/>
          <w:spacing w:val="0"/>
          <w:w w:val="100"/>
          <w:position w:val="0"/>
        </w:rPr>
        <w:t>的差额确认为当期投资收益。</w:t>
      </w:r>
    </w:p>
    <w:p>
      <w:pPr>
        <w:pStyle w:val="Style47"/>
        <w:keepNext w:val="0"/>
        <w:keepLines w:val="0"/>
        <w:widowControl w:val="0"/>
        <w:numPr>
          <w:ilvl w:val="0"/>
          <w:numId w:val="59"/>
        </w:numPr>
        <w:shd w:val="clear" w:color="auto" w:fill="auto"/>
        <w:bidi w:val="0"/>
        <w:spacing w:before="0" w:after="0" w:line="470" w:lineRule="exact"/>
        <w:ind w:left="0" w:right="0" w:firstLine="420"/>
        <w:jc w:val="left"/>
      </w:pPr>
      <w:bookmarkStart w:id="916" w:name="bookmark916"/>
      <w:bookmarkEnd w:id="916"/>
      <w:r>
        <w:rPr>
          <w:color w:val="000000"/>
          <w:spacing w:val="0"/>
          <w:w w:val="100"/>
          <w:position w:val="0"/>
        </w:rPr>
        <w:t>部分处置股权投资或其他原因丧失了对子公司控制权的情形</w:t>
      </w:r>
    </w:p>
    <w:p>
      <w:pPr>
        <w:pStyle w:val="Style47"/>
        <w:keepNext w:val="0"/>
        <w:keepLines w:val="0"/>
        <w:widowControl w:val="0"/>
        <w:shd w:val="clear" w:color="auto" w:fill="auto"/>
        <w:bidi w:val="0"/>
        <w:spacing w:before="0" w:after="0" w:line="470" w:lineRule="exact"/>
        <w:ind w:left="0" w:right="0" w:firstLine="420"/>
        <w:jc w:val="both"/>
      </w:pPr>
      <w:r>
        <w:rPr>
          <w:color w:val="000000"/>
          <w:spacing w:val="0"/>
          <w:w w:val="100"/>
          <w:position w:val="0"/>
        </w:rPr>
        <w:t>部分处置股权投资或其他原因丧失了对子公司控制权的，对于处置的股权，应结转与所售股权相对应 的长期股权投资的账面价值，出售所得价款与处置长期股权投资账面价值之间差额，确认为投资收益(损 失)；同时，对于剩余股权，应当按其账面价值确认为长期股权投资或其它相关金融资产。处置后的剩余 股权能够对子公司实施共同控制或重大影响的，应按有关成本法转为权益法的相关规定进行会计处理。</w:t>
      </w:r>
    </w:p>
    <w:p>
      <w:pPr>
        <w:pStyle w:val="Style47"/>
        <w:keepNext w:val="0"/>
        <w:keepLines w:val="0"/>
        <w:widowControl w:val="0"/>
        <w:numPr>
          <w:ilvl w:val="0"/>
          <w:numId w:val="65"/>
        </w:numPr>
        <w:shd w:val="clear" w:color="auto" w:fill="auto"/>
        <w:bidi w:val="0"/>
        <w:spacing w:before="0" w:after="0" w:line="470" w:lineRule="exact"/>
        <w:ind w:left="0" w:right="0" w:firstLine="420"/>
        <w:jc w:val="left"/>
      </w:pPr>
      <w:bookmarkStart w:id="917" w:name="bookmark917"/>
      <w:bookmarkEnd w:id="917"/>
      <w:r>
        <w:rPr>
          <w:color w:val="000000"/>
          <w:spacing w:val="0"/>
          <w:w w:val="100"/>
          <w:position w:val="0"/>
        </w:rPr>
        <w:t>减值测试方法及减值准备计提方法</w:t>
      </w:r>
    </w:p>
    <w:p>
      <w:pPr>
        <w:pStyle w:val="Style47"/>
        <w:keepNext w:val="0"/>
        <w:keepLines w:val="0"/>
        <w:widowControl w:val="0"/>
        <w:shd w:val="clear" w:color="auto" w:fill="auto"/>
        <w:bidi w:val="0"/>
        <w:spacing w:before="0" w:after="420" w:line="470" w:lineRule="exact"/>
        <w:ind w:left="0" w:right="0" w:firstLine="420"/>
        <w:jc w:val="both"/>
      </w:pPr>
      <w:r>
        <w:rPr>
          <w:color w:val="000000"/>
          <w:spacing w:val="0"/>
          <w:w w:val="100"/>
          <w:position w:val="0"/>
        </w:rPr>
        <w:t>对子公司、联营企业及合营企业的投资，在资产负债表日有客观证据表明其发生减值的，按照账面价 值与可收回金额的差额计提相应的减值准备。</w:t>
      </w:r>
    </w:p>
    <w:p>
      <w:pPr>
        <w:pStyle w:val="Style44"/>
        <w:keepNext/>
        <w:keepLines/>
        <w:widowControl w:val="0"/>
        <w:shd w:val="clear" w:color="auto" w:fill="auto"/>
        <w:bidi w:val="0"/>
        <w:spacing w:before="0" w:after="0" w:line="480" w:lineRule="auto"/>
        <w:ind w:left="0" w:right="0" w:firstLine="0"/>
        <w:jc w:val="left"/>
      </w:pPr>
      <w:bookmarkStart w:id="918" w:name="bookmark918"/>
      <w:bookmarkStart w:id="919" w:name="bookmark919"/>
      <w:bookmarkStart w:id="920" w:name="bookmark920"/>
      <w:bookmarkStart w:id="921" w:name="bookmark921"/>
      <w:r>
        <w:rPr>
          <w:rFonts w:ascii="Times New Roman" w:eastAsia="Times New Roman" w:hAnsi="Times New Roman" w:cs="Times New Roman"/>
          <w:color w:val="000000"/>
          <w:spacing w:val="0"/>
          <w:w w:val="100"/>
          <w:position w:val="0"/>
        </w:rPr>
        <w:t>1</w:t>
      </w:r>
      <w:bookmarkEnd w:id="920"/>
      <w:r>
        <w:rPr>
          <w:rFonts w:ascii="Times New Roman" w:eastAsia="Times New Roman" w:hAnsi="Times New Roman" w:cs="Times New Roman"/>
          <w:color w:val="000000"/>
          <w:spacing w:val="0"/>
          <w:w w:val="100"/>
          <w:position w:val="0"/>
        </w:rPr>
        <w:t>5</w:t>
      </w:r>
      <w:r>
        <w:rPr>
          <w:color w:val="000000"/>
          <w:spacing w:val="0"/>
          <w:w w:val="100"/>
          <w:position w:val="0"/>
        </w:rPr>
        <w:t>、固定资产</w:t>
      </w:r>
      <w:bookmarkEnd w:id="918"/>
      <w:bookmarkEnd w:id="919"/>
      <w:bookmarkEnd w:id="921"/>
    </w:p>
    <w:p>
      <w:pPr>
        <w:pStyle w:val="Style60"/>
        <w:keepNext/>
        <w:keepLines/>
        <w:widowControl w:val="0"/>
        <w:numPr>
          <w:ilvl w:val="0"/>
          <w:numId w:val="67"/>
        </w:numPr>
        <w:shd w:val="clear" w:color="auto" w:fill="auto"/>
        <w:bidi w:val="0"/>
        <w:spacing w:before="0" w:after="200" w:line="469" w:lineRule="exact"/>
        <w:ind w:left="0" w:right="0" w:firstLine="0"/>
        <w:jc w:val="left"/>
      </w:pPr>
      <w:bookmarkStart w:id="922" w:name="bookmark922"/>
      <w:bookmarkStart w:id="923" w:name="bookmark923"/>
      <w:bookmarkStart w:id="924" w:name="bookmark924"/>
      <w:bookmarkStart w:id="925" w:name="bookmark925"/>
      <w:bookmarkEnd w:id="924"/>
      <w:r>
        <w:rPr>
          <w:color w:val="000000"/>
          <w:spacing w:val="0"/>
          <w:w w:val="100"/>
          <w:position w:val="0"/>
        </w:rPr>
        <w:t>确认条件</w:t>
      </w:r>
      <w:bookmarkEnd w:id="922"/>
      <w:bookmarkEnd w:id="923"/>
      <w:bookmarkEnd w:id="925"/>
    </w:p>
    <w:p>
      <w:pPr>
        <w:pStyle w:val="Style4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本集团固定资产是指同时具有以下特征，即为生产商品、提供劳务、出租或经营管理而持有的，使用 年限超过一年，单位价值超过</w:t>
      </w:r>
      <w:r>
        <w:rPr>
          <w:rFonts w:ascii="Times New Roman" w:eastAsia="Times New Roman" w:hAnsi="Times New Roman" w:cs="Times New Roman"/>
          <w:color w:val="000000"/>
          <w:spacing w:val="0"/>
          <w:w w:val="100"/>
          <w:position w:val="0"/>
        </w:rPr>
        <w:t>2,000.00</w:t>
      </w:r>
      <w:r>
        <w:rPr>
          <w:color w:val="000000"/>
          <w:spacing w:val="0"/>
          <w:w w:val="100"/>
          <w:position w:val="0"/>
        </w:rPr>
        <w:t>元的有形资产。</w:t>
      </w:r>
    </w:p>
    <w:p>
      <w:pPr>
        <w:pStyle w:val="Style47"/>
        <w:keepNext w:val="0"/>
        <w:keepLines w:val="0"/>
        <w:widowControl w:val="0"/>
        <w:shd w:val="clear" w:color="auto" w:fill="auto"/>
        <w:bidi w:val="0"/>
        <w:spacing w:before="0" w:after="0" w:line="468" w:lineRule="exact"/>
        <w:ind w:left="0" w:right="0" w:firstLine="420"/>
        <w:jc w:val="left"/>
      </w:pPr>
      <w:r>
        <w:rPr>
          <w:color w:val="000000"/>
          <w:spacing w:val="0"/>
          <w:w w:val="100"/>
          <w:position w:val="0"/>
        </w:rPr>
        <w:t>固定资产在与其有关的经济利益很可能流入本集团、且其成本能够可靠计量时予以确认。</w:t>
      </w:r>
    </w:p>
    <w:p>
      <w:pPr>
        <w:pStyle w:val="Style47"/>
        <w:keepNext w:val="0"/>
        <w:keepLines w:val="0"/>
        <w:widowControl w:val="0"/>
        <w:shd w:val="clear" w:color="auto" w:fill="auto"/>
        <w:bidi w:val="0"/>
        <w:spacing w:before="0" w:after="420" w:line="468" w:lineRule="exact"/>
        <w:ind w:left="0" w:right="0" w:firstLine="420"/>
        <w:jc w:val="both"/>
      </w:pPr>
      <w:r>
        <w:rPr>
          <w:color w:val="000000"/>
          <w:spacing w:val="0"/>
          <w:w w:val="100"/>
          <w:position w:val="0"/>
        </w:rPr>
        <w:t>本集团固定资产包括房屋建筑物、设备、运输工具和其他，按其取得时的成本作为入账的价值，其中， 外购的固定资产成本包括买价和进口关税等相关税费，以及为使固定资产达到预定可使用状态前所发生的 可直接归属于该资产的其他支出；自行建造固定资产的成本，由建造该项资产达到预定可使用状态前所发 生的必要支出构成；投资者投入的固定资产，按投资合同或协议约定的价值作为入账价值，但合同或协议 约定价值不公允的按公允价值入账；融资租赁租入的固定资产，按租赁开始日租赁资产公允价值与最低租 赁付款额现值两者中较低者作为入账价值。</w:t>
      </w:r>
    </w:p>
    <w:p>
      <w:pPr>
        <w:pStyle w:val="Style41"/>
        <w:keepNext w:val="0"/>
        <w:keepLines w:val="0"/>
        <w:widowControl w:val="0"/>
        <w:shd w:val="clear" w:color="auto" w:fill="auto"/>
        <w:bidi w:val="0"/>
        <w:spacing w:before="0" w:after="0" w:line="240" w:lineRule="auto"/>
        <w:ind w:left="101" w:right="0" w:firstLine="0"/>
        <w:jc w:val="left"/>
      </w:pPr>
      <w:bookmarkStart w:id="926" w:name="bookmark926"/>
      <w:r>
        <w:rPr>
          <w:rFonts w:ascii="Times New Roman" w:eastAsia="Times New Roman" w:hAnsi="Times New Roman" w:cs="Times New Roman"/>
          <w:color w:val="000000"/>
          <w:spacing w:val="0"/>
          <w:w w:val="100"/>
          <w:position w:val="0"/>
        </w:rPr>
        <w:t>(2</w:t>
      </w:r>
      <w:r>
        <w:rPr>
          <w:color w:val="000000"/>
          <w:spacing w:val="0"/>
          <w:w w:val="100"/>
          <w:position w:val="0"/>
        </w:rPr>
        <w:t>)折旧方法</w:t>
      </w:r>
      <w:bookmarkEnd w:id="926"/>
    </w:p>
    <w:tbl>
      <w:tblPr>
        <w:tblOverlap w:val="never"/>
        <w:jc w:val="left"/>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折旧方法</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折旧年限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残值率</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年折旧率</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2.38-4.75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运输工具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9.50-19.00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年限平均法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19.00</w:t>
            </w:r>
          </w:p>
        </w:tc>
      </w:tr>
    </w:tbl>
    <w:p>
      <w:pPr>
        <w:pStyle w:val="Style44"/>
        <w:keepNext/>
        <w:keepLines/>
        <w:widowControl w:val="0"/>
        <w:shd w:val="clear" w:color="auto" w:fill="auto"/>
        <w:tabs>
          <w:tab w:pos="523" w:val="left"/>
        </w:tabs>
        <w:bidi w:val="0"/>
        <w:spacing w:before="0" w:after="220" w:line="469" w:lineRule="exact"/>
        <w:ind w:left="0" w:right="0" w:firstLine="0"/>
        <w:jc w:val="both"/>
      </w:pPr>
      <w:bookmarkStart w:id="927" w:name="bookmark927"/>
      <w:bookmarkStart w:id="928" w:name="bookmark928"/>
      <w:bookmarkStart w:id="929" w:name="bookmark929"/>
      <w:bookmarkStart w:id="930" w:name="bookmark930"/>
      <w:r>
        <w:rPr>
          <w:rFonts w:ascii="Times New Roman" w:eastAsia="Times New Roman" w:hAnsi="Times New Roman" w:cs="Times New Roman"/>
          <w:color w:val="000000"/>
          <w:spacing w:val="0"/>
          <w:w w:val="100"/>
          <w:position w:val="0"/>
        </w:rPr>
        <w:t>1</w:t>
      </w:r>
      <w:bookmarkEnd w:id="929"/>
      <w:r>
        <w:rPr>
          <w:rFonts w:ascii="Times New Roman" w:eastAsia="Times New Roman" w:hAnsi="Times New Roman" w:cs="Times New Roman"/>
          <w:color w:val="000000"/>
          <w:spacing w:val="0"/>
          <w:w w:val="100"/>
          <w:position w:val="0"/>
        </w:rPr>
        <w:t>6</w:t>
      </w:r>
      <w:r>
        <w:rPr>
          <w:color w:val="000000"/>
          <w:spacing w:val="0"/>
          <w:w w:val="100"/>
          <w:position w:val="0"/>
        </w:rPr>
        <w:t>、</w:t>
        <w:tab/>
        <w:t>在建工程</w:t>
      </w:r>
      <w:bookmarkEnd w:id="927"/>
      <w:bookmarkEnd w:id="928"/>
      <w:bookmarkEnd w:id="930"/>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在建工程按实际发生的成本计量。自营建筑工程按直接材料、直接工资、直接施工费等计量；出包建 筑工程按应支付的工程价款等计量；设备安装工程按所安装设备的价值、安装费用、工程试运转等所发生 的支出等确定工程成本。在建工程成本还包括应当资本化的借款费用和汇兑损益。</w:t>
      </w:r>
    </w:p>
    <w:p>
      <w:pPr>
        <w:pStyle w:val="Style47"/>
        <w:keepNext w:val="0"/>
        <w:keepLines w:val="0"/>
        <w:widowControl w:val="0"/>
        <w:shd w:val="clear" w:color="auto" w:fill="auto"/>
        <w:bidi w:val="0"/>
        <w:spacing w:before="0" w:after="220" w:line="469" w:lineRule="exact"/>
        <w:ind w:left="0" w:right="0" w:firstLine="440"/>
        <w:jc w:val="both"/>
      </w:pPr>
      <w:r>
        <w:rPr>
          <w:color w:val="000000"/>
          <w:spacing w:val="0"/>
          <w:w w:val="100"/>
          <w:position w:val="0"/>
        </w:rPr>
        <w:t>在建工程在达到预定可使用状态之日起，根据工程预算、造价或工程实际成本等，按估计的价值结转 固定资产，次月起开始计提折旧，待办理了竣工决算手续后再对固定资产原值差异进行调整，但不再调整 原己计提的折旧。</w:t>
      </w:r>
    </w:p>
    <w:p>
      <w:pPr>
        <w:pStyle w:val="Style44"/>
        <w:keepNext/>
        <w:keepLines/>
        <w:widowControl w:val="0"/>
        <w:shd w:val="clear" w:color="auto" w:fill="auto"/>
        <w:tabs>
          <w:tab w:pos="523" w:val="left"/>
        </w:tabs>
        <w:bidi w:val="0"/>
        <w:spacing w:before="0" w:after="220" w:line="469" w:lineRule="exact"/>
        <w:ind w:left="0" w:right="0" w:firstLine="0"/>
        <w:jc w:val="both"/>
      </w:pPr>
      <w:bookmarkStart w:id="931" w:name="bookmark931"/>
      <w:bookmarkStart w:id="932" w:name="bookmark932"/>
      <w:bookmarkStart w:id="933" w:name="bookmark933"/>
      <w:bookmarkStart w:id="934" w:name="bookmark934"/>
      <w:r>
        <w:rPr>
          <w:rFonts w:ascii="Times New Roman" w:eastAsia="Times New Roman" w:hAnsi="Times New Roman" w:cs="Times New Roman"/>
          <w:color w:val="000000"/>
          <w:spacing w:val="0"/>
          <w:w w:val="100"/>
          <w:position w:val="0"/>
        </w:rPr>
        <w:t>1</w:t>
      </w:r>
      <w:bookmarkEnd w:id="933"/>
      <w:r>
        <w:rPr>
          <w:rFonts w:ascii="Times New Roman" w:eastAsia="Times New Roman" w:hAnsi="Times New Roman" w:cs="Times New Roman"/>
          <w:color w:val="000000"/>
          <w:spacing w:val="0"/>
          <w:w w:val="100"/>
          <w:position w:val="0"/>
        </w:rPr>
        <w:t>7</w:t>
      </w:r>
      <w:r>
        <w:rPr>
          <w:color w:val="000000"/>
          <w:spacing w:val="0"/>
          <w:w w:val="100"/>
          <w:position w:val="0"/>
        </w:rPr>
        <w:t>、</w:t>
        <w:tab/>
        <w:t>借款费用</w:t>
      </w:r>
      <w:bookmarkEnd w:id="931"/>
      <w:bookmarkEnd w:id="932"/>
      <w:bookmarkEnd w:id="934"/>
    </w:p>
    <w:p>
      <w:pPr>
        <w:pStyle w:val="Style47"/>
        <w:keepNext w:val="0"/>
        <w:keepLines w:val="0"/>
        <w:widowControl w:val="0"/>
        <w:numPr>
          <w:ilvl w:val="0"/>
          <w:numId w:val="69"/>
        </w:numPr>
        <w:shd w:val="clear" w:color="auto" w:fill="auto"/>
        <w:tabs>
          <w:tab w:pos="755" w:val="left"/>
        </w:tabs>
        <w:bidi w:val="0"/>
        <w:spacing w:before="0" w:after="0" w:line="469" w:lineRule="exact"/>
        <w:ind w:left="0" w:right="0" w:firstLine="440"/>
        <w:jc w:val="both"/>
      </w:pPr>
      <w:bookmarkStart w:id="935" w:name="bookmark935"/>
      <w:bookmarkEnd w:id="935"/>
      <w:r>
        <w:rPr>
          <w:color w:val="000000"/>
          <w:spacing w:val="0"/>
          <w:w w:val="100"/>
          <w:position w:val="0"/>
        </w:rPr>
        <w:t>借款费用资本化的确认原则</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本集团发生的借款费用，可直接归属于符合资本化条件的资产的购建或者生产的，予以资本化，计入 相关资产成本；其他借款费用，在发生时确认为费用，计入当期损益。</w:t>
      </w:r>
    </w:p>
    <w:p>
      <w:pPr>
        <w:pStyle w:val="Style47"/>
        <w:keepNext w:val="0"/>
        <w:keepLines w:val="0"/>
        <w:widowControl w:val="0"/>
        <w:numPr>
          <w:ilvl w:val="0"/>
          <w:numId w:val="69"/>
        </w:numPr>
        <w:shd w:val="clear" w:color="auto" w:fill="auto"/>
        <w:tabs>
          <w:tab w:pos="774" w:val="left"/>
        </w:tabs>
        <w:bidi w:val="0"/>
        <w:spacing w:before="0" w:after="0" w:line="469" w:lineRule="exact"/>
        <w:ind w:left="0" w:right="0" w:firstLine="440"/>
        <w:jc w:val="both"/>
      </w:pPr>
      <w:bookmarkStart w:id="936" w:name="bookmark936"/>
      <w:bookmarkEnd w:id="936"/>
      <w:r>
        <w:rPr>
          <w:color w:val="000000"/>
          <w:spacing w:val="0"/>
          <w:w w:val="100"/>
          <w:position w:val="0"/>
        </w:rPr>
        <w:t>借款费用资本化期间</w:t>
      </w:r>
    </w:p>
    <w:p>
      <w:pPr>
        <w:pStyle w:val="Style47"/>
        <w:keepNext w:val="0"/>
        <w:keepLines w:val="0"/>
        <w:widowControl w:val="0"/>
        <w:shd w:val="clear" w:color="auto" w:fill="auto"/>
        <w:tabs>
          <w:tab w:pos="1026" w:val="left"/>
        </w:tabs>
        <w:bidi w:val="0"/>
        <w:spacing w:before="0" w:after="0" w:line="469" w:lineRule="exact"/>
        <w:ind w:left="0" w:right="0" w:firstLine="440"/>
        <w:jc w:val="both"/>
      </w:pPr>
      <w:bookmarkStart w:id="937" w:name="bookmark937"/>
      <w:r>
        <w:rPr>
          <w:color w:val="000000"/>
          <w:spacing w:val="0"/>
          <w:w w:val="100"/>
          <w:position w:val="0"/>
        </w:rPr>
        <w:t>（</w:t>
      </w:r>
      <w:bookmarkEnd w:id="937"/>
      <w:r>
        <w:rPr>
          <w:rFonts w:ascii="Times New Roman" w:eastAsia="Times New Roman" w:hAnsi="Times New Roman" w:cs="Times New Roman"/>
          <w:color w:val="000000"/>
          <w:spacing w:val="0"/>
          <w:w w:val="100"/>
          <w:position w:val="0"/>
        </w:rPr>
        <w:t>1</w:t>
      </w:r>
      <w:r>
        <w:rPr>
          <w:color w:val="000000"/>
          <w:spacing w:val="0"/>
          <w:w w:val="100"/>
          <w:position w:val="0"/>
        </w:rPr>
        <w:t>）</w:t>
        <w:tab/>
        <w:t>当借款费用同时满足下列条件时，开始资本化：</w:t>
      </w:r>
      <w:r>
        <w:rPr>
          <w:rFonts w:ascii="Times New Roman" w:eastAsia="Times New Roman" w:hAnsi="Times New Roman" w:cs="Times New Roman"/>
          <w:color w:val="000000"/>
          <w:spacing w:val="0"/>
          <w:w w:val="100"/>
          <w:position w:val="0"/>
        </w:rPr>
        <w:t>1</w:t>
      </w:r>
      <w:r>
        <w:rPr>
          <w:color w:val="000000"/>
          <w:spacing w:val="0"/>
          <w:w w:val="100"/>
          <w:position w:val="0"/>
        </w:rPr>
        <w:t>）资产支出已经发生；</w:t>
      </w:r>
      <w:r>
        <w:rPr>
          <w:rFonts w:ascii="Times New Roman" w:eastAsia="Times New Roman" w:hAnsi="Times New Roman" w:cs="Times New Roman"/>
          <w:color w:val="000000"/>
          <w:spacing w:val="0"/>
          <w:w w:val="100"/>
          <w:position w:val="0"/>
        </w:rPr>
        <w:t>2</w:t>
      </w:r>
      <w:r>
        <w:rPr>
          <w:color w:val="000000"/>
          <w:spacing w:val="0"/>
          <w:w w:val="100"/>
          <w:position w:val="0"/>
        </w:rPr>
        <w:t xml:space="preserve">）借款费用已经发生; </w:t>
      </w:r>
      <w:r>
        <w:rPr>
          <w:rFonts w:ascii="Times New Roman" w:eastAsia="Times New Roman" w:hAnsi="Times New Roman" w:cs="Times New Roman"/>
          <w:color w:val="000000"/>
          <w:spacing w:val="0"/>
          <w:w w:val="100"/>
          <w:position w:val="0"/>
        </w:rPr>
        <w:t>3</w:t>
      </w:r>
      <w:r>
        <w:rPr>
          <w:color w:val="000000"/>
          <w:spacing w:val="0"/>
          <w:w w:val="100"/>
          <w:position w:val="0"/>
        </w:rPr>
        <w:t>）为使资产达到预定可使用或可销售状态所必要的购建或者生产活动已经开始。</w:t>
      </w:r>
    </w:p>
    <w:p>
      <w:pPr>
        <w:pStyle w:val="Style47"/>
        <w:keepNext w:val="0"/>
        <w:keepLines w:val="0"/>
        <w:widowControl w:val="0"/>
        <w:shd w:val="clear" w:color="auto" w:fill="auto"/>
        <w:tabs>
          <w:tab w:pos="1021" w:val="left"/>
        </w:tabs>
        <w:bidi w:val="0"/>
        <w:spacing w:before="0" w:after="0" w:line="469" w:lineRule="exact"/>
        <w:ind w:left="0" w:right="0" w:firstLine="440"/>
        <w:jc w:val="both"/>
      </w:pPr>
      <w:bookmarkStart w:id="938" w:name="bookmark938"/>
      <w:r>
        <w:rPr>
          <w:color w:val="000000"/>
          <w:spacing w:val="0"/>
          <w:w w:val="100"/>
          <w:position w:val="0"/>
        </w:rPr>
        <w:t>（</w:t>
      </w:r>
      <w:bookmarkEnd w:id="938"/>
      <w:r>
        <w:rPr>
          <w:rFonts w:ascii="Times New Roman" w:eastAsia="Times New Roman" w:hAnsi="Times New Roman" w:cs="Times New Roman"/>
          <w:color w:val="000000"/>
          <w:spacing w:val="0"/>
          <w:w w:val="100"/>
          <w:position w:val="0"/>
        </w:rPr>
        <w:t>2</w:t>
      </w:r>
      <w:r>
        <w:rPr>
          <w:color w:val="000000"/>
          <w:spacing w:val="0"/>
          <w:w w:val="100"/>
          <w:position w:val="0"/>
        </w:rPr>
        <w:t>）</w:t>
        <w:tab/>
        <w:t>若符合资本化条件的资产在购建或者生产过程中发生非正常中断，并且中断时间连续超过</w:t>
      </w:r>
      <w:r>
        <w:rPr>
          <w:rFonts w:ascii="Times New Roman" w:eastAsia="Times New Roman" w:hAnsi="Times New Roman" w:cs="Times New Roman"/>
          <w:color w:val="000000"/>
          <w:spacing w:val="0"/>
          <w:w w:val="100"/>
          <w:position w:val="0"/>
        </w:rPr>
        <w:t>3</w:t>
      </w:r>
      <w:r>
        <w:rPr>
          <w:color w:val="000000"/>
          <w:spacing w:val="0"/>
          <w:w w:val="100"/>
          <w:position w:val="0"/>
        </w:rPr>
        <w:t>个月， 暂停借款费用的资本化；中断期间发生的借款费用确认为当期费用，直至资产的购建或者生产活动重新开 始。</w:t>
      </w:r>
    </w:p>
    <w:p>
      <w:pPr>
        <w:pStyle w:val="Style47"/>
        <w:keepNext w:val="0"/>
        <w:keepLines w:val="0"/>
        <w:widowControl w:val="0"/>
        <w:shd w:val="clear" w:color="auto" w:fill="auto"/>
        <w:tabs>
          <w:tab w:pos="1021" w:val="left"/>
        </w:tabs>
        <w:bidi w:val="0"/>
        <w:spacing w:before="0" w:after="0" w:line="469" w:lineRule="exact"/>
        <w:ind w:left="0" w:right="0" w:firstLine="440"/>
        <w:jc w:val="both"/>
      </w:pPr>
      <w:bookmarkStart w:id="939" w:name="bookmark939"/>
      <w:r>
        <w:rPr>
          <w:color w:val="000000"/>
          <w:spacing w:val="0"/>
          <w:w w:val="100"/>
          <w:position w:val="0"/>
        </w:rPr>
        <w:t>（</w:t>
      </w:r>
      <w:bookmarkEnd w:id="939"/>
      <w:r>
        <w:rPr>
          <w:rFonts w:ascii="Times New Roman" w:eastAsia="Times New Roman" w:hAnsi="Times New Roman" w:cs="Times New Roman"/>
          <w:color w:val="000000"/>
          <w:spacing w:val="0"/>
          <w:w w:val="100"/>
          <w:position w:val="0"/>
        </w:rPr>
        <w:t>3</w:t>
      </w:r>
      <w:r>
        <w:rPr>
          <w:color w:val="000000"/>
          <w:spacing w:val="0"/>
          <w:w w:val="100"/>
          <w:position w:val="0"/>
        </w:rPr>
        <w:t>）</w:t>
        <w:tab/>
        <w:t>当所购建或者生产符合资本化条件的资产达到预定可使用或可销售状态时，借款费用停止资本 化。</w:t>
      </w:r>
    </w:p>
    <w:p>
      <w:pPr>
        <w:pStyle w:val="Style47"/>
        <w:keepNext w:val="0"/>
        <w:keepLines w:val="0"/>
        <w:widowControl w:val="0"/>
        <w:numPr>
          <w:ilvl w:val="0"/>
          <w:numId w:val="69"/>
        </w:numPr>
        <w:shd w:val="clear" w:color="auto" w:fill="auto"/>
        <w:tabs>
          <w:tab w:pos="774" w:val="left"/>
        </w:tabs>
        <w:bidi w:val="0"/>
        <w:spacing w:before="0" w:after="0" w:line="469" w:lineRule="exact"/>
        <w:ind w:left="0" w:right="0" w:firstLine="440"/>
        <w:jc w:val="both"/>
      </w:pPr>
      <w:bookmarkStart w:id="940" w:name="bookmark940"/>
      <w:bookmarkEnd w:id="940"/>
      <w:r>
        <w:rPr>
          <w:color w:val="000000"/>
          <w:spacing w:val="0"/>
          <w:w w:val="100"/>
          <w:position w:val="0"/>
        </w:rPr>
        <w:t>借款费用资本化金额</w:t>
      </w:r>
    </w:p>
    <w:p>
      <w:pPr>
        <w:pStyle w:val="Style47"/>
        <w:keepNext w:val="0"/>
        <w:keepLines w:val="0"/>
        <w:widowControl w:val="0"/>
        <w:shd w:val="clear" w:color="auto" w:fill="auto"/>
        <w:bidi w:val="0"/>
        <w:spacing w:before="0" w:after="220" w:line="469" w:lineRule="exact"/>
        <w:ind w:left="0" w:right="0" w:firstLine="440"/>
        <w:jc w:val="both"/>
        <w:sectPr>
          <w:headerReference w:type="default" r:id="rId253"/>
          <w:footerReference w:type="default" r:id="rId254"/>
          <w:headerReference w:type="even" r:id="rId255"/>
          <w:footerReference w:type="even" r:id="rId256"/>
          <w:headerReference w:type="first" r:id="rId257"/>
          <w:footerReference w:type="first" r:id="rId258"/>
          <w:footnotePr>
            <w:pos w:val="pageBottom"/>
            <w:numFmt w:val="decimal"/>
            <w:numRestart w:val="continuous"/>
          </w:footnotePr>
          <w:pgSz w:w="11900" w:h="16840"/>
          <w:pgMar w:top="1244" w:right="22" w:bottom="1455" w:left="1101" w:header="0" w:footer="3" w:gutter="0"/>
          <w:cols w:space="720"/>
          <w:noEndnote/>
          <w:titlePg/>
          <w:rtlGutter w:val="0"/>
          <w:docGrid w:linePitch="360"/>
        </w:sectPr>
      </w:pPr>
      <w:r>
        <w:rPr>
          <w:color w:val="000000"/>
          <w:spacing w:val="0"/>
          <w:w w:val="100"/>
          <w:position w:val="0"/>
        </w:rPr>
        <w:t>为购建或者生产符合资本化条件的资产而借入专门借款的，以专门借款当期实际发生的利息费用（包 括按照实际利率法确定的折价或溢价的摊销），减去将尚未动用的借款资金存入银行取得的利息收入或进 行暂时性投资取得的投资收益后的金额，确定应予资本化的利息金额；为购建或者生产符合资本化条件的 资产占用了一般借款的，根据累计资产支出超过专门借款的资产支出加权平均数乘以占用一般借款的资本 化率，计算确定一般借款应予资本化的利息金额。</w:t>
      </w:r>
    </w:p>
    <w:p>
      <w:pPr>
        <w:pStyle w:val="Style44"/>
        <w:keepNext/>
        <w:keepLines/>
        <w:widowControl w:val="0"/>
        <w:shd w:val="clear" w:color="auto" w:fill="auto"/>
        <w:bidi w:val="0"/>
        <w:spacing w:before="0" w:line="240" w:lineRule="auto"/>
        <w:ind w:left="0" w:right="0" w:firstLine="0"/>
        <w:jc w:val="left"/>
      </w:pPr>
      <w:bookmarkStart w:id="941" w:name="bookmark941"/>
      <w:bookmarkStart w:id="942" w:name="bookmark942"/>
      <w:bookmarkStart w:id="943" w:name="bookmark943"/>
      <w:bookmarkStart w:id="944" w:name="bookmark944"/>
      <w:r>
        <w:rPr>
          <w:rFonts w:ascii="Times New Roman" w:eastAsia="Times New Roman" w:hAnsi="Times New Roman" w:cs="Times New Roman"/>
          <w:color w:val="000000"/>
          <w:spacing w:val="0"/>
          <w:w w:val="100"/>
          <w:position w:val="0"/>
        </w:rPr>
        <w:t>1</w:t>
      </w:r>
      <w:bookmarkEnd w:id="943"/>
      <w:r>
        <w:rPr>
          <w:rFonts w:ascii="Times New Roman" w:eastAsia="Times New Roman" w:hAnsi="Times New Roman" w:cs="Times New Roman"/>
          <w:color w:val="000000"/>
          <w:spacing w:val="0"/>
          <w:w w:val="100"/>
          <w:position w:val="0"/>
        </w:rPr>
        <w:t>8</w:t>
      </w:r>
      <w:r>
        <w:rPr>
          <w:color w:val="000000"/>
          <w:spacing w:val="0"/>
          <w:w w:val="100"/>
          <w:position w:val="0"/>
        </w:rPr>
        <w:t>、无形资产</w:t>
      </w:r>
      <w:bookmarkEnd w:id="941"/>
      <w:bookmarkEnd w:id="942"/>
      <w:bookmarkEnd w:id="944"/>
    </w:p>
    <w:p>
      <w:pPr>
        <w:pStyle w:val="Style60"/>
        <w:keepNext/>
        <w:keepLines/>
        <w:widowControl w:val="0"/>
        <w:numPr>
          <w:ilvl w:val="0"/>
          <w:numId w:val="71"/>
        </w:numPr>
        <w:shd w:val="clear" w:color="auto" w:fill="auto"/>
        <w:bidi w:val="0"/>
        <w:spacing w:before="0" w:after="440" w:line="240" w:lineRule="auto"/>
        <w:ind w:left="0" w:right="0" w:firstLine="140"/>
        <w:jc w:val="left"/>
      </w:pPr>
      <w:bookmarkStart w:id="945" w:name="bookmark945"/>
      <w:bookmarkStart w:id="946" w:name="bookmark946"/>
      <w:bookmarkStart w:id="947" w:name="bookmark947"/>
      <w:bookmarkStart w:id="948" w:name="bookmark948"/>
      <w:bookmarkEnd w:id="947"/>
      <w:r>
        <w:rPr>
          <w:color w:val="000000"/>
          <w:spacing w:val="0"/>
          <w:w w:val="100"/>
          <w:position w:val="0"/>
        </w:rPr>
        <w:t>计价方法、使用寿命、减值测试</w:t>
      </w:r>
      <w:bookmarkEnd w:id="945"/>
      <w:bookmarkEnd w:id="946"/>
      <w:bookmarkEnd w:id="948"/>
    </w:p>
    <w:p>
      <w:pPr>
        <w:pStyle w:val="Style47"/>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 xml:space="preserve">本集团无形资产包括土地使用权、专利技术、非专利技术等，按取得时的实际成本计量，其中，购入 </w:t>
      </w:r>
      <w:r>
        <w:rPr>
          <w:color w:val="000000"/>
          <w:spacing w:val="0"/>
          <w:w w:val="100"/>
          <w:position w:val="0"/>
        </w:rPr>
        <w:t xml:space="preserve">的无形资产，按实际支付的价款和相关的其他支出作为实际成本；投资者投入的无形资产，按投资合同或 </w:t>
      </w:r>
      <w:r>
        <w:rPr>
          <w:color w:val="000000"/>
          <w:spacing w:val="0"/>
          <w:w w:val="100"/>
          <w:position w:val="0"/>
        </w:rPr>
        <w:t>协议约定的价值确定实际成本，但合同或协议约定价值不公允的，按公允价值确定实际成本。</w:t>
      </w:r>
    </w:p>
    <w:p>
      <w:pPr>
        <w:pStyle w:val="Style47"/>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 xml:space="preserve">土地使用权从出让起始日起，按其出让年限平均摊销；专利技术、非专利技术和其他无形资产按预计 </w:t>
      </w:r>
      <w:r>
        <w:rPr>
          <w:color w:val="000000"/>
          <w:spacing w:val="0"/>
          <w:w w:val="100"/>
          <w:position w:val="0"/>
        </w:rPr>
        <w:t>使用年限、合同规定的受益年限和法律规定的有效年限三者中最短者分期平均摊销，摊销金额按其受益对</w:t>
      </w:r>
    </w:p>
    <w:p>
      <w:pPr>
        <w:pStyle w:val="Style4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象计入相关资产成本和当期损益。各类无形资产的摊销年限如下:</w:t>
      </w:r>
    </w:p>
    <w:tbl>
      <w:tblPr>
        <w:tblOverlap w:val="never"/>
        <w:jc w:val="left"/>
        <w:tblLayout w:type="fixed"/>
      </w:tblPr>
      <w:tblGrid>
        <w:gridCol w:w="4152"/>
        <w:gridCol w:w="4550"/>
      </w:tblGrid>
      <w:tr>
        <w:trPr>
          <w:trHeight w:val="355"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rPr>
                <w:sz w:val="18"/>
                <w:szCs w:val="18"/>
              </w:rPr>
            </w:pPr>
            <w:r>
              <w:rPr>
                <w:b/>
                <w:bCs/>
                <w:color w:val="000000"/>
                <w:spacing w:val="0"/>
                <w:w w:val="100"/>
                <w:position w:val="0"/>
                <w:sz w:val="18"/>
                <w:szCs w:val="18"/>
              </w:rPr>
              <w:t>项目</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rPr>
              <w:t>摊销年限(年)</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土地使用权</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50</w:t>
            </w:r>
          </w:p>
        </w:tc>
      </w:tr>
      <w:tr>
        <w:trPr>
          <w:trHeight w:val="35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软件</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r>
      <w:tr>
        <w:trPr>
          <w:trHeight w:val="28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专利技术</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r>
    </w:tbl>
    <w:p>
      <w:pPr>
        <w:widowControl w:val="0"/>
        <w:spacing w:after="599" w:line="1" w:lineRule="exact"/>
      </w:pPr>
    </w:p>
    <w:p>
      <w:pPr>
        <w:pStyle w:val="Style47"/>
        <w:keepNext w:val="0"/>
        <w:keepLines w:val="0"/>
        <w:widowControl w:val="0"/>
        <w:shd w:val="clear" w:color="auto" w:fill="auto"/>
        <w:bidi w:val="0"/>
        <w:spacing w:before="0" w:after="440" w:line="240" w:lineRule="auto"/>
        <w:ind w:left="0" w:right="0" w:firstLine="440"/>
        <w:jc w:val="both"/>
      </w:pPr>
      <w:r>
        <w:rPr>
          <w:color w:val="000000"/>
          <w:spacing w:val="0"/>
          <w:w w:val="100"/>
          <w:position w:val="0"/>
        </w:rPr>
        <w:t xml:space="preserve">对使用寿命有限的无形资产的预计使用寿命及摊销方法于每年年度终了进行复核，如发生改变，则作 </w:t>
      </w:r>
      <w:r>
        <w:rPr>
          <w:color w:val="000000"/>
          <w:spacing w:val="0"/>
          <w:w w:val="100"/>
          <w:position w:val="0"/>
        </w:rPr>
        <w:t xml:space="preserve">为会计估计变更处理。在每个会计期间对使用寿命不确定的无形资产的预计使用寿命进行复核，如有证据 </w:t>
      </w:r>
      <w:r>
        <w:rPr>
          <w:color w:val="000000"/>
          <w:spacing w:val="0"/>
          <w:w w:val="100"/>
          <w:position w:val="0"/>
        </w:rPr>
        <w:t>表明无形资产的使用寿命是有限的，则估计其使用寿命并在预计使用寿命内摊销。</w:t>
      </w:r>
    </w:p>
    <w:p>
      <w:pPr>
        <w:pStyle w:val="Style60"/>
        <w:keepNext/>
        <w:keepLines/>
        <w:widowControl w:val="0"/>
        <w:numPr>
          <w:ilvl w:val="0"/>
          <w:numId w:val="71"/>
        </w:numPr>
        <w:shd w:val="clear" w:color="auto" w:fill="auto"/>
        <w:bidi w:val="0"/>
        <w:spacing w:before="0" w:after="440" w:line="240" w:lineRule="auto"/>
        <w:ind w:left="0" w:right="0" w:firstLine="140"/>
        <w:jc w:val="left"/>
      </w:pPr>
      <w:bookmarkStart w:id="949" w:name="bookmark949"/>
      <w:bookmarkStart w:id="950" w:name="bookmark950"/>
      <w:bookmarkStart w:id="951" w:name="bookmark951"/>
      <w:bookmarkStart w:id="952" w:name="bookmark952"/>
      <w:bookmarkEnd w:id="951"/>
      <w:r>
        <w:rPr>
          <w:color w:val="000000"/>
          <w:spacing w:val="0"/>
          <w:w w:val="100"/>
          <w:position w:val="0"/>
        </w:rPr>
        <w:t>内部研究开发支出会计政策</w:t>
      </w:r>
      <w:bookmarkEnd w:id="949"/>
      <w:bookmarkEnd w:id="950"/>
      <w:bookmarkEnd w:id="952"/>
    </w:p>
    <w:p>
      <w:pPr>
        <w:pStyle w:val="Style47"/>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 xml:space="preserve">本集团内部研究开发项目支出根据其性质以及研发活动最终形成无形资产是否具有较大不确定性，分 </w:t>
      </w:r>
      <w:r>
        <w:rPr>
          <w:color w:val="000000"/>
          <w:spacing w:val="0"/>
          <w:w w:val="100"/>
          <w:position w:val="0"/>
        </w:rPr>
        <w:t>为研究阶段支出和开发阶段支出。</w:t>
      </w:r>
    </w:p>
    <w:p>
      <w:pPr>
        <w:pStyle w:val="Style47"/>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 xml:space="preserve">内部研究开发项目研究阶段的支出，于发生时计入当期损益。内部研究开发项目开发阶段的支出，同 </w:t>
      </w:r>
      <w:r>
        <w:rPr>
          <w:color w:val="000000"/>
          <w:spacing w:val="0"/>
          <w:w w:val="100"/>
          <w:position w:val="0"/>
        </w:rPr>
        <w:t>时满足下列条件的，确认为无形资产:</w:t>
      </w:r>
    </w:p>
    <w:p>
      <w:pPr>
        <w:pStyle w:val="Style47"/>
        <w:keepNext w:val="0"/>
        <w:keepLines w:val="0"/>
        <w:widowControl w:val="0"/>
        <w:numPr>
          <w:ilvl w:val="0"/>
          <w:numId w:val="73"/>
        </w:numPr>
        <w:shd w:val="clear" w:color="auto" w:fill="auto"/>
        <w:bidi w:val="0"/>
        <w:spacing w:before="0" w:after="220" w:line="240" w:lineRule="auto"/>
        <w:ind w:left="0" w:right="0" w:firstLine="560"/>
        <w:jc w:val="both"/>
      </w:pPr>
      <w:bookmarkStart w:id="953" w:name="bookmark953"/>
      <w:bookmarkEnd w:id="953"/>
      <w:r>
        <w:rPr>
          <w:color w:val="000000"/>
          <w:spacing w:val="0"/>
          <w:w w:val="100"/>
          <w:position w:val="0"/>
        </w:rPr>
        <w:t>完成该无形资产以使其能够使用或出售在技术上具有可行性;</w:t>
      </w:r>
    </w:p>
    <w:p>
      <w:pPr>
        <w:pStyle w:val="Style47"/>
        <w:keepNext w:val="0"/>
        <w:keepLines w:val="0"/>
        <w:widowControl w:val="0"/>
        <w:numPr>
          <w:ilvl w:val="0"/>
          <w:numId w:val="73"/>
        </w:numPr>
        <w:shd w:val="clear" w:color="auto" w:fill="auto"/>
        <w:bidi w:val="0"/>
        <w:spacing w:before="0" w:after="220" w:line="240" w:lineRule="auto"/>
        <w:ind w:left="0" w:right="0" w:firstLine="560"/>
        <w:jc w:val="both"/>
      </w:pPr>
      <w:bookmarkStart w:id="954" w:name="bookmark954"/>
      <w:bookmarkEnd w:id="954"/>
      <w:r>
        <w:rPr>
          <w:color w:val="000000"/>
          <w:spacing w:val="0"/>
          <w:w w:val="100"/>
          <w:position w:val="0"/>
        </w:rPr>
        <w:t>具有完成该无形资产并使用或出售的意图;</w:t>
      </w:r>
    </w:p>
    <w:p>
      <w:pPr>
        <w:pStyle w:val="Style47"/>
        <w:keepNext w:val="0"/>
        <w:keepLines w:val="0"/>
        <w:widowControl w:val="0"/>
        <w:numPr>
          <w:ilvl w:val="0"/>
          <w:numId w:val="73"/>
        </w:numPr>
        <w:shd w:val="clear" w:color="auto" w:fill="auto"/>
        <w:bidi w:val="0"/>
        <w:spacing w:before="0" w:after="220" w:line="240" w:lineRule="auto"/>
        <w:ind w:left="0" w:right="0" w:firstLine="560"/>
        <w:jc w:val="both"/>
      </w:pPr>
      <w:bookmarkStart w:id="955" w:name="bookmark955"/>
      <w:bookmarkEnd w:id="955"/>
      <w:r>
        <w:rPr>
          <w:color w:val="000000"/>
          <w:spacing w:val="0"/>
          <w:w w:val="100"/>
          <w:position w:val="0"/>
        </w:rPr>
        <w:t>无形资产产生经济利益的方式，包括能够证明运用该无形资产生产的产品存在市场或无形资产</w:t>
      </w:r>
    </w:p>
    <w:p>
      <w:pPr>
        <w:pStyle w:val="Style47"/>
        <w:keepNext w:val="0"/>
        <w:keepLines w:val="0"/>
        <w:widowControl w:val="0"/>
        <w:shd w:val="clear" w:color="auto" w:fill="auto"/>
        <w:bidi w:val="0"/>
        <w:spacing w:before="0" w:after="220" w:line="240" w:lineRule="auto"/>
        <w:ind w:left="0" w:right="0" w:firstLine="0"/>
        <w:jc w:val="left"/>
      </w:pPr>
      <w:r>
        <w:rPr>
          <w:color w:val="000000"/>
          <w:spacing w:val="0"/>
          <w:w w:val="100"/>
          <w:position w:val="0"/>
        </w:rPr>
        <w:t>自身存在市场，无形资产将在内部使用的，能证明其有用性;</w:t>
      </w:r>
    </w:p>
    <w:p>
      <w:pPr>
        <w:pStyle w:val="Style47"/>
        <w:keepNext w:val="0"/>
        <w:keepLines w:val="0"/>
        <w:widowControl w:val="0"/>
        <w:numPr>
          <w:ilvl w:val="0"/>
          <w:numId w:val="73"/>
        </w:numPr>
        <w:shd w:val="clear" w:color="auto" w:fill="auto"/>
        <w:bidi w:val="0"/>
        <w:spacing w:before="0" w:after="220" w:line="240" w:lineRule="auto"/>
        <w:ind w:left="0" w:right="0" w:firstLine="560"/>
        <w:jc w:val="both"/>
      </w:pPr>
      <w:bookmarkStart w:id="956" w:name="bookmark956"/>
      <w:bookmarkEnd w:id="956"/>
      <w:r>
        <w:rPr>
          <w:color w:val="000000"/>
          <w:spacing w:val="0"/>
          <w:w w:val="100"/>
          <w:position w:val="0"/>
        </w:rPr>
        <w:t>有足够的技术、财务资源和其他资源支持，以完成该无形资产的开发，并有能力使用或出售该</w:t>
      </w:r>
    </w:p>
    <w:p>
      <w:pPr>
        <w:pStyle w:val="Style47"/>
        <w:keepNext w:val="0"/>
        <w:keepLines w:val="0"/>
        <w:widowControl w:val="0"/>
        <w:shd w:val="clear" w:color="auto" w:fill="auto"/>
        <w:bidi w:val="0"/>
        <w:spacing w:before="0" w:after="220" w:line="240" w:lineRule="auto"/>
        <w:ind w:left="0" w:right="0" w:firstLine="0"/>
        <w:jc w:val="left"/>
      </w:pPr>
      <w:r>
        <w:rPr>
          <w:color w:val="000000"/>
          <w:spacing w:val="0"/>
          <w:w w:val="100"/>
          <w:position w:val="0"/>
        </w:rPr>
        <w:t>无形资产；</w:t>
      </w:r>
    </w:p>
    <w:p>
      <w:pPr>
        <w:pStyle w:val="Style47"/>
        <w:keepNext w:val="0"/>
        <w:keepLines w:val="0"/>
        <w:widowControl w:val="0"/>
        <w:numPr>
          <w:ilvl w:val="0"/>
          <w:numId w:val="73"/>
        </w:numPr>
        <w:shd w:val="clear" w:color="auto" w:fill="auto"/>
        <w:bidi w:val="0"/>
        <w:spacing w:before="0" w:after="220" w:line="240" w:lineRule="auto"/>
        <w:ind w:left="0" w:right="0" w:firstLine="560"/>
        <w:jc w:val="left"/>
      </w:pPr>
      <w:bookmarkStart w:id="957" w:name="bookmark957"/>
      <w:bookmarkEnd w:id="957"/>
      <w:r>
        <w:rPr>
          <w:color w:val="000000"/>
          <w:spacing w:val="0"/>
          <w:w w:val="100"/>
          <w:position w:val="0"/>
        </w:rPr>
        <w:t>归属于该无形资产开发阶段的支出能够可靠地计量。</w:t>
      </w:r>
    </w:p>
    <w:p>
      <w:pPr>
        <w:pStyle w:val="Style47"/>
        <w:keepNext w:val="0"/>
        <w:keepLines w:val="0"/>
        <w:widowControl w:val="0"/>
        <w:shd w:val="clear" w:color="auto" w:fill="auto"/>
        <w:bidi w:val="0"/>
        <w:spacing w:before="0" w:after="1040" w:line="240" w:lineRule="auto"/>
        <w:ind w:left="0" w:right="0" w:firstLine="440"/>
        <w:jc w:val="both"/>
      </w:pPr>
      <w:r>
        <w:rPr>
          <w:color w:val="000000"/>
          <w:spacing w:val="0"/>
          <w:w w:val="100"/>
          <w:position w:val="0"/>
        </w:rPr>
        <w:t>不满足上述条件的开发阶段的支出，于发生时计入当期损益。前期已计入损益的开发支出不在以后期</w:t>
      </w:r>
    </w:p>
    <w:p>
      <w:pPr>
        <w:pStyle w:val="Style83"/>
        <w:keepNext w:val="0"/>
        <w:keepLines w:val="0"/>
        <w:widowControl w:val="0"/>
        <w:shd w:val="clear" w:color="auto" w:fill="auto"/>
        <w:bidi w:val="0"/>
        <w:spacing w:before="0" w:after="0" w:line="240" w:lineRule="auto"/>
        <w:ind w:left="0" w:right="0" w:firstLine="0"/>
        <w:jc w:val="right"/>
      </w:pPr>
      <w:r>
        <w:rPr>
          <w:spacing w:val="0"/>
          <w:w w:val="100"/>
          <w:position w:val="0"/>
        </w:rPr>
        <w:t>cninf^r</w:t>
      </w:r>
    </w:p>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巨潮资讯</w:t>
      </w:r>
    </w:p>
    <w:p>
      <w:pPr>
        <w:pStyle w:val="Style86"/>
        <w:keepNext w:val="0"/>
        <w:keepLines w:val="0"/>
        <w:widowControl w:val="0"/>
        <w:shd w:val="clear" w:color="auto" w:fill="auto"/>
        <w:bidi w:val="0"/>
        <w:spacing w:before="0" w:after="220" w:line="240" w:lineRule="auto"/>
        <w:ind w:left="0" w:right="0" w:firstLine="0"/>
        <w:jc w:val="right"/>
        <w:sectPr>
          <w:headerReference w:type="default" r:id="rId259"/>
          <w:footerReference w:type="default" r:id="rId260"/>
          <w:headerReference w:type="even" r:id="rId261"/>
          <w:footerReference w:type="even" r:id="rId262"/>
          <w:footnotePr>
            <w:pos w:val="pageBottom"/>
            <w:numFmt w:val="decimal"/>
            <w:numRestart w:val="continuous"/>
          </w:footnotePr>
          <w:pgSz w:w="11900" w:h="16840"/>
          <w:pgMar w:top="1450" w:right="28" w:bottom="168" w:left="1100" w:header="0" w:footer="3" w:gutter="0"/>
          <w:cols w:space="720"/>
          <w:noEndnote/>
          <w:rtlGutter w:val="0"/>
          <w:docGrid w:linePitch="360"/>
        </w:sectPr>
      </w:pPr>
      <w:r>
        <w:rPr>
          <w:spacing w:val="0"/>
          <w:w w:val="100"/>
          <w:position w:val="0"/>
        </w:rPr>
        <w:t>ww.cnlnTo.com.cn</w:t>
      </w:r>
    </w:p>
    <w:p>
      <w:pPr>
        <w:pStyle w:val="Style47"/>
        <w:keepNext w:val="0"/>
        <w:keepLines w:val="0"/>
        <w:widowControl w:val="0"/>
        <w:shd w:val="clear" w:color="auto" w:fill="auto"/>
        <w:bidi w:val="0"/>
        <w:spacing w:before="80" w:after="0" w:line="467" w:lineRule="exact"/>
        <w:ind w:left="0" w:right="0" w:firstLine="0"/>
        <w:jc w:val="both"/>
      </w:pPr>
      <w:r>
        <w:rPr>
          <w:color w:val="000000"/>
          <w:spacing w:val="0"/>
          <w:w w:val="100"/>
          <w:position w:val="0"/>
        </w:rPr>
        <w:t>间确认为资产。己资本化的开发阶段的支出在资产负债表上列示为开发支出，自该项目达到预定可使用状</w:t>
      </w:r>
    </w:p>
    <w:p>
      <w:pPr>
        <w:pStyle w:val="Style47"/>
        <w:keepNext w:val="0"/>
        <w:keepLines w:val="0"/>
        <w:widowControl w:val="0"/>
        <w:shd w:val="clear" w:color="auto" w:fill="auto"/>
        <w:bidi w:val="0"/>
        <w:spacing w:before="0" w:after="420" w:line="467" w:lineRule="exact"/>
        <w:ind w:left="0" w:right="0" w:firstLine="0"/>
        <w:jc w:val="both"/>
      </w:pPr>
      <w:r>
        <w:rPr>
          <w:color w:val="000000"/>
          <w:spacing w:val="0"/>
          <w:w w:val="100"/>
          <w:position w:val="0"/>
        </w:rPr>
        <w:t>态之日起转为无形资产。</w:t>
      </w:r>
    </w:p>
    <w:p>
      <w:pPr>
        <w:pStyle w:val="Style44"/>
        <w:keepNext/>
        <w:keepLines/>
        <w:widowControl w:val="0"/>
        <w:shd w:val="clear" w:color="auto" w:fill="auto"/>
        <w:tabs>
          <w:tab w:pos="474" w:val="left"/>
        </w:tabs>
        <w:bidi w:val="0"/>
        <w:spacing w:before="0" w:after="0" w:line="480" w:lineRule="auto"/>
        <w:ind w:left="0" w:right="0" w:firstLine="0"/>
        <w:jc w:val="both"/>
      </w:pPr>
      <w:bookmarkStart w:id="958" w:name="bookmark958"/>
      <w:bookmarkStart w:id="959" w:name="bookmark959"/>
      <w:bookmarkStart w:id="960" w:name="bookmark960"/>
      <w:bookmarkStart w:id="961" w:name="bookmark961"/>
      <w:r>
        <w:rPr>
          <w:rFonts w:ascii="Times New Roman" w:eastAsia="Times New Roman" w:hAnsi="Times New Roman" w:cs="Times New Roman"/>
          <w:color w:val="000000"/>
          <w:spacing w:val="0"/>
          <w:w w:val="100"/>
          <w:position w:val="0"/>
        </w:rPr>
        <w:t>1</w:t>
      </w:r>
      <w:bookmarkEnd w:id="960"/>
      <w:r>
        <w:rPr>
          <w:rFonts w:ascii="Times New Roman" w:eastAsia="Times New Roman" w:hAnsi="Times New Roman" w:cs="Times New Roman"/>
          <w:color w:val="000000"/>
          <w:spacing w:val="0"/>
          <w:w w:val="100"/>
          <w:position w:val="0"/>
        </w:rPr>
        <w:t>9</w:t>
      </w:r>
      <w:r>
        <w:rPr>
          <w:color w:val="000000"/>
          <w:spacing w:val="0"/>
          <w:w w:val="100"/>
          <w:position w:val="0"/>
        </w:rPr>
        <w:t>、</w:t>
        <w:tab/>
        <w:t>长期资产减值</w:t>
      </w:r>
      <w:bookmarkEnd w:id="958"/>
      <w:bookmarkEnd w:id="959"/>
      <w:bookmarkEnd w:id="961"/>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企业应当在资产负债表日判断资产是否存在可能发生减值的迹象。</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因企业合并所形成的商誉和使用寿命不确定的无形资产，无论是否存在减值迹象，每年都应当进行减</w:t>
      </w:r>
    </w:p>
    <w:p>
      <w:pPr>
        <w:pStyle w:val="Style47"/>
        <w:keepNext w:val="0"/>
        <w:keepLines w:val="0"/>
        <w:widowControl w:val="0"/>
        <w:shd w:val="clear" w:color="auto" w:fill="auto"/>
        <w:bidi w:val="0"/>
        <w:spacing w:before="0" w:after="0" w:line="467" w:lineRule="exact"/>
        <w:ind w:left="0" w:right="0" w:firstLine="0"/>
        <w:jc w:val="left"/>
      </w:pPr>
      <w:r>
        <w:rPr>
          <w:color w:val="000000"/>
          <w:spacing w:val="0"/>
          <w:w w:val="100"/>
          <w:position w:val="0"/>
        </w:rPr>
        <w:t>值测试。</w:t>
      </w:r>
    </w:p>
    <w:p>
      <w:pPr>
        <w:pStyle w:val="Style47"/>
        <w:keepNext w:val="0"/>
        <w:keepLines w:val="0"/>
        <w:widowControl w:val="0"/>
        <w:shd w:val="clear" w:color="auto" w:fill="auto"/>
        <w:bidi w:val="0"/>
        <w:spacing w:before="0" w:after="0" w:line="467" w:lineRule="exact"/>
        <w:ind w:left="0" w:right="0" w:firstLine="440"/>
        <w:jc w:val="left"/>
      </w:pPr>
      <w:r>
        <w:rPr>
          <w:color w:val="000000"/>
          <w:spacing w:val="0"/>
          <w:w w:val="100"/>
          <w:position w:val="0"/>
        </w:rPr>
        <w:t>存在下列迹象的，表明资产可能发生了减值：</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）资产的市价当期大幅度下跌，其跌幅明显高于因时间的推移或者正常使用而预计的下跌；（</w:t>
      </w:r>
      <w:r>
        <w:rPr>
          <w:rFonts w:ascii="Times New Roman" w:eastAsia="Times New Roman" w:hAnsi="Times New Roman" w:cs="Times New Roman"/>
          <w:color w:val="000000"/>
          <w:spacing w:val="0"/>
          <w:w w:val="100"/>
          <w:position w:val="0"/>
        </w:rPr>
        <w:t>2</w:t>
      </w:r>
      <w:r>
        <w:rPr>
          <w:color w:val="000000"/>
          <w:spacing w:val="0"/>
          <w:w w:val="100"/>
          <w:position w:val="0"/>
        </w:rPr>
        <w:t>）</w:t>
      </w:r>
    </w:p>
    <w:p>
      <w:pPr>
        <w:pStyle w:val="Style47"/>
        <w:keepNext w:val="0"/>
        <w:keepLines w:val="0"/>
        <w:widowControl w:val="0"/>
        <w:shd w:val="clear" w:color="auto" w:fill="auto"/>
        <w:bidi w:val="0"/>
        <w:spacing w:before="0" w:after="0" w:line="467" w:lineRule="exact"/>
        <w:ind w:left="0" w:right="0" w:firstLine="0"/>
        <w:jc w:val="both"/>
      </w:pPr>
      <w:r>
        <w:rPr>
          <w:color w:val="000000"/>
          <w:spacing w:val="0"/>
          <w:w w:val="100"/>
          <w:position w:val="0"/>
        </w:rPr>
        <w:t>企业经营所处的经济、技术或者法律等环境以及资产所处的市场在当期或者将在近期发生重大变化，从而</w:t>
      </w:r>
    </w:p>
    <w:p>
      <w:pPr>
        <w:pStyle w:val="Style47"/>
        <w:keepNext w:val="0"/>
        <w:keepLines w:val="0"/>
        <w:widowControl w:val="0"/>
        <w:shd w:val="clear" w:color="auto" w:fill="auto"/>
        <w:bidi w:val="0"/>
        <w:spacing w:before="0" w:after="0" w:line="467" w:lineRule="exact"/>
        <w:ind w:left="0" w:right="0" w:firstLine="0"/>
        <w:jc w:val="both"/>
      </w:pPr>
      <w:r>
        <w:rPr>
          <w:color w:val="000000"/>
          <w:spacing w:val="0"/>
          <w:w w:val="100"/>
          <w:position w:val="0"/>
        </w:rPr>
        <w:t>对企业产生不利影响；（</w:t>
      </w:r>
      <w:r>
        <w:rPr>
          <w:rFonts w:ascii="Times New Roman" w:eastAsia="Times New Roman" w:hAnsi="Times New Roman" w:cs="Times New Roman"/>
          <w:color w:val="000000"/>
          <w:spacing w:val="0"/>
          <w:w w:val="100"/>
          <w:position w:val="0"/>
        </w:rPr>
        <w:t>3</w:t>
      </w:r>
      <w:r>
        <w:rPr>
          <w:color w:val="000000"/>
          <w:spacing w:val="0"/>
          <w:w w:val="100"/>
          <w:position w:val="0"/>
        </w:rPr>
        <w:t>）市场利率或者其他市场投资报酬率在当期已经提高，从而影响企业计算资产</w:t>
      </w:r>
    </w:p>
    <w:p>
      <w:pPr>
        <w:pStyle w:val="Style47"/>
        <w:keepNext w:val="0"/>
        <w:keepLines w:val="0"/>
        <w:widowControl w:val="0"/>
        <w:shd w:val="clear" w:color="auto" w:fill="auto"/>
        <w:bidi w:val="0"/>
        <w:spacing w:before="0" w:after="0" w:line="467" w:lineRule="exact"/>
        <w:ind w:left="0" w:right="0" w:firstLine="0"/>
        <w:jc w:val="both"/>
      </w:pPr>
      <w:r>
        <w:rPr>
          <w:color w:val="000000"/>
          <w:spacing w:val="0"/>
          <w:w w:val="100"/>
          <w:position w:val="0"/>
        </w:rPr>
        <w:t>预计未来现金流量现值的折现率，导致资产可收回金额大幅度降低；（</w:t>
      </w:r>
      <w:r>
        <w:rPr>
          <w:rFonts w:ascii="Times New Roman" w:eastAsia="Times New Roman" w:hAnsi="Times New Roman" w:cs="Times New Roman"/>
          <w:color w:val="000000"/>
          <w:spacing w:val="0"/>
          <w:w w:val="100"/>
          <w:position w:val="0"/>
        </w:rPr>
        <w:t>4</w:t>
      </w:r>
      <w:r>
        <w:rPr>
          <w:color w:val="000000"/>
          <w:spacing w:val="0"/>
          <w:w w:val="100"/>
          <w:position w:val="0"/>
        </w:rPr>
        <w:t>）有证据表明资产已经陈旧过时 或者其实体已经损坏；（</w:t>
      </w:r>
      <w:r>
        <w:rPr>
          <w:rFonts w:ascii="Times New Roman" w:eastAsia="Times New Roman" w:hAnsi="Times New Roman" w:cs="Times New Roman"/>
          <w:color w:val="000000"/>
          <w:spacing w:val="0"/>
          <w:w w:val="100"/>
          <w:position w:val="0"/>
        </w:rPr>
        <w:t>5</w:t>
      </w:r>
      <w:r>
        <w:rPr>
          <w:color w:val="000000"/>
          <w:spacing w:val="0"/>
          <w:w w:val="100"/>
          <w:position w:val="0"/>
        </w:rPr>
        <w:t>）资产已经或者将被闲置、终止使用或者计划提前处置；（</w:t>
      </w:r>
      <w:r>
        <w:rPr>
          <w:rFonts w:ascii="Times New Roman" w:eastAsia="Times New Roman" w:hAnsi="Times New Roman" w:cs="Times New Roman"/>
          <w:color w:val="000000"/>
          <w:spacing w:val="0"/>
          <w:w w:val="100"/>
          <w:position w:val="0"/>
        </w:rPr>
        <w:t>6</w:t>
      </w:r>
      <w:r>
        <w:rPr>
          <w:color w:val="000000"/>
          <w:spacing w:val="0"/>
          <w:w w:val="100"/>
          <w:position w:val="0"/>
        </w:rPr>
        <w:t>）企业内部报告的 证据表明资产的经济绩效已经低于或者将低于预期，如资产所创造的净现金流量或者实现的营业利润（或 者亏损）远远低于（或者高于）预计金额等；（</w:t>
      </w:r>
      <w:r>
        <w:rPr>
          <w:rFonts w:ascii="Times New Roman" w:eastAsia="Times New Roman" w:hAnsi="Times New Roman" w:cs="Times New Roman"/>
          <w:color w:val="000000"/>
          <w:spacing w:val="0"/>
          <w:w w:val="100"/>
          <w:position w:val="0"/>
        </w:rPr>
        <w:t>7</w:t>
      </w:r>
      <w:r>
        <w:rPr>
          <w:color w:val="000000"/>
          <w:spacing w:val="0"/>
          <w:w w:val="100"/>
          <w:position w:val="0"/>
        </w:rPr>
        <w:t>）其他表明资产可能已经发生减值的迹象。</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资产存在减值迹象的，应当估计其可收回金额。</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可收回金额应当根据资产的公允价值减去处置费用后的净额与资产预计未来现金流量的现值两者之</w:t>
      </w:r>
    </w:p>
    <w:p>
      <w:pPr>
        <w:pStyle w:val="Style47"/>
        <w:keepNext w:val="0"/>
        <w:keepLines w:val="0"/>
        <w:widowControl w:val="0"/>
        <w:shd w:val="clear" w:color="auto" w:fill="auto"/>
        <w:bidi w:val="0"/>
        <w:spacing w:before="0" w:after="0" w:line="467" w:lineRule="exact"/>
        <w:ind w:left="0" w:right="0" w:firstLine="0"/>
        <w:jc w:val="both"/>
      </w:pPr>
      <w:r>
        <w:rPr>
          <w:color w:val="000000"/>
          <w:spacing w:val="0"/>
          <w:w w:val="100"/>
          <w:position w:val="0"/>
        </w:rPr>
        <w:t>间较高者确定。</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处置费用包括与资产处置有关的法律费用、相关税费、搬运费以及为使资产达到可销售状态所发生的</w:t>
      </w:r>
    </w:p>
    <w:p>
      <w:pPr>
        <w:pStyle w:val="Style47"/>
        <w:keepNext w:val="0"/>
        <w:keepLines w:val="0"/>
        <w:widowControl w:val="0"/>
        <w:shd w:val="clear" w:color="auto" w:fill="auto"/>
        <w:bidi w:val="0"/>
        <w:spacing w:before="0" w:after="0" w:line="467" w:lineRule="exact"/>
        <w:ind w:left="0" w:right="0" w:firstLine="0"/>
        <w:jc w:val="both"/>
      </w:pPr>
      <w:r>
        <w:rPr>
          <w:color w:val="000000"/>
          <w:spacing w:val="0"/>
          <w:w w:val="100"/>
          <w:position w:val="0"/>
        </w:rPr>
        <w:t>直接费用等。</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资产预计未来现金流量的现值，应当按照资产在持续使用过程中和最终处置时所产生的预计未来现金 流量，选择恰当的折现率对其进行折现后的金额加以确定。预计资产未来现金流量的现值，应当综合考虑 资产的预计未来现金流量、使用寿命和折现率等因素。</w:t>
      </w:r>
    </w:p>
    <w:p>
      <w:pPr>
        <w:pStyle w:val="Style47"/>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可收回金额的计量结果表明，资产的可收回金额低于其账面价值的，应当将资产的账面价值减记至可</w:t>
      </w:r>
    </w:p>
    <w:p>
      <w:pPr>
        <w:pStyle w:val="Style47"/>
        <w:keepNext w:val="0"/>
        <w:keepLines w:val="0"/>
        <w:widowControl w:val="0"/>
        <w:shd w:val="clear" w:color="auto" w:fill="auto"/>
        <w:bidi w:val="0"/>
        <w:spacing w:before="0" w:after="420" w:line="467" w:lineRule="exact"/>
        <w:ind w:left="0" w:right="0" w:firstLine="0"/>
        <w:jc w:val="both"/>
      </w:pPr>
      <w:r>
        <w:rPr>
          <w:color w:val="000000"/>
          <w:spacing w:val="0"/>
          <w:w w:val="100"/>
          <w:position w:val="0"/>
        </w:rPr>
        <w:t>收回金额，减记的金额确认为资产减值损失，计入当期损益，同时计提相应的资产减值准备。</w:t>
      </w:r>
    </w:p>
    <w:p>
      <w:pPr>
        <w:pStyle w:val="Style44"/>
        <w:keepNext/>
        <w:keepLines/>
        <w:widowControl w:val="0"/>
        <w:shd w:val="clear" w:color="auto" w:fill="auto"/>
        <w:tabs>
          <w:tab w:pos="483" w:val="left"/>
        </w:tabs>
        <w:bidi w:val="0"/>
        <w:spacing w:before="0" w:after="0" w:line="480" w:lineRule="auto"/>
        <w:ind w:left="0" w:right="0" w:firstLine="0"/>
        <w:jc w:val="both"/>
      </w:pPr>
      <w:bookmarkStart w:id="962" w:name="bookmark962"/>
      <w:bookmarkStart w:id="963" w:name="bookmark963"/>
      <w:bookmarkStart w:id="964" w:name="bookmark964"/>
      <w:bookmarkStart w:id="965" w:name="bookmark965"/>
      <w:r>
        <w:rPr>
          <w:rFonts w:ascii="Times New Roman" w:eastAsia="Times New Roman" w:hAnsi="Times New Roman" w:cs="Times New Roman"/>
          <w:color w:val="000000"/>
          <w:spacing w:val="0"/>
          <w:w w:val="100"/>
          <w:position w:val="0"/>
        </w:rPr>
        <w:t>2</w:t>
      </w:r>
      <w:bookmarkEnd w:id="964"/>
      <w:r>
        <w:rPr>
          <w:rFonts w:ascii="Times New Roman" w:eastAsia="Times New Roman" w:hAnsi="Times New Roman" w:cs="Times New Roman"/>
          <w:color w:val="000000"/>
          <w:spacing w:val="0"/>
          <w:w w:val="100"/>
          <w:position w:val="0"/>
        </w:rPr>
        <w:t>0</w:t>
      </w:r>
      <w:r>
        <w:rPr>
          <w:color w:val="000000"/>
          <w:spacing w:val="0"/>
          <w:w w:val="100"/>
          <w:position w:val="0"/>
        </w:rPr>
        <w:t>、</w:t>
        <w:tab/>
        <w:t>长期待摊费用</w:t>
      </w:r>
      <w:bookmarkEnd w:id="962"/>
      <w:bookmarkEnd w:id="963"/>
      <w:bookmarkEnd w:id="965"/>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本集团的长期待摊费用是指已经支出，但应由当期及以后各期承担的摊销期限在</w:t>
      </w:r>
      <w:r>
        <w:rPr>
          <w:rFonts w:ascii="Times New Roman" w:eastAsia="Times New Roman" w:hAnsi="Times New Roman" w:cs="Times New Roman"/>
          <w:color w:val="000000"/>
          <w:spacing w:val="0"/>
          <w:w w:val="100"/>
          <w:position w:val="0"/>
        </w:rPr>
        <w:t>1</w:t>
      </w:r>
      <w:r>
        <w:rPr>
          <w:color w:val="000000"/>
          <w:spacing w:val="0"/>
          <w:w w:val="100"/>
          <w:position w:val="0"/>
        </w:rPr>
        <w:t>年以上（不含</w:t>
      </w:r>
      <w:r>
        <w:rPr>
          <w:rFonts w:ascii="Times New Roman" w:eastAsia="Times New Roman" w:hAnsi="Times New Roman" w:cs="Times New Roman"/>
          <w:color w:val="000000"/>
          <w:spacing w:val="0"/>
          <w:w w:val="100"/>
          <w:position w:val="0"/>
        </w:rPr>
        <w:t>1</w:t>
      </w:r>
      <w:r>
        <w:rPr>
          <w:color w:val="000000"/>
          <w:spacing w:val="0"/>
          <w:w w:val="100"/>
          <w:position w:val="0"/>
        </w:rPr>
        <w:t>年）</w:t>
      </w:r>
    </w:p>
    <w:p>
      <w:pPr>
        <w:pStyle w:val="Style47"/>
        <w:keepNext w:val="0"/>
        <w:keepLines w:val="0"/>
        <w:widowControl w:val="0"/>
        <w:shd w:val="clear" w:color="auto" w:fill="auto"/>
        <w:bidi w:val="0"/>
        <w:spacing w:before="0" w:after="200" w:line="470" w:lineRule="exact"/>
        <w:ind w:left="0" w:right="0" w:firstLine="0"/>
        <w:jc w:val="both"/>
      </w:pPr>
      <w:r>
        <w:rPr>
          <w:color w:val="000000"/>
          <w:spacing w:val="0"/>
          <w:w w:val="100"/>
          <w:position w:val="0"/>
        </w:rPr>
        <w:t>的费用，该等费用在受益期内平均摊销。如果长期待摊费用项目不能使以后会计期间受益，则将尚未摊销 的该项目的摊余价值全部转入当期损益。</w:t>
      </w:r>
    </w:p>
    <w:p>
      <w:pPr>
        <w:pStyle w:val="Style44"/>
        <w:keepNext/>
        <w:keepLines/>
        <w:widowControl w:val="0"/>
        <w:shd w:val="clear" w:color="auto" w:fill="auto"/>
        <w:tabs>
          <w:tab w:pos="483" w:val="left"/>
        </w:tabs>
        <w:bidi w:val="0"/>
        <w:spacing w:before="0" w:after="220" w:line="469" w:lineRule="exact"/>
        <w:ind w:left="0" w:right="0" w:firstLine="0"/>
        <w:jc w:val="both"/>
      </w:pPr>
      <w:bookmarkStart w:id="966" w:name="bookmark966"/>
      <w:bookmarkStart w:id="967" w:name="bookmark967"/>
      <w:bookmarkStart w:id="968" w:name="bookmark968"/>
      <w:bookmarkStart w:id="969" w:name="bookmark969"/>
      <w:r>
        <w:rPr>
          <w:rFonts w:ascii="Times New Roman" w:eastAsia="Times New Roman" w:hAnsi="Times New Roman" w:cs="Times New Roman"/>
          <w:color w:val="000000"/>
          <w:spacing w:val="0"/>
          <w:w w:val="100"/>
          <w:position w:val="0"/>
        </w:rPr>
        <w:t>2</w:t>
      </w:r>
      <w:bookmarkEnd w:id="968"/>
      <w:r>
        <w:rPr>
          <w:rFonts w:ascii="Times New Roman" w:eastAsia="Times New Roman" w:hAnsi="Times New Roman" w:cs="Times New Roman"/>
          <w:color w:val="000000"/>
          <w:spacing w:val="0"/>
          <w:w w:val="100"/>
          <w:position w:val="0"/>
        </w:rPr>
        <w:t>1</w:t>
      </w:r>
      <w:r>
        <w:rPr>
          <w:color w:val="000000"/>
          <w:spacing w:val="0"/>
          <w:w w:val="100"/>
          <w:position w:val="0"/>
        </w:rPr>
        <w:t>、</w:t>
        <w:tab/>
        <w:t>合同负债</w:t>
      </w:r>
      <w:bookmarkEnd w:id="966"/>
      <w:bookmarkEnd w:id="967"/>
      <w:bookmarkEnd w:id="969"/>
    </w:p>
    <w:p>
      <w:pPr>
        <w:pStyle w:val="Style47"/>
        <w:keepNext w:val="0"/>
        <w:keepLines w:val="0"/>
        <w:widowControl w:val="0"/>
        <w:shd w:val="clear" w:color="auto" w:fill="auto"/>
        <w:bidi w:val="0"/>
        <w:spacing w:before="0" w:after="220" w:line="461" w:lineRule="exact"/>
        <w:ind w:left="0" w:right="0" w:firstLine="440"/>
        <w:jc w:val="both"/>
      </w:pPr>
      <w:r>
        <w:rPr>
          <w:color w:val="000000"/>
          <w:spacing w:val="0"/>
          <w:w w:val="100"/>
          <w:position w:val="0"/>
        </w:rPr>
        <w:t>本集团根据履行履约义务与客户付款之间的关系在资产负债表中列示合同资产或合同负债。本集团已 收或应收客户对价而应向客户转让商品或提供服务的义务列示为合同负债。</w:t>
      </w:r>
    </w:p>
    <w:p>
      <w:pPr>
        <w:pStyle w:val="Style44"/>
        <w:keepNext/>
        <w:keepLines/>
        <w:widowControl w:val="0"/>
        <w:shd w:val="clear" w:color="auto" w:fill="auto"/>
        <w:tabs>
          <w:tab w:pos="483" w:val="left"/>
        </w:tabs>
        <w:bidi w:val="0"/>
        <w:spacing w:before="0" w:after="140" w:line="469" w:lineRule="exact"/>
        <w:ind w:left="0" w:right="0" w:firstLine="0"/>
        <w:jc w:val="left"/>
      </w:pPr>
      <w:bookmarkStart w:id="970" w:name="bookmark970"/>
      <w:bookmarkStart w:id="971" w:name="bookmark971"/>
      <w:bookmarkStart w:id="972" w:name="bookmark972"/>
      <w:bookmarkStart w:id="973" w:name="bookmark973"/>
      <w:r>
        <w:rPr>
          <w:rFonts w:ascii="Times New Roman" w:eastAsia="Times New Roman" w:hAnsi="Times New Roman" w:cs="Times New Roman"/>
          <w:color w:val="000000"/>
          <w:spacing w:val="0"/>
          <w:w w:val="100"/>
          <w:position w:val="0"/>
        </w:rPr>
        <w:t>2</w:t>
      </w:r>
      <w:bookmarkEnd w:id="972"/>
      <w:r>
        <w:rPr>
          <w:rFonts w:ascii="Times New Roman" w:eastAsia="Times New Roman" w:hAnsi="Times New Roman" w:cs="Times New Roman"/>
          <w:color w:val="000000"/>
          <w:spacing w:val="0"/>
          <w:w w:val="100"/>
          <w:position w:val="0"/>
        </w:rPr>
        <w:t>2</w:t>
      </w:r>
      <w:r>
        <w:rPr>
          <w:color w:val="000000"/>
          <w:spacing w:val="0"/>
          <w:w w:val="100"/>
          <w:position w:val="0"/>
        </w:rPr>
        <w:t>、</w:t>
        <w:tab/>
        <w:t>职工薪酬</w:t>
      </w:r>
      <w:bookmarkEnd w:id="970"/>
      <w:bookmarkEnd w:id="971"/>
      <w:bookmarkEnd w:id="973"/>
    </w:p>
    <w:p>
      <w:pPr>
        <w:pStyle w:val="Style60"/>
        <w:keepNext/>
        <w:keepLines/>
        <w:widowControl w:val="0"/>
        <w:numPr>
          <w:ilvl w:val="0"/>
          <w:numId w:val="75"/>
        </w:numPr>
        <w:shd w:val="clear" w:color="auto" w:fill="auto"/>
        <w:tabs>
          <w:tab w:pos="493" w:val="left"/>
        </w:tabs>
        <w:bidi w:val="0"/>
        <w:spacing w:before="0" w:after="220" w:line="469" w:lineRule="exact"/>
        <w:ind w:left="0" w:right="0" w:firstLine="0"/>
        <w:jc w:val="left"/>
      </w:pPr>
      <w:bookmarkStart w:id="974" w:name="bookmark974"/>
      <w:bookmarkStart w:id="975" w:name="bookmark975"/>
      <w:bookmarkStart w:id="976" w:name="bookmark976"/>
      <w:bookmarkStart w:id="977" w:name="bookmark977"/>
      <w:bookmarkEnd w:id="976"/>
      <w:r>
        <w:rPr>
          <w:color w:val="000000"/>
          <w:spacing w:val="0"/>
          <w:w w:val="100"/>
          <w:position w:val="0"/>
        </w:rPr>
        <w:t>短期薪酬的会计处理方法</w:t>
      </w:r>
      <w:bookmarkEnd w:id="974"/>
      <w:bookmarkEnd w:id="975"/>
      <w:bookmarkEnd w:id="977"/>
    </w:p>
    <w:p>
      <w:pPr>
        <w:pStyle w:val="Style47"/>
        <w:keepNext w:val="0"/>
        <w:keepLines w:val="0"/>
        <w:widowControl w:val="0"/>
        <w:shd w:val="clear" w:color="auto" w:fill="auto"/>
        <w:bidi w:val="0"/>
        <w:spacing w:before="0" w:after="220" w:line="466" w:lineRule="exact"/>
        <w:ind w:left="0" w:right="0" w:firstLine="440"/>
        <w:jc w:val="both"/>
      </w:pPr>
      <w:r>
        <w:rPr>
          <w:color w:val="000000"/>
          <w:spacing w:val="0"/>
          <w:w w:val="100"/>
          <w:position w:val="0"/>
        </w:rPr>
        <w:t>短期薪酬主要包括职工工资、奖金、职工福利费、医疗保险费、住房公积金等，在职工提供服务的会 计期间，将实际发生的短期薪酬确认为负债，并按照受益对象计入当期损益或相关资产成本。</w:t>
      </w:r>
    </w:p>
    <w:p>
      <w:pPr>
        <w:pStyle w:val="Style60"/>
        <w:keepNext/>
        <w:keepLines/>
        <w:widowControl w:val="0"/>
        <w:numPr>
          <w:ilvl w:val="0"/>
          <w:numId w:val="75"/>
        </w:numPr>
        <w:shd w:val="clear" w:color="auto" w:fill="auto"/>
        <w:tabs>
          <w:tab w:pos="493" w:val="left"/>
        </w:tabs>
        <w:bidi w:val="0"/>
        <w:spacing w:before="0" w:after="220" w:line="469" w:lineRule="exact"/>
        <w:ind w:left="0" w:right="0" w:firstLine="0"/>
        <w:jc w:val="left"/>
      </w:pPr>
      <w:bookmarkStart w:id="978" w:name="bookmark978"/>
      <w:bookmarkStart w:id="979" w:name="bookmark979"/>
      <w:bookmarkStart w:id="980" w:name="bookmark980"/>
      <w:bookmarkStart w:id="981" w:name="bookmark981"/>
      <w:bookmarkEnd w:id="980"/>
      <w:r>
        <w:rPr>
          <w:color w:val="000000"/>
          <w:spacing w:val="0"/>
          <w:w w:val="100"/>
          <w:position w:val="0"/>
        </w:rPr>
        <w:t>离职后福利的会计处理方法</w:t>
      </w:r>
      <w:bookmarkEnd w:id="978"/>
      <w:bookmarkEnd w:id="979"/>
      <w:bookmarkEnd w:id="981"/>
    </w:p>
    <w:p>
      <w:pPr>
        <w:pStyle w:val="Style47"/>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离职后福利主要包括基本养老保险费、失业保险费等，按照公司承担的风险和义务，分类为设定提存 计划、设定受益计划。对于设定提存计划在根据在资产负债表日为换取职工在会计期间提供的服务而向单 独主体缴存的提存金确认为负债，并按照受益对象计入当期损益或相关资产成本。本集团不存在设定受益 计划。</w:t>
      </w:r>
    </w:p>
    <w:p>
      <w:pPr>
        <w:pStyle w:val="Style60"/>
        <w:keepNext/>
        <w:keepLines/>
        <w:widowControl w:val="0"/>
        <w:numPr>
          <w:ilvl w:val="0"/>
          <w:numId w:val="75"/>
        </w:numPr>
        <w:shd w:val="clear" w:color="auto" w:fill="auto"/>
        <w:tabs>
          <w:tab w:pos="493" w:val="left"/>
        </w:tabs>
        <w:bidi w:val="0"/>
        <w:spacing w:before="0" w:after="220" w:line="469" w:lineRule="exact"/>
        <w:ind w:left="0" w:right="0" w:firstLine="0"/>
        <w:jc w:val="left"/>
      </w:pPr>
      <w:bookmarkStart w:id="982" w:name="bookmark982"/>
      <w:bookmarkStart w:id="983" w:name="bookmark983"/>
      <w:bookmarkStart w:id="984" w:name="bookmark984"/>
      <w:bookmarkStart w:id="985" w:name="bookmark985"/>
      <w:bookmarkEnd w:id="984"/>
      <w:r>
        <w:rPr>
          <w:color w:val="000000"/>
          <w:spacing w:val="0"/>
          <w:w w:val="100"/>
          <w:position w:val="0"/>
        </w:rPr>
        <w:t>辞退福利的会计处理方法</w:t>
      </w:r>
      <w:bookmarkEnd w:id="982"/>
      <w:bookmarkEnd w:id="983"/>
      <w:bookmarkEnd w:id="985"/>
    </w:p>
    <w:p>
      <w:pPr>
        <w:pStyle w:val="Style47"/>
        <w:keepNext w:val="0"/>
        <w:keepLines w:val="0"/>
        <w:widowControl w:val="0"/>
        <w:shd w:val="clear" w:color="auto" w:fill="auto"/>
        <w:bidi w:val="0"/>
        <w:spacing w:before="0" w:after="220" w:line="469" w:lineRule="exact"/>
        <w:ind w:left="0" w:right="0" w:firstLine="440"/>
        <w:jc w:val="both"/>
      </w:pPr>
      <w:r>
        <w:rPr>
          <w:color w:val="000000"/>
          <w:spacing w:val="0"/>
          <w:w w:val="100"/>
          <w:position w:val="0"/>
        </w:rPr>
        <w:t>如在职工劳动合同到期之前决定解除与职工的劳动关系，或为鼓励职工自愿接受裁减而提出给予补偿 的建议，如果本集团已经制定正式的解除劳动关系计划或提出自愿裁减建议，并即将实施，同时本集团不 能单方面撤回解除劳动关系计划或裁减建议的，确认因解除与职工劳动关系给予补偿产生的负债，计入当 期损益。本集团辞退福利是由于职工内部离退休产生。</w:t>
      </w:r>
    </w:p>
    <w:p>
      <w:pPr>
        <w:pStyle w:val="Style44"/>
        <w:keepNext/>
        <w:keepLines/>
        <w:widowControl w:val="0"/>
        <w:shd w:val="clear" w:color="auto" w:fill="auto"/>
        <w:tabs>
          <w:tab w:pos="483" w:val="left"/>
        </w:tabs>
        <w:bidi w:val="0"/>
        <w:spacing w:before="0" w:after="220" w:line="469" w:lineRule="exact"/>
        <w:ind w:left="0" w:right="0" w:firstLine="0"/>
        <w:jc w:val="both"/>
      </w:pPr>
      <w:bookmarkStart w:id="986" w:name="bookmark986"/>
      <w:bookmarkStart w:id="987" w:name="bookmark987"/>
      <w:bookmarkStart w:id="988" w:name="bookmark988"/>
      <w:bookmarkStart w:id="989" w:name="bookmark989"/>
      <w:r>
        <w:rPr>
          <w:rFonts w:ascii="Times New Roman" w:eastAsia="Times New Roman" w:hAnsi="Times New Roman" w:cs="Times New Roman"/>
          <w:color w:val="000000"/>
          <w:spacing w:val="0"/>
          <w:w w:val="100"/>
          <w:position w:val="0"/>
        </w:rPr>
        <w:t>2</w:t>
      </w:r>
      <w:bookmarkEnd w:id="988"/>
      <w:r>
        <w:rPr>
          <w:rFonts w:ascii="Times New Roman" w:eastAsia="Times New Roman" w:hAnsi="Times New Roman" w:cs="Times New Roman"/>
          <w:color w:val="000000"/>
          <w:spacing w:val="0"/>
          <w:w w:val="100"/>
          <w:position w:val="0"/>
        </w:rPr>
        <w:t>3</w:t>
      </w:r>
      <w:r>
        <w:rPr>
          <w:color w:val="000000"/>
          <w:spacing w:val="0"/>
          <w:w w:val="100"/>
          <w:position w:val="0"/>
        </w:rPr>
        <w:t>、</w:t>
        <w:tab/>
        <w:t>预计负债</w:t>
      </w:r>
      <w:bookmarkEnd w:id="986"/>
      <w:bookmarkEnd w:id="987"/>
      <w:bookmarkEnd w:id="989"/>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当与对外担保、商业承兑汇票贴现、未决诉讼或仲裁、产品质量保证等或有事项相关的业务同时符合 以下条件时，本集团将其确认为负债：该义务是本集团承担的现时义务；该义务的履行很可能导致经济利 益流出企业；该义务的金额能够可靠地计量。</w:t>
      </w:r>
    </w:p>
    <w:p>
      <w:pPr>
        <w:pStyle w:val="Style47"/>
        <w:keepNext w:val="0"/>
        <w:keepLines w:val="0"/>
        <w:widowControl w:val="0"/>
        <w:shd w:val="clear" w:color="auto" w:fill="auto"/>
        <w:bidi w:val="0"/>
        <w:spacing w:before="0" w:after="220" w:line="469" w:lineRule="exact"/>
        <w:ind w:left="0" w:right="0" w:firstLine="440"/>
        <w:jc w:val="both"/>
        <w:sectPr>
          <w:headerReference w:type="default" r:id="rId263"/>
          <w:footerReference w:type="default" r:id="rId264"/>
          <w:headerReference w:type="even" r:id="rId265"/>
          <w:footerReference w:type="even" r:id="rId266"/>
          <w:headerReference w:type="first" r:id="rId267"/>
          <w:footerReference w:type="first" r:id="rId268"/>
          <w:footnotePr>
            <w:pos w:val="pageBottom"/>
            <w:numFmt w:val="decimal"/>
            <w:numRestart w:val="continuous"/>
          </w:footnotePr>
          <w:pgSz w:w="11900" w:h="16840"/>
          <w:pgMar w:top="1244" w:right="31" w:bottom="1484" w:left="1093" w:header="0" w:footer="3" w:gutter="0"/>
          <w:cols w:space="720"/>
          <w:noEndnote/>
          <w:titlePg/>
          <w:rtlGutter w:val="0"/>
          <w:docGrid w:linePitch="360"/>
        </w:sectPr>
      </w:pPr>
      <w:r>
        <w:rPr>
          <w:color w:val="000000"/>
          <w:spacing w:val="0"/>
          <w:w w:val="100"/>
          <w:position w:val="0"/>
        </w:rPr>
        <w:t>预计负债按照履行相关现时义务所需支出的最佳估计数进行初始计量，并综合考虑与或有事项有关的 风险、不确定性和货币时间价值等因素。货币时间价值影响重大的，通过对相关未来现金流出进行折现后 确定最佳估计数。每个资产负债表日对预计负债的账面价值进行复核，如有改变则对账面价值进行调整以 反映当前最佳估计数。</w:t>
      </w:r>
    </w:p>
    <w:p>
      <w:pPr>
        <w:pStyle w:val="Style44"/>
        <w:keepNext/>
        <w:keepLines/>
        <w:widowControl w:val="0"/>
        <w:shd w:val="clear" w:color="auto" w:fill="auto"/>
        <w:bidi w:val="0"/>
        <w:spacing w:before="0" w:after="220" w:line="466" w:lineRule="exact"/>
        <w:ind w:left="0" w:right="0" w:firstLine="0"/>
        <w:jc w:val="left"/>
      </w:pPr>
      <w:bookmarkStart w:id="990" w:name="bookmark990"/>
      <w:bookmarkStart w:id="991" w:name="bookmark991"/>
      <w:bookmarkStart w:id="992" w:name="bookmark992"/>
      <w:bookmarkStart w:id="993" w:name="bookmark993"/>
      <w:r>
        <w:rPr>
          <w:rFonts w:ascii="Times New Roman" w:eastAsia="Times New Roman" w:hAnsi="Times New Roman" w:cs="Times New Roman"/>
          <w:color w:val="000000"/>
          <w:spacing w:val="0"/>
          <w:w w:val="100"/>
          <w:position w:val="0"/>
        </w:rPr>
        <w:t>2</w:t>
      </w:r>
      <w:bookmarkEnd w:id="992"/>
      <w:r>
        <w:rPr>
          <w:rFonts w:ascii="Times New Roman" w:eastAsia="Times New Roman" w:hAnsi="Times New Roman" w:cs="Times New Roman"/>
          <w:color w:val="000000"/>
          <w:spacing w:val="0"/>
          <w:w w:val="100"/>
          <w:position w:val="0"/>
        </w:rPr>
        <w:t>4</w:t>
      </w:r>
      <w:r>
        <w:rPr>
          <w:color w:val="000000"/>
          <w:spacing w:val="0"/>
          <w:w w:val="100"/>
          <w:position w:val="0"/>
        </w:rPr>
        <w:t>、股份支付</w:t>
      </w:r>
      <w:bookmarkEnd w:id="990"/>
      <w:bookmarkEnd w:id="991"/>
      <w:bookmarkEnd w:id="993"/>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股份支付是指为了获取职工或其他方提供服务而授予权益工具或者承担以权益工具为基础确定的负 债的交易。股份支付分为以权益结算的股份支付和以现金结算的股份支付。</w:t>
      </w:r>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用以换取职工提供服务的以权益结算的股份支付，以授予职工权益工具在授予日的公允价值计量。该 公允价值的金额在完成等待期内的服务或达到规定业绩条件才可行权的情况下，在等待期内以对可行权权 益工具数量的最佳估计为基础，按直线法计算计入相关成本或费用，相应增加资本公积。</w:t>
      </w:r>
    </w:p>
    <w:p>
      <w:pPr>
        <w:pStyle w:val="Style47"/>
        <w:keepNext w:val="0"/>
        <w:keepLines w:val="0"/>
        <w:widowControl w:val="0"/>
        <w:shd w:val="clear" w:color="auto" w:fill="auto"/>
        <w:bidi w:val="0"/>
        <w:spacing w:before="0" w:after="0" w:line="466" w:lineRule="exact"/>
        <w:ind w:left="0" w:right="0" w:firstLine="440"/>
        <w:jc w:val="both"/>
      </w:pPr>
      <w:r>
        <w:rPr>
          <w:color w:val="000000"/>
          <w:spacing w:val="0"/>
          <w:w w:val="100"/>
          <w:position w:val="0"/>
        </w:rPr>
        <w:t>以现金结算的股份支付，按照本集团承担的以股份或其他权益工具为基础确定的负债的公允价值计 量。如授予后立即可行权，在授予日以承担负债的公允价值计入相关成本或费用，相应增加负债；如需完 成等待期内的服务或达到规定业绩条件以后才可行权，在等待期的每个资产负债表日，以对可行权情况的 最佳估计为基础，按照本集团承担负债的公允价值金额，将当期取得的服务计入成本或费用，相应调整负 债。</w:t>
      </w:r>
    </w:p>
    <w:p>
      <w:pPr>
        <w:pStyle w:val="Style47"/>
        <w:keepNext w:val="0"/>
        <w:keepLines w:val="0"/>
        <w:widowControl w:val="0"/>
        <w:shd w:val="clear" w:color="auto" w:fill="auto"/>
        <w:bidi w:val="0"/>
        <w:spacing w:before="0" w:after="420" w:line="466" w:lineRule="exact"/>
        <w:ind w:left="0" w:right="0" w:firstLine="440"/>
        <w:jc w:val="both"/>
      </w:pPr>
      <w:r>
        <w:rPr>
          <w:color w:val="000000"/>
          <w:spacing w:val="0"/>
          <w:w w:val="100"/>
          <w:position w:val="0"/>
        </w:rPr>
        <w:t>在相关负债结算前的每个资产负债表日以及结算日，对负债的公允价值重新计量，其变动计入当期损 益。</w:t>
      </w:r>
    </w:p>
    <w:p>
      <w:pPr>
        <w:pStyle w:val="Style44"/>
        <w:keepNext/>
        <w:keepLines/>
        <w:widowControl w:val="0"/>
        <w:shd w:val="clear" w:color="auto" w:fill="auto"/>
        <w:bidi w:val="0"/>
        <w:spacing w:before="0" w:after="120" w:line="240" w:lineRule="auto"/>
        <w:ind w:left="0" w:right="0" w:firstLine="0"/>
        <w:jc w:val="left"/>
      </w:pPr>
      <w:bookmarkStart w:id="994" w:name="bookmark994"/>
      <w:bookmarkStart w:id="995" w:name="bookmark995"/>
      <w:bookmarkStart w:id="996" w:name="bookmark996"/>
      <w:bookmarkStart w:id="997" w:name="bookmark997"/>
      <w:r>
        <w:rPr>
          <w:rFonts w:ascii="Times New Roman" w:eastAsia="Times New Roman" w:hAnsi="Times New Roman" w:cs="Times New Roman"/>
          <w:color w:val="000000"/>
          <w:spacing w:val="0"/>
          <w:w w:val="100"/>
          <w:position w:val="0"/>
        </w:rPr>
        <w:t>2</w:t>
      </w:r>
      <w:bookmarkEnd w:id="996"/>
      <w:r>
        <w:rPr>
          <w:rFonts w:ascii="Times New Roman" w:eastAsia="Times New Roman" w:hAnsi="Times New Roman" w:cs="Times New Roman"/>
          <w:color w:val="000000"/>
          <w:spacing w:val="0"/>
          <w:w w:val="100"/>
          <w:position w:val="0"/>
        </w:rPr>
        <w:t>5</w:t>
      </w:r>
      <w:r>
        <w:rPr>
          <w:color w:val="000000"/>
          <w:spacing w:val="0"/>
          <w:w w:val="100"/>
          <w:position w:val="0"/>
        </w:rPr>
        <w:t>、收入</w:t>
      </w:r>
      <w:bookmarkEnd w:id="994"/>
      <w:bookmarkEnd w:id="995"/>
      <w:bookmarkEnd w:id="997"/>
    </w:p>
    <w:p>
      <w:pPr>
        <w:pStyle w:val="Style35"/>
        <w:keepNext w:val="0"/>
        <w:keepLines w:val="0"/>
        <w:widowControl w:val="0"/>
        <w:shd w:val="clear" w:color="auto" w:fill="auto"/>
        <w:bidi w:val="0"/>
        <w:spacing w:before="0" w:after="160" w:line="471" w:lineRule="exact"/>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47"/>
        <w:keepNext w:val="0"/>
        <w:keepLines w:val="0"/>
        <w:widowControl w:val="0"/>
        <w:numPr>
          <w:ilvl w:val="0"/>
          <w:numId w:val="77"/>
        </w:numPr>
        <w:shd w:val="clear" w:color="auto" w:fill="auto"/>
        <w:tabs>
          <w:tab w:pos="755" w:val="left"/>
        </w:tabs>
        <w:bidi w:val="0"/>
        <w:spacing w:before="0" w:after="0" w:line="492" w:lineRule="auto"/>
        <w:ind w:left="0" w:right="0" w:firstLine="440"/>
        <w:jc w:val="both"/>
      </w:pPr>
      <w:bookmarkStart w:id="998" w:name="bookmark998"/>
      <w:bookmarkEnd w:id="998"/>
      <w:r>
        <w:rPr>
          <w:color w:val="000000"/>
          <w:spacing w:val="0"/>
          <w:w w:val="100"/>
          <w:position w:val="0"/>
        </w:rPr>
        <w:t>收入的确认</w:t>
      </w:r>
    </w:p>
    <w:p>
      <w:pPr>
        <w:pStyle w:val="Style47"/>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本集团的收入主要包括信息化解决方案、软件开发收入、服务收入、销售商品收入、让渡资产使用权 收入等。</w:t>
      </w:r>
    </w:p>
    <w:p>
      <w:pPr>
        <w:pStyle w:val="Style47"/>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本集团在履行了合同中的履约义务，即在客户取得相关商品控制权时确认收入。取得相关商品控制权 是指能够主导该商品的使用并从中获得几乎全部的经济利益。</w:t>
      </w:r>
    </w:p>
    <w:p>
      <w:pPr>
        <w:pStyle w:val="Style47"/>
        <w:keepNext w:val="0"/>
        <w:keepLines w:val="0"/>
        <w:widowControl w:val="0"/>
        <w:numPr>
          <w:ilvl w:val="0"/>
          <w:numId w:val="77"/>
        </w:numPr>
        <w:shd w:val="clear" w:color="auto" w:fill="auto"/>
        <w:tabs>
          <w:tab w:pos="738" w:val="left"/>
        </w:tabs>
        <w:bidi w:val="0"/>
        <w:spacing w:before="0" w:after="0" w:line="471" w:lineRule="exact"/>
        <w:ind w:left="0" w:right="0" w:firstLine="440"/>
        <w:jc w:val="both"/>
      </w:pPr>
      <w:bookmarkStart w:id="999" w:name="bookmark999"/>
      <w:bookmarkEnd w:id="999"/>
      <w:r>
        <w:rPr>
          <w:color w:val="000000"/>
          <w:spacing w:val="0"/>
          <w:w w:val="100"/>
          <w:position w:val="0"/>
        </w:rPr>
        <w:t>本集团依据收入准则相关规定判断相关履约义务性质属于</w:t>
      </w:r>
      <w:r>
        <w:rPr>
          <w:rFonts w:ascii="Times New Roman" w:eastAsia="Times New Roman" w:hAnsi="Times New Roman" w:cs="Times New Roman"/>
          <w:color w:val="000000"/>
          <w:spacing w:val="0"/>
          <w:w w:val="100"/>
          <w:position w:val="0"/>
        </w:rPr>
        <w:t>“</w:t>
      </w:r>
      <w:r>
        <w:rPr>
          <w:color w:val="000000"/>
          <w:spacing w:val="0"/>
          <w:w w:val="100"/>
          <w:position w:val="0"/>
        </w:rPr>
        <w:t>在某一时段内履行的履约义务</w:t>
      </w:r>
      <w:r>
        <w:rPr>
          <w:rFonts w:ascii="Times New Roman" w:eastAsia="Times New Roman" w:hAnsi="Times New Roman" w:cs="Times New Roman"/>
          <w:color w:val="000000"/>
          <w:spacing w:val="0"/>
          <w:w w:val="100"/>
          <w:position w:val="0"/>
        </w:rPr>
        <w:t>”</w:t>
      </w:r>
      <w:r>
        <w:rPr>
          <w:color w:val="000000"/>
          <w:spacing w:val="0"/>
          <w:w w:val="100"/>
          <w:position w:val="0"/>
        </w:rPr>
        <w:t>或</w:t>
      </w:r>
      <w:r>
        <w:rPr>
          <w:rFonts w:ascii="Times New Roman" w:eastAsia="Times New Roman" w:hAnsi="Times New Roman" w:cs="Times New Roman"/>
          <w:color w:val="000000"/>
          <w:spacing w:val="0"/>
          <w:w w:val="100"/>
          <w:position w:val="0"/>
        </w:rPr>
        <w:t>“</w:t>
      </w:r>
      <w:r>
        <w:rPr>
          <w:color w:val="000000"/>
          <w:spacing w:val="0"/>
          <w:w w:val="100"/>
          <w:position w:val="0"/>
        </w:rPr>
        <w:t>某一 时点履行的履约义务</w:t>
      </w:r>
      <w:r>
        <w:rPr>
          <w:color w:val="000000"/>
          <w:spacing w:val="0"/>
          <w:w w:val="100"/>
          <w:position w:val="0"/>
        </w:rPr>
        <w:t>''，</w:t>
      </w:r>
      <w:r>
        <w:rPr>
          <w:color w:val="000000"/>
          <w:spacing w:val="0"/>
          <w:w w:val="100"/>
          <w:position w:val="0"/>
        </w:rPr>
        <w:t>分别按以下原则进行收入确认。</w:t>
      </w:r>
    </w:p>
    <w:p>
      <w:pPr>
        <w:pStyle w:val="Style47"/>
        <w:keepNext w:val="0"/>
        <w:keepLines w:val="0"/>
        <w:widowControl w:val="0"/>
        <w:shd w:val="clear" w:color="auto" w:fill="auto"/>
        <w:bidi w:val="0"/>
        <w:spacing w:before="0" w:after="0" w:line="471" w:lineRule="exact"/>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）本集团满足下列条件之一的，属于在某一时段内履行履约义务：</w:t>
      </w:r>
    </w:p>
    <w:p>
      <w:pPr>
        <w:pStyle w:val="Style47"/>
        <w:keepNext w:val="0"/>
        <w:keepLines w:val="0"/>
        <w:widowControl w:val="0"/>
        <w:numPr>
          <w:ilvl w:val="0"/>
          <w:numId w:val="79"/>
        </w:numPr>
        <w:shd w:val="clear" w:color="auto" w:fill="auto"/>
        <w:tabs>
          <w:tab w:pos="832" w:val="left"/>
        </w:tabs>
        <w:bidi w:val="0"/>
        <w:spacing w:before="0" w:after="0" w:line="471" w:lineRule="exact"/>
        <w:ind w:left="0" w:right="0" w:firstLine="440"/>
        <w:jc w:val="left"/>
      </w:pPr>
      <w:bookmarkStart w:id="1000" w:name="bookmark1000"/>
      <w:bookmarkEnd w:id="1000"/>
      <w:r>
        <w:rPr>
          <w:color w:val="000000"/>
          <w:spacing w:val="0"/>
          <w:w w:val="100"/>
          <w:position w:val="0"/>
        </w:rPr>
        <w:t>客户在本集团履约的同时即取得并消耗本集团履约所带来的经济利益。</w:t>
      </w:r>
    </w:p>
    <w:p>
      <w:pPr>
        <w:pStyle w:val="Style47"/>
        <w:keepNext w:val="0"/>
        <w:keepLines w:val="0"/>
        <w:widowControl w:val="0"/>
        <w:numPr>
          <w:ilvl w:val="0"/>
          <w:numId w:val="79"/>
        </w:numPr>
        <w:shd w:val="clear" w:color="auto" w:fill="auto"/>
        <w:tabs>
          <w:tab w:pos="837" w:val="left"/>
        </w:tabs>
        <w:bidi w:val="0"/>
        <w:spacing w:before="0" w:after="0" w:line="471" w:lineRule="exact"/>
        <w:ind w:left="0" w:right="0" w:firstLine="440"/>
        <w:jc w:val="left"/>
      </w:pPr>
      <w:bookmarkStart w:id="1001" w:name="bookmark1001"/>
      <w:bookmarkEnd w:id="1001"/>
      <w:r>
        <w:rPr>
          <w:color w:val="000000"/>
          <w:spacing w:val="0"/>
          <w:w w:val="100"/>
          <w:position w:val="0"/>
        </w:rPr>
        <w:t>客户能够控制本集团履约过程中在建的资产。</w:t>
      </w:r>
    </w:p>
    <w:p>
      <w:pPr>
        <w:pStyle w:val="Style47"/>
        <w:keepNext w:val="0"/>
        <w:keepLines w:val="0"/>
        <w:widowControl w:val="0"/>
        <w:numPr>
          <w:ilvl w:val="0"/>
          <w:numId w:val="79"/>
        </w:numPr>
        <w:shd w:val="clear" w:color="auto" w:fill="auto"/>
        <w:tabs>
          <w:tab w:pos="814" w:val="left"/>
        </w:tabs>
        <w:bidi w:val="0"/>
        <w:spacing w:before="0" w:after="0" w:line="471" w:lineRule="exact"/>
        <w:ind w:left="0" w:right="0" w:firstLine="440"/>
        <w:jc w:val="both"/>
      </w:pPr>
      <w:bookmarkStart w:id="1002" w:name="bookmark1002"/>
      <w:bookmarkEnd w:id="1002"/>
      <w:r>
        <w:rPr>
          <w:color w:val="000000"/>
          <w:spacing w:val="0"/>
          <w:w w:val="100"/>
          <w:position w:val="0"/>
        </w:rPr>
        <w:t>本集团履约过程中所产出的资产具有不可替代用途，且本集团在整个合同期内有权就累计至今已完 成的履约部分收取款项。</w:t>
      </w:r>
    </w:p>
    <w:p>
      <w:pPr>
        <w:pStyle w:val="Style47"/>
        <w:keepNext w:val="0"/>
        <w:keepLines w:val="0"/>
        <w:widowControl w:val="0"/>
        <w:shd w:val="clear" w:color="auto" w:fill="auto"/>
        <w:bidi w:val="0"/>
        <w:spacing w:before="0" w:after="140" w:line="471" w:lineRule="exact"/>
        <w:ind w:left="0" w:right="0" w:firstLine="440"/>
        <w:jc w:val="both"/>
      </w:pPr>
      <w:r>
        <w:rPr>
          <w:color w:val="000000"/>
          <w:spacing w:val="0"/>
          <w:w w:val="100"/>
          <w:position w:val="0"/>
        </w:rPr>
        <w:t>对于在某一时段内履行的履约义务，本集团在该段时间内按照履约进度确认收入，但是，履约进度不 能合理确定的除外。本集团考虑商品的性质，采用产出法或投入法确定恰当的履约进度。</w:t>
      </w:r>
    </w:p>
    <w:p>
      <w:pPr>
        <w:pStyle w:val="Style47"/>
        <w:keepNext w:val="0"/>
        <w:keepLines w:val="0"/>
        <w:widowControl w:val="0"/>
        <w:shd w:val="clear" w:color="auto" w:fill="auto"/>
        <w:bidi w:val="0"/>
        <w:spacing w:before="0" w:after="0" w:line="472" w:lineRule="exact"/>
        <w:ind w:left="0" w:right="0" w:firstLine="440"/>
        <w:jc w:val="both"/>
      </w:pPr>
      <w:bookmarkStart w:id="1003" w:name="bookmark1003"/>
      <w:r>
        <w:rPr>
          <w:color w:val="000000"/>
          <w:spacing w:val="0"/>
          <w:w w:val="100"/>
          <w:position w:val="0"/>
        </w:rPr>
        <w:t>（</w:t>
      </w:r>
      <w:bookmarkEnd w:id="1003"/>
      <w:r>
        <w:rPr>
          <w:rFonts w:ascii="Times New Roman" w:eastAsia="Times New Roman" w:hAnsi="Times New Roman" w:cs="Times New Roman"/>
          <w:color w:val="000000"/>
          <w:spacing w:val="0"/>
          <w:w w:val="100"/>
          <w:position w:val="0"/>
        </w:rPr>
        <w:t>2</w:t>
      </w:r>
      <w:r>
        <w:rPr>
          <w:color w:val="000000"/>
          <w:spacing w:val="0"/>
          <w:w w:val="100"/>
          <w:position w:val="0"/>
        </w:rPr>
        <w:t>）对于不属于在某一时段内履行的履约义务，属于在某一时点履行的履约义务，本集团在客户取 得相关商品控制权时点确认收入。</w:t>
      </w:r>
    </w:p>
    <w:p>
      <w:pPr>
        <w:pStyle w:val="Style47"/>
        <w:keepNext w:val="0"/>
        <w:keepLines w:val="0"/>
        <w:widowControl w:val="0"/>
        <w:shd w:val="clear" w:color="auto" w:fill="auto"/>
        <w:bidi w:val="0"/>
        <w:spacing w:before="0" w:after="0" w:line="472" w:lineRule="exact"/>
        <w:ind w:left="0" w:right="0" w:firstLine="440"/>
        <w:jc w:val="left"/>
      </w:pPr>
      <w:r>
        <w:rPr>
          <w:color w:val="000000"/>
          <w:spacing w:val="0"/>
          <w:w w:val="100"/>
          <w:position w:val="0"/>
        </w:rPr>
        <w:t>在判断客户是否已取得商品控制权时，本集团考虑下列迹象：</w:t>
      </w:r>
    </w:p>
    <w:p>
      <w:pPr>
        <w:pStyle w:val="Style47"/>
        <w:keepNext w:val="0"/>
        <w:keepLines w:val="0"/>
        <w:widowControl w:val="0"/>
        <w:numPr>
          <w:ilvl w:val="0"/>
          <w:numId w:val="81"/>
        </w:numPr>
        <w:shd w:val="clear" w:color="auto" w:fill="auto"/>
        <w:tabs>
          <w:tab w:pos="807" w:val="left"/>
        </w:tabs>
        <w:bidi w:val="0"/>
        <w:spacing w:before="0" w:after="0" w:line="472" w:lineRule="exact"/>
        <w:ind w:left="0" w:right="0" w:firstLine="440"/>
        <w:jc w:val="left"/>
      </w:pPr>
      <w:bookmarkStart w:id="1004" w:name="bookmark1004"/>
      <w:bookmarkEnd w:id="1004"/>
      <w:r>
        <w:rPr>
          <w:color w:val="000000"/>
          <w:spacing w:val="0"/>
          <w:w w:val="100"/>
          <w:position w:val="0"/>
        </w:rPr>
        <w:t>本集团就该商品享有现时收款权利，即客户就该商品负有现时付款义务。</w:t>
      </w:r>
    </w:p>
    <w:p>
      <w:pPr>
        <w:pStyle w:val="Style47"/>
        <w:keepNext w:val="0"/>
        <w:keepLines w:val="0"/>
        <w:widowControl w:val="0"/>
        <w:numPr>
          <w:ilvl w:val="0"/>
          <w:numId w:val="81"/>
        </w:numPr>
        <w:shd w:val="clear" w:color="auto" w:fill="auto"/>
        <w:tabs>
          <w:tab w:pos="812" w:val="left"/>
        </w:tabs>
        <w:bidi w:val="0"/>
        <w:spacing w:before="0" w:after="0" w:line="472" w:lineRule="exact"/>
        <w:ind w:left="0" w:right="0" w:firstLine="440"/>
        <w:jc w:val="left"/>
      </w:pPr>
      <w:bookmarkStart w:id="1005" w:name="bookmark1005"/>
      <w:bookmarkEnd w:id="1005"/>
      <w:r>
        <w:rPr>
          <w:color w:val="000000"/>
          <w:spacing w:val="0"/>
          <w:w w:val="100"/>
          <w:position w:val="0"/>
        </w:rPr>
        <w:t>本集团已将该商品的法定所有权转移给客户，即客户已拥有该商品的法定所有权。</w:t>
      </w:r>
    </w:p>
    <w:p>
      <w:pPr>
        <w:pStyle w:val="Style47"/>
        <w:keepNext w:val="0"/>
        <w:keepLines w:val="0"/>
        <w:widowControl w:val="0"/>
        <w:numPr>
          <w:ilvl w:val="0"/>
          <w:numId w:val="81"/>
        </w:numPr>
        <w:shd w:val="clear" w:color="auto" w:fill="auto"/>
        <w:tabs>
          <w:tab w:pos="812" w:val="left"/>
        </w:tabs>
        <w:bidi w:val="0"/>
        <w:spacing w:before="0" w:after="0" w:line="472" w:lineRule="exact"/>
        <w:ind w:left="0" w:right="0" w:firstLine="440"/>
        <w:jc w:val="left"/>
      </w:pPr>
      <w:bookmarkStart w:id="1006" w:name="bookmark1006"/>
      <w:bookmarkEnd w:id="1006"/>
      <w:r>
        <w:rPr>
          <w:color w:val="000000"/>
          <w:spacing w:val="0"/>
          <w:w w:val="100"/>
          <w:position w:val="0"/>
        </w:rPr>
        <w:t>本集团已将该商品实物转移给客户，即客户已实物占有该商品。</w:t>
      </w:r>
    </w:p>
    <w:p>
      <w:pPr>
        <w:pStyle w:val="Style47"/>
        <w:keepNext w:val="0"/>
        <w:keepLines w:val="0"/>
        <w:widowControl w:val="0"/>
        <w:numPr>
          <w:ilvl w:val="0"/>
          <w:numId w:val="81"/>
        </w:numPr>
        <w:shd w:val="clear" w:color="auto" w:fill="auto"/>
        <w:tabs>
          <w:tab w:pos="780" w:val="left"/>
        </w:tabs>
        <w:bidi w:val="0"/>
        <w:spacing w:before="0" w:after="0" w:line="472" w:lineRule="exact"/>
        <w:ind w:left="0" w:right="0" w:firstLine="440"/>
        <w:jc w:val="both"/>
      </w:pPr>
      <w:bookmarkStart w:id="1007" w:name="bookmark1007"/>
      <w:bookmarkEnd w:id="1007"/>
      <w:r>
        <w:rPr>
          <w:color w:val="000000"/>
          <w:spacing w:val="0"/>
          <w:w w:val="100"/>
          <w:position w:val="0"/>
        </w:rPr>
        <w:t>本集团已将该商品所有权上的主要风险和报酬转移给客户，即客户已取得该商品所有权上的主要风 险和报酬。</w:t>
      </w:r>
    </w:p>
    <w:p>
      <w:pPr>
        <w:pStyle w:val="Style47"/>
        <w:keepNext w:val="0"/>
        <w:keepLines w:val="0"/>
        <w:widowControl w:val="0"/>
        <w:numPr>
          <w:ilvl w:val="0"/>
          <w:numId w:val="81"/>
        </w:numPr>
        <w:shd w:val="clear" w:color="auto" w:fill="auto"/>
        <w:tabs>
          <w:tab w:pos="812" w:val="left"/>
        </w:tabs>
        <w:bidi w:val="0"/>
        <w:spacing w:before="0" w:after="0" w:line="472" w:lineRule="exact"/>
        <w:ind w:left="0" w:right="0" w:firstLine="440"/>
        <w:jc w:val="both"/>
      </w:pPr>
      <w:bookmarkStart w:id="1008" w:name="bookmark1008"/>
      <w:bookmarkEnd w:id="1008"/>
      <w:r>
        <w:rPr>
          <w:color w:val="000000"/>
          <w:spacing w:val="0"/>
          <w:w w:val="100"/>
          <w:position w:val="0"/>
        </w:rPr>
        <w:t>客户已接受该商品。</w:t>
      </w:r>
    </w:p>
    <w:p>
      <w:pPr>
        <w:pStyle w:val="Style47"/>
        <w:keepNext w:val="0"/>
        <w:keepLines w:val="0"/>
        <w:widowControl w:val="0"/>
        <w:numPr>
          <w:ilvl w:val="0"/>
          <w:numId w:val="81"/>
        </w:numPr>
        <w:shd w:val="clear" w:color="auto" w:fill="auto"/>
        <w:tabs>
          <w:tab w:pos="812" w:val="left"/>
        </w:tabs>
        <w:bidi w:val="0"/>
        <w:spacing w:before="0" w:after="0" w:line="472" w:lineRule="exact"/>
        <w:ind w:left="0" w:right="0" w:firstLine="440"/>
        <w:jc w:val="both"/>
      </w:pPr>
      <w:bookmarkStart w:id="1009" w:name="bookmark1009"/>
      <w:bookmarkEnd w:id="1009"/>
      <w:r>
        <w:rPr>
          <w:color w:val="000000"/>
          <w:spacing w:val="0"/>
          <w:w w:val="100"/>
          <w:position w:val="0"/>
        </w:rPr>
        <w:t>其他表明客户已取得商品控制权的迹象。具体确认方法如下：</w:t>
      </w:r>
    </w:p>
    <w:p>
      <w:pPr>
        <w:pStyle w:val="Style47"/>
        <w:keepNext w:val="0"/>
        <w:keepLines w:val="0"/>
        <w:widowControl w:val="0"/>
        <w:numPr>
          <w:ilvl w:val="0"/>
          <w:numId w:val="83"/>
        </w:numPr>
        <w:shd w:val="clear" w:color="auto" w:fill="auto"/>
        <w:tabs>
          <w:tab w:pos="713" w:val="left"/>
        </w:tabs>
        <w:bidi w:val="0"/>
        <w:spacing w:before="0" w:after="0" w:line="472" w:lineRule="exact"/>
        <w:ind w:left="0" w:right="0" w:firstLine="440"/>
        <w:jc w:val="both"/>
      </w:pPr>
      <w:bookmarkStart w:id="1010" w:name="bookmark1010"/>
      <w:bookmarkEnd w:id="1010"/>
      <w:r>
        <w:rPr>
          <w:color w:val="000000"/>
          <w:spacing w:val="0"/>
          <w:w w:val="100"/>
          <w:position w:val="0"/>
        </w:rPr>
        <w:t>信息化解决方案：本集团信息化解决方案合同一般包括工艺设计、设备采购、系统集成及安装调试 等一系列业务。对信息化解决方案收入，属于</w:t>
      </w:r>
      <w:r>
        <w:rPr>
          <w:rFonts w:ascii="Times New Roman" w:eastAsia="Times New Roman" w:hAnsi="Times New Roman" w:cs="Times New Roman"/>
          <w:color w:val="000000"/>
          <w:spacing w:val="0"/>
          <w:w w:val="100"/>
          <w:position w:val="0"/>
        </w:rPr>
        <w:t>“</w:t>
      </w:r>
      <w:r>
        <w:rPr>
          <w:color w:val="000000"/>
          <w:spacing w:val="0"/>
          <w:w w:val="100"/>
          <w:position w:val="0"/>
        </w:rPr>
        <w:t>在某一时段内履行的履约义务''的，按照履约进度确认服务 收入；属于</w:t>
      </w:r>
      <w:r>
        <w:rPr>
          <w:rFonts w:ascii="Times New Roman" w:eastAsia="Times New Roman" w:hAnsi="Times New Roman" w:cs="Times New Roman"/>
          <w:color w:val="000000"/>
          <w:spacing w:val="0"/>
          <w:w w:val="100"/>
          <w:position w:val="0"/>
        </w:rPr>
        <w:t>“</w:t>
      </w:r>
      <w:r>
        <w:rPr>
          <w:color w:val="000000"/>
          <w:spacing w:val="0"/>
          <w:w w:val="100"/>
          <w:position w:val="0"/>
        </w:rPr>
        <w:t>某一时点履行的履约义务</w:t>
      </w:r>
      <w:r>
        <w:rPr>
          <w:color w:val="000000"/>
          <w:spacing w:val="0"/>
          <w:w w:val="100"/>
          <w:position w:val="0"/>
        </w:rPr>
        <w:t>''</w:t>
      </w:r>
      <w:r>
        <w:rPr>
          <w:color w:val="000000"/>
          <w:spacing w:val="0"/>
          <w:w w:val="100"/>
          <w:position w:val="0"/>
        </w:rPr>
        <w:t>的，若合同规定需经客户或其他第三方验收的，本集团在系统交付 客户运行并取得客户或其他第三方签署的验收文件后一次性确认收入的实现；若合同未规定需经客户或其 他第三方验收的，本集团在项目完工并移交客户使用时确认收入的实现。</w:t>
      </w:r>
    </w:p>
    <w:p>
      <w:pPr>
        <w:pStyle w:val="Style47"/>
        <w:keepNext w:val="0"/>
        <w:keepLines w:val="0"/>
        <w:widowControl w:val="0"/>
        <w:numPr>
          <w:ilvl w:val="0"/>
          <w:numId w:val="83"/>
        </w:numPr>
        <w:shd w:val="clear" w:color="auto" w:fill="auto"/>
        <w:tabs>
          <w:tab w:pos="722" w:val="left"/>
        </w:tabs>
        <w:bidi w:val="0"/>
        <w:spacing w:before="0" w:after="0" w:line="472" w:lineRule="exact"/>
        <w:ind w:left="0" w:right="0" w:firstLine="440"/>
        <w:jc w:val="both"/>
      </w:pPr>
      <w:bookmarkStart w:id="1011" w:name="bookmark1011"/>
      <w:bookmarkEnd w:id="1011"/>
      <w:r>
        <w:rPr>
          <w:color w:val="000000"/>
          <w:spacing w:val="0"/>
          <w:w w:val="100"/>
          <w:position w:val="0"/>
        </w:rPr>
        <w:t>软件开发收入：本集团软件开发合同主要为客户定制开发的软件产品。对软件开发收入，若合同规 定需经客户验收的，本集团在软件交付客户运行并取得客户或第三方签署的验收文件后一次性确认收入的 实现；若合同未规定需经客户或其他第三方验收的，本集团在项目完成并将开发的软件移交客户后确认收 入的实现。</w:t>
      </w:r>
    </w:p>
    <w:p>
      <w:pPr>
        <w:pStyle w:val="Style47"/>
        <w:keepNext w:val="0"/>
        <w:keepLines w:val="0"/>
        <w:widowControl w:val="0"/>
        <w:numPr>
          <w:ilvl w:val="0"/>
          <w:numId w:val="83"/>
        </w:numPr>
        <w:shd w:val="clear" w:color="auto" w:fill="auto"/>
        <w:tabs>
          <w:tab w:pos="717" w:val="left"/>
        </w:tabs>
        <w:bidi w:val="0"/>
        <w:spacing w:before="0" w:after="0" w:line="472" w:lineRule="exact"/>
        <w:ind w:left="0" w:right="0" w:firstLine="440"/>
        <w:jc w:val="both"/>
      </w:pPr>
      <w:bookmarkStart w:id="1012" w:name="bookmark1012"/>
      <w:bookmarkEnd w:id="1012"/>
      <w:r>
        <w:rPr>
          <w:color w:val="000000"/>
          <w:spacing w:val="0"/>
          <w:w w:val="100"/>
          <w:position w:val="0"/>
        </w:rPr>
        <w:t>服务收入：服务收入主要分为烟草信息化服务业务和会议服务业务两类，包括系统的日常维护保养、 技术支持、系统升级等，还包括公司会议设备的租赁服务等。对服务收入，属于</w:t>
      </w:r>
      <w:r>
        <w:rPr>
          <w:rFonts w:ascii="Times New Roman" w:eastAsia="Times New Roman" w:hAnsi="Times New Roman" w:cs="Times New Roman"/>
          <w:color w:val="000000"/>
          <w:spacing w:val="0"/>
          <w:w w:val="100"/>
          <w:position w:val="0"/>
        </w:rPr>
        <w:t>“</w:t>
      </w:r>
      <w:r>
        <w:rPr>
          <w:color w:val="000000"/>
          <w:spacing w:val="0"/>
          <w:w w:val="100"/>
          <w:position w:val="0"/>
        </w:rPr>
        <w:t>在某一时段内履行的履 约义务</w:t>
      </w:r>
      <w:r>
        <w:rPr>
          <w:color w:val="000000"/>
          <w:spacing w:val="0"/>
          <w:w w:val="100"/>
          <w:position w:val="0"/>
        </w:rPr>
        <w:t>''</w:t>
      </w:r>
      <w:r>
        <w:rPr>
          <w:color w:val="000000"/>
          <w:spacing w:val="0"/>
          <w:w w:val="100"/>
          <w:position w:val="0"/>
        </w:rPr>
        <w:t>的，按照服务进度确认服务收入；属于</w:t>
      </w:r>
      <w:r>
        <w:rPr>
          <w:rFonts w:ascii="Times New Roman" w:eastAsia="Times New Roman" w:hAnsi="Times New Roman" w:cs="Times New Roman"/>
          <w:color w:val="000000"/>
          <w:spacing w:val="0"/>
          <w:w w:val="100"/>
          <w:position w:val="0"/>
        </w:rPr>
        <w:t>“</w:t>
      </w:r>
      <w:r>
        <w:rPr>
          <w:color w:val="000000"/>
          <w:spacing w:val="0"/>
          <w:w w:val="100"/>
          <w:position w:val="0"/>
        </w:rPr>
        <w:t>某一时点履行的履约义务</w:t>
      </w:r>
      <w:r>
        <w:rPr>
          <w:color w:val="000000"/>
          <w:spacing w:val="0"/>
          <w:w w:val="100"/>
          <w:position w:val="0"/>
        </w:rPr>
        <w:t>''</w:t>
      </w:r>
      <w:r>
        <w:rPr>
          <w:color w:val="000000"/>
          <w:spacing w:val="0"/>
          <w:w w:val="100"/>
          <w:position w:val="0"/>
        </w:rPr>
        <w:t>的，在服务完成且成果获得客户 确认时一次性确认收入。</w:t>
      </w:r>
    </w:p>
    <w:p>
      <w:pPr>
        <w:pStyle w:val="Style47"/>
        <w:keepNext w:val="0"/>
        <w:keepLines w:val="0"/>
        <w:widowControl w:val="0"/>
        <w:numPr>
          <w:ilvl w:val="0"/>
          <w:numId w:val="83"/>
        </w:numPr>
        <w:shd w:val="clear" w:color="auto" w:fill="auto"/>
        <w:tabs>
          <w:tab w:pos="722" w:val="left"/>
        </w:tabs>
        <w:bidi w:val="0"/>
        <w:spacing w:before="0" w:after="0" w:line="472" w:lineRule="exact"/>
        <w:ind w:left="0" w:right="0" w:firstLine="440"/>
        <w:jc w:val="both"/>
      </w:pPr>
      <w:bookmarkStart w:id="1013" w:name="bookmark1013"/>
      <w:bookmarkEnd w:id="1013"/>
      <w:r>
        <w:rPr>
          <w:color w:val="000000"/>
          <w:spacing w:val="0"/>
          <w:w w:val="100"/>
          <w:position w:val="0"/>
        </w:rPr>
        <w:t>销售商品收入：本集团对客户销售商品可分为两类，一类为纯粹的商品销售（主要是信息化硬件产 品），本集团在商品交付客户验收后确认销售商品收入的实现；一类对信息化解决方案项目中包括的商品 销售，本集团将其作为信息化解决方案项目一体，在信息化解决方案项目达到收入确认条件时，确认收入 的实现。</w:t>
      </w:r>
    </w:p>
    <w:p>
      <w:pPr>
        <w:pStyle w:val="Style47"/>
        <w:keepNext w:val="0"/>
        <w:keepLines w:val="0"/>
        <w:widowControl w:val="0"/>
        <w:numPr>
          <w:ilvl w:val="0"/>
          <w:numId w:val="83"/>
        </w:numPr>
        <w:shd w:val="clear" w:color="auto" w:fill="auto"/>
        <w:tabs>
          <w:tab w:pos="722" w:val="left"/>
        </w:tabs>
        <w:bidi w:val="0"/>
        <w:spacing w:before="0" w:after="0" w:line="472" w:lineRule="exact"/>
        <w:ind w:left="0" w:right="0" w:firstLine="440"/>
        <w:jc w:val="both"/>
        <w:sectPr>
          <w:headerReference w:type="default" r:id="rId269"/>
          <w:footerReference w:type="default" r:id="rId270"/>
          <w:headerReference w:type="even" r:id="rId271"/>
          <w:footerReference w:type="even" r:id="rId272"/>
          <w:footnotePr>
            <w:pos w:val="pageBottom"/>
            <w:numFmt w:val="decimal"/>
            <w:numRestart w:val="continuous"/>
          </w:footnotePr>
          <w:type w:val="continuous"/>
          <w:pgSz w:w="11900" w:h="16840"/>
          <w:pgMar w:top="1244" w:right="31" w:bottom="1484" w:left="1093" w:header="0" w:footer="3" w:gutter="0"/>
          <w:cols w:space="720"/>
          <w:noEndnote/>
          <w:rtlGutter w:val="0"/>
          <w:docGrid w:linePitch="360"/>
        </w:sectPr>
      </w:pPr>
      <w:bookmarkStart w:id="1014" w:name="bookmark1014"/>
      <w:bookmarkEnd w:id="1014"/>
      <w:r>
        <w:rPr>
          <w:color w:val="000000"/>
          <w:spacing w:val="0"/>
          <w:w w:val="100"/>
          <w:position w:val="0"/>
        </w:rPr>
        <w:t>让渡资产使用权收入：与交易相关的经济利益很可能流入本集团、收入的金额能够可靠地计量时， 确认让渡资产使用权收入的实现。本集团让渡资产使用权收入以房租收入为主，本集团对经营租赁中的租 金在租赁期内各个期间按照直线法（按月）确认收入。</w:t>
      </w:r>
    </w:p>
    <w:p>
      <w:pPr>
        <w:pStyle w:val="Style47"/>
        <w:keepNext w:val="0"/>
        <w:keepLines w:val="0"/>
        <w:widowControl w:val="0"/>
        <w:numPr>
          <w:ilvl w:val="0"/>
          <w:numId w:val="77"/>
        </w:numPr>
        <w:shd w:val="clear" w:color="auto" w:fill="auto"/>
        <w:bidi w:val="0"/>
        <w:spacing w:before="0" w:after="0" w:line="469" w:lineRule="exact"/>
        <w:ind w:left="0" w:right="0" w:firstLine="440"/>
        <w:jc w:val="both"/>
      </w:pPr>
      <w:bookmarkStart w:id="1015" w:name="bookmark1015"/>
      <w:bookmarkEnd w:id="1015"/>
      <w:r>
        <w:rPr>
          <w:color w:val="000000"/>
          <w:spacing w:val="0"/>
          <w:w w:val="100"/>
          <w:position w:val="0"/>
        </w:rPr>
        <w:t>收入的计量</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本集团应当按照分摊至各单项履约义务的交易价格计量收入。在确定交易价格时，本集团考虑可变对 价、合同中存在的重大融资成分、非现金对价、应付客户对价等因素的影响。</w:t>
      </w:r>
    </w:p>
    <w:p>
      <w:pPr>
        <w:pStyle w:val="Style47"/>
        <w:keepNext w:val="0"/>
        <w:keepLines w:val="0"/>
        <w:widowControl w:val="0"/>
        <w:shd w:val="clear" w:color="auto" w:fill="auto"/>
        <w:tabs>
          <w:tab w:pos="923" w:val="left"/>
        </w:tabs>
        <w:bidi w:val="0"/>
        <w:spacing w:before="0" w:after="0" w:line="469" w:lineRule="exact"/>
        <w:ind w:left="0" w:right="0" w:firstLine="440"/>
        <w:jc w:val="both"/>
      </w:pPr>
      <w:bookmarkStart w:id="1016" w:name="bookmark1016"/>
      <w:r>
        <w:rPr>
          <w:color w:val="000000"/>
          <w:spacing w:val="0"/>
          <w:w w:val="100"/>
          <w:position w:val="0"/>
        </w:rPr>
        <w:t>（</w:t>
      </w:r>
      <w:bookmarkEnd w:id="1016"/>
      <w:r>
        <w:rPr>
          <w:rFonts w:ascii="Times New Roman" w:eastAsia="Times New Roman" w:hAnsi="Times New Roman" w:cs="Times New Roman"/>
          <w:color w:val="000000"/>
          <w:spacing w:val="0"/>
          <w:w w:val="100"/>
          <w:position w:val="0"/>
        </w:rPr>
        <w:t>1</w:t>
      </w:r>
      <w:r>
        <w:rPr>
          <w:color w:val="000000"/>
          <w:spacing w:val="0"/>
          <w:w w:val="100"/>
          <w:position w:val="0"/>
        </w:rPr>
        <w:t>）</w:t>
        <w:tab/>
        <w:t>可变对价</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本集团按照期望值或最可能发生金额确定可变对价的最佳估计数，但包含可变对价的交易价格，应当 不超过在相关不确定性消除时累计己确认收入极可能不会发生重大转回的金额。企业在评估累计已确认收 入是否极可能不会发生重大转回时，应当同时考虑收入转回的可能性及其比重。</w:t>
      </w:r>
    </w:p>
    <w:p>
      <w:pPr>
        <w:pStyle w:val="Style47"/>
        <w:keepNext w:val="0"/>
        <w:keepLines w:val="0"/>
        <w:widowControl w:val="0"/>
        <w:shd w:val="clear" w:color="auto" w:fill="auto"/>
        <w:tabs>
          <w:tab w:pos="923" w:val="left"/>
        </w:tabs>
        <w:bidi w:val="0"/>
        <w:spacing w:before="0" w:after="0" w:line="469" w:lineRule="exact"/>
        <w:ind w:left="0" w:right="0" w:firstLine="440"/>
        <w:jc w:val="both"/>
      </w:pPr>
      <w:bookmarkStart w:id="1017" w:name="bookmark1017"/>
      <w:r>
        <w:rPr>
          <w:color w:val="000000"/>
          <w:spacing w:val="0"/>
          <w:w w:val="100"/>
          <w:position w:val="0"/>
        </w:rPr>
        <w:t>（</w:t>
      </w:r>
      <w:bookmarkEnd w:id="1017"/>
      <w:r>
        <w:rPr>
          <w:rFonts w:ascii="Times New Roman" w:eastAsia="Times New Roman" w:hAnsi="Times New Roman" w:cs="Times New Roman"/>
          <w:color w:val="000000"/>
          <w:spacing w:val="0"/>
          <w:w w:val="100"/>
          <w:position w:val="0"/>
        </w:rPr>
        <w:t>2</w:t>
      </w:r>
      <w:r>
        <w:rPr>
          <w:color w:val="000000"/>
          <w:spacing w:val="0"/>
          <w:w w:val="100"/>
          <w:position w:val="0"/>
        </w:rPr>
        <w:t>）</w:t>
        <w:tab/>
        <w:t>重大融资成分</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合同中存在重大融资成分的，本集团应当按照假定客户在取得商品控制权时即以现金支付的应付金额 确定交易价格。该交易价格与合同对价之间的差额，应当在合同期间内采用实际利率法摊销。</w:t>
      </w:r>
    </w:p>
    <w:p>
      <w:pPr>
        <w:pStyle w:val="Style47"/>
        <w:keepNext w:val="0"/>
        <w:keepLines w:val="0"/>
        <w:widowControl w:val="0"/>
        <w:shd w:val="clear" w:color="auto" w:fill="auto"/>
        <w:tabs>
          <w:tab w:pos="923" w:val="left"/>
        </w:tabs>
        <w:bidi w:val="0"/>
        <w:spacing w:before="0" w:after="0" w:line="469" w:lineRule="exact"/>
        <w:ind w:left="0" w:right="0" w:firstLine="440"/>
        <w:jc w:val="both"/>
      </w:pPr>
      <w:bookmarkStart w:id="1018" w:name="bookmark1018"/>
      <w:r>
        <w:rPr>
          <w:color w:val="000000"/>
          <w:spacing w:val="0"/>
          <w:w w:val="100"/>
          <w:position w:val="0"/>
        </w:rPr>
        <w:t>（</w:t>
      </w:r>
      <w:bookmarkEnd w:id="1018"/>
      <w:r>
        <w:rPr>
          <w:rFonts w:ascii="Times New Roman" w:eastAsia="Times New Roman" w:hAnsi="Times New Roman" w:cs="Times New Roman"/>
          <w:color w:val="000000"/>
          <w:spacing w:val="0"/>
          <w:w w:val="100"/>
          <w:position w:val="0"/>
        </w:rPr>
        <w:t>3</w:t>
      </w:r>
      <w:r>
        <w:rPr>
          <w:color w:val="000000"/>
          <w:spacing w:val="0"/>
          <w:w w:val="100"/>
          <w:position w:val="0"/>
        </w:rPr>
        <w:t>）</w:t>
        <w:tab/>
        <w:t>非现金对价</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客户支付非现金对价的，本集团按照非现金对价的公允价值确定交易价格。非现金对价的公允价值不 能合理估计的，本集团参照其承诺向客户转让商品的单独售价间接确定交易价格。</w:t>
      </w:r>
    </w:p>
    <w:p>
      <w:pPr>
        <w:pStyle w:val="Style47"/>
        <w:keepNext w:val="0"/>
        <w:keepLines w:val="0"/>
        <w:widowControl w:val="0"/>
        <w:shd w:val="clear" w:color="auto" w:fill="auto"/>
        <w:tabs>
          <w:tab w:pos="923" w:val="left"/>
        </w:tabs>
        <w:bidi w:val="0"/>
        <w:spacing w:before="0" w:after="0" w:line="469" w:lineRule="exact"/>
        <w:ind w:left="0" w:right="0" w:firstLine="440"/>
        <w:jc w:val="both"/>
      </w:pPr>
      <w:bookmarkStart w:id="1019" w:name="bookmark1019"/>
      <w:r>
        <w:rPr>
          <w:color w:val="000000"/>
          <w:spacing w:val="0"/>
          <w:w w:val="100"/>
          <w:position w:val="0"/>
        </w:rPr>
        <w:t>（</w:t>
      </w:r>
      <w:bookmarkEnd w:id="1019"/>
      <w:r>
        <w:rPr>
          <w:rFonts w:ascii="Times New Roman" w:eastAsia="Times New Roman" w:hAnsi="Times New Roman" w:cs="Times New Roman"/>
          <w:color w:val="000000"/>
          <w:spacing w:val="0"/>
          <w:w w:val="100"/>
          <w:position w:val="0"/>
        </w:rPr>
        <w:t>4</w:t>
      </w:r>
      <w:r>
        <w:rPr>
          <w:color w:val="000000"/>
          <w:spacing w:val="0"/>
          <w:w w:val="100"/>
          <w:position w:val="0"/>
        </w:rPr>
        <w:t>）</w:t>
        <w:tab/>
        <w:t>应付客户对价</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针对应付客户对价的，应当将该应付对价冲减交易价格，并在确认相关收入与支付（或承诺支付）客 户对价二者孰晚的时点冲减当期收入，但应付客户对价是为了向客户取得其他可明确区分商品的除外。</w:t>
      </w:r>
    </w:p>
    <w:p>
      <w:pPr>
        <w:pStyle w:val="Style47"/>
        <w:keepNext w:val="0"/>
        <w:keepLines w:val="0"/>
        <w:widowControl w:val="0"/>
        <w:shd w:val="clear" w:color="auto" w:fill="auto"/>
        <w:bidi w:val="0"/>
        <w:spacing w:before="0" w:after="220" w:line="469" w:lineRule="exact"/>
        <w:ind w:left="0" w:right="0" w:firstLine="440"/>
        <w:jc w:val="both"/>
      </w:pPr>
      <w:r>
        <w:rPr>
          <w:color w:val="000000"/>
          <w:spacing w:val="0"/>
          <w:w w:val="100"/>
          <w:position w:val="0"/>
        </w:rPr>
        <w:t>企业应付客户对价是为了向客户取得其他可明确区分商品的，应当采用与本企业其他采购相一致的方 式确认所购买的商品。企业应付客户对价超过向客户取得可明确区分商品公允价值的，超过金额冲减交易 价格。向客户取得的可明确区分商品公允价值不能合理估计的，企业应当将应付客户对价全额冲减交易价 格。</w:t>
      </w:r>
    </w:p>
    <w:p>
      <w:pPr>
        <w:pStyle w:val="Style44"/>
        <w:keepNext/>
        <w:keepLines/>
        <w:widowControl w:val="0"/>
        <w:shd w:val="clear" w:color="auto" w:fill="auto"/>
        <w:bidi w:val="0"/>
        <w:spacing w:before="0" w:after="220" w:line="466" w:lineRule="exact"/>
        <w:ind w:left="0" w:right="0" w:firstLine="0"/>
        <w:jc w:val="both"/>
      </w:pPr>
      <w:bookmarkStart w:id="1020" w:name="bookmark1020"/>
      <w:bookmarkStart w:id="1021" w:name="bookmark1021"/>
      <w:bookmarkStart w:id="1022" w:name="bookmark1022"/>
      <w:bookmarkStart w:id="1023" w:name="bookmark1023"/>
      <w:r>
        <w:rPr>
          <w:rFonts w:ascii="Times New Roman" w:eastAsia="Times New Roman" w:hAnsi="Times New Roman" w:cs="Times New Roman"/>
          <w:color w:val="000000"/>
          <w:spacing w:val="0"/>
          <w:w w:val="100"/>
          <w:position w:val="0"/>
        </w:rPr>
        <w:t>2</w:t>
      </w:r>
      <w:bookmarkEnd w:id="1022"/>
      <w:r>
        <w:rPr>
          <w:rFonts w:ascii="Times New Roman" w:eastAsia="Times New Roman" w:hAnsi="Times New Roman" w:cs="Times New Roman"/>
          <w:color w:val="000000"/>
          <w:spacing w:val="0"/>
          <w:w w:val="100"/>
          <w:position w:val="0"/>
        </w:rPr>
        <w:t>6</w:t>
      </w:r>
      <w:r>
        <w:rPr>
          <w:color w:val="000000"/>
          <w:spacing w:val="0"/>
          <w:w w:val="100"/>
          <w:position w:val="0"/>
        </w:rPr>
        <w:t>、政府补助</w:t>
      </w:r>
      <w:bookmarkEnd w:id="1020"/>
      <w:bookmarkEnd w:id="1021"/>
      <w:bookmarkEnd w:id="1023"/>
    </w:p>
    <w:p>
      <w:pPr>
        <w:pStyle w:val="Style47"/>
        <w:keepNext w:val="0"/>
        <w:keepLines w:val="0"/>
        <w:widowControl w:val="0"/>
        <w:numPr>
          <w:ilvl w:val="0"/>
          <w:numId w:val="85"/>
        </w:numPr>
        <w:shd w:val="clear" w:color="auto" w:fill="auto"/>
        <w:tabs>
          <w:tab w:pos="755" w:val="left"/>
        </w:tabs>
        <w:bidi w:val="0"/>
        <w:spacing w:before="0" w:after="0" w:line="466" w:lineRule="exact"/>
        <w:ind w:left="0" w:right="0" w:firstLine="440"/>
        <w:jc w:val="both"/>
      </w:pPr>
      <w:bookmarkStart w:id="1024" w:name="bookmark1024"/>
      <w:bookmarkEnd w:id="1024"/>
      <w:r>
        <w:rPr>
          <w:color w:val="000000"/>
          <w:spacing w:val="0"/>
          <w:w w:val="100"/>
          <w:position w:val="0"/>
        </w:rPr>
        <w:t>政府补助包括与资产相关的政府补助和与收益相关的政府补助。</w:t>
      </w:r>
    </w:p>
    <w:p>
      <w:pPr>
        <w:pStyle w:val="Style47"/>
        <w:keepNext w:val="0"/>
        <w:keepLines w:val="0"/>
        <w:widowControl w:val="0"/>
        <w:numPr>
          <w:ilvl w:val="0"/>
          <w:numId w:val="85"/>
        </w:numPr>
        <w:shd w:val="clear" w:color="auto" w:fill="auto"/>
        <w:tabs>
          <w:tab w:pos="774" w:val="left"/>
        </w:tabs>
        <w:bidi w:val="0"/>
        <w:spacing w:before="0" w:after="0" w:line="466" w:lineRule="exact"/>
        <w:ind w:left="0" w:right="0" w:firstLine="440"/>
        <w:jc w:val="both"/>
      </w:pPr>
      <w:bookmarkStart w:id="1025" w:name="bookmark1025"/>
      <w:bookmarkEnd w:id="1025"/>
      <w:r>
        <w:rPr>
          <w:color w:val="000000"/>
          <w:spacing w:val="0"/>
          <w:w w:val="100"/>
          <w:position w:val="0"/>
        </w:rPr>
        <w:t>政府补助为货币性资产的，按照收到或应收的金额计量；政府补助为非货币性资产的，按照公允价</w:t>
      </w:r>
    </w:p>
    <w:p>
      <w:pPr>
        <w:pStyle w:val="Style47"/>
        <w:keepNext w:val="0"/>
        <w:keepLines w:val="0"/>
        <w:widowControl w:val="0"/>
        <w:shd w:val="clear" w:color="auto" w:fill="auto"/>
        <w:bidi w:val="0"/>
        <w:spacing w:before="0" w:after="0" w:line="466" w:lineRule="exact"/>
        <w:ind w:left="0" w:right="0" w:firstLine="0"/>
        <w:jc w:val="left"/>
      </w:pPr>
      <w:r>
        <w:rPr>
          <w:color w:val="000000"/>
          <w:spacing w:val="0"/>
          <w:w w:val="100"/>
          <w:position w:val="0"/>
        </w:rPr>
        <w:t>值计量，公允价值不能可靠取得的，按照名义金额计量。</w:t>
      </w:r>
    </w:p>
    <w:p>
      <w:pPr>
        <w:pStyle w:val="Style47"/>
        <w:keepNext w:val="0"/>
        <w:keepLines w:val="0"/>
        <w:widowControl w:val="0"/>
        <w:numPr>
          <w:ilvl w:val="0"/>
          <w:numId w:val="85"/>
        </w:numPr>
        <w:shd w:val="clear" w:color="auto" w:fill="auto"/>
        <w:tabs>
          <w:tab w:pos="774" w:val="left"/>
        </w:tabs>
        <w:bidi w:val="0"/>
        <w:spacing w:before="0" w:after="0" w:line="466" w:lineRule="exact"/>
        <w:ind w:left="0" w:right="0" w:firstLine="440"/>
        <w:jc w:val="both"/>
      </w:pPr>
      <w:bookmarkStart w:id="1026" w:name="bookmark1026"/>
      <w:bookmarkEnd w:id="1026"/>
      <w:r>
        <w:rPr>
          <w:color w:val="000000"/>
          <w:spacing w:val="0"/>
          <w:w w:val="100"/>
          <w:position w:val="0"/>
        </w:rPr>
        <w:t>政府补助米用总额法</w:t>
      </w:r>
    </w:p>
    <w:p>
      <w:pPr>
        <w:pStyle w:val="Style47"/>
        <w:keepNext w:val="0"/>
        <w:keepLines w:val="0"/>
        <w:widowControl w:val="0"/>
        <w:shd w:val="clear" w:color="auto" w:fill="auto"/>
        <w:tabs>
          <w:tab w:pos="923" w:val="left"/>
        </w:tabs>
        <w:bidi w:val="0"/>
        <w:spacing w:before="0" w:after="0" w:line="466" w:lineRule="exact"/>
        <w:ind w:left="0" w:right="0" w:firstLine="440"/>
        <w:jc w:val="both"/>
      </w:pPr>
      <w:bookmarkStart w:id="1027" w:name="bookmark1027"/>
      <w:r>
        <w:rPr>
          <w:color w:val="000000"/>
          <w:spacing w:val="0"/>
          <w:w w:val="100"/>
          <w:position w:val="0"/>
        </w:rPr>
        <w:t>（</w:t>
      </w:r>
      <w:bookmarkEnd w:id="1027"/>
      <w:r>
        <w:rPr>
          <w:rFonts w:ascii="Times New Roman" w:eastAsia="Times New Roman" w:hAnsi="Times New Roman" w:cs="Times New Roman"/>
          <w:color w:val="000000"/>
          <w:spacing w:val="0"/>
          <w:w w:val="100"/>
          <w:position w:val="0"/>
        </w:rPr>
        <w:t>1</w:t>
      </w:r>
      <w:r>
        <w:rPr>
          <w:color w:val="000000"/>
          <w:spacing w:val="0"/>
          <w:w w:val="100"/>
          <w:position w:val="0"/>
        </w:rPr>
        <w:t>）</w:t>
        <w:tab/>
        <w:t>与资产相关的政府补助，确认为递延收益，在相关资产使用寿命内按照合理、系统的方法分期</w:t>
      </w:r>
    </w:p>
    <w:p>
      <w:pPr>
        <w:pStyle w:val="Style47"/>
        <w:keepNext w:val="0"/>
        <w:keepLines w:val="0"/>
        <w:widowControl w:val="0"/>
        <w:shd w:val="clear" w:color="auto" w:fill="auto"/>
        <w:bidi w:val="0"/>
        <w:spacing w:before="0" w:after="0" w:line="466" w:lineRule="exact"/>
        <w:ind w:left="0" w:right="0" w:firstLine="0"/>
        <w:jc w:val="both"/>
      </w:pPr>
      <w:r>
        <w:rPr>
          <w:color w:val="000000"/>
          <w:spacing w:val="0"/>
          <w:w w:val="100"/>
          <w:position w:val="0"/>
        </w:rPr>
        <w:t>计入损益。相关资产在使用寿命结束前被出售、转让、报废或发生毁损的，将尚未分配的相关递延收益余 额转入资产处置当期的损益。</w:t>
      </w:r>
    </w:p>
    <w:p>
      <w:pPr>
        <w:pStyle w:val="Style47"/>
        <w:keepNext w:val="0"/>
        <w:keepLines w:val="0"/>
        <w:widowControl w:val="0"/>
        <w:shd w:val="clear" w:color="auto" w:fill="auto"/>
        <w:tabs>
          <w:tab w:pos="923" w:val="left"/>
        </w:tabs>
        <w:bidi w:val="0"/>
        <w:spacing w:before="0" w:after="820" w:line="466" w:lineRule="exact"/>
        <w:ind w:left="0" w:right="0" w:firstLine="440"/>
        <w:jc w:val="both"/>
      </w:pPr>
      <w:bookmarkStart w:id="1028" w:name="bookmark1028"/>
      <w:r>
        <w:rPr>
          <w:color w:val="000000"/>
          <w:spacing w:val="0"/>
          <w:w w:val="100"/>
          <w:position w:val="0"/>
        </w:rPr>
        <w:t>（</w:t>
      </w:r>
      <w:bookmarkEnd w:id="1028"/>
      <w:r>
        <w:rPr>
          <w:rFonts w:ascii="Times New Roman" w:eastAsia="Times New Roman" w:hAnsi="Times New Roman" w:cs="Times New Roman"/>
          <w:color w:val="000000"/>
          <w:spacing w:val="0"/>
          <w:w w:val="100"/>
          <w:position w:val="0"/>
        </w:rPr>
        <w:t>2</w:t>
      </w:r>
      <w:r>
        <w:rPr>
          <w:color w:val="000000"/>
          <w:spacing w:val="0"/>
          <w:w w:val="100"/>
          <w:position w:val="0"/>
        </w:rPr>
        <w:t>）</w:t>
        <w:tab/>
        <w:t>与收益相关的政府补助，用于补偿以后期间的相关费用或损失的，确认为递延收益，在确认相</w:t>
      </w:r>
    </w:p>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巨潮查讯</w:t>
      </w:r>
    </w:p>
    <w:p>
      <w:pPr>
        <w:pStyle w:val="Style86"/>
        <w:keepNext w:val="0"/>
        <w:keepLines w:val="0"/>
        <w:widowControl w:val="0"/>
        <w:shd w:val="clear" w:color="auto" w:fill="auto"/>
        <w:bidi w:val="0"/>
        <w:spacing w:before="0" w:after="0" w:line="240" w:lineRule="auto"/>
        <w:ind w:left="0" w:right="0" w:firstLine="0"/>
        <w:jc w:val="right"/>
        <w:sectPr>
          <w:headerReference w:type="default" r:id="rId273"/>
          <w:footerReference w:type="default" r:id="rId274"/>
          <w:headerReference w:type="even" r:id="rId275"/>
          <w:footerReference w:type="even" r:id="rId276"/>
          <w:footnotePr>
            <w:pos w:val="pageBottom"/>
            <w:numFmt w:val="decimal"/>
            <w:numRestart w:val="continuous"/>
          </w:footnotePr>
          <w:pgSz w:w="11900" w:h="16840"/>
          <w:pgMar w:top="1326" w:right="24" w:bottom="169" w:left="1100" w:header="0" w:footer="3" w:gutter="0"/>
          <w:cols w:space="720"/>
          <w:noEndnote/>
          <w:rtlGutter w:val="0"/>
          <w:docGrid w:linePitch="360"/>
        </w:sectPr>
      </w:pPr>
      <w:r>
        <w:fldChar w:fldCharType="begin"/>
      </w:r>
      <w:r>
        <w:rPr/>
        <w:instrText> HYPERLINK "http://www.cnlnfo.com.cn" </w:instrText>
      </w:r>
      <w:r>
        <w:fldChar w:fldCharType="separate"/>
      </w:r>
      <w:r>
        <w:rPr>
          <w:spacing w:val="0"/>
          <w:w w:val="100"/>
          <w:position w:val="0"/>
        </w:rPr>
        <w:t>www.cnlnfo.com.cn</w:t>
      </w:r>
      <w:r>
        <w:fldChar w:fldCharType="end"/>
      </w:r>
    </w:p>
    <w:p>
      <w:pPr>
        <w:pStyle w:val="Style47"/>
        <w:keepNext w:val="0"/>
        <w:keepLines w:val="0"/>
        <w:widowControl w:val="0"/>
        <w:shd w:val="clear" w:color="auto" w:fill="auto"/>
        <w:bidi w:val="0"/>
        <w:spacing w:before="0" w:after="0" w:line="470" w:lineRule="exact"/>
        <w:ind w:left="0" w:right="0" w:firstLine="0"/>
        <w:jc w:val="left"/>
      </w:pPr>
      <w:r>
        <w:rPr>
          <w:color w:val="000000"/>
          <w:spacing w:val="0"/>
          <w:w w:val="100"/>
          <w:position w:val="0"/>
        </w:rPr>
        <w:t>关费用的期间，计入当期损益；用于补偿已发生的相关费用或损失的，直接计入当期损益。</w:t>
      </w:r>
    </w:p>
    <w:p>
      <w:pPr>
        <w:pStyle w:val="Style47"/>
        <w:keepNext w:val="0"/>
        <w:keepLines w:val="0"/>
        <w:widowControl w:val="0"/>
        <w:numPr>
          <w:ilvl w:val="0"/>
          <w:numId w:val="85"/>
        </w:numPr>
        <w:shd w:val="clear" w:color="auto" w:fill="auto"/>
        <w:tabs>
          <w:tab w:pos="723" w:val="left"/>
        </w:tabs>
        <w:bidi w:val="0"/>
        <w:spacing w:before="0" w:after="0" w:line="480" w:lineRule="exact"/>
        <w:ind w:left="0" w:right="0" w:firstLine="440"/>
        <w:jc w:val="both"/>
      </w:pPr>
      <w:bookmarkStart w:id="1029" w:name="bookmark1029"/>
      <w:bookmarkEnd w:id="1029"/>
      <w:r>
        <w:rPr>
          <w:color w:val="000000"/>
          <w:spacing w:val="0"/>
          <w:w w:val="100"/>
          <w:position w:val="0"/>
        </w:rPr>
        <w:t>对于同时包含与资产相关部分和与收益相关部分的政府补助，区分不同部分分别进行会计处理；难 以区分的，整体归类为与收益相关的政府补助。</w:t>
      </w:r>
    </w:p>
    <w:p>
      <w:pPr>
        <w:pStyle w:val="Style47"/>
        <w:keepNext w:val="0"/>
        <w:keepLines w:val="0"/>
        <w:widowControl w:val="0"/>
        <w:numPr>
          <w:ilvl w:val="0"/>
          <w:numId w:val="85"/>
        </w:numPr>
        <w:shd w:val="clear" w:color="auto" w:fill="auto"/>
        <w:tabs>
          <w:tab w:pos="757" w:val="left"/>
        </w:tabs>
        <w:bidi w:val="0"/>
        <w:spacing w:before="0" w:after="0" w:line="480" w:lineRule="exact"/>
        <w:ind w:left="0" w:right="0" w:firstLine="440"/>
        <w:jc w:val="both"/>
      </w:pPr>
      <w:bookmarkStart w:id="1030" w:name="bookmark1030"/>
      <w:bookmarkEnd w:id="1030"/>
      <w:r>
        <w:rPr>
          <w:color w:val="000000"/>
          <w:spacing w:val="0"/>
          <w:w w:val="100"/>
          <w:position w:val="0"/>
        </w:rPr>
        <w:t>本集团将与本集团日常活动相关的政府补助按照经济业务实质计入其他收益或冲减相关成本费用； 将与本集团日常活动无关的政府补助，应当计入营业外收支。</w:t>
      </w:r>
    </w:p>
    <w:p>
      <w:pPr>
        <w:pStyle w:val="Style47"/>
        <w:keepNext w:val="0"/>
        <w:keepLines w:val="0"/>
        <w:widowControl w:val="0"/>
        <w:numPr>
          <w:ilvl w:val="0"/>
          <w:numId w:val="85"/>
        </w:numPr>
        <w:shd w:val="clear" w:color="auto" w:fill="auto"/>
        <w:tabs>
          <w:tab w:pos="752" w:val="left"/>
        </w:tabs>
        <w:bidi w:val="0"/>
        <w:spacing w:before="0" w:after="0" w:line="475" w:lineRule="exact"/>
        <w:ind w:left="0" w:right="0" w:firstLine="440"/>
        <w:jc w:val="both"/>
      </w:pPr>
      <w:bookmarkStart w:id="1031" w:name="bookmark1031"/>
      <w:bookmarkEnd w:id="1031"/>
      <w:r>
        <w:rPr>
          <w:color w:val="000000"/>
          <w:spacing w:val="0"/>
          <w:w w:val="100"/>
          <w:position w:val="0"/>
        </w:rPr>
        <w:t>本集团将取得的政策性优惠贷款贴息按照财政将贴息资金拨付给贷款银行和财政将贴息资金直接拨 付给本集团两种情况处理：</w:t>
      </w:r>
    </w:p>
    <w:p>
      <w:pPr>
        <w:pStyle w:val="Style47"/>
        <w:keepNext w:val="0"/>
        <w:keepLines w:val="0"/>
        <w:widowControl w:val="0"/>
        <w:shd w:val="clear" w:color="auto" w:fill="auto"/>
        <w:tabs>
          <w:tab w:pos="1021" w:val="left"/>
        </w:tabs>
        <w:bidi w:val="0"/>
        <w:spacing w:before="0" w:after="0" w:line="475" w:lineRule="exact"/>
        <w:ind w:left="0" w:right="0" w:firstLine="440"/>
        <w:jc w:val="both"/>
      </w:pPr>
      <w:bookmarkStart w:id="1032" w:name="bookmark1032"/>
      <w:r>
        <w:rPr>
          <w:color w:val="000000"/>
          <w:spacing w:val="0"/>
          <w:w w:val="100"/>
          <w:position w:val="0"/>
        </w:rPr>
        <w:t>（</w:t>
      </w:r>
      <w:bookmarkEnd w:id="1032"/>
      <w:r>
        <w:rPr>
          <w:rFonts w:ascii="Times New Roman" w:eastAsia="Times New Roman" w:hAnsi="Times New Roman" w:cs="Times New Roman"/>
          <w:color w:val="000000"/>
          <w:spacing w:val="0"/>
          <w:w w:val="100"/>
          <w:position w:val="0"/>
        </w:rPr>
        <w:t>1</w:t>
      </w:r>
      <w:r>
        <w:rPr>
          <w:color w:val="000000"/>
          <w:spacing w:val="0"/>
          <w:w w:val="100"/>
          <w:position w:val="0"/>
        </w:rPr>
        <w:t>）</w:t>
        <w:tab/>
        <w:t>财政将贴息资金拨付给贷款银行，由贷款银行以政策性优惠利率向本集团提供贷款的，本集团 选择按照以下方法进行会计处理：以实际收到的借款金额作为借款的入账价值，按照借款本金和该政策性 优惠利率计算相关借款费用。</w:t>
      </w:r>
    </w:p>
    <w:p>
      <w:pPr>
        <w:pStyle w:val="Style47"/>
        <w:keepNext w:val="0"/>
        <w:keepLines w:val="0"/>
        <w:widowControl w:val="0"/>
        <w:shd w:val="clear" w:color="auto" w:fill="auto"/>
        <w:tabs>
          <w:tab w:pos="928" w:val="left"/>
        </w:tabs>
        <w:bidi w:val="0"/>
        <w:spacing w:before="0" w:after="420" w:line="470" w:lineRule="exact"/>
        <w:ind w:left="0" w:right="0" w:firstLine="440"/>
        <w:jc w:val="left"/>
      </w:pPr>
      <w:bookmarkStart w:id="1033" w:name="bookmark1033"/>
      <w:r>
        <w:rPr>
          <w:color w:val="000000"/>
          <w:spacing w:val="0"/>
          <w:w w:val="100"/>
          <w:position w:val="0"/>
        </w:rPr>
        <w:t>（</w:t>
      </w:r>
      <w:bookmarkEnd w:id="1033"/>
      <w:r>
        <w:rPr>
          <w:rFonts w:ascii="Times New Roman" w:eastAsia="Times New Roman" w:hAnsi="Times New Roman" w:cs="Times New Roman"/>
          <w:color w:val="000000"/>
          <w:spacing w:val="0"/>
          <w:w w:val="100"/>
          <w:position w:val="0"/>
        </w:rPr>
        <w:t>2</w:t>
      </w:r>
      <w:r>
        <w:rPr>
          <w:color w:val="000000"/>
          <w:spacing w:val="0"/>
          <w:w w:val="100"/>
          <w:position w:val="0"/>
        </w:rPr>
        <w:t>）</w:t>
        <w:tab/>
        <w:t>财政将贴息资金直接拨付给本集团的，本集团将对应的贴息冲减相关借款费用。</w:t>
      </w:r>
    </w:p>
    <w:p>
      <w:pPr>
        <w:pStyle w:val="Style44"/>
        <w:keepNext/>
        <w:keepLines/>
        <w:widowControl w:val="0"/>
        <w:shd w:val="clear" w:color="auto" w:fill="auto"/>
        <w:tabs>
          <w:tab w:pos="542" w:val="left"/>
        </w:tabs>
        <w:bidi w:val="0"/>
        <w:spacing w:before="0" w:after="0" w:line="480" w:lineRule="auto"/>
        <w:ind w:left="0" w:right="0" w:firstLine="0"/>
        <w:jc w:val="left"/>
      </w:pPr>
      <w:bookmarkStart w:id="1034" w:name="bookmark1034"/>
      <w:bookmarkStart w:id="1035" w:name="bookmark1035"/>
      <w:bookmarkStart w:id="1036" w:name="bookmark1036"/>
      <w:bookmarkStart w:id="1037" w:name="bookmark1037"/>
      <w:r>
        <w:rPr>
          <w:rFonts w:ascii="Times New Roman" w:eastAsia="Times New Roman" w:hAnsi="Times New Roman" w:cs="Times New Roman"/>
          <w:color w:val="000000"/>
          <w:spacing w:val="0"/>
          <w:w w:val="100"/>
          <w:position w:val="0"/>
        </w:rPr>
        <w:t>2</w:t>
      </w:r>
      <w:bookmarkEnd w:id="1036"/>
      <w:r>
        <w:rPr>
          <w:rFonts w:ascii="Times New Roman" w:eastAsia="Times New Roman" w:hAnsi="Times New Roman" w:cs="Times New Roman"/>
          <w:color w:val="000000"/>
          <w:spacing w:val="0"/>
          <w:w w:val="100"/>
          <w:position w:val="0"/>
        </w:rPr>
        <w:t>7</w:t>
      </w:r>
      <w:r>
        <w:rPr>
          <w:color w:val="000000"/>
          <w:spacing w:val="0"/>
          <w:w w:val="100"/>
          <w:position w:val="0"/>
        </w:rPr>
        <w:t>、</w:t>
        <w:tab/>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034"/>
      <w:bookmarkEnd w:id="1035"/>
      <w:bookmarkEnd w:id="1037"/>
    </w:p>
    <w:p>
      <w:pPr>
        <w:pStyle w:val="Style47"/>
        <w:keepNext w:val="0"/>
        <w:keepLines w:val="0"/>
        <w:widowControl w:val="0"/>
        <w:numPr>
          <w:ilvl w:val="0"/>
          <w:numId w:val="87"/>
        </w:numPr>
        <w:shd w:val="clear" w:color="auto" w:fill="auto"/>
        <w:tabs>
          <w:tab w:pos="747" w:val="left"/>
        </w:tabs>
        <w:bidi w:val="0"/>
        <w:spacing w:before="0" w:after="0" w:line="469" w:lineRule="exact"/>
        <w:ind w:left="0" w:right="0" w:firstLine="440"/>
        <w:jc w:val="both"/>
      </w:pPr>
      <w:bookmarkStart w:id="1038" w:name="bookmark1038"/>
      <w:bookmarkEnd w:id="1038"/>
      <w:r>
        <w:rPr>
          <w:color w:val="000000"/>
          <w:spacing w:val="0"/>
          <w:w w:val="100"/>
          <w:position w:val="0"/>
        </w:rPr>
        <w:t>根据资产、负债的账面价值与其计税基础之间的差额（未作为资产和负债确认的项目按照税法规定 可以确定其计税基础的，该计税基础与其账面数之间的差额），按照预期收回该资产或清偿该负债期间的 适用税率计算确认递延所得税资产或递延所得税负债。</w:t>
      </w:r>
    </w:p>
    <w:p>
      <w:pPr>
        <w:pStyle w:val="Style47"/>
        <w:keepNext w:val="0"/>
        <w:keepLines w:val="0"/>
        <w:widowControl w:val="0"/>
        <w:numPr>
          <w:ilvl w:val="0"/>
          <w:numId w:val="87"/>
        </w:numPr>
        <w:shd w:val="clear" w:color="auto" w:fill="auto"/>
        <w:tabs>
          <w:tab w:pos="747" w:val="left"/>
        </w:tabs>
        <w:bidi w:val="0"/>
        <w:spacing w:before="0" w:after="0" w:line="469" w:lineRule="exact"/>
        <w:ind w:left="0" w:right="0" w:firstLine="440"/>
        <w:jc w:val="both"/>
      </w:pPr>
      <w:bookmarkStart w:id="1039" w:name="bookmark1039"/>
      <w:bookmarkEnd w:id="1039"/>
      <w:r>
        <w:rPr>
          <w:color w:val="000000"/>
          <w:spacing w:val="0"/>
          <w:w w:val="100"/>
          <w:position w:val="0"/>
        </w:rPr>
        <w:t>确认递延所得税资产以很可能取得用来抵扣可抵扣暂时性差异的应纳税所得额为限。资产负债表日， 有确凿证据表明未来期间很可能获得足够的应纳税所得额用来抵扣可抵扣暂时性差异的，确认以前会计期 间未确认的递延所得税资产。</w:t>
      </w:r>
    </w:p>
    <w:p>
      <w:pPr>
        <w:pStyle w:val="Style47"/>
        <w:keepNext w:val="0"/>
        <w:keepLines w:val="0"/>
        <w:widowControl w:val="0"/>
        <w:numPr>
          <w:ilvl w:val="0"/>
          <w:numId w:val="87"/>
        </w:numPr>
        <w:shd w:val="clear" w:color="auto" w:fill="auto"/>
        <w:tabs>
          <w:tab w:pos="752" w:val="left"/>
        </w:tabs>
        <w:bidi w:val="0"/>
        <w:spacing w:before="0" w:after="0" w:line="469" w:lineRule="exact"/>
        <w:ind w:left="0" w:right="0" w:firstLine="440"/>
        <w:jc w:val="both"/>
      </w:pPr>
      <w:bookmarkStart w:id="1040" w:name="bookmark1040"/>
      <w:bookmarkEnd w:id="1040"/>
      <w:r>
        <w:rPr>
          <w:color w:val="000000"/>
          <w:spacing w:val="0"/>
          <w:w w:val="100"/>
          <w:position w:val="0"/>
        </w:rPr>
        <w:t>资产负债表日，对递延所得税资产的账面价值进行复核，如果未来期间很可能无法获得足够的应纳 税所得额用以抵扣递延所得税资产的利益，则减记递延所得税资产的账面价值。在很可能获得足够的应纳 税所得额时，转回减记的金额。</w:t>
      </w:r>
    </w:p>
    <w:p>
      <w:pPr>
        <w:pStyle w:val="Style47"/>
        <w:keepNext w:val="0"/>
        <w:keepLines w:val="0"/>
        <w:widowControl w:val="0"/>
        <w:numPr>
          <w:ilvl w:val="0"/>
          <w:numId w:val="87"/>
        </w:numPr>
        <w:shd w:val="clear" w:color="auto" w:fill="auto"/>
        <w:tabs>
          <w:tab w:pos="752" w:val="left"/>
        </w:tabs>
        <w:bidi w:val="0"/>
        <w:spacing w:before="0" w:after="420" w:line="469" w:lineRule="exact"/>
        <w:ind w:left="0" w:right="0" w:firstLine="440"/>
        <w:jc w:val="both"/>
      </w:pPr>
      <w:bookmarkStart w:id="1041" w:name="bookmark1041"/>
      <w:bookmarkEnd w:id="1041"/>
      <w:r>
        <w:rPr>
          <w:color w:val="000000"/>
          <w:spacing w:val="0"/>
          <w:w w:val="100"/>
          <w:position w:val="0"/>
        </w:rPr>
        <w:t>本集团当期所得税和递延所得税作为所得税费用或收益计入当期损益，但不包括下列情况产生的所 得税：（</w:t>
      </w:r>
      <w:r>
        <w:rPr>
          <w:rFonts w:ascii="Times New Roman" w:eastAsia="Times New Roman" w:hAnsi="Times New Roman" w:cs="Times New Roman"/>
          <w:color w:val="000000"/>
          <w:spacing w:val="0"/>
          <w:w w:val="100"/>
          <w:position w:val="0"/>
        </w:rPr>
        <w:t>1</w:t>
      </w:r>
      <w:r>
        <w:rPr>
          <w:color w:val="000000"/>
          <w:spacing w:val="0"/>
          <w:w w:val="100"/>
          <w:position w:val="0"/>
        </w:rPr>
        <w:t>）企业合并；（</w:t>
      </w:r>
      <w:r>
        <w:rPr>
          <w:rFonts w:ascii="Times New Roman" w:eastAsia="Times New Roman" w:hAnsi="Times New Roman" w:cs="Times New Roman"/>
          <w:color w:val="000000"/>
          <w:spacing w:val="0"/>
          <w:w w:val="100"/>
          <w:position w:val="0"/>
        </w:rPr>
        <w:t>2</w:t>
      </w:r>
      <w:r>
        <w:rPr>
          <w:color w:val="000000"/>
          <w:spacing w:val="0"/>
          <w:w w:val="100"/>
          <w:position w:val="0"/>
        </w:rPr>
        <w:t>）直接在所有者权益中确认的交易或者事项。</w:t>
      </w:r>
    </w:p>
    <w:p>
      <w:pPr>
        <w:pStyle w:val="Style44"/>
        <w:keepNext/>
        <w:keepLines/>
        <w:widowControl w:val="0"/>
        <w:shd w:val="clear" w:color="auto" w:fill="auto"/>
        <w:tabs>
          <w:tab w:pos="542" w:val="left"/>
        </w:tabs>
        <w:bidi w:val="0"/>
        <w:spacing w:before="0" w:after="0" w:line="480" w:lineRule="auto"/>
        <w:ind w:left="0" w:right="0" w:firstLine="0"/>
        <w:jc w:val="left"/>
      </w:pPr>
      <w:bookmarkStart w:id="1042" w:name="bookmark1042"/>
      <w:bookmarkStart w:id="1043" w:name="bookmark1043"/>
      <w:bookmarkStart w:id="1044" w:name="bookmark1044"/>
      <w:bookmarkStart w:id="1045" w:name="bookmark1045"/>
      <w:r>
        <w:rPr>
          <w:rFonts w:ascii="Times New Roman" w:eastAsia="Times New Roman" w:hAnsi="Times New Roman" w:cs="Times New Roman"/>
          <w:color w:val="000000"/>
          <w:spacing w:val="0"/>
          <w:w w:val="100"/>
          <w:position w:val="0"/>
        </w:rPr>
        <w:t>2</w:t>
      </w:r>
      <w:bookmarkEnd w:id="1044"/>
      <w:r>
        <w:rPr>
          <w:rFonts w:ascii="Times New Roman" w:eastAsia="Times New Roman" w:hAnsi="Times New Roman" w:cs="Times New Roman"/>
          <w:color w:val="000000"/>
          <w:spacing w:val="0"/>
          <w:w w:val="100"/>
          <w:position w:val="0"/>
        </w:rPr>
        <w:t>8</w:t>
      </w:r>
      <w:r>
        <w:rPr>
          <w:color w:val="000000"/>
          <w:spacing w:val="0"/>
          <w:w w:val="100"/>
          <w:position w:val="0"/>
        </w:rPr>
        <w:t>、</w:t>
        <w:tab/>
        <w:t>租赁</w:t>
      </w:r>
      <w:bookmarkEnd w:id="1042"/>
      <w:bookmarkEnd w:id="1043"/>
      <w:bookmarkEnd w:id="1045"/>
    </w:p>
    <w:p>
      <w:pPr>
        <w:pStyle w:val="Style60"/>
        <w:keepNext/>
        <w:keepLines/>
        <w:widowControl w:val="0"/>
        <w:shd w:val="clear" w:color="auto" w:fill="auto"/>
        <w:bidi w:val="0"/>
        <w:spacing w:before="0" w:after="220" w:line="470" w:lineRule="exact"/>
        <w:ind w:left="0" w:right="0" w:firstLine="0"/>
        <w:jc w:val="left"/>
      </w:pPr>
      <w:bookmarkStart w:id="1046" w:name="bookmark1046"/>
      <w:bookmarkStart w:id="1047" w:name="bookmark1047"/>
      <w:bookmarkStart w:id="1048" w:name="bookmark104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）经营租赁的会计处理方法</w:t>
      </w:r>
      <w:bookmarkEnd w:id="1046"/>
      <w:bookmarkEnd w:id="1047"/>
      <w:bookmarkEnd w:id="1048"/>
    </w:p>
    <w:p>
      <w:pPr>
        <w:pStyle w:val="Style47"/>
        <w:keepNext w:val="0"/>
        <w:keepLines w:val="0"/>
        <w:widowControl w:val="0"/>
        <w:shd w:val="clear" w:color="auto" w:fill="auto"/>
        <w:bidi w:val="0"/>
        <w:spacing w:before="0" w:after="100" w:line="470" w:lineRule="exact"/>
        <w:ind w:left="0" w:right="0" w:firstLine="440"/>
        <w:jc w:val="both"/>
      </w:pPr>
      <w:r>
        <w:rPr>
          <w:color w:val="000000"/>
          <w:spacing w:val="0"/>
          <w:w w:val="100"/>
          <w:position w:val="0"/>
        </w:rPr>
        <w:t>本集团为承租人时，在租赁期内各个期间按照直线法将租金计入相关资产成本或确认为当期损益，发 生的初始直接费用，直接计入当期损益。或有租金在实际发生时计入当期损益。</w:t>
      </w:r>
    </w:p>
    <w:p>
      <w:pPr>
        <w:pStyle w:val="Style47"/>
        <w:keepNext w:val="0"/>
        <w:keepLines w:val="0"/>
        <w:widowControl w:val="0"/>
        <w:shd w:val="clear" w:color="auto" w:fill="auto"/>
        <w:bidi w:val="0"/>
        <w:spacing w:before="0" w:after="200" w:line="470" w:lineRule="exact"/>
        <w:ind w:left="0" w:right="0" w:firstLine="440"/>
        <w:jc w:val="both"/>
      </w:pPr>
      <w:r>
        <w:rPr>
          <w:color w:val="000000"/>
          <w:spacing w:val="0"/>
          <w:w w:val="100"/>
          <w:position w:val="0"/>
        </w:rPr>
        <w:t>本集团为出租人时，在租赁期内各个期间按照直线法将租金确认为当期损益，发生的初始直接费用， 除金额较大的予以资本化并分期计入损益外，均直接计入当期损益。或有租金在实际发生时计入当期损益。</w:t>
      </w:r>
    </w:p>
    <w:p>
      <w:pPr>
        <w:pStyle w:val="Style60"/>
        <w:keepNext/>
        <w:keepLines/>
        <w:widowControl w:val="0"/>
        <w:shd w:val="clear" w:color="auto" w:fill="auto"/>
        <w:bidi w:val="0"/>
        <w:spacing w:before="0" w:after="200" w:line="469" w:lineRule="exact"/>
        <w:ind w:left="0" w:right="0" w:firstLine="0"/>
        <w:jc w:val="left"/>
      </w:pPr>
      <w:bookmarkStart w:id="1049" w:name="bookmark1049"/>
      <w:bookmarkStart w:id="1050" w:name="bookmark1050"/>
      <w:bookmarkStart w:id="1051" w:name="bookmark105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）融资租赁的会计处理方法</w:t>
      </w:r>
      <w:bookmarkEnd w:id="1049"/>
      <w:bookmarkEnd w:id="1050"/>
      <w:bookmarkEnd w:id="1051"/>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本集团为承租人时，在租赁期开始日，本集团以租赁开始日租赁资产公允价值与最低租赁付款额现值 中两者较低者作为租入资产的入账价值，将最低租赁付款额作为长期应付款的入账价值，其差额为未确认 融资费用，发生的初始直接费用，计入租赁资产价值。在租赁期各个期间，采用实际利率法计算确认当期 的融资费用。</w:t>
      </w:r>
    </w:p>
    <w:p>
      <w:pPr>
        <w:pStyle w:val="Style47"/>
        <w:keepNext w:val="0"/>
        <w:keepLines w:val="0"/>
        <w:widowControl w:val="0"/>
        <w:shd w:val="clear" w:color="auto" w:fill="auto"/>
        <w:bidi w:val="0"/>
        <w:spacing w:before="0" w:after="420" w:line="469" w:lineRule="exact"/>
        <w:ind w:left="0" w:right="0" w:firstLine="440"/>
        <w:jc w:val="both"/>
      </w:pPr>
      <w:r>
        <w:rPr>
          <w:color w:val="000000"/>
          <w:spacing w:val="0"/>
          <w:w w:val="100"/>
          <w:position w:val="0"/>
        </w:rPr>
        <w:t>本集团为出租人时，在租赁期开始日，本集团以租赁开始日最低租赁收款额与初始直接费用之和作为 应收融资租赁款的入账价值，同时记录未担保余值；将最低租赁收款额、初始直接费用及未担保余值之和 与其现值之和的差额确认为未实现融资收益。在租赁期各个期间，采用实际利率法计算确认当期的融资收 入。</w:t>
      </w:r>
    </w:p>
    <w:p>
      <w:pPr>
        <w:pStyle w:val="Style44"/>
        <w:keepNext/>
        <w:keepLines/>
        <w:widowControl w:val="0"/>
        <w:shd w:val="clear" w:color="auto" w:fill="auto"/>
        <w:bidi w:val="0"/>
        <w:spacing w:before="0" w:after="0" w:line="480" w:lineRule="auto"/>
        <w:ind w:left="0" w:right="0" w:firstLine="0"/>
        <w:jc w:val="left"/>
      </w:pPr>
      <w:bookmarkStart w:id="1052" w:name="bookmark1052"/>
      <w:bookmarkStart w:id="1053" w:name="bookmark1053"/>
      <w:bookmarkStart w:id="1054" w:name="bookmark1054"/>
      <w:bookmarkStart w:id="1055" w:name="bookmark1055"/>
      <w:r>
        <w:rPr>
          <w:rFonts w:ascii="Times New Roman" w:eastAsia="Times New Roman" w:hAnsi="Times New Roman" w:cs="Times New Roman"/>
          <w:color w:val="000000"/>
          <w:spacing w:val="0"/>
          <w:w w:val="100"/>
          <w:position w:val="0"/>
        </w:rPr>
        <w:t>2</w:t>
      </w:r>
      <w:bookmarkEnd w:id="1054"/>
      <w:r>
        <w:rPr>
          <w:rFonts w:ascii="Times New Roman" w:eastAsia="Times New Roman" w:hAnsi="Times New Roman" w:cs="Times New Roman"/>
          <w:color w:val="000000"/>
          <w:spacing w:val="0"/>
          <w:w w:val="100"/>
          <w:position w:val="0"/>
        </w:rPr>
        <w:t>9</w:t>
      </w:r>
      <w:r>
        <w:rPr>
          <w:color w:val="000000"/>
          <w:spacing w:val="0"/>
          <w:w w:val="100"/>
          <w:position w:val="0"/>
        </w:rPr>
        <w:t>、重要会计政策和会计估计变更</w:t>
      </w:r>
      <w:bookmarkEnd w:id="1052"/>
      <w:bookmarkEnd w:id="1053"/>
      <w:bookmarkEnd w:id="1055"/>
    </w:p>
    <w:p>
      <w:pPr>
        <w:pStyle w:val="Style60"/>
        <w:keepNext/>
        <w:keepLines/>
        <w:widowControl w:val="0"/>
        <w:shd w:val="clear" w:color="auto" w:fill="auto"/>
        <w:bidi w:val="0"/>
        <w:spacing w:before="0" w:line="469" w:lineRule="exact"/>
        <w:ind w:left="0" w:right="0" w:firstLine="0"/>
        <w:jc w:val="left"/>
      </w:pPr>
      <w:bookmarkStart w:id="1056" w:name="bookmark1056"/>
      <w:bookmarkStart w:id="1057" w:name="bookmark1057"/>
      <w:bookmarkStart w:id="1058" w:name="bookmark105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）重要会计政策变更</w:t>
      </w:r>
      <w:bookmarkEnd w:id="1056"/>
      <w:bookmarkEnd w:id="1057"/>
      <w:bookmarkEnd w:id="1058"/>
    </w:p>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sz w:val="18"/>
          <w:szCs w:val="18"/>
        </w:rPr>
        <w:t>适用</w:t>
      </w:r>
      <w:r>
        <w:rPr>
          <w:b w:val="0"/>
          <w:bCs w:val="0"/>
          <w:color w:val="000000"/>
          <w:spacing w:val="0"/>
          <w:w w:val="100"/>
          <w:position w:val="0"/>
          <w:sz w:val="18"/>
          <w:szCs w:val="18"/>
        </w:rPr>
        <w:t>口</w:t>
      </w:r>
      <w:r>
        <w:rPr>
          <w:b w:val="0"/>
          <w:bCs w:val="0"/>
          <w:color w:val="000000"/>
          <w:spacing w:val="0"/>
          <w:w w:val="100"/>
          <w:position w:val="0"/>
          <w:sz w:val="18"/>
          <w:szCs w:val="18"/>
        </w:rPr>
        <w:t>不适用</w:t>
      </w:r>
    </w:p>
    <w:tbl>
      <w:tblPr>
        <w:tblOverlap w:val="never"/>
        <w:jc w:val="left"/>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会计政策变更的内容和原因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审批程序</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备注</w:t>
            </w:r>
          </w:p>
        </w:tc>
      </w:tr>
      <w:tr>
        <w:trPr>
          <w:trHeight w:val="228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执行《企业会计准则第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sz w:val="18"/>
                <w:szCs w:val="18"/>
              </w:rPr>
              <w:t>号——收入》 （财政部</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sz w:val="18"/>
                <w:szCs w:val="18"/>
              </w:rPr>
              <w:t>年修订）（以下简称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新收 入准则</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），以企业确认收入的业务模 式和合同现金流量特征作为风险的判断 依据，将公司应收账款、预收账款重分 类至合同资产、合同负债。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sz w:val="18"/>
                <w:szCs w:val="18"/>
              </w:rPr>
              <w:t>日董事会会议批准</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新收入准则规定，首次执行应当根据累 积影响数调整当年年初留存收益及财务 报表其他相关项目金额，以确认收入的 业务模式和合同现金流量特征作为风险 的判断依据，对公司应收账款、预收账 款重分类至合同资产、合同负债。对可 比期间信息不予调整。</w:t>
            </w:r>
          </w:p>
        </w:tc>
      </w:tr>
    </w:tbl>
    <w:p>
      <w:pPr>
        <w:widowControl w:val="0"/>
        <w:spacing w:after="199" w:line="1" w:lineRule="exact"/>
      </w:pPr>
    </w:p>
    <w:p>
      <w:pPr>
        <w:pStyle w:val="Style4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本公司自</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日起采用《企业会计准则第</w:t>
      </w:r>
      <w:r>
        <w:rPr>
          <w:color w:val="000000"/>
          <w:spacing w:val="0"/>
          <w:w w:val="100"/>
          <w:position w:val="0"/>
        </w:rPr>
        <w:t>14</w:t>
      </w:r>
      <w:r>
        <w:rPr>
          <w:color w:val="000000"/>
          <w:spacing w:val="0"/>
          <w:w w:val="100"/>
          <w:position w:val="0"/>
        </w:rPr>
        <w:t>号一一收入》（财会〔</w:t>
      </w:r>
      <w:r>
        <w:rPr>
          <w:color w:val="000000"/>
          <w:spacing w:val="0"/>
          <w:w w:val="100"/>
          <w:position w:val="0"/>
        </w:rPr>
        <w:t>2017） 22</w:t>
      </w:r>
      <w:r>
        <w:rPr>
          <w:color w:val="000000"/>
          <w:spacing w:val="0"/>
          <w:w w:val="100"/>
          <w:position w:val="0"/>
        </w:rPr>
        <w:t>号）相关规定，执 行新收入准则。根据准则规定，本公司仅对在首次执行日尚未完成的合同的累积影响数，调整</w:t>
      </w:r>
      <w:r>
        <w:rPr>
          <w:color w:val="000000"/>
          <w:spacing w:val="0"/>
          <w:w w:val="100"/>
          <w:position w:val="0"/>
        </w:rPr>
        <w:t>2020</w:t>
      </w:r>
      <w:r>
        <w:rPr>
          <w:color w:val="000000"/>
          <w:spacing w:val="0"/>
          <w:w w:val="100"/>
          <w:position w:val="0"/>
        </w:rPr>
        <w:t>年年初 留存收益及财务报表其他相关项目金额，以确认收入的业务模式和合同现金流量特征作为风险的判断依 据，对公司应收账款、预收账款重分类至合同资产、合同负债，对可比期间信息不予调整。执行新收入准 则对财务报表的主要影响如下：</w:t>
      </w:r>
    </w:p>
    <w:p>
      <w:pPr>
        <w:pStyle w:val="Style47"/>
        <w:keepNext w:val="0"/>
        <w:keepLines w:val="0"/>
        <w:widowControl w:val="0"/>
        <w:shd w:val="clear" w:color="auto" w:fill="auto"/>
        <w:tabs>
          <w:tab w:pos="342" w:val="left"/>
        </w:tabs>
        <w:bidi w:val="0"/>
        <w:spacing w:before="0" w:after="0" w:line="470" w:lineRule="exact"/>
        <w:ind w:left="0" w:right="0" w:firstLine="0"/>
        <w:jc w:val="left"/>
      </w:pPr>
      <w:bookmarkStart w:id="1059" w:name="bookmark1059"/>
      <w:r>
        <w:rPr>
          <w:color w:val="000000"/>
          <w:spacing w:val="0"/>
          <w:w w:val="100"/>
          <w:position w:val="0"/>
        </w:rPr>
        <w:t>1</w:t>
      </w:r>
      <w:bookmarkEnd w:id="1059"/>
      <w:r>
        <w:rPr>
          <w:color w:val="000000"/>
          <w:spacing w:val="0"/>
          <w:w w:val="100"/>
          <w:position w:val="0"/>
        </w:rPr>
        <w:t>、</w:t>
        <w:tab/>
        <w:t>合并应收账款</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日列示金额为</w:t>
      </w:r>
      <w:r>
        <w:rPr>
          <w:color w:val="000000"/>
          <w:spacing w:val="0"/>
          <w:w w:val="100"/>
          <w:position w:val="0"/>
        </w:rPr>
        <w:t>234,351,545.52</w:t>
      </w:r>
      <w:r>
        <w:rPr>
          <w:color w:val="000000"/>
          <w:spacing w:val="0"/>
          <w:w w:val="100"/>
          <w:position w:val="0"/>
        </w:rPr>
        <w:t>元</w:t>
      </w:r>
    </w:p>
    <w:p>
      <w:pPr>
        <w:pStyle w:val="Style47"/>
        <w:keepNext w:val="0"/>
        <w:keepLines w:val="0"/>
        <w:widowControl w:val="0"/>
        <w:shd w:val="clear" w:color="auto" w:fill="auto"/>
        <w:tabs>
          <w:tab w:pos="357" w:val="left"/>
        </w:tabs>
        <w:bidi w:val="0"/>
        <w:spacing w:before="0" w:after="280" w:line="470" w:lineRule="exact"/>
        <w:ind w:left="0" w:right="0" w:firstLine="0"/>
        <w:jc w:val="left"/>
      </w:pPr>
      <w:bookmarkStart w:id="1060" w:name="bookmark1060"/>
      <w:r>
        <w:rPr>
          <w:color w:val="000000"/>
          <w:spacing w:val="0"/>
          <w:w w:val="100"/>
          <w:position w:val="0"/>
        </w:rPr>
        <w:t>2</w:t>
      </w:r>
      <w:bookmarkEnd w:id="1060"/>
      <w:r>
        <w:rPr>
          <w:color w:val="000000"/>
          <w:spacing w:val="0"/>
          <w:w w:val="100"/>
          <w:position w:val="0"/>
        </w:rPr>
        <w:t>、</w:t>
        <w:tab/>
        <w:t>合并合同资产</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日列示金额为</w:t>
      </w:r>
      <w:r>
        <w:rPr>
          <w:color w:val="000000"/>
          <w:spacing w:val="0"/>
          <w:w w:val="100"/>
          <w:position w:val="0"/>
        </w:rPr>
        <w:t xml:space="preserve">10, 664, </w:t>
      </w:r>
      <w:r>
        <w:rPr>
          <w:color w:val="000000"/>
          <w:spacing w:val="0"/>
          <w:w w:val="100"/>
          <w:position w:val="0"/>
        </w:rPr>
        <w:t>816.94</w:t>
      </w:r>
      <w:r>
        <w:rPr>
          <w:color w:val="000000"/>
          <w:spacing w:val="0"/>
          <w:w w:val="100"/>
          <w:position w:val="0"/>
        </w:rPr>
        <w:t>元</w:t>
      </w:r>
    </w:p>
    <w:p>
      <w:pPr>
        <w:pStyle w:val="Style47"/>
        <w:keepNext w:val="0"/>
        <w:keepLines w:val="0"/>
        <w:widowControl w:val="0"/>
        <w:shd w:val="clear" w:color="auto" w:fill="auto"/>
        <w:tabs>
          <w:tab w:pos="368" w:val="left"/>
        </w:tabs>
        <w:bidi w:val="0"/>
        <w:spacing w:before="0" w:after="220" w:line="240" w:lineRule="auto"/>
        <w:ind w:left="0" w:right="0" w:firstLine="0"/>
        <w:jc w:val="left"/>
      </w:pPr>
      <w:bookmarkStart w:id="1061" w:name="bookmark1061"/>
      <w:r>
        <w:rPr>
          <w:color w:val="000000"/>
          <w:spacing w:val="0"/>
          <w:w w:val="100"/>
          <w:position w:val="0"/>
        </w:rPr>
        <w:t>3</w:t>
      </w:r>
      <w:bookmarkEnd w:id="1061"/>
      <w:r>
        <w:rPr>
          <w:color w:val="000000"/>
          <w:spacing w:val="0"/>
          <w:w w:val="100"/>
          <w:position w:val="0"/>
        </w:rPr>
        <w:t>、</w:t>
        <w:tab/>
        <w:t>合并预收账款</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日列示金额为</w:t>
      </w:r>
      <w:r>
        <w:rPr>
          <w:color w:val="000000"/>
          <w:spacing w:val="0"/>
          <w:w w:val="100"/>
          <w:position w:val="0"/>
        </w:rPr>
        <w:t>0.00</w:t>
      </w:r>
      <w:r>
        <w:rPr>
          <w:color w:val="000000"/>
          <w:spacing w:val="0"/>
          <w:w w:val="100"/>
          <w:position w:val="0"/>
        </w:rPr>
        <w:t>元</w:t>
      </w:r>
    </w:p>
    <w:p>
      <w:pPr>
        <w:pStyle w:val="Style47"/>
        <w:keepNext w:val="0"/>
        <w:keepLines w:val="0"/>
        <w:widowControl w:val="0"/>
        <w:shd w:val="clear" w:color="auto" w:fill="auto"/>
        <w:tabs>
          <w:tab w:pos="373" w:val="left"/>
        </w:tabs>
        <w:bidi w:val="0"/>
        <w:spacing w:before="0" w:after="220" w:line="240" w:lineRule="auto"/>
        <w:ind w:left="0" w:right="0" w:firstLine="0"/>
        <w:jc w:val="left"/>
      </w:pPr>
      <w:bookmarkStart w:id="1062" w:name="bookmark1062"/>
      <w:r>
        <w:rPr>
          <w:color w:val="000000"/>
          <w:spacing w:val="0"/>
          <w:w w:val="100"/>
          <w:position w:val="0"/>
        </w:rPr>
        <w:t>4</w:t>
      </w:r>
      <w:bookmarkEnd w:id="1062"/>
      <w:r>
        <w:rPr>
          <w:color w:val="000000"/>
          <w:spacing w:val="0"/>
          <w:w w:val="100"/>
          <w:position w:val="0"/>
        </w:rPr>
        <w:t>、</w:t>
        <w:tab/>
        <w:t>合并合同负债</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日列示金额为</w:t>
      </w:r>
      <w:r>
        <w:rPr>
          <w:color w:val="000000"/>
          <w:spacing w:val="0"/>
          <w:w w:val="100"/>
          <w:position w:val="0"/>
        </w:rPr>
        <w:t xml:space="preserve">70, 345, </w:t>
      </w:r>
      <w:r>
        <w:rPr>
          <w:color w:val="000000"/>
          <w:spacing w:val="0"/>
          <w:w w:val="100"/>
          <w:position w:val="0"/>
        </w:rPr>
        <w:t>849.17</w:t>
      </w:r>
      <w:r>
        <w:rPr>
          <w:color w:val="000000"/>
          <w:spacing w:val="0"/>
          <w:w w:val="100"/>
          <w:position w:val="0"/>
        </w:rPr>
        <w:t>元</w:t>
      </w:r>
    </w:p>
    <w:p>
      <w:pPr>
        <w:pStyle w:val="Style47"/>
        <w:keepNext w:val="0"/>
        <w:keepLines w:val="0"/>
        <w:widowControl w:val="0"/>
        <w:shd w:val="clear" w:color="auto" w:fill="auto"/>
        <w:tabs>
          <w:tab w:pos="373" w:val="left"/>
        </w:tabs>
        <w:bidi w:val="0"/>
        <w:spacing w:before="0" w:after="220" w:line="240" w:lineRule="auto"/>
        <w:ind w:left="0" w:right="0" w:firstLine="0"/>
        <w:jc w:val="left"/>
      </w:pPr>
      <w:bookmarkStart w:id="1063" w:name="bookmark1063"/>
      <w:r>
        <w:rPr>
          <w:color w:val="000000"/>
          <w:spacing w:val="0"/>
          <w:w w:val="100"/>
          <w:position w:val="0"/>
        </w:rPr>
        <w:t>5</w:t>
      </w:r>
      <w:bookmarkEnd w:id="1063"/>
      <w:r>
        <w:rPr>
          <w:color w:val="000000"/>
          <w:spacing w:val="0"/>
          <w:w w:val="100"/>
          <w:position w:val="0"/>
        </w:rPr>
        <w:t>、</w:t>
        <w:tab/>
        <w:t>合并其他流动负债</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w:t>
      </w:r>
      <w:r>
        <w:rPr>
          <w:color w:val="000000"/>
          <w:spacing w:val="0"/>
          <w:w w:val="100"/>
          <w:position w:val="0"/>
        </w:rPr>
        <w:t xml:space="preserve">7,584, </w:t>
      </w:r>
      <w:r>
        <w:rPr>
          <w:color w:val="000000"/>
          <w:spacing w:val="0"/>
          <w:w w:val="100"/>
          <w:position w:val="0"/>
        </w:rPr>
        <w:t>292.69</w:t>
      </w:r>
      <w:r>
        <w:rPr>
          <w:color w:val="000000"/>
          <w:spacing w:val="0"/>
          <w:w w:val="100"/>
          <w:position w:val="0"/>
        </w:rPr>
        <w:t>元</w:t>
      </w:r>
    </w:p>
    <w:p>
      <w:pPr>
        <w:pStyle w:val="Style47"/>
        <w:keepNext w:val="0"/>
        <w:keepLines w:val="0"/>
        <w:widowControl w:val="0"/>
        <w:shd w:val="clear" w:color="auto" w:fill="auto"/>
        <w:tabs>
          <w:tab w:pos="373" w:val="left"/>
        </w:tabs>
        <w:bidi w:val="0"/>
        <w:spacing w:before="0" w:after="220" w:line="240" w:lineRule="auto"/>
        <w:ind w:left="0" w:right="0" w:firstLine="0"/>
        <w:jc w:val="left"/>
      </w:pPr>
      <w:bookmarkStart w:id="1064" w:name="bookmark1064"/>
      <w:r>
        <w:rPr>
          <w:color w:val="000000"/>
          <w:spacing w:val="0"/>
          <w:w w:val="100"/>
          <w:position w:val="0"/>
        </w:rPr>
        <w:t>6</w:t>
      </w:r>
      <w:bookmarkEnd w:id="1064"/>
      <w:r>
        <w:rPr>
          <w:color w:val="000000"/>
          <w:spacing w:val="0"/>
          <w:w w:val="100"/>
          <w:position w:val="0"/>
        </w:rPr>
        <w:t>、</w:t>
        <w:tab/>
        <w:t>母公司应收账款</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w:t>
      </w:r>
      <w:r>
        <w:rPr>
          <w:color w:val="000000"/>
          <w:spacing w:val="0"/>
          <w:w w:val="100"/>
          <w:position w:val="0"/>
        </w:rPr>
        <w:t xml:space="preserve">207, 370, </w:t>
      </w:r>
      <w:r>
        <w:rPr>
          <w:color w:val="000000"/>
          <w:spacing w:val="0"/>
          <w:w w:val="100"/>
          <w:position w:val="0"/>
        </w:rPr>
        <w:t>507.13</w:t>
      </w:r>
      <w:r>
        <w:rPr>
          <w:color w:val="000000"/>
          <w:spacing w:val="0"/>
          <w:w w:val="100"/>
          <w:position w:val="0"/>
        </w:rPr>
        <w:t>元</w:t>
      </w:r>
    </w:p>
    <w:p>
      <w:pPr>
        <w:pStyle w:val="Style47"/>
        <w:keepNext w:val="0"/>
        <w:keepLines w:val="0"/>
        <w:widowControl w:val="0"/>
        <w:shd w:val="clear" w:color="auto" w:fill="auto"/>
        <w:tabs>
          <w:tab w:pos="373" w:val="left"/>
        </w:tabs>
        <w:bidi w:val="0"/>
        <w:spacing w:before="0" w:after="220" w:line="240" w:lineRule="auto"/>
        <w:ind w:left="0" w:right="0" w:firstLine="0"/>
        <w:jc w:val="left"/>
      </w:pPr>
      <w:bookmarkStart w:id="1065" w:name="bookmark1065"/>
      <w:r>
        <w:rPr>
          <w:color w:val="000000"/>
          <w:spacing w:val="0"/>
          <w:w w:val="100"/>
          <w:position w:val="0"/>
        </w:rPr>
        <w:t>7</w:t>
      </w:r>
      <w:bookmarkEnd w:id="1065"/>
      <w:r>
        <w:rPr>
          <w:color w:val="000000"/>
          <w:spacing w:val="0"/>
          <w:w w:val="100"/>
          <w:position w:val="0"/>
        </w:rPr>
        <w:t>、</w:t>
        <w:tab/>
        <w:t>母公司合同资产</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w:t>
      </w:r>
      <w:r>
        <w:rPr>
          <w:color w:val="000000"/>
          <w:spacing w:val="0"/>
          <w:w w:val="100"/>
          <w:position w:val="0"/>
        </w:rPr>
        <w:t>10,664,816.94</w:t>
      </w:r>
      <w:r>
        <w:rPr>
          <w:color w:val="000000"/>
          <w:spacing w:val="0"/>
          <w:w w:val="100"/>
          <w:position w:val="0"/>
        </w:rPr>
        <w:t>元</w:t>
      </w:r>
    </w:p>
    <w:p>
      <w:pPr>
        <w:pStyle w:val="Style47"/>
        <w:keepNext w:val="0"/>
        <w:keepLines w:val="0"/>
        <w:widowControl w:val="0"/>
        <w:shd w:val="clear" w:color="auto" w:fill="auto"/>
        <w:tabs>
          <w:tab w:pos="373" w:val="left"/>
        </w:tabs>
        <w:bidi w:val="0"/>
        <w:spacing w:before="0" w:after="220" w:line="240" w:lineRule="auto"/>
        <w:ind w:left="0" w:right="0" w:firstLine="0"/>
        <w:jc w:val="left"/>
      </w:pPr>
      <w:bookmarkStart w:id="1066" w:name="bookmark1066"/>
      <w:r>
        <w:rPr>
          <w:color w:val="000000"/>
          <w:spacing w:val="0"/>
          <w:w w:val="100"/>
          <w:position w:val="0"/>
        </w:rPr>
        <w:t>8</w:t>
      </w:r>
      <w:bookmarkEnd w:id="1066"/>
      <w:r>
        <w:rPr>
          <w:color w:val="000000"/>
          <w:spacing w:val="0"/>
          <w:w w:val="100"/>
          <w:position w:val="0"/>
        </w:rPr>
        <w:t>、</w:t>
        <w:tab/>
        <w:t>公司预收账款</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日列示金额为</w:t>
      </w:r>
      <w:r>
        <w:rPr>
          <w:color w:val="000000"/>
          <w:spacing w:val="0"/>
          <w:w w:val="100"/>
          <w:position w:val="0"/>
        </w:rPr>
        <w:t>0.00</w:t>
      </w:r>
      <w:r>
        <w:rPr>
          <w:color w:val="000000"/>
          <w:spacing w:val="0"/>
          <w:w w:val="100"/>
          <w:position w:val="0"/>
        </w:rPr>
        <w:t>元</w:t>
      </w:r>
    </w:p>
    <w:p>
      <w:pPr>
        <w:pStyle w:val="Style47"/>
        <w:keepNext w:val="0"/>
        <w:keepLines w:val="0"/>
        <w:widowControl w:val="0"/>
        <w:shd w:val="clear" w:color="auto" w:fill="auto"/>
        <w:tabs>
          <w:tab w:pos="373" w:val="left"/>
        </w:tabs>
        <w:bidi w:val="0"/>
        <w:spacing w:before="0" w:after="220" w:line="240" w:lineRule="auto"/>
        <w:ind w:left="0" w:right="0" w:firstLine="0"/>
        <w:jc w:val="left"/>
      </w:pPr>
      <w:bookmarkStart w:id="1067" w:name="bookmark1067"/>
      <w:r>
        <w:rPr>
          <w:color w:val="000000"/>
          <w:spacing w:val="0"/>
          <w:w w:val="100"/>
          <w:position w:val="0"/>
        </w:rPr>
        <w:t>9</w:t>
      </w:r>
      <w:bookmarkEnd w:id="1067"/>
      <w:r>
        <w:rPr>
          <w:color w:val="000000"/>
          <w:spacing w:val="0"/>
          <w:w w:val="100"/>
          <w:position w:val="0"/>
        </w:rPr>
        <w:t>、</w:t>
        <w:tab/>
        <w:t>母公司合同负债</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日列示金额</w:t>
      </w:r>
      <w:r>
        <w:rPr>
          <w:color w:val="000000"/>
          <w:spacing w:val="0"/>
          <w:w w:val="100"/>
          <w:position w:val="0"/>
        </w:rPr>
        <w:t>67,868,125.38</w:t>
      </w:r>
      <w:r>
        <w:rPr>
          <w:color w:val="000000"/>
          <w:spacing w:val="0"/>
          <w:w w:val="100"/>
          <w:position w:val="0"/>
        </w:rPr>
        <w:t>元</w:t>
      </w:r>
    </w:p>
    <w:p>
      <w:pPr>
        <w:pStyle w:val="Style47"/>
        <w:keepNext w:val="0"/>
        <w:keepLines w:val="0"/>
        <w:widowControl w:val="0"/>
        <w:shd w:val="clear" w:color="auto" w:fill="auto"/>
        <w:tabs>
          <w:tab w:pos="464" w:val="left"/>
        </w:tabs>
        <w:bidi w:val="0"/>
        <w:spacing w:before="0" w:after="440" w:line="240" w:lineRule="auto"/>
        <w:ind w:left="0" w:right="0" w:firstLine="0"/>
        <w:jc w:val="left"/>
      </w:pPr>
      <w:bookmarkStart w:id="1068" w:name="bookmark1068"/>
      <w:r>
        <w:rPr>
          <w:color w:val="000000"/>
          <w:spacing w:val="0"/>
          <w:w w:val="100"/>
          <w:position w:val="0"/>
        </w:rPr>
        <w:t>1</w:t>
      </w:r>
      <w:bookmarkEnd w:id="1068"/>
      <w:r>
        <w:rPr>
          <w:color w:val="000000"/>
          <w:spacing w:val="0"/>
          <w:w w:val="100"/>
          <w:position w:val="0"/>
        </w:rPr>
        <w:t>0</w:t>
      </w:r>
      <w:r>
        <w:rPr>
          <w:color w:val="000000"/>
          <w:spacing w:val="0"/>
          <w:w w:val="100"/>
          <w:position w:val="0"/>
        </w:rPr>
        <w:t>、</w:t>
        <w:tab/>
        <w:t>母公司其他流动负债</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日列示金</w:t>
      </w:r>
      <w:r>
        <w:rPr>
          <w:color w:val="000000"/>
          <w:spacing w:val="0"/>
          <w:w w:val="100"/>
          <w:position w:val="0"/>
        </w:rPr>
        <w:t xml:space="preserve">7,384, </w:t>
      </w:r>
      <w:r>
        <w:rPr>
          <w:color w:val="000000"/>
          <w:spacing w:val="0"/>
          <w:w w:val="100"/>
          <w:position w:val="0"/>
        </w:rPr>
        <w:t>743.75</w:t>
      </w:r>
      <w:r>
        <w:rPr>
          <w:color w:val="000000"/>
          <w:spacing w:val="0"/>
          <w:w w:val="100"/>
          <w:position w:val="0"/>
        </w:rPr>
        <w:t>元</w:t>
      </w:r>
    </w:p>
    <w:p>
      <w:pPr>
        <w:pStyle w:val="Style60"/>
        <w:keepNext/>
        <w:keepLines/>
        <w:widowControl w:val="0"/>
        <w:numPr>
          <w:ilvl w:val="0"/>
          <w:numId w:val="67"/>
        </w:numPr>
        <w:shd w:val="clear" w:color="auto" w:fill="auto"/>
        <w:tabs>
          <w:tab w:pos="493" w:val="left"/>
        </w:tabs>
        <w:bidi w:val="0"/>
        <w:spacing w:before="0" w:line="240" w:lineRule="auto"/>
        <w:ind w:left="0" w:right="0" w:firstLine="0"/>
        <w:jc w:val="left"/>
      </w:pPr>
      <w:bookmarkStart w:id="1069" w:name="bookmark1069"/>
      <w:bookmarkStart w:id="1070" w:name="bookmark1070"/>
      <w:bookmarkStart w:id="1071" w:name="bookmark1071"/>
      <w:bookmarkStart w:id="1072" w:name="bookmark1072"/>
      <w:bookmarkEnd w:id="1071"/>
      <w:r>
        <w:rPr>
          <w:color w:val="000000"/>
          <w:spacing w:val="0"/>
          <w:w w:val="100"/>
          <w:position w:val="0"/>
        </w:rPr>
        <w:t>重要会计估计变更</w:t>
      </w:r>
      <w:bookmarkEnd w:id="1069"/>
      <w:bookmarkEnd w:id="1070"/>
      <w:bookmarkEnd w:id="1072"/>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60"/>
        <w:keepNext/>
        <w:keepLines/>
        <w:widowControl w:val="0"/>
        <w:numPr>
          <w:ilvl w:val="0"/>
          <w:numId w:val="67"/>
        </w:numPr>
        <w:shd w:val="clear" w:color="auto" w:fill="auto"/>
        <w:tabs>
          <w:tab w:pos="493" w:val="left"/>
        </w:tabs>
        <w:bidi w:val="0"/>
        <w:spacing w:before="0" w:line="240" w:lineRule="auto"/>
        <w:ind w:left="0" w:right="0" w:firstLine="0"/>
        <w:jc w:val="left"/>
      </w:pPr>
      <w:bookmarkStart w:id="1073" w:name="bookmark1073"/>
      <w:bookmarkStart w:id="1074" w:name="bookmark1074"/>
      <w:bookmarkStart w:id="1075" w:name="bookmark1075"/>
      <w:bookmarkStart w:id="1076" w:name="bookmark1076"/>
      <w:bookmarkEnd w:id="1075"/>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年起首次执行新收入准则、新租赁准则调整执行当年年初财务报表相关项目情况</w:t>
      </w:r>
      <w:bookmarkEnd w:id="1073"/>
      <w:bookmarkEnd w:id="1074"/>
      <w:bookmarkEnd w:id="1076"/>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适用</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是否需要调整年初资产负债表科目</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是</w:t>
      </w:r>
      <w:r>
        <w:rPr>
          <w:rFonts w:ascii="Times New Roman" w:eastAsia="Times New Roman" w:hAnsi="Times New Roman" w:cs="Times New Roman"/>
          <w:color w:val="000000"/>
          <w:spacing w:val="0"/>
          <w:w w:val="100"/>
          <w:position w:val="0"/>
        </w:rPr>
        <w:t>□</w:t>
      </w:r>
      <w:r>
        <w:rPr>
          <w:color w:val="000000"/>
          <w:spacing w:val="0"/>
          <w:w w:val="100"/>
          <w:position w:val="0"/>
        </w:rPr>
        <w:t>否</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合并资产负债表</w:t>
      </w:r>
    </w:p>
    <w:p>
      <w:pPr>
        <w:pStyle w:val="Style35"/>
        <w:keepNext w:val="0"/>
        <w:keepLines w:val="0"/>
        <w:widowControl w:val="0"/>
        <w:shd w:val="clear" w:color="auto" w:fill="auto"/>
        <w:bidi w:val="0"/>
        <w:spacing w:before="0" w:line="240" w:lineRule="auto"/>
        <w:ind w:left="8940" w:right="0" w:firstLine="0"/>
        <w:jc w:val="left"/>
      </w:pPr>
      <w:r>
        <w:rPr>
          <w:color w:val="000000"/>
          <w:spacing w:val="0"/>
          <w:w w:val="100"/>
          <w:position w:val="0"/>
        </w:rPr>
        <w:t>单位：元</w:t>
      </w:r>
    </w:p>
    <w:tbl>
      <w:tblPr>
        <w:tblOverlap w:val="never"/>
        <w:jc w:val="left"/>
        <w:tblLayout w:type="fixed"/>
      </w:tblPr>
      <w:tblGrid>
        <w:gridCol w:w="2213"/>
        <w:gridCol w:w="2453"/>
        <w:gridCol w:w="2453"/>
        <w:gridCol w:w="2467"/>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调整数</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282,924,331.03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282,924,331.03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10,716,935.35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10,716,935.35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245,016,362.46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234,351,545.52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-10,664,816.94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25,709,617.47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25,709,617.47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其他应收款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31,819,254.42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31,819,254.42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77"/>
          <w:footerReference w:type="default" r:id="rId278"/>
          <w:headerReference w:type="even" r:id="rId279"/>
          <w:footerReference w:type="even" r:id="rId280"/>
          <w:footnotePr>
            <w:pos w:val="pageBottom"/>
            <w:numFmt w:val="decimal"/>
            <w:numRestart w:val="continuous"/>
          </w:footnotePr>
          <w:pgSz w:w="11900" w:h="16840"/>
          <w:pgMar w:top="1321" w:right="573" w:bottom="1475" w:left="552" w:header="0" w:footer="3" w:gutter="0"/>
          <w:cols w:space="720"/>
          <w:noEndnote/>
          <w:rtlGutter w:val="0"/>
          <w:docGrid w:linePitch="360"/>
        </w:sectPr>
      </w:pPr>
    </w:p>
    <w:tbl>
      <w:tblPr>
        <w:tblOverlap w:val="never"/>
        <w:jc w:val="left"/>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其中：应收利息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54,839.17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54,839.17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115,707,924.01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115,707,924.01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10,664,816.94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10,664,816.94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380"/>
              <w:jc w:val="left"/>
              <w:rPr>
                <w:sz w:val="18"/>
                <w:szCs w:val="18"/>
              </w:rPr>
            </w:pPr>
            <w:r>
              <w:rPr>
                <w:color w:val="000000"/>
                <w:spacing w:val="0"/>
                <w:w w:val="100"/>
                <w:position w:val="0"/>
                <w:sz w:val="18"/>
                <w:szCs w:val="18"/>
              </w:rPr>
              <w:t>一年内到期的非流动</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876,706.99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876,706.99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713,193,381.73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713,193,381.73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非流动资产：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107,125,640.14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107,125,640.14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19,897,186.21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19,897,186.21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10,122,529.77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10,122,529.77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9,139,928.06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146,285,284.18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146,285,284.18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859,478,665.91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859,478,665.91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短期借款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99,989,277.10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99,989,277.10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77,930,141.86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-77,930,141.86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70,345,849.17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70,345,849.17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7,313,445.36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7,313,445.36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25,453,748.96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25,453,748.96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23,893,422.42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23,893,422.42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其中：应付利息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应付股利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380"/>
              <w:jc w:val="left"/>
              <w:rPr>
                <w:sz w:val="18"/>
                <w:szCs w:val="18"/>
              </w:rPr>
            </w:pPr>
            <w:r>
              <w:rPr>
                <w:color w:val="000000"/>
                <w:spacing w:val="0"/>
                <w:w w:val="100"/>
                <w:position w:val="0"/>
                <w:sz w:val="18"/>
                <w:szCs w:val="18"/>
              </w:rPr>
              <w:t>一年内到期的非流动 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7,584,292.69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7,584,292.69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264,580,035.70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264,580,035.70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预计负债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81"/>
          <w:footerReference w:type="default" r:id="rId282"/>
          <w:headerReference w:type="even" r:id="rId283"/>
          <w:footerReference w:type="even" r:id="rId284"/>
          <w:footnotePr>
            <w:pos w:val="pageBottom"/>
            <w:numFmt w:val="decimal"/>
            <w:numRestart w:val="continuous"/>
          </w:footnotePr>
          <w:pgSz w:w="11900" w:h="16840"/>
          <w:pgMar w:top="1321" w:right="573" w:bottom="1475" w:left="552" w:header="0" w:footer="3" w:gutter="0"/>
          <w:cols w:space="720"/>
          <w:noEndnote/>
          <w:rtlGutter w:val="0"/>
          <w:docGrid w:linePitch="360"/>
        </w:sectPr>
      </w:pPr>
    </w:p>
    <w:tbl>
      <w:tblPr>
        <w:tblOverlap w:val="never"/>
        <w:jc w:val="center"/>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1,633,787.30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1,633,787.30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1,953,787.30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1,953,787.30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266,533,823.00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266,533,823.00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178,367,745.82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178,367,745.82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34,171,640.99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34,171,640.99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200,480,748.76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200,480,748.76</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归属于母公司所有者权益 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592,935,135.57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9,707.34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9,707.34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592,944,842.91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592,944,842.91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859,478,665.91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859,478,665.91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调整情况说明</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财政部于</w:t>
      </w:r>
      <w:r>
        <w:rPr>
          <w:rFonts w:ascii="Times New Roman" w:eastAsia="Times New Roman" w:hAnsi="Times New Roman" w:cs="Times New Roman"/>
          <w:color w:val="000000"/>
          <w:spacing w:val="0"/>
          <w:w w:val="100"/>
          <w:position w:val="0"/>
        </w:rPr>
        <w:t>2017</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号一收入》。修订后的准则规定，对于首次执行本准 则的企业，应当根据首次执行本准则的累计影响数，调整首次执行本准则当年年初留存收益及财务报表其 他相关项目金额，对可比期间信息不予调整。</w:t>
      </w:r>
    </w:p>
    <w:p>
      <w:pPr>
        <w:pStyle w:val="Style47"/>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本公司于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日，根据业务模式及合同特征，按修订后收入准则规定进行了调整，该项调整影 响</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日应收账款减少</w:t>
      </w:r>
      <w:r>
        <w:rPr>
          <w:rFonts w:ascii="Times New Roman" w:eastAsia="Times New Roman" w:hAnsi="Times New Roman" w:cs="Times New Roman"/>
          <w:color w:val="000000"/>
          <w:spacing w:val="0"/>
          <w:w w:val="100"/>
          <w:position w:val="0"/>
        </w:rPr>
        <w:t>10,664,816.94</w:t>
      </w:r>
      <w:r>
        <w:rPr>
          <w:color w:val="000000"/>
          <w:spacing w:val="0"/>
          <w:w w:val="100"/>
          <w:position w:val="0"/>
        </w:rPr>
        <w:t>元，合同资产增加</w:t>
      </w:r>
      <w:r>
        <w:rPr>
          <w:rFonts w:ascii="Times New Roman" w:eastAsia="Times New Roman" w:hAnsi="Times New Roman" w:cs="Times New Roman"/>
          <w:color w:val="000000"/>
          <w:spacing w:val="0"/>
          <w:w w:val="100"/>
          <w:position w:val="0"/>
        </w:rPr>
        <w:t>10,664,816.94</w:t>
      </w:r>
      <w:r>
        <w:rPr>
          <w:color w:val="000000"/>
          <w:spacing w:val="0"/>
          <w:w w:val="100"/>
          <w:position w:val="0"/>
        </w:rPr>
        <w:t xml:space="preserve">元，其他流动负债增加 </w:t>
      </w:r>
      <w:r>
        <w:rPr>
          <w:rFonts w:ascii="Times New Roman" w:eastAsia="Times New Roman" w:hAnsi="Times New Roman" w:cs="Times New Roman"/>
          <w:color w:val="000000"/>
          <w:spacing w:val="0"/>
          <w:w w:val="100"/>
          <w:position w:val="0"/>
        </w:rPr>
        <w:t>7,584,292.69</w:t>
      </w:r>
      <w:r>
        <w:rPr>
          <w:color w:val="000000"/>
          <w:spacing w:val="0"/>
          <w:w w:val="100"/>
          <w:position w:val="0"/>
        </w:rPr>
        <w:t>元，预收款项减少</w:t>
      </w:r>
      <w:r>
        <w:rPr>
          <w:rFonts w:ascii="Times New Roman" w:eastAsia="Times New Roman" w:hAnsi="Times New Roman" w:cs="Times New Roman"/>
          <w:color w:val="000000"/>
          <w:spacing w:val="0"/>
          <w:w w:val="100"/>
          <w:position w:val="0"/>
        </w:rPr>
        <w:t>77,930,141.86</w:t>
      </w:r>
      <w:r>
        <w:rPr>
          <w:color w:val="000000"/>
          <w:spacing w:val="0"/>
          <w:w w:val="100"/>
          <w:position w:val="0"/>
        </w:rPr>
        <w:t>元，合同负债增加</w:t>
      </w:r>
      <w:r>
        <w:rPr>
          <w:rFonts w:ascii="Times New Roman" w:eastAsia="Times New Roman" w:hAnsi="Times New Roman" w:cs="Times New Roman"/>
          <w:color w:val="000000"/>
          <w:spacing w:val="0"/>
          <w:w w:val="100"/>
          <w:position w:val="0"/>
        </w:rPr>
        <w:t>70,345,849.17</w:t>
      </w:r>
      <w:r>
        <w:rPr>
          <w:color w:val="000000"/>
          <w:spacing w:val="0"/>
          <w:w w:val="100"/>
          <w:position w:val="0"/>
        </w:rPr>
        <w:t>元。</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母公司资产负债表</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sz w:val="18"/>
                <w:szCs w:val="18"/>
              </w:rPr>
              <w:t>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调整数</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货币资金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212,348,557.71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212,348,557.71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10,716,935.35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10,716,935.35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218,035,324.07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207,370,507.13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-10,664,816.94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38,515,289.09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38,515,289.09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35,780,544.43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35,780,544.43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其中：应收利息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41,087.08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41,087.08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96,574,312.04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96,574,312.04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10,664,816.94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10,664,816.94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380"/>
              <w:jc w:val="left"/>
              <w:rPr>
                <w:sz w:val="18"/>
                <w:szCs w:val="18"/>
              </w:rPr>
            </w:pPr>
            <w:r>
              <w:rPr>
                <w:color w:val="000000"/>
                <w:spacing w:val="0"/>
                <w:w w:val="100"/>
                <w:position w:val="0"/>
                <w:sz w:val="18"/>
                <w:szCs w:val="18"/>
              </w:rPr>
              <w:t>一年内到期的非流动</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4,239.16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612,397,451.85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612,397,451.85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非流动资产：</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174,833,640.14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174,833,640.14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17,847,287.42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17,847,287.42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10,052,530.71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10,052,530.71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8,027,405.32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8,027,405.32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210,760,863.59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210,760,863.59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823,158,315.44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823,158,315.44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103,435,653.54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103,435,653.54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75,252,869.13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-75,252,869.13</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67,868,125.38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67,868,125.38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2,222,340.00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2,222,340.00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19,784,337.40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19,784,337.40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22,964,104.53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22,964,104.53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其中：应付利息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应付股利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rFonts w:ascii="Times New Roman" w:eastAsia="Times New Roman" w:hAnsi="Times New Roman" w:cs="Times New Roman"/>
                <w:color w:val="000000"/>
                <w:spacing w:val="0"/>
                <w:w w:val="100"/>
                <w:position w:val="0"/>
                <w:sz w:val="18"/>
                <w:szCs w:val="18"/>
              </w:rPr>
              <w:t>197,611.67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color w:val="000000"/>
                <w:spacing w:val="0"/>
                <w:w w:val="100"/>
                <w:position w:val="0"/>
                <w:sz w:val="18"/>
                <w:szCs w:val="18"/>
              </w:rPr>
              <w:t>一年内到期的非流动 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7,384,743.75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7,384,743.75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253,659,304.60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253,659,304.60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非流动负债：</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rFonts w:ascii="Times New Roman" w:eastAsia="Times New Roman" w:hAnsi="Times New Roman" w:cs="Times New Roman"/>
                <w:color w:val="000000"/>
                <w:spacing w:val="0"/>
                <w:w w:val="100"/>
                <w:position w:val="0"/>
                <w:sz w:val="18"/>
                <w:szCs w:val="18"/>
              </w:rPr>
              <w:t>149,809.49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149,809.49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rFonts w:ascii="Times New Roman" w:eastAsia="Times New Roman" w:hAnsi="Times New Roman" w:cs="Times New Roman"/>
                <w:color w:val="000000"/>
                <w:spacing w:val="0"/>
                <w:w w:val="100"/>
                <w:position w:val="0"/>
                <w:sz w:val="18"/>
                <w:szCs w:val="18"/>
              </w:rPr>
              <w:t>469,809.49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469,809.49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85"/>
          <w:footerReference w:type="default" r:id="rId286"/>
          <w:headerReference w:type="even" r:id="rId287"/>
          <w:footerReference w:type="even" r:id="rId288"/>
          <w:headerReference w:type="first" r:id="rId289"/>
          <w:footerReference w:type="first" r:id="rId290"/>
          <w:footnotePr>
            <w:pos w:val="pageBottom"/>
            <w:numFmt w:val="decimal"/>
            <w:numRestart w:val="continuous"/>
          </w:footnotePr>
          <w:pgSz w:w="11900" w:h="16840"/>
          <w:pgMar w:top="1321" w:right="573" w:bottom="1475" w:left="552" w:header="0" w:footer="3" w:gutter="0"/>
          <w:cols w:space="720"/>
          <w:noEndnote/>
          <w:titlePg/>
          <w:rtlGutter w:val="0"/>
          <w:docGrid w:linePitch="360"/>
        </w:sectPr>
      </w:pPr>
    </w:p>
    <w:tbl>
      <w:tblPr>
        <w:tblOverlap w:val="never"/>
        <w:jc w:val="center"/>
        <w:tblLayout w:type="fixed"/>
      </w:tblPr>
      <w:tblGrid>
        <w:gridCol w:w="2213"/>
        <w:gridCol w:w="2453"/>
        <w:gridCol w:w="2453"/>
        <w:gridCol w:w="2467"/>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254,129,114.09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254,129,114.09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178,845,571.61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178,845,571.61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34,171,640.99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34,171,640.99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176,096,988.75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176,096,988.75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569,029,201.35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569,029,201.35</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823,158,315.44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823,158,315.44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调整情况说明</w:t>
      </w:r>
    </w:p>
    <w:p>
      <w:pPr>
        <w:pStyle w:val="Style47"/>
        <w:keepNext w:val="0"/>
        <w:keepLines w:val="0"/>
        <w:widowControl w:val="0"/>
        <w:shd w:val="clear" w:color="auto" w:fill="auto"/>
        <w:bidi w:val="0"/>
        <w:spacing w:before="0" w:after="0" w:line="469" w:lineRule="exact"/>
        <w:ind w:left="0" w:right="0" w:firstLine="440"/>
        <w:jc w:val="left"/>
      </w:pPr>
      <w:r>
        <w:rPr>
          <w:color w:val="000000"/>
          <w:spacing w:val="0"/>
          <w:w w:val="100"/>
          <w:position w:val="0"/>
        </w:rPr>
        <w:t>财政部于</w:t>
      </w:r>
      <w:r>
        <w:rPr>
          <w:rFonts w:ascii="Times New Roman" w:eastAsia="Times New Roman" w:hAnsi="Times New Roman" w:cs="Times New Roman"/>
          <w:color w:val="000000"/>
          <w:spacing w:val="0"/>
          <w:w w:val="100"/>
          <w:position w:val="0"/>
        </w:rPr>
        <w:t>2017</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rPr>
        <w:t>14</w:t>
      </w:r>
      <w:r>
        <w:rPr>
          <w:color w:val="000000"/>
          <w:spacing w:val="0"/>
          <w:w w:val="100"/>
          <w:position w:val="0"/>
        </w:rPr>
        <w:t>号一收入》。修订后的准则规定，对于首次执行本准 则的企业，应当根据首次执行本准则的累计影响数，调整首次执行本准则当年年初留存收益及财务报表其 他相关项目金额，对可比期间信息不予调整。</w:t>
      </w:r>
    </w:p>
    <w:p>
      <w:pPr>
        <w:pStyle w:val="Style47"/>
        <w:keepNext w:val="0"/>
        <w:keepLines w:val="0"/>
        <w:widowControl w:val="0"/>
        <w:shd w:val="clear" w:color="auto" w:fill="auto"/>
        <w:bidi w:val="0"/>
        <w:spacing w:before="0" w:after="420" w:line="469" w:lineRule="exact"/>
        <w:ind w:left="0" w:right="0" w:firstLine="440"/>
        <w:jc w:val="left"/>
      </w:pPr>
      <w:r>
        <w:rPr>
          <w:color w:val="000000"/>
          <w:spacing w:val="0"/>
          <w:w w:val="100"/>
          <w:position w:val="0"/>
        </w:rPr>
        <w:t>本公司于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日，根据业务模式及合同特征，按修订后收入准则规定进行了调整，该项调整影 响</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日应收账款减少</w:t>
      </w:r>
      <w:r>
        <w:rPr>
          <w:rFonts w:ascii="Times New Roman" w:eastAsia="Times New Roman" w:hAnsi="Times New Roman" w:cs="Times New Roman"/>
          <w:color w:val="000000"/>
          <w:spacing w:val="0"/>
          <w:w w:val="100"/>
          <w:position w:val="0"/>
        </w:rPr>
        <w:t>10,664,816.94</w:t>
      </w:r>
      <w:r>
        <w:rPr>
          <w:color w:val="000000"/>
          <w:spacing w:val="0"/>
          <w:w w:val="100"/>
          <w:position w:val="0"/>
        </w:rPr>
        <w:t>元，合同资产增加</w:t>
      </w:r>
      <w:r>
        <w:rPr>
          <w:rFonts w:ascii="Times New Roman" w:eastAsia="Times New Roman" w:hAnsi="Times New Roman" w:cs="Times New Roman"/>
          <w:color w:val="000000"/>
          <w:spacing w:val="0"/>
          <w:w w:val="100"/>
          <w:position w:val="0"/>
        </w:rPr>
        <w:t>10,664,816.94</w:t>
      </w:r>
      <w:r>
        <w:rPr>
          <w:color w:val="000000"/>
          <w:spacing w:val="0"/>
          <w:w w:val="100"/>
          <w:position w:val="0"/>
        </w:rPr>
        <w:t xml:space="preserve">元，其他流动负债增加 </w:t>
      </w:r>
      <w:r>
        <w:rPr>
          <w:rFonts w:ascii="Times New Roman" w:eastAsia="Times New Roman" w:hAnsi="Times New Roman" w:cs="Times New Roman"/>
          <w:color w:val="000000"/>
          <w:spacing w:val="0"/>
          <w:w w:val="100"/>
          <w:position w:val="0"/>
        </w:rPr>
        <w:t>7,584,292.69</w:t>
      </w:r>
      <w:r>
        <w:rPr>
          <w:color w:val="000000"/>
          <w:spacing w:val="0"/>
          <w:w w:val="100"/>
          <w:position w:val="0"/>
        </w:rPr>
        <w:t>元，预收款项减少</w:t>
      </w:r>
      <w:r>
        <w:rPr>
          <w:rFonts w:ascii="Times New Roman" w:eastAsia="Times New Roman" w:hAnsi="Times New Roman" w:cs="Times New Roman"/>
          <w:color w:val="000000"/>
          <w:spacing w:val="0"/>
          <w:w w:val="100"/>
          <w:position w:val="0"/>
        </w:rPr>
        <w:t>75,252,869.13</w:t>
      </w:r>
      <w:r>
        <w:rPr>
          <w:color w:val="000000"/>
          <w:spacing w:val="0"/>
          <w:w w:val="100"/>
          <w:position w:val="0"/>
        </w:rPr>
        <w:t>元，合同负债增加</w:t>
      </w:r>
      <w:r>
        <w:rPr>
          <w:rFonts w:ascii="Times New Roman" w:eastAsia="Times New Roman" w:hAnsi="Times New Roman" w:cs="Times New Roman"/>
          <w:color w:val="000000"/>
          <w:spacing w:val="0"/>
          <w:w w:val="100"/>
          <w:position w:val="0"/>
        </w:rPr>
        <w:t>67,868,125.38</w:t>
      </w:r>
      <w:r>
        <w:rPr>
          <w:color w:val="000000"/>
          <w:spacing w:val="0"/>
          <w:w w:val="100"/>
          <w:position w:val="0"/>
        </w:rPr>
        <w:t>元。</w:t>
      </w:r>
    </w:p>
    <w:p>
      <w:pPr>
        <w:pStyle w:val="Style60"/>
        <w:keepNext/>
        <w:keepLines/>
        <w:widowControl w:val="0"/>
        <w:shd w:val="clear" w:color="auto" w:fill="auto"/>
        <w:bidi w:val="0"/>
        <w:spacing w:before="0" w:line="240" w:lineRule="auto"/>
        <w:ind w:left="0" w:right="0" w:firstLine="0"/>
        <w:jc w:val="left"/>
      </w:pPr>
      <w:bookmarkStart w:id="1077" w:name="bookmark1077"/>
      <w:bookmarkStart w:id="1078" w:name="bookmark1078"/>
      <w:bookmarkStart w:id="1079" w:name="bookmark1079"/>
      <w:bookmarkStart w:id="1080" w:name="bookmark1080"/>
      <w:r>
        <w:rPr>
          <w:color w:val="000000"/>
          <w:spacing w:val="0"/>
          <w:w w:val="100"/>
          <w:position w:val="0"/>
        </w:rPr>
        <w:t>（</w:t>
      </w:r>
      <w:bookmarkEnd w:id="1079"/>
      <w:r>
        <w:rPr>
          <w:rFonts w:ascii="Times New Roman" w:eastAsia="Times New Roman" w:hAnsi="Times New Roman" w:cs="Times New Roman"/>
          <w:color w:val="000000"/>
          <w:spacing w:val="0"/>
          <w:w w:val="100"/>
          <w:position w:val="0"/>
        </w:rPr>
        <w:t>4</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年起首次执行新收入准则、新租赁准则追溯调整前期比较数据说明</w:t>
      </w:r>
      <w:bookmarkEnd w:id="1077"/>
      <w:bookmarkEnd w:id="1078"/>
      <w:bookmarkEnd w:id="1080"/>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3"/>
        <w:keepNext/>
        <w:keepLines/>
        <w:widowControl w:val="0"/>
        <w:shd w:val="clear" w:color="auto" w:fill="auto"/>
        <w:bidi w:val="0"/>
        <w:spacing w:before="0" w:after="300" w:line="240" w:lineRule="auto"/>
        <w:ind w:left="0" w:right="0" w:firstLine="0"/>
        <w:jc w:val="left"/>
      </w:pPr>
      <w:bookmarkStart w:id="1081" w:name="bookmark1081"/>
      <w:bookmarkStart w:id="1082" w:name="bookmark1082"/>
      <w:bookmarkStart w:id="1083" w:name="bookmark1083"/>
      <w:bookmarkStart w:id="1084" w:name="bookmark1084"/>
      <w:r>
        <w:rPr>
          <w:color w:val="000000"/>
          <w:spacing w:val="0"/>
          <w:w w:val="100"/>
          <w:position w:val="0"/>
          <w:sz w:val="24"/>
          <w:szCs w:val="24"/>
        </w:rPr>
        <w:t>六</w:t>
      </w:r>
      <w:bookmarkEnd w:id="1083"/>
      <w:r>
        <w:rPr>
          <w:color w:val="000000"/>
          <w:spacing w:val="0"/>
          <w:w w:val="100"/>
          <w:position w:val="0"/>
          <w:sz w:val="24"/>
          <w:szCs w:val="24"/>
        </w:rPr>
        <w:t>、税项</w:t>
      </w:r>
      <w:bookmarkEnd w:id="1081"/>
      <w:bookmarkEnd w:id="1082"/>
      <w:bookmarkEnd w:id="1084"/>
    </w:p>
    <w:p>
      <w:pPr>
        <w:pStyle w:val="Style44"/>
        <w:keepNext/>
        <w:keepLines/>
        <w:widowControl w:val="0"/>
        <w:shd w:val="clear" w:color="auto" w:fill="auto"/>
        <w:bidi w:val="0"/>
        <w:spacing w:before="0" w:after="300" w:line="240" w:lineRule="auto"/>
        <w:ind w:left="0" w:right="0" w:firstLine="0"/>
        <w:jc w:val="left"/>
      </w:pPr>
      <w:bookmarkStart w:id="1085" w:name="bookmark1085"/>
      <w:bookmarkStart w:id="1086" w:name="bookmark1086"/>
      <w:bookmarkStart w:id="1087" w:name="bookmark1087"/>
      <w:r>
        <w:rPr>
          <w:rFonts w:ascii="Times New Roman" w:eastAsia="Times New Roman" w:hAnsi="Times New Roman" w:cs="Times New Roman"/>
          <w:color w:val="000000"/>
          <w:spacing w:val="0"/>
          <w:w w:val="100"/>
          <w:position w:val="0"/>
        </w:rPr>
        <w:t>1</w:t>
      </w:r>
      <w:r>
        <w:rPr>
          <w:color w:val="000000"/>
          <w:spacing w:val="0"/>
          <w:w w:val="100"/>
          <w:position w:val="0"/>
        </w:rPr>
        <w:t>、主要税种及税率</w:t>
      </w:r>
      <w:bookmarkEnd w:id="1085"/>
      <w:bookmarkEnd w:id="1086"/>
      <w:bookmarkEnd w:id="1087"/>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税种</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计税依据</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税率</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销售货物或提供应税劳务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13.00</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9.00</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6.00</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5.00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应缴流转税额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应纳税所得额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15.00</w:t>
            </w:r>
          </w:p>
        </w:tc>
      </w:tr>
      <w:tr>
        <w:trPr>
          <w:trHeight w:val="6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房产税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从价计征的，按房产原值一次减除</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sz w:val="18"/>
                <w:szCs w:val="18"/>
              </w:rPr>
              <w:t>后余值的</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计缴；从租计征的，按租</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1.20</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12.00</w:t>
            </w:r>
          </w:p>
        </w:tc>
      </w:tr>
    </w:tbl>
    <w:p>
      <w:pPr>
        <w:sectPr>
          <w:headerReference w:type="default" r:id="rId291"/>
          <w:footerReference w:type="default" r:id="rId292"/>
          <w:headerReference w:type="even" r:id="rId293"/>
          <w:footerReference w:type="even" r:id="rId294"/>
          <w:footnotePr>
            <w:pos w:val="pageBottom"/>
            <w:numFmt w:val="decimal"/>
            <w:numRestart w:val="continuous"/>
          </w:footnotePr>
          <w:pgSz w:w="11900" w:h="16840"/>
          <w:pgMar w:top="1321" w:right="573" w:bottom="1475" w:left="552" w:header="0" w:footer="3" w:gutter="0"/>
          <w:cols w:space="720"/>
          <w:noEndnote/>
          <w:rtlGutter w:val="0"/>
          <w:docGrid w:linePitch="360"/>
        </w:sectPr>
      </w:pPr>
    </w:p>
    <w:tbl>
      <w:tblPr>
        <w:tblOverlap w:val="never"/>
        <w:jc w:val="center"/>
        <w:tblLayout w:type="fixed"/>
      </w:tblPr>
      <w:tblGrid>
        <w:gridCol w:w="3197"/>
        <w:gridCol w:w="3187"/>
        <w:gridCol w:w="3202"/>
      </w:tblGrid>
      <w:tr>
        <w:trPr>
          <w:trHeight w:val="3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金收入的</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计缴</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应缴流转税额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地方教育费附加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应缴流转税额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存在不同企业所得税税率纳税主体的，披露情况说明</w:t>
      </w:r>
    </w:p>
    <w:p>
      <w:pPr>
        <w:widowControl w:val="0"/>
        <w:spacing w:after="59" w:line="1" w:lineRule="exact"/>
      </w:pP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纳税主体名称</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所得税税率</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中科院成都信息技术股份有限公司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成都中科石油工程技术股份有限公司（以下简称''中科石油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成都中科信息技术有限公司（以下简称''成都中科</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15.00</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中科院金华信息技术有限公司（以下简称''中科金华</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w:t>
            </w:r>
          </w:p>
        </w:tc>
      </w:tr>
    </w:tbl>
    <w:p>
      <w:pPr>
        <w:pStyle w:val="Style41"/>
        <w:keepNext w:val="0"/>
        <w:keepLines w:val="0"/>
        <w:widowControl w:val="0"/>
        <w:shd w:val="clear" w:color="auto" w:fill="auto"/>
        <w:bidi w:val="0"/>
        <w:spacing w:before="0" w:after="0" w:line="240" w:lineRule="auto"/>
        <w:ind w:left="0" w:right="0" w:firstLine="0"/>
        <w:jc w:val="left"/>
      </w:pPr>
      <w:bookmarkStart w:id="1088" w:name="bookmark1088"/>
      <w:r>
        <w:rPr>
          <w:rFonts w:ascii="Times New Roman" w:eastAsia="Times New Roman" w:hAnsi="Times New Roman" w:cs="Times New Roman"/>
          <w:color w:val="000000"/>
          <w:spacing w:val="0"/>
          <w:w w:val="100"/>
          <w:position w:val="0"/>
        </w:rPr>
        <w:t>2</w:t>
      </w:r>
      <w:r>
        <w:rPr>
          <w:color w:val="000000"/>
          <w:spacing w:val="0"/>
          <w:w w:val="100"/>
          <w:position w:val="0"/>
        </w:rPr>
        <w:t>、税收优惠</w:t>
      </w:r>
      <w:bookmarkEnd w:id="1088"/>
    </w:p>
    <w:p>
      <w:pPr>
        <w:widowControl w:val="0"/>
        <w:spacing w:after="379" w:line="1" w:lineRule="exact"/>
      </w:pPr>
    </w:p>
    <w:p>
      <w:pPr>
        <w:pStyle w:val="Style47"/>
        <w:keepNext w:val="0"/>
        <w:keepLines w:val="0"/>
        <w:widowControl w:val="0"/>
        <w:numPr>
          <w:ilvl w:val="0"/>
          <w:numId w:val="89"/>
        </w:numPr>
        <w:shd w:val="clear" w:color="auto" w:fill="auto"/>
        <w:bidi w:val="0"/>
        <w:spacing w:before="0" w:after="200" w:line="240" w:lineRule="auto"/>
        <w:ind w:left="0" w:right="0" w:firstLine="440"/>
        <w:jc w:val="left"/>
      </w:pPr>
      <w:bookmarkStart w:id="1089" w:name="bookmark1089"/>
      <w:bookmarkEnd w:id="1089"/>
      <w:r>
        <w:rPr>
          <w:color w:val="000000"/>
          <w:spacing w:val="0"/>
          <w:w w:val="100"/>
          <w:position w:val="0"/>
        </w:rPr>
        <w:t>高新技术企业税收优惠</w:t>
      </w:r>
    </w:p>
    <w:p>
      <w:pPr>
        <w:pStyle w:val="Style47"/>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本公司于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日取得高新技术企业认证，证书编号：</w:t>
      </w:r>
      <w:r>
        <w:rPr>
          <w:rFonts w:ascii="Times New Roman" w:eastAsia="Times New Roman" w:hAnsi="Times New Roman" w:cs="Times New Roman"/>
          <w:color w:val="000000"/>
          <w:spacing w:val="0"/>
          <w:w w:val="100"/>
          <w:position w:val="0"/>
        </w:rPr>
        <w:t>GR202051000010</w:t>
      </w:r>
      <w:r>
        <w:rPr>
          <w:color w:val="000000"/>
          <w:spacing w:val="0"/>
          <w:w w:val="100"/>
          <w:position w:val="0"/>
        </w:rPr>
        <w:t>,</w:t>
      </w:r>
      <w:r>
        <w:rPr>
          <w:color w:val="000000"/>
          <w:spacing w:val="0"/>
          <w:w w:val="100"/>
          <w:position w:val="0"/>
        </w:rPr>
        <w:t xml:space="preserve">有效期三年。根据《中 </w:t>
      </w:r>
      <w:r>
        <w:rPr>
          <w:color w:val="000000"/>
          <w:spacing w:val="0"/>
          <w:w w:val="100"/>
          <w:position w:val="0"/>
        </w:rPr>
        <w:t>华人民共和国企业所得税法》第二十八条规定，国家需要重点扶持的高新技术企业，减按</w:t>
      </w:r>
      <w:r>
        <w:rPr>
          <w:rFonts w:ascii="Times New Roman" w:eastAsia="Times New Roman" w:hAnsi="Times New Roman" w:cs="Times New Roman"/>
          <w:color w:val="000000"/>
          <w:spacing w:val="0"/>
          <w:w w:val="100"/>
          <w:position w:val="0"/>
        </w:rPr>
        <w:t>15%</w:t>
      </w:r>
      <w:r>
        <w:rPr>
          <w:color w:val="000000"/>
          <w:spacing w:val="0"/>
          <w:w w:val="100"/>
          <w:position w:val="0"/>
        </w:rPr>
        <w:t xml:space="preserve">的税率征收 </w:t>
      </w:r>
      <w:r>
        <w:rPr>
          <w:color w:val="000000"/>
          <w:spacing w:val="0"/>
          <w:w w:val="100"/>
          <w:position w:val="0"/>
        </w:rPr>
        <w:t>企业所得税。</w:t>
      </w:r>
    </w:p>
    <w:p>
      <w:pPr>
        <w:pStyle w:val="Style47"/>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成都中科于</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14</w:t>
      </w:r>
      <w:r>
        <w:rPr>
          <w:color w:val="000000"/>
          <w:spacing w:val="0"/>
          <w:w w:val="100"/>
          <w:position w:val="0"/>
        </w:rPr>
        <w:t>日取得高新技术企业证书，证书编号：</w:t>
      </w:r>
      <w:r>
        <w:rPr>
          <w:rFonts w:ascii="Times New Roman" w:eastAsia="Times New Roman" w:hAnsi="Times New Roman" w:cs="Times New Roman"/>
          <w:color w:val="000000"/>
          <w:spacing w:val="0"/>
          <w:w w:val="100"/>
          <w:position w:val="0"/>
        </w:rPr>
        <w:t>GR201851000071</w:t>
      </w:r>
      <w:r>
        <w:rPr>
          <w:color w:val="000000"/>
          <w:spacing w:val="0"/>
          <w:w w:val="100"/>
          <w:position w:val="0"/>
        </w:rPr>
        <w:t>，</w:t>
      </w:r>
      <w:r>
        <w:rPr>
          <w:color w:val="000000"/>
          <w:spacing w:val="0"/>
          <w:w w:val="100"/>
          <w:position w:val="0"/>
        </w:rPr>
        <w:t>有效期三年。根据</w:t>
      </w:r>
    </w:p>
    <w:p>
      <w:pPr>
        <w:pStyle w:val="Style47"/>
        <w:keepNext w:val="0"/>
        <w:keepLines w:val="0"/>
        <w:widowControl w:val="0"/>
        <w:shd w:val="clear" w:color="auto" w:fill="auto"/>
        <w:bidi w:val="0"/>
        <w:spacing w:before="0" w:after="200" w:line="240" w:lineRule="auto"/>
        <w:ind w:left="0" w:right="0" w:firstLine="220"/>
        <w:jc w:val="both"/>
      </w:pPr>
      <w:r>
        <w:rPr>
          <w:color w:val="000000"/>
          <w:spacing w:val="0"/>
          <w:w w:val="100"/>
          <w:position w:val="0"/>
        </w:rPr>
        <w:t>中华人民共和国企业所得税法》第二十八条规定，国家需要重点扶持的高新技术企业，减按</w:t>
      </w:r>
      <w:r>
        <w:rPr>
          <w:rFonts w:ascii="Times New Roman" w:eastAsia="Times New Roman" w:hAnsi="Times New Roman" w:cs="Times New Roman"/>
          <w:color w:val="000000"/>
          <w:spacing w:val="0"/>
          <w:w w:val="100"/>
          <w:position w:val="0"/>
        </w:rPr>
        <w:t>15%</w:t>
      </w:r>
      <w:r>
        <w:rPr>
          <w:color w:val="000000"/>
          <w:spacing w:val="0"/>
          <w:w w:val="100"/>
          <w:position w:val="0"/>
        </w:rPr>
        <w:t xml:space="preserve">的税率 </w:t>
      </w:r>
      <w:r>
        <w:rPr>
          <w:color w:val="000000"/>
          <w:spacing w:val="0"/>
          <w:w w:val="100"/>
          <w:position w:val="0"/>
        </w:rPr>
        <w:t>缴纳企业所得税。</w:t>
      </w:r>
    </w:p>
    <w:p>
      <w:pPr>
        <w:pStyle w:val="Style47"/>
        <w:keepNext w:val="0"/>
        <w:keepLines w:val="0"/>
        <w:widowControl w:val="0"/>
        <w:numPr>
          <w:ilvl w:val="0"/>
          <w:numId w:val="89"/>
        </w:numPr>
        <w:shd w:val="clear" w:color="auto" w:fill="auto"/>
        <w:bidi w:val="0"/>
        <w:spacing w:before="0" w:after="200" w:line="240" w:lineRule="auto"/>
        <w:ind w:left="0" w:right="0" w:firstLine="440"/>
        <w:jc w:val="both"/>
      </w:pPr>
      <w:bookmarkStart w:id="1090" w:name="bookmark1090"/>
      <w:bookmarkEnd w:id="1090"/>
      <w:r>
        <w:rPr>
          <w:color w:val="000000"/>
          <w:spacing w:val="0"/>
          <w:w w:val="100"/>
          <w:position w:val="0"/>
        </w:rPr>
        <w:t>研究开发费用企业所得税优惠</w:t>
      </w:r>
    </w:p>
    <w:p>
      <w:pPr>
        <w:pStyle w:val="Style47"/>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根据财政部和国家税务总局联合发布《关于提高研究开发费用税前加计扣除比例的通知》（财税</w:t>
      </w:r>
    </w:p>
    <w:p>
      <w:pPr>
        <w:pStyle w:val="Style47"/>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rPr>
        <w:t>[2018]99</w:t>
      </w:r>
      <w:r>
        <w:rPr>
          <w:color w:val="000000"/>
          <w:spacing w:val="0"/>
          <w:w w:val="100"/>
          <w:position w:val="0"/>
        </w:rPr>
        <w:t>号），本公司与成都中科开展研发活动中实际发生的研发费用，未形成无形资产计入当期损益的,</w:t>
      </w: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在按规定据实扣除的基础上，按照当年度实际发生额的</w:t>
      </w:r>
      <w:r>
        <w:rPr>
          <w:rFonts w:ascii="Times New Roman" w:eastAsia="Times New Roman" w:hAnsi="Times New Roman" w:cs="Times New Roman"/>
          <w:color w:val="000000"/>
          <w:spacing w:val="0"/>
          <w:w w:val="100"/>
          <w:position w:val="0"/>
        </w:rPr>
        <w:t>75%</w:t>
      </w:r>
      <w:r>
        <w:rPr>
          <w:color w:val="000000"/>
          <w:spacing w:val="0"/>
          <w:w w:val="100"/>
          <w:position w:val="0"/>
        </w:rPr>
        <w:t xml:space="preserve">，从当年度应纳税所得额中扣除；形成无形资 </w:t>
      </w:r>
      <w:r>
        <w:rPr>
          <w:color w:val="000000"/>
          <w:spacing w:val="0"/>
          <w:w w:val="100"/>
          <w:position w:val="0"/>
        </w:rPr>
        <w:t>产的，按照无形资产成本的</w:t>
      </w:r>
      <w:r>
        <w:rPr>
          <w:rFonts w:ascii="Times New Roman" w:eastAsia="Times New Roman" w:hAnsi="Times New Roman" w:cs="Times New Roman"/>
          <w:color w:val="000000"/>
          <w:spacing w:val="0"/>
          <w:w w:val="100"/>
          <w:position w:val="0"/>
        </w:rPr>
        <w:t>175%</w:t>
      </w:r>
      <w:r>
        <w:rPr>
          <w:color w:val="000000"/>
          <w:spacing w:val="0"/>
          <w:w w:val="100"/>
          <w:position w:val="0"/>
        </w:rPr>
        <w:t>在税前摊销。</w:t>
      </w:r>
    </w:p>
    <w:p>
      <w:pPr>
        <w:pStyle w:val="Style47"/>
        <w:keepNext w:val="0"/>
        <w:keepLines w:val="0"/>
        <w:widowControl w:val="0"/>
        <w:numPr>
          <w:ilvl w:val="0"/>
          <w:numId w:val="89"/>
        </w:numPr>
        <w:shd w:val="clear" w:color="auto" w:fill="auto"/>
        <w:bidi w:val="0"/>
        <w:spacing w:before="0" w:after="200" w:line="240" w:lineRule="auto"/>
        <w:ind w:left="0" w:right="0" w:firstLine="440"/>
        <w:jc w:val="left"/>
      </w:pPr>
      <w:bookmarkStart w:id="1091" w:name="bookmark1091"/>
      <w:bookmarkEnd w:id="1091"/>
      <w:r>
        <w:rPr>
          <w:color w:val="000000"/>
          <w:spacing w:val="0"/>
          <w:w w:val="100"/>
          <w:position w:val="0"/>
        </w:rPr>
        <w:t>安置残疾人员就业税务优惠</w:t>
      </w:r>
    </w:p>
    <w:p>
      <w:pPr>
        <w:pStyle w:val="Style47"/>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根据财政部国家税务总局《关于安置残疾人员就业有关企业所得税优惠政策问题的通知》（财税</w:t>
      </w:r>
    </w:p>
    <w:p>
      <w:pPr>
        <w:pStyle w:val="Style47"/>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rPr>
        <w:t>[2009]70</w:t>
      </w:r>
      <w:r>
        <w:rPr>
          <w:color w:val="000000"/>
          <w:spacing w:val="0"/>
          <w:w w:val="100"/>
          <w:position w:val="0"/>
        </w:rPr>
        <w:t>号），本公司安置残疾人员就业支付给残疾职工工资，在据实扣除的基础上，可以在计算应纳税</w:t>
      </w:r>
    </w:p>
    <w:p>
      <w:pPr>
        <w:pStyle w:val="Style47"/>
        <w:keepNext w:val="0"/>
        <w:keepLines w:val="0"/>
        <w:widowControl w:val="0"/>
        <w:shd w:val="clear" w:color="auto" w:fill="auto"/>
        <w:bidi w:val="0"/>
        <w:spacing w:before="0" w:after="200" w:line="240" w:lineRule="auto"/>
        <w:ind w:left="0" w:right="0" w:firstLine="0"/>
        <w:jc w:val="left"/>
      </w:pPr>
      <w:r>
        <w:rPr>
          <w:color w:val="000000"/>
          <w:spacing w:val="0"/>
          <w:w w:val="100"/>
          <w:position w:val="0"/>
        </w:rPr>
        <w:t>所得额时按照支付给残疾职工工资的</w:t>
      </w:r>
      <w:r>
        <w:rPr>
          <w:rFonts w:ascii="Times New Roman" w:eastAsia="Times New Roman" w:hAnsi="Times New Roman" w:cs="Times New Roman"/>
          <w:color w:val="000000"/>
          <w:spacing w:val="0"/>
          <w:w w:val="100"/>
          <w:position w:val="0"/>
        </w:rPr>
        <w:t>100%</w:t>
      </w:r>
      <w:r>
        <w:rPr>
          <w:color w:val="000000"/>
          <w:spacing w:val="0"/>
          <w:w w:val="100"/>
          <w:position w:val="0"/>
        </w:rPr>
        <w:t>加计扣除。</w:t>
      </w:r>
    </w:p>
    <w:p>
      <w:pPr>
        <w:pStyle w:val="Style47"/>
        <w:keepNext w:val="0"/>
        <w:keepLines w:val="0"/>
        <w:widowControl w:val="0"/>
        <w:numPr>
          <w:ilvl w:val="0"/>
          <w:numId w:val="89"/>
        </w:numPr>
        <w:shd w:val="clear" w:color="auto" w:fill="auto"/>
        <w:bidi w:val="0"/>
        <w:spacing w:before="0" w:after="200" w:line="240" w:lineRule="auto"/>
        <w:ind w:left="0" w:right="0" w:firstLine="440"/>
        <w:jc w:val="both"/>
      </w:pPr>
      <w:bookmarkStart w:id="1092" w:name="bookmark1092"/>
      <w:bookmarkEnd w:id="1092"/>
      <w:r>
        <w:rPr>
          <w:color w:val="000000"/>
          <w:spacing w:val="0"/>
          <w:w w:val="100"/>
          <w:position w:val="0"/>
        </w:rPr>
        <w:t>技术开发、技术服务税收优惠</w:t>
      </w:r>
    </w:p>
    <w:p>
      <w:pPr>
        <w:pStyle w:val="Style47"/>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根据《铁路运输和邮政业纳入营业税改征增值税试点过渡政策的规定》（财税</w:t>
      </w:r>
      <w:r>
        <w:rPr>
          <w:rFonts w:ascii="Times New Roman" w:eastAsia="Times New Roman" w:hAnsi="Times New Roman" w:cs="Times New Roman"/>
          <w:color w:val="000000"/>
          <w:spacing w:val="0"/>
          <w:w w:val="100"/>
          <w:position w:val="0"/>
        </w:rPr>
        <w:t>[2013]106</w:t>
      </w:r>
      <w:r>
        <w:rPr>
          <w:color w:val="000000"/>
          <w:spacing w:val="0"/>
          <w:w w:val="100"/>
          <w:position w:val="0"/>
        </w:rPr>
        <w:t>号），从</w:t>
      </w:r>
      <w:r>
        <w:rPr>
          <w:rFonts w:ascii="Times New Roman" w:eastAsia="Times New Roman" w:hAnsi="Times New Roman" w:cs="Times New Roman"/>
          <w:color w:val="000000"/>
          <w:spacing w:val="0"/>
          <w:w w:val="100"/>
          <w:position w:val="0"/>
        </w:rPr>
        <w:t xml:space="preserve">2014 </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日起，本公司提供技术开发业务免征增值税。</w:t>
      </w:r>
    </w:p>
    <w:p>
      <w:pPr>
        <w:pStyle w:val="Style35"/>
        <w:keepNext w:val="0"/>
        <w:keepLines w:val="0"/>
        <w:widowControl w:val="0"/>
        <w:shd w:val="clear" w:color="auto" w:fill="auto"/>
        <w:bidi w:val="0"/>
        <w:spacing w:before="0" w:after="96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rPr>
        <w:t>12</w:t>
      </w:r>
      <w:r>
        <w:rPr>
          <w:color w:val="000000"/>
          <w:spacing w:val="0"/>
          <w:w w:val="100"/>
          <w:position w:val="0"/>
        </w:rPr>
        <w:t>号——上市公司从事软件与信息技术服务业务》的披露要求</w:t>
      </w:r>
    </w:p>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巨潮资讯</w:t>
      </w:r>
    </w:p>
    <w:p>
      <w:pPr>
        <w:pStyle w:val="Style86"/>
        <w:keepNext w:val="0"/>
        <w:keepLines w:val="0"/>
        <w:widowControl w:val="0"/>
        <w:shd w:val="clear" w:color="auto" w:fill="auto"/>
        <w:bidi w:val="0"/>
        <w:spacing w:before="0" w:after="200" w:line="240" w:lineRule="auto"/>
        <w:ind w:left="0" w:right="0" w:firstLine="0"/>
        <w:jc w:val="right"/>
        <w:sectPr>
          <w:headerReference w:type="default" r:id="rId295"/>
          <w:footerReference w:type="default" r:id="rId296"/>
          <w:headerReference w:type="even" r:id="rId297"/>
          <w:footerReference w:type="even" r:id="rId298"/>
          <w:footnotePr>
            <w:pos w:val="pageBottom"/>
            <w:numFmt w:val="decimal"/>
            <w:numRestart w:val="continuous"/>
          </w:footnotePr>
          <w:pgSz w:w="11900" w:h="16840"/>
          <w:pgMar w:top="1436" w:right="1004" w:bottom="169" w:left="1104" w:header="0" w:footer="3" w:gutter="0"/>
          <w:cols w:space="720"/>
          <w:noEndnote/>
          <w:rtlGutter w:val="0"/>
          <w:docGrid w:linePitch="360"/>
        </w:sectPr>
      </w:pPr>
      <w:r>
        <w:rPr>
          <w:spacing w:val="0"/>
          <w:w w:val="100"/>
          <w:position w:val="0"/>
        </w:rPr>
        <w:t>ww.cnlnTo.com.cn</w:t>
      </w:r>
    </w:p>
    <w:p>
      <w:pPr>
        <w:pStyle w:val="Style33"/>
        <w:keepNext/>
        <w:keepLines/>
        <w:widowControl w:val="0"/>
        <w:shd w:val="clear" w:color="auto" w:fill="auto"/>
        <w:bidi w:val="0"/>
        <w:spacing w:before="120" w:after="340" w:line="240" w:lineRule="auto"/>
        <w:ind w:left="0" w:right="0" w:firstLine="0"/>
        <w:jc w:val="left"/>
      </w:pPr>
      <w:bookmarkStart w:id="1093" w:name="bookmark1093"/>
      <w:bookmarkStart w:id="1094" w:name="bookmark1094"/>
      <w:bookmarkStart w:id="1095" w:name="bookmark1095"/>
      <w:bookmarkStart w:id="1096" w:name="bookmark1096"/>
      <w:r>
        <w:rPr>
          <w:color w:val="000000"/>
          <w:spacing w:val="0"/>
          <w:w w:val="100"/>
          <w:position w:val="0"/>
          <w:sz w:val="24"/>
          <w:szCs w:val="24"/>
        </w:rPr>
        <w:t>七</w:t>
      </w:r>
      <w:bookmarkEnd w:id="1095"/>
      <w:r>
        <w:rPr>
          <w:color w:val="000000"/>
          <w:spacing w:val="0"/>
          <w:w w:val="100"/>
          <w:position w:val="0"/>
          <w:sz w:val="24"/>
          <w:szCs w:val="24"/>
        </w:rPr>
        <w:t>、合并财务报表项目注释</w:t>
      </w:r>
      <w:bookmarkEnd w:id="1093"/>
      <w:bookmarkEnd w:id="1094"/>
      <w:bookmarkEnd w:id="1096"/>
    </w:p>
    <w:p>
      <w:pPr>
        <w:pStyle w:val="Style44"/>
        <w:keepNext/>
        <w:keepLines/>
        <w:widowControl w:val="0"/>
        <w:shd w:val="clear" w:color="auto" w:fill="auto"/>
        <w:bidi w:val="0"/>
        <w:spacing w:before="0" w:line="240" w:lineRule="auto"/>
        <w:ind w:left="0" w:right="0" w:firstLine="0"/>
        <w:jc w:val="left"/>
      </w:pPr>
      <w:bookmarkStart w:id="1097" w:name="bookmark1097"/>
      <w:bookmarkStart w:id="1098" w:name="bookmark1098"/>
      <w:bookmarkStart w:id="1099" w:name="bookmark1099"/>
      <w:r>
        <w:rPr>
          <w:rFonts w:ascii="Times New Roman" w:eastAsia="Times New Roman" w:hAnsi="Times New Roman" w:cs="Times New Roman"/>
          <w:color w:val="000000"/>
          <w:spacing w:val="0"/>
          <w:w w:val="100"/>
          <w:position w:val="0"/>
        </w:rPr>
        <w:t>1</w:t>
      </w:r>
      <w:r>
        <w:rPr>
          <w:color w:val="000000"/>
          <w:spacing w:val="0"/>
          <w:w w:val="100"/>
          <w:position w:val="0"/>
        </w:rPr>
        <w:t>、货币资金</w:t>
      </w:r>
      <w:bookmarkEnd w:id="1097"/>
      <w:bookmarkEnd w:id="1098"/>
      <w:bookmarkEnd w:id="109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246,110,109.04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275,232,550.79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7,150,970.37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7,691,780.24</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253,261,079.41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282,924,331.03</w:t>
            </w:r>
          </w:p>
        </w:tc>
      </w:tr>
    </w:tbl>
    <w:p>
      <w:pPr>
        <w:widowControl w:val="0"/>
        <w:spacing w:after="79" w:line="1" w:lineRule="exact"/>
      </w:pPr>
    </w:p>
    <w:p>
      <w:pPr>
        <w:pStyle w:val="Style35"/>
        <w:keepNext w:val="0"/>
        <w:keepLines w:val="0"/>
        <w:widowControl w:val="0"/>
        <w:shd w:val="clear" w:color="auto" w:fill="auto"/>
        <w:bidi w:val="0"/>
        <w:spacing w:before="0" w:after="180" w:line="240" w:lineRule="auto"/>
        <w:ind w:left="0" w:right="0" w:firstLine="0"/>
        <w:jc w:val="left"/>
      </w:pPr>
      <w:r>
        <w:rPr>
          <w:color w:val="000000"/>
          <w:spacing w:val="0"/>
          <w:w w:val="100"/>
          <w:position w:val="0"/>
        </w:rPr>
        <w:t>其他说明</w:t>
      </w:r>
    </w:p>
    <w:p>
      <w:pPr>
        <w:pStyle w:val="Style47"/>
        <w:keepNext w:val="0"/>
        <w:keepLines w:val="0"/>
        <w:widowControl w:val="0"/>
        <w:shd w:val="clear" w:color="auto" w:fill="auto"/>
        <w:tabs>
          <w:tab w:pos="358" w:val="left"/>
        </w:tabs>
        <w:bidi w:val="0"/>
        <w:spacing w:before="0" w:after="180" w:line="240" w:lineRule="auto"/>
        <w:ind w:left="0" w:right="0" w:firstLine="0"/>
        <w:jc w:val="left"/>
      </w:pPr>
      <w:bookmarkStart w:id="1100" w:name="bookmark1100"/>
      <w:r>
        <w:rPr>
          <w:rFonts w:ascii="Times New Roman" w:eastAsia="Times New Roman" w:hAnsi="Times New Roman" w:cs="Times New Roman"/>
          <w:color w:val="000000"/>
          <w:spacing w:val="0"/>
          <w:w w:val="100"/>
          <w:position w:val="0"/>
        </w:rPr>
        <w:t>1</w:t>
      </w:r>
      <w:bookmarkEnd w:id="1100"/>
      <w:r>
        <w:rPr>
          <w:color w:val="000000"/>
          <w:spacing w:val="0"/>
          <w:w w:val="100"/>
          <w:position w:val="0"/>
        </w:rPr>
        <w:t>、</w:t>
        <w:tab/>
        <w:t>期末不存在抵押、质押、冻结等对使用有限制款项。</w:t>
      </w:r>
    </w:p>
    <w:p>
      <w:pPr>
        <w:pStyle w:val="Style47"/>
        <w:keepNext w:val="0"/>
        <w:keepLines w:val="0"/>
        <w:widowControl w:val="0"/>
        <w:shd w:val="clear" w:color="auto" w:fill="auto"/>
        <w:tabs>
          <w:tab w:pos="378" w:val="left"/>
        </w:tabs>
        <w:bidi w:val="0"/>
        <w:spacing w:before="0" w:after="420" w:line="240" w:lineRule="auto"/>
        <w:ind w:left="0" w:right="0" w:firstLine="0"/>
        <w:jc w:val="left"/>
      </w:pPr>
      <w:bookmarkStart w:id="1101" w:name="bookmark1101"/>
      <w:r>
        <w:rPr>
          <w:rFonts w:ascii="Times New Roman" w:eastAsia="Times New Roman" w:hAnsi="Times New Roman" w:cs="Times New Roman"/>
          <w:color w:val="000000"/>
          <w:spacing w:val="0"/>
          <w:w w:val="100"/>
          <w:position w:val="0"/>
        </w:rPr>
        <w:t>2</w:t>
      </w:r>
      <w:bookmarkEnd w:id="1101"/>
      <w:r>
        <w:rPr>
          <w:color w:val="000000"/>
          <w:spacing w:val="0"/>
          <w:w w:val="100"/>
          <w:position w:val="0"/>
        </w:rPr>
        <w:t>、</w:t>
        <w:tab/>
        <w:t>期末余额中其他货币资金履约保证金存款</w:t>
      </w:r>
      <w:r>
        <w:rPr>
          <w:rFonts w:ascii="Times New Roman" w:eastAsia="Times New Roman" w:hAnsi="Times New Roman" w:cs="Times New Roman"/>
          <w:color w:val="000000"/>
          <w:spacing w:val="0"/>
          <w:w w:val="100"/>
          <w:position w:val="0"/>
        </w:rPr>
        <w:t>7,147,906.76</w:t>
      </w:r>
      <w:r>
        <w:rPr>
          <w:color w:val="000000"/>
          <w:spacing w:val="0"/>
          <w:w w:val="100"/>
          <w:position w:val="0"/>
        </w:rPr>
        <w:t>元，其使用受到限制。</w:t>
      </w:r>
    </w:p>
    <w:p>
      <w:pPr>
        <w:pStyle w:val="Style44"/>
        <w:keepNext/>
        <w:keepLines/>
        <w:widowControl w:val="0"/>
        <w:shd w:val="clear" w:color="auto" w:fill="auto"/>
        <w:bidi w:val="0"/>
        <w:spacing w:before="0" w:line="240" w:lineRule="auto"/>
        <w:ind w:left="0" w:right="0" w:firstLine="0"/>
        <w:jc w:val="left"/>
      </w:pPr>
      <w:bookmarkStart w:id="1102" w:name="bookmark1102"/>
      <w:bookmarkStart w:id="1103" w:name="bookmark1103"/>
      <w:bookmarkStart w:id="1104" w:name="bookmark1104"/>
      <w:bookmarkStart w:id="1105" w:name="bookmark1105"/>
      <w:r>
        <w:rPr>
          <w:rFonts w:ascii="Times New Roman" w:eastAsia="Times New Roman" w:hAnsi="Times New Roman" w:cs="Times New Roman"/>
          <w:color w:val="000000"/>
          <w:spacing w:val="0"/>
          <w:w w:val="100"/>
          <w:position w:val="0"/>
        </w:rPr>
        <w:t>2</w:t>
      </w:r>
      <w:bookmarkEnd w:id="1104"/>
      <w:r>
        <w:rPr>
          <w:color w:val="000000"/>
          <w:spacing w:val="0"/>
          <w:w w:val="100"/>
          <w:position w:val="0"/>
        </w:rPr>
        <w:t>、应收票据</w:t>
      </w:r>
      <w:bookmarkEnd w:id="1102"/>
      <w:bookmarkEnd w:id="1103"/>
      <w:bookmarkEnd w:id="1105"/>
    </w:p>
    <w:p>
      <w:pPr>
        <w:pStyle w:val="Style60"/>
        <w:keepNext/>
        <w:keepLines/>
        <w:widowControl w:val="0"/>
        <w:shd w:val="clear" w:color="auto" w:fill="auto"/>
        <w:bidi w:val="0"/>
        <w:spacing w:before="0" w:after="340" w:line="240" w:lineRule="auto"/>
        <w:ind w:left="0" w:right="0" w:firstLine="0"/>
        <w:jc w:val="left"/>
      </w:pPr>
      <w:bookmarkStart w:id="1106" w:name="bookmark1106"/>
      <w:bookmarkStart w:id="1107" w:name="bookmark1107"/>
      <w:bookmarkStart w:id="1108" w:name="bookmark110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）应收票据分类列示</w:t>
      </w:r>
      <w:bookmarkEnd w:id="1106"/>
      <w:bookmarkEnd w:id="1107"/>
      <w:bookmarkEnd w:id="110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商业承兑票据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23,003,332.80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10,716,935.35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23,003,332.80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10,716,935.35</w:t>
            </w:r>
          </w:p>
        </w:tc>
      </w:tr>
    </w:tbl>
    <w:p>
      <w:pPr>
        <w:widowControl w:val="0"/>
        <w:spacing w:after="79" w:line="1" w:lineRule="exact"/>
      </w:pPr>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642"/>
        <w:gridCol w:w="763"/>
        <w:gridCol w:w="763"/>
        <w:gridCol w:w="763"/>
        <w:gridCol w:w="763"/>
        <w:gridCol w:w="787"/>
        <w:gridCol w:w="773"/>
        <w:gridCol w:w="802"/>
        <w:gridCol w:w="926"/>
        <w:gridCol w:w="802"/>
        <w:gridCol w:w="802"/>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gridSpan w:val="5"/>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5"/>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vMerge/>
            <w:tcBorders>
              <w:left w:val="single" w:sz="4"/>
            </w:tcBorders>
            <w:shd w:val="clear" w:color="auto" w:fill="D4D4D4"/>
            <w:vAlign w:val="center"/>
          </w:tcPr>
          <w:p>
            <w:pP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账面价值</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账面价值</w:t>
            </w:r>
          </w:p>
        </w:tc>
      </w:tr>
      <w:tr>
        <w:trPr>
          <w:trHeight w:val="710"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计提比 例</w:t>
            </w: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计提比例</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按组合计提坏账准 备的应收票据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23,073,3</w:t>
            </w:r>
          </w:p>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32.80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70,000.0</w:t>
            </w:r>
          </w:p>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23,003,33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10,766,93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10,716,93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应收票据组合</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23,073,3</w:t>
            </w:r>
          </w:p>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32.80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70,000.0</w:t>
            </w:r>
          </w:p>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23,003,33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9,766,935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9,766,935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应收票据组合</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23,073,3</w:t>
            </w:r>
          </w:p>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32.80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70,000.0</w:t>
            </w:r>
          </w:p>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23,003,33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10,766,93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10,716,93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按单项计提坏账准备:</w:t>
      </w:r>
    </w:p>
    <w:p>
      <w:pPr>
        <w:widowControl w:val="0"/>
        <w:spacing w:after="79" w:line="1" w:lineRule="exact"/>
      </w:pPr>
    </w:p>
    <w:p>
      <w:pPr>
        <w:pStyle w:val="Style35"/>
        <w:keepNext w:val="0"/>
        <w:keepLines w:val="0"/>
        <w:widowControl w:val="0"/>
        <w:shd w:val="clear" w:color="auto" w:fill="auto"/>
        <w:bidi w:val="0"/>
        <w:spacing w:before="0" w:after="2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名称</w:t>
            </w:r>
          </w:p>
        </w:tc>
        <w:tc>
          <w:tcPr>
            <w:gridSpan w:val="4"/>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413" w:hRule="exact"/>
        </w:trPr>
        <w:tc>
          <w:tcPr>
            <w:vMerge/>
            <w:tcBorders>
              <w:left w:val="single" w:sz="4"/>
              <w:bottom w:val="single" w:sz="4"/>
            </w:tcBorders>
            <w:shd w:val="clear" w:color="auto" w:fill="D4D4D4"/>
            <w:vAlign w:val="center"/>
          </w:tcPr>
          <w:p>
            <w:pP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计提比例</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计提理由</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按组合计提坏账准备：</w:t>
      </w:r>
      <w:r>
        <w:rPr>
          <w:rFonts w:ascii="Times New Roman" w:eastAsia="Times New Roman" w:hAnsi="Times New Roman" w:cs="Times New Roman"/>
          <w:b w:val="0"/>
          <w:bCs w:val="0"/>
          <w:color w:val="000000"/>
          <w:spacing w:val="0"/>
          <w:w w:val="100"/>
          <w:position w:val="0"/>
          <w:sz w:val="18"/>
          <w:szCs w:val="18"/>
        </w:rPr>
        <w:t>70,000.00</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名称</w:t>
            </w:r>
          </w:p>
        </w:tc>
        <w:tc>
          <w:tcPr>
            <w:gridSpan w:val="3"/>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398"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计提比例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应收票据组合</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23,073,332.80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23,073,332.80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70,000.00</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5"/>
        <w:keepNext w:val="0"/>
        <w:keepLines w:val="0"/>
        <w:widowControl w:val="0"/>
        <w:shd w:val="clear" w:color="auto" w:fill="auto"/>
        <w:bidi w:val="0"/>
        <w:spacing w:before="0" w:after="0" w:line="341" w:lineRule="exact"/>
        <w:ind w:left="0" w:right="0" w:firstLine="0"/>
        <w:jc w:val="left"/>
      </w:pPr>
      <w:r>
        <w:rPr>
          <w:color w:val="000000"/>
          <w:spacing w:val="0"/>
          <w:w w:val="100"/>
          <w:position w:val="0"/>
        </w:rPr>
        <w:t>确定该组合依据的说明：</w:t>
      </w:r>
    </w:p>
    <w:p>
      <w:pPr>
        <w:pStyle w:val="Style35"/>
        <w:keepNext w:val="0"/>
        <w:keepLines w:val="0"/>
        <w:widowControl w:val="0"/>
        <w:shd w:val="clear" w:color="auto" w:fill="auto"/>
        <w:bidi w:val="0"/>
        <w:spacing w:before="0" w:after="360" w:line="341" w:lineRule="exact"/>
        <w:ind w:left="0" w:right="0" w:firstLine="0"/>
        <w:jc w:val="left"/>
      </w:pPr>
      <w:r>
        <w:rPr>
          <w:color w:val="000000"/>
          <w:spacing w:val="0"/>
          <w:w w:val="100"/>
          <w:position w:val="0"/>
        </w:rPr>
        <w:t xml:space="preserve">如是按照预期信用损失一般模型计提应收票据坏账准备，请参照其他应收款的披露方式披露坏账准备的相关信息: </w:t>
      </w: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60"/>
        <w:keepNext/>
        <w:keepLines/>
        <w:widowControl w:val="0"/>
        <w:shd w:val="clear" w:color="auto" w:fill="auto"/>
        <w:bidi w:val="0"/>
        <w:spacing w:before="0" w:line="240" w:lineRule="auto"/>
        <w:ind w:left="0" w:right="0" w:firstLine="0"/>
        <w:jc w:val="left"/>
      </w:pPr>
      <w:bookmarkStart w:id="1109" w:name="bookmark1109"/>
      <w:bookmarkStart w:id="1110" w:name="bookmark1110"/>
      <w:bookmarkStart w:id="1111" w:name="bookmark111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109"/>
      <w:bookmarkEnd w:id="1110"/>
      <w:bookmarkEnd w:id="1111"/>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本期计提坏账准备情况：</w:t>
      </w: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本期变动金额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期末余额</w:t>
            </w:r>
          </w:p>
        </w:tc>
      </w:tr>
      <w:tr>
        <w:trPr>
          <w:trHeight w:val="398"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收回或转回</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核销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应收票据组合</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70,000.00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70,000.00</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其中本期坏账准备收回或转回金额重要的:</w:t>
      </w:r>
    </w:p>
    <w:p>
      <w:pPr>
        <w:pStyle w:val="Style35"/>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44"/>
        <w:keepNext/>
        <w:keepLines/>
        <w:widowControl w:val="0"/>
        <w:shd w:val="clear" w:color="auto" w:fill="auto"/>
        <w:bidi w:val="0"/>
        <w:spacing w:before="0" w:after="360" w:line="240" w:lineRule="auto"/>
        <w:ind w:left="0" w:right="0" w:firstLine="0"/>
        <w:jc w:val="left"/>
      </w:pPr>
      <w:bookmarkStart w:id="1112" w:name="bookmark1112"/>
      <w:bookmarkStart w:id="1113" w:name="bookmark1113"/>
      <w:bookmarkStart w:id="1114" w:name="bookmark1114"/>
      <w:bookmarkStart w:id="1115" w:name="bookmark1115"/>
      <w:r>
        <w:rPr>
          <w:rFonts w:ascii="Times New Roman" w:eastAsia="Times New Roman" w:hAnsi="Times New Roman" w:cs="Times New Roman"/>
          <w:color w:val="000000"/>
          <w:spacing w:val="0"/>
          <w:w w:val="100"/>
          <w:position w:val="0"/>
        </w:rPr>
        <w:t>3</w:t>
      </w:r>
      <w:bookmarkEnd w:id="1114"/>
      <w:r>
        <w:rPr>
          <w:color w:val="000000"/>
          <w:spacing w:val="0"/>
          <w:w w:val="100"/>
          <w:position w:val="0"/>
        </w:rPr>
        <w:t>、应收账款</w:t>
      </w:r>
      <w:bookmarkEnd w:id="1112"/>
      <w:bookmarkEnd w:id="1113"/>
      <w:bookmarkEnd w:id="1115"/>
    </w:p>
    <w:p>
      <w:pPr>
        <w:pStyle w:val="Style60"/>
        <w:keepNext/>
        <w:keepLines/>
        <w:widowControl w:val="0"/>
        <w:shd w:val="clear" w:color="auto" w:fill="auto"/>
        <w:bidi w:val="0"/>
        <w:spacing w:before="0" w:line="240" w:lineRule="auto"/>
        <w:ind w:left="0" w:right="0" w:firstLine="0"/>
        <w:jc w:val="left"/>
      </w:pPr>
      <w:bookmarkStart w:id="1116" w:name="bookmark1116"/>
      <w:bookmarkStart w:id="1117" w:name="bookmark1117"/>
      <w:bookmarkStart w:id="1118" w:name="bookmark111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116"/>
      <w:bookmarkEnd w:id="1117"/>
      <w:bookmarkEnd w:id="111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642"/>
        <w:gridCol w:w="763"/>
        <w:gridCol w:w="763"/>
        <w:gridCol w:w="763"/>
        <w:gridCol w:w="763"/>
        <w:gridCol w:w="787"/>
        <w:gridCol w:w="773"/>
        <w:gridCol w:w="802"/>
        <w:gridCol w:w="797"/>
        <w:gridCol w:w="787"/>
        <w:gridCol w:w="946"/>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gridSpan w:val="5"/>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5"/>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vMerge/>
            <w:tcBorders>
              <w:left w:val="single" w:sz="4"/>
            </w:tcBorders>
            <w:shd w:val="clear" w:color="auto" w:fill="D4D4D4"/>
            <w:vAlign w:val="center"/>
          </w:tcPr>
          <w:p>
            <w:pP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账面价值</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账面价值</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计提比 例</w:t>
            </w: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计提比例</w:t>
            </w:r>
          </w:p>
        </w:tc>
        <w:tc>
          <w:tcPr>
            <w:vMerge/>
            <w:tcBorders>
              <w:left w:val="single" w:sz="4"/>
              <w:right w:val="single" w:sz="4"/>
            </w:tcBorders>
            <w:shd w:val="clear" w:color="auto" w:fill="D4D4D4"/>
            <w:vAlign w:val="center"/>
          </w:tcPr>
          <w:p>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按单项计提坏账准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1,004,56</w:t>
            </w:r>
          </w:p>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49.77%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504,560.0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1,004,560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504,560.00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按组合计提坏账准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321,419,</w:t>
            </w:r>
          </w:p>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948.71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99.69%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52,620,1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268,799,8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276,463,7</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42,616,79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233,846,98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5.52</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其中：</w:t>
            </w: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right w:val="single" w:sz="4"/>
            </w:tcBorders>
            <w:shd w:val="clear" w:color="auto" w:fill="D4D4D4"/>
            <w:vAlign w:val="top"/>
          </w:tcPr>
          <w:p>
            <w:pPr>
              <w:widowControl w:val="0"/>
              <w:rPr>
                <w:sz w:val="10"/>
                <w:szCs w:val="10"/>
              </w:rPr>
            </w:pPr>
          </w:p>
        </w:tc>
      </w:tr>
    </w:tbl>
    <w:p>
      <w:pPr>
        <w:spacing w:lineRule="exact" w:line="1"/>
        <w:rPr>
          <w:sz w:val="2"/>
          <w:szCs w:val="2"/>
        </w:rPr>
      </w:pPr>
      <w:r>
        <w:br w:type="page"/>
      </w:r>
    </w:p>
    <w:p>
      <w:pPr>
        <w:widowControl w:val="0"/>
        <w:jc w:val="center"/>
        <w:rPr>
          <w:sz w:val="2"/>
          <w:szCs w:val="2"/>
        </w:rPr>
      </w:pPr>
      <w:r>
        <w:drawing>
          <wp:inline>
            <wp:extent cx="6126480" cy="4291330"/>
            <wp:docPr id="1165" name="Picutre 1165"/>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299"/>
                    <a:stretch/>
                  </pic:blipFill>
                  <pic:spPr>
                    <a:xfrm>
                      <a:ext cx="6126480" cy="4291330"/>
                    </a:xfrm>
                    <a:prstGeom prst="rect"/>
                  </pic:spPr>
                </pic:pic>
              </a:graphicData>
            </a:graphic>
          </wp:inline>
        </w:drawing>
      </w:r>
    </w:p>
    <w:p>
      <w:pPr>
        <w:widowControl w:val="0"/>
        <w:spacing w:after="139" w:line="1" w:lineRule="exact"/>
      </w:pP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3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35"/>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账龄</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170,372,773.43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87,697,066.83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32,503,749.71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31,850,918.74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5,408,784.60</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10,211,991.16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16,230,142.98</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322,424,508.71</w:t>
            </w:r>
          </w:p>
        </w:tc>
      </w:tr>
    </w:tbl>
    <w:p>
      <w:pPr>
        <w:pStyle w:val="Style41"/>
        <w:keepNext w:val="0"/>
        <w:keepLines w:val="0"/>
        <w:widowControl w:val="0"/>
        <w:shd w:val="clear" w:color="auto" w:fill="auto"/>
        <w:bidi w:val="0"/>
        <w:spacing w:before="0" w:after="0" w:line="240" w:lineRule="auto"/>
        <w:ind w:left="0" w:right="0" w:firstLine="0"/>
        <w:jc w:val="center"/>
        <w:rPr>
          <w:sz w:val="18"/>
          <w:szCs w:val="18"/>
        </w:rPr>
      </w:pPr>
      <w:r>
        <w:rPr>
          <w:b w:val="0"/>
          <w:bCs w:val="0"/>
          <w:color w:val="000000"/>
          <w:spacing w:val="0"/>
          <w:w w:val="100"/>
          <w:position w:val="0"/>
          <w:sz w:val="18"/>
          <w:szCs w:val="18"/>
        </w:rPr>
        <w:t>公司需要遵守《深圳证券交易所行业信息披露指引第</w:t>
      </w:r>
      <w:r>
        <w:rPr>
          <w:rFonts w:ascii="Times New Roman" w:eastAsia="Times New Roman" w:hAnsi="Times New Roman" w:cs="Times New Roman"/>
          <w:b w:val="0"/>
          <w:bCs w:val="0"/>
          <w:color w:val="000000"/>
          <w:spacing w:val="0"/>
          <w:w w:val="100"/>
          <w:position w:val="0"/>
          <w:sz w:val="18"/>
          <w:szCs w:val="18"/>
        </w:rPr>
        <w:t>12</w:t>
      </w:r>
      <w:r>
        <w:rPr>
          <w:b w:val="0"/>
          <w:bCs w:val="0"/>
          <w:color w:val="000000"/>
          <w:spacing w:val="0"/>
          <w:w w:val="100"/>
          <w:position w:val="0"/>
          <w:sz w:val="18"/>
          <w:szCs w:val="18"/>
        </w:rPr>
        <w:t>号——上市公司从事软件与信息技术服务业务》的披露要求</w:t>
      </w:r>
    </w:p>
    <w:p>
      <w:pPr>
        <w:widowControl w:val="0"/>
        <w:spacing w:after="319" w:line="1" w:lineRule="exact"/>
      </w:pPr>
    </w:p>
    <w:p>
      <w:pPr>
        <w:pStyle w:val="Style60"/>
        <w:keepNext/>
        <w:keepLines/>
        <w:widowControl w:val="0"/>
        <w:shd w:val="clear" w:color="auto" w:fill="auto"/>
        <w:bidi w:val="0"/>
        <w:spacing w:before="0" w:after="380" w:line="240" w:lineRule="auto"/>
        <w:ind w:left="0" w:right="0" w:firstLine="0"/>
        <w:jc w:val="left"/>
      </w:pPr>
      <w:bookmarkStart w:id="1119" w:name="bookmark1119"/>
      <w:bookmarkStart w:id="1120" w:name="bookmark1120"/>
      <w:bookmarkStart w:id="1121" w:name="bookmark112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119"/>
      <w:bookmarkEnd w:id="1120"/>
      <w:bookmarkEnd w:id="1121"/>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35"/>
        <w:keepNext w:val="0"/>
        <w:keepLines w:val="0"/>
        <w:widowControl w:val="0"/>
        <w:shd w:val="clear" w:color="auto" w:fill="auto"/>
        <w:bidi w:val="0"/>
        <w:spacing w:before="0" w:after="140" w:line="240" w:lineRule="auto"/>
        <w:ind w:left="8920" w:right="0" w:firstLine="0"/>
        <w:jc w:val="left"/>
      </w:pPr>
      <w:r>
        <w:rPr>
          <w:color w:val="000000"/>
          <w:spacing w:val="0"/>
          <w:w w:val="100"/>
          <w:position w:val="0"/>
        </w:rPr>
        <w:t>单位：元</w:t>
      </w:r>
      <w:r>
        <w:br w:type="page"/>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期初余额</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本期变动金额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收回或转回</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核销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right w:val="single" w:sz="4"/>
            </w:tcBorders>
            <w:shd w:val="clear" w:color="auto" w:fill="D4D4D4"/>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按单项计提坏账 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按组合计提坏账 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42,616,794.73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10,003,324.63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52,620,119.36</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43,116,794.73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10,003,324.63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53,120,119.36</w:t>
            </w:r>
          </w:p>
        </w:tc>
      </w:tr>
    </w:tbl>
    <w:p>
      <w:pPr>
        <w:widowControl w:val="0"/>
        <w:spacing w:after="319" w:line="1" w:lineRule="exact"/>
      </w:pPr>
    </w:p>
    <w:p>
      <w:pPr>
        <w:pStyle w:val="Style60"/>
        <w:keepNext/>
        <w:keepLines/>
        <w:widowControl w:val="0"/>
        <w:numPr>
          <w:ilvl w:val="0"/>
          <w:numId w:val="91"/>
        </w:numPr>
        <w:shd w:val="clear" w:color="auto" w:fill="auto"/>
        <w:bidi w:val="0"/>
        <w:spacing w:before="0" w:line="240" w:lineRule="auto"/>
        <w:ind w:left="0" w:right="0" w:firstLine="140"/>
        <w:jc w:val="left"/>
      </w:pPr>
      <w:bookmarkStart w:id="1122" w:name="bookmark1122"/>
      <w:bookmarkStart w:id="1123" w:name="bookmark1123"/>
      <w:bookmarkStart w:id="1124" w:name="bookmark1124"/>
      <w:bookmarkStart w:id="1125" w:name="bookmark1125"/>
      <w:bookmarkEnd w:id="1124"/>
      <w:r>
        <w:rPr>
          <w:color w:val="000000"/>
          <w:spacing w:val="0"/>
          <w:w w:val="100"/>
          <w:position w:val="0"/>
        </w:rPr>
        <w:t>按欠款方归集的期末余额前五名的应收账款情况</w:t>
      </w:r>
      <w:bookmarkEnd w:id="1122"/>
      <w:bookmarkEnd w:id="1123"/>
      <w:bookmarkEnd w:id="112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87"/>
        <w:gridCol w:w="2530"/>
        <w:gridCol w:w="2530"/>
        <w:gridCol w:w="2539"/>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单位名称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应收账款期末余额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占应收账款期末余额合计数的 比例</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72,095,919.03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11,644,583.19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16,800,000.00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11,121,578.85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3.45%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556,078.94</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7,196,664.00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2.23%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359,833.20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1,427,474.81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0.44%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89,254.15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108,641,636.69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33.70%</w:t>
            </w:r>
          </w:p>
        </w:tc>
        <w:tc>
          <w:tcPr>
            <w:tcBorders>
              <w:top w:val="single" w:sz="4"/>
              <w:left w:val="single" w:sz="4"/>
              <w:bottom w:val="single" w:sz="4"/>
              <w:right w:val="single" w:sz="4"/>
            </w:tcBorders>
            <w:shd w:val="clear" w:color="auto" w:fill="D4D4D4"/>
            <w:vAlign w:val="top"/>
          </w:tcPr>
          <w:p>
            <w:pPr>
              <w:widowControl w:val="0"/>
              <w:rPr>
                <w:sz w:val="10"/>
                <w:szCs w:val="10"/>
              </w:rPr>
            </w:pPr>
          </w:p>
        </w:tc>
      </w:tr>
    </w:tbl>
    <w:p>
      <w:pPr>
        <w:widowControl w:val="0"/>
        <w:spacing w:after="319" w:line="1" w:lineRule="exact"/>
      </w:pPr>
    </w:p>
    <w:p>
      <w:pPr>
        <w:pStyle w:val="Style44"/>
        <w:keepNext/>
        <w:keepLines/>
        <w:widowControl w:val="0"/>
        <w:shd w:val="clear" w:color="auto" w:fill="auto"/>
        <w:bidi w:val="0"/>
        <w:spacing w:before="0" w:after="360" w:line="240" w:lineRule="auto"/>
        <w:ind w:left="0" w:right="0" w:firstLine="0"/>
        <w:jc w:val="left"/>
      </w:pPr>
      <w:bookmarkStart w:id="1126" w:name="bookmark1126"/>
      <w:bookmarkStart w:id="1127" w:name="bookmark1127"/>
      <w:bookmarkStart w:id="1128" w:name="bookmark1128"/>
      <w:bookmarkStart w:id="1129" w:name="bookmark1129"/>
      <w:r>
        <w:rPr>
          <w:rFonts w:ascii="Times New Roman" w:eastAsia="Times New Roman" w:hAnsi="Times New Roman" w:cs="Times New Roman"/>
          <w:color w:val="000000"/>
          <w:spacing w:val="0"/>
          <w:w w:val="100"/>
          <w:position w:val="0"/>
        </w:rPr>
        <w:t>4</w:t>
      </w:r>
      <w:bookmarkEnd w:id="1128"/>
      <w:r>
        <w:rPr>
          <w:color w:val="000000"/>
          <w:spacing w:val="0"/>
          <w:w w:val="100"/>
          <w:position w:val="0"/>
        </w:rPr>
        <w:t>、应收款项融资</w:t>
      </w:r>
      <w:bookmarkEnd w:id="1126"/>
      <w:bookmarkEnd w:id="1127"/>
      <w:bookmarkEnd w:id="112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银行承兑汇票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r>
          </w:p>
        </w:tc>
      </w:tr>
    </w:tbl>
    <w:p>
      <w:pPr>
        <w:widowControl w:val="0"/>
        <w:spacing w:after="119" w:line="1" w:lineRule="exact"/>
      </w:pP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应收款项融资本期增减变动及公允价值变动情况</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如是按照预期信用损失一般模型计提应收款项融资减值准备，请参照其他应收款的披露方式披露减值准备的相关信息：</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2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20" w:line="240" w:lineRule="auto"/>
        <w:ind w:left="0" w:right="0" w:firstLine="0"/>
        <w:jc w:val="left"/>
      </w:pPr>
      <w:bookmarkStart w:id="1130" w:name="bookmark1130"/>
      <w:bookmarkStart w:id="1131" w:name="bookmark1131"/>
      <w:bookmarkStart w:id="1132" w:name="bookmark1132"/>
      <w:bookmarkStart w:id="1133" w:name="bookmark1133"/>
      <w:r>
        <w:rPr>
          <w:rFonts w:ascii="Times New Roman" w:eastAsia="Times New Roman" w:hAnsi="Times New Roman" w:cs="Times New Roman"/>
          <w:color w:val="000000"/>
          <w:spacing w:val="0"/>
          <w:w w:val="100"/>
          <w:position w:val="0"/>
        </w:rPr>
        <w:t>5</w:t>
      </w:r>
      <w:bookmarkEnd w:id="1132"/>
      <w:r>
        <w:rPr>
          <w:color w:val="000000"/>
          <w:spacing w:val="0"/>
          <w:w w:val="100"/>
          <w:position w:val="0"/>
        </w:rPr>
        <w:t>、预付款项</w:t>
      </w:r>
      <w:bookmarkEnd w:id="1130"/>
      <w:bookmarkEnd w:id="1131"/>
      <w:bookmarkEnd w:id="1133"/>
    </w:p>
    <w:p>
      <w:pPr>
        <w:pStyle w:val="Style60"/>
        <w:keepNext/>
        <w:keepLines/>
        <w:widowControl w:val="0"/>
        <w:shd w:val="clear" w:color="auto" w:fill="auto"/>
        <w:bidi w:val="0"/>
        <w:spacing w:before="0" w:line="240" w:lineRule="auto"/>
        <w:ind w:left="0" w:right="0" w:firstLine="0"/>
        <w:jc w:val="left"/>
      </w:pPr>
      <w:bookmarkStart w:id="1134" w:name="bookmark1134"/>
      <w:bookmarkStart w:id="1135" w:name="bookmark1135"/>
      <w:bookmarkStart w:id="1136" w:name="bookmark113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)预付款项按账龄列示</w:t>
      </w:r>
      <w:bookmarkEnd w:id="1134"/>
      <w:bookmarkEnd w:id="1135"/>
      <w:bookmarkEnd w:id="1136"/>
    </w:p>
    <w:p>
      <w:pPr>
        <w:pStyle w:val="Style35"/>
        <w:keepNext w:val="0"/>
        <w:keepLines w:val="0"/>
        <w:widowControl w:val="0"/>
        <w:shd w:val="clear" w:color="auto" w:fill="auto"/>
        <w:bidi w:val="0"/>
        <w:spacing w:before="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3826"/>
        <w:gridCol w:w="3840"/>
      </w:tblGrid>
      <w:tr>
        <w:trPr>
          <w:trHeight w:val="41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账龄</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bl>
    <w:p>
      <w:pPr>
        <w:spacing w:lineRule="exact" w:line="1"/>
        <w:rPr>
          <w:sz w:val="2"/>
          <w:szCs w:val="2"/>
        </w:rPr>
      </w:pPr>
      <w:r>
        <w:br w:type="page"/>
      </w:r>
    </w:p>
    <w:tbl>
      <w:tblPr>
        <w:tblOverlap w:val="never"/>
        <w:jc w:val="center"/>
        <w:tblLayout w:type="fixed"/>
      </w:tblPr>
      <w:tblGrid>
        <w:gridCol w:w="1920"/>
        <w:gridCol w:w="1915"/>
        <w:gridCol w:w="1910"/>
        <w:gridCol w:w="1915"/>
        <w:gridCol w:w="1925"/>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比例</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20,046,295.28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23,044,965.00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89.63%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1,547,227.62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6.42%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1,562,751.33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1,421,362.01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5.89%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974,139.94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1,101,901.14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4.57%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127,761.20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24,116,786.05</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25,709,617.47</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59" w:line="1" w:lineRule="exact"/>
      </w:pP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年且金额重要的预付款项未及时结算原因的说明：</w:t>
      </w:r>
    </w:p>
    <w:p>
      <w:pPr>
        <w:pStyle w:val="Style60"/>
        <w:keepNext/>
        <w:keepLines/>
        <w:widowControl w:val="0"/>
        <w:shd w:val="clear" w:color="auto" w:fill="auto"/>
        <w:bidi w:val="0"/>
        <w:spacing w:before="0" w:after="240" w:line="240" w:lineRule="auto"/>
        <w:ind w:left="0" w:right="0" w:firstLine="0"/>
        <w:jc w:val="left"/>
      </w:pPr>
      <w:bookmarkStart w:id="1137" w:name="bookmark1137"/>
      <w:bookmarkStart w:id="1138" w:name="bookmark1138"/>
      <w:bookmarkStart w:id="1139" w:name="bookmark113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)按预付对象归集的期末余额前五名的预付款情况</w:t>
      </w:r>
      <w:bookmarkEnd w:id="1137"/>
      <w:bookmarkEnd w:id="1138"/>
      <w:bookmarkEnd w:id="1139"/>
    </w:p>
    <w:p>
      <w:pPr>
        <w:pStyle w:val="Style47"/>
        <w:keepNext w:val="0"/>
        <w:keepLines w:val="0"/>
        <w:widowControl w:val="0"/>
        <w:shd w:val="clear" w:color="auto" w:fill="auto"/>
        <w:bidi w:val="0"/>
        <w:spacing w:before="0" w:after="0" w:line="461" w:lineRule="exact"/>
        <w:ind w:left="0" w:right="0" w:firstLine="440"/>
        <w:jc w:val="left"/>
      </w:pPr>
      <w:r>
        <w:rPr>
          <w:color w:val="000000"/>
          <w:spacing w:val="0"/>
          <w:w w:val="100"/>
          <w:position w:val="0"/>
        </w:rPr>
        <w:t>本集团按预付对象归集的年末余额前五名预付款项汇总金额</w:t>
      </w:r>
      <w:r>
        <w:rPr>
          <w:rFonts w:ascii="Times New Roman" w:eastAsia="Times New Roman" w:hAnsi="Times New Roman" w:cs="Times New Roman"/>
          <w:color w:val="000000"/>
          <w:spacing w:val="0"/>
          <w:w w:val="100"/>
          <w:position w:val="0"/>
        </w:rPr>
        <w:t>7,872,550.00</w:t>
      </w:r>
      <w:r>
        <w:rPr>
          <w:color w:val="000000"/>
          <w:spacing w:val="0"/>
          <w:w w:val="100"/>
          <w:position w:val="0"/>
        </w:rPr>
        <w:t>元，占预付账款余额合计数的 比例</w:t>
      </w:r>
      <w:r>
        <w:rPr>
          <w:rFonts w:ascii="Times New Roman" w:eastAsia="Times New Roman" w:hAnsi="Times New Roman" w:cs="Times New Roman"/>
          <w:color w:val="000000"/>
          <w:spacing w:val="0"/>
          <w:w w:val="100"/>
          <w:position w:val="0"/>
        </w:rPr>
        <w:t>32.64%</w:t>
      </w:r>
      <w:r>
        <w:rPr>
          <w:color w:val="000000"/>
          <w:spacing w:val="0"/>
          <w:w w:val="100"/>
          <w:position w:val="0"/>
        </w:rPr>
        <w:t>。</w:t>
      </w:r>
    </w:p>
    <w:p>
      <w:pPr>
        <w:pStyle w:val="Style35"/>
        <w:keepNext w:val="0"/>
        <w:keepLines w:val="0"/>
        <w:widowControl w:val="0"/>
        <w:shd w:val="clear" w:color="auto" w:fill="auto"/>
        <w:bidi w:val="0"/>
        <w:spacing w:before="0" w:after="340" w:line="461" w:lineRule="exact"/>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140" w:line="480" w:lineRule="auto"/>
        <w:ind w:left="0" w:right="0" w:firstLine="0"/>
        <w:jc w:val="left"/>
      </w:pPr>
      <w:bookmarkStart w:id="1140" w:name="bookmark1140"/>
      <w:bookmarkStart w:id="1141" w:name="bookmark1141"/>
      <w:bookmarkStart w:id="1142" w:name="bookmark1142"/>
      <w:bookmarkStart w:id="1143" w:name="bookmark1143"/>
      <w:r>
        <w:rPr>
          <w:rFonts w:ascii="Times New Roman" w:eastAsia="Times New Roman" w:hAnsi="Times New Roman" w:cs="Times New Roman"/>
          <w:color w:val="000000"/>
          <w:spacing w:val="0"/>
          <w:w w:val="100"/>
          <w:position w:val="0"/>
        </w:rPr>
        <w:t>6</w:t>
      </w:r>
      <w:bookmarkEnd w:id="1142"/>
      <w:r>
        <w:rPr>
          <w:color w:val="000000"/>
          <w:spacing w:val="0"/>
          <w:w w:val="100"/>
          <w:position w:val="0"/>
        </w:rPr>
        <w:t>、其他应收款</w:t>
      </w:r>
      <w:bookmarkEnd w:id="1140"/>
      <w:bookmarkEnd w:id="1141"/>
      <w:bookmarkEnd w:id="114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left"/>
              <w:rPr>
                <w:sz w:val="18"/>
                <w:szCs w:val="18"/>
              </w:rPr>
            </w:pPr>
            <w:r>
              <w:rPr>
                <w:rFonts w:ascii="Times New Roman" w:eastAsia="Times New Roman" w:hAnsi="Times New Roman" w:cs="Times New Roman"/>
                <w:color w:val="000000"/>
                <w:spacing w:val="0"/>
                <w:w w:val="100"/>
                <w:position w:val="0"/>
                <w:sz w:val="18"/>
                <w:szCs w:val="18"/>
              </w:rPr>
              <w:t>54,839.17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24,877,588.52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31,764,415.25</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24,877,588.52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31,819,254.42</w:t>
            </w:r>
          </w:p>
        </w:tc>
      </w:tr>
    </w:tbl>
    <w:p>
      <w:pPr>
        <w:widowControl w:val="0"/>
        <w:spacing w:after="339" w:line="1" w:lineRule="exact"/>
      </w:pPr>
    </w:p>
    <w:p>
      <w:pPr>
        <w:pStyle w:val="Style60"/>
        <w:keepNext/>
        <w:keepLines/>
        <w:widowControl w:val="0"/>
        <w:shd w:val="clear" w:color="auto" w:fill="auto"/>
        <w:bidi w:val="0"/>
        <w:spacing w:before="0" w:after="340" w:line="240" w:lineRule="auto"/>
        <w:ind w:left="0" w:right="0" w:firstLine="0"/>
        <w:jc w:val="left"/>
      </w:pPr>
      <w:bookmarkStart w:id="1144" w:name="bookmark1144"/>
      <w:bookmarkStart w:id="1145" w:name="bookmark1145"/>
      <w:bookmarkStart w:id="1146" w:name="bookmark114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1144"/>
      <w:bookmarkEnd w:id="1145"/>
      <w:bookmarkEnd w:id="1146"/>
    </w:p>
    <w:p>
      <w:pPr>
        <w:pStyle w:val="Style103"/>
        <w:keepNext/>
        <w:keepLines/>
        <w:widowControl w:val="0"/>
        <w:numPr>
          <w:ilvl w:val="0"/>
          <w:numId w:val="93"/>
        </w:numPr>
        <w:shd w:val="clear" w:color="auto" w:fill="auto"/>
        <w:bidi w:val="0"/>
        <w:spacing w:before="0" w:after="340" w:line="240" w:lineRule="auto"/>
        <w:ind w:left="0" w:right="0" w:firstLine="0"/>
        <w:jc w:val="left"/>
      </w:pPr>
      <w:bookmarkStart w:id="1147" w:name="bookmark1147"/>
      <w:bookmarkStart w:id="1148" w:name="bookmark1148"/>
      <w:bookmarkStart w:id="1149" w:name="bookmark1149"/>
      <w:bookmarkStart w:id="1150" w:name="bookmark1150"/>
      <w:bookmarkEnd w:id="1149"/>
      <w:r>
        <w:rPr>
          <w:color w:val="000000"/>
          <w:spacing w:val="0"/>
          <w:w w:val="100"/>
          <w:position w:val="0"/>
        </w:rPr>
        <w:t>应收利息分类</w:t>
      </w:r>
      <w:bookmarkEnd w:id="1147"/>
      <w:bookmarkEnd w:id="1148"/>
      <w:bookmarkEnd w:id="115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通知存款利息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left"/>
              <w:rPr>
                <w:sz w:val="18"/>
                <w:szCs w:val="18"/>
              </w:rPr>
            </w:pPr>
            <w:r>
              <w:rPr>
                <w:rFonts w:ascii="Times New Roman" w:eastAsia="Times New Roman" w:hAnsi="Times New Roman" w:cs="Times New Roman"/>
                <w:color w:val="000000"/>
                <w:spacing w:val="0"/>
                <w:w w:val="100"/>
                <w:position w:val="0"/>
                <w:sz w:val="18"/>
                <w:szCs w:val="18"/>
              </w:rPr>
              <w:t>54,839.17</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left"/>
              <w:rPr>
                <w:sz w:val="18"/>
                <w:szCs w:val="18"/>
              </w:rPr>
            </w:pPr>
            <w:r>
              <w:rPr>
                <w:rFonts w:ascii="Times New Roman" w:eastAsia="Times New Roman" w:hAnsi="Times New Roman" w:cs="Times New Roman"/>
                <w:color w:val="000000"/>
                <w:spacing w:val="0"/>
                <w:w w:val="100"/>
                <w:position w:val="0"/>
                <w:sz w:val="18"/>
                <w:szCs w:val="18"/>
              </w:rPr>
              <w:t>54,839.17</w:t>
            </w:r>
          </w:p>
        </w:tc>
      </w:tr>
    </w:tbl>
    <w:p>
      <w:pPr>
        <w:widowControl w:val="0"/>
        <w:spacing w:after="339" w:line="1" w:lineRule="exact"/>
      </w:pPr>
    </w:p>
    <w:p>
      <w:pPr>
        <w:pStyle w:val="Style103"/>
        <w:keepNext/>
        <w:keepLines/>
        <w:widowControl w:val="0"/>
        <w:numPr>
          <w:ilvl w:val="0"/>
          <w:numId w:val="93"/>
        </w:numPr>
        <w:shd w:val="clear" w:color="auto" w:fill="auto"/>
        <w:bidi w:val="0"/>
        <w:spacing w:before="0" w:after="340" w:line="240" w:lineRule="auto"/>
        <w:ind w:left="0" w:right="0" w:firstLine="0"/>
        <w:jc w:val="left"/>
      </w:pPr>
      <w:bookmarkStart w:id="1151" w:name="bookmark1151"/>
      <w:bookmarkStart w:id="1152" w:name="bookmark1152"/>
      <w:bookmarkStart w:id="1153" w:name="bookmark1153"/>
      <w:bookmarkStart w:id="1154" w:name="bookmark1154"/>
      <w:bookmarkEnd w:id="1153"/>
      <w:r>
        <w:rPr>
          <w:color w:val="000000"/>
          <w:spacing w:val="0"/>
          <w:w w:val="100"/>
          <w:position w:val="0"/>
        </w:rPr>
        <w:t>坏账准备计提情况</w:t>
      </w:r>
      <w:bookmarkEnd w:id="1151"/>
      <w:bookmarkEnd w:id="1152"/>
      <w:bookmarkEnd w:id="1154"/>
    </w:p>
    <w:p>
      <w:pPr>
        <w:pStyle w:val="Style35"/>
        <w:keepNext w:val="0"/>
        <w:keepLines w:val="0"/>
        <w:widowControl w:val="0"/>
        <w:shd w:val="clear" w:color="auto" w:fill="auto"/>
        <w:bidi w:val="0"/>
        <w:spacing w:before="0" w:after="340" w:line="24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r>
        <w:br w:type="page"/>
      </w:r>
    </w:p>
    <w:p>
      <w:pPr>
        <w:pStyle w:val="Style60"/>
        <w:keepNext/>
        <w:keepLines/>
        <w:widowControl w:val="0"/>
        <w:shd w:val="clear" w:color="auto" w:fill="auto"/>
        <w:bidi w:val="0"/>
        <w:spacing w:before="0" w:line="240" w:lineRule="auto"/>
        <w:ind w:left="0" w:right="0" w:firstLine="0"/>
        <w:jc w:val="left"/>
      </w:pPr>
      <w:bookmarkStart w:id="1155" w:name="bookmark1155"/>
      <w:bookmarkStart w:id="1156" w:name="bookmark1156"/>
      <w:bookmarkStart w:id="1157" w:name="bookmark1157"/>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155"/>
      <w:bookmarkEnd w:id="1156"/>
      <w:bookmarkEnd w:id="1157"/>
    </w:p>
    <w:p>
      <w:pPr>
        <w:pStyle w:val="Style103"/>
        <w:keepNext/>
        <w:keepLines/>
        <w:widowControl w:val="0"/>
        <w:shd w:val="clear" w:color="auto" w:fill="auto"/>
        <w:bidi w:val="0"/>
        <w:spacing w:before="0" w:line="240" w:lineRule="auto"/>
        <w:ind w:left="0" w:right="0" w:firstLine="0"/>
        <w:jc w:val="left"/>
      </w:pPr>
      <w:bookmarkStart w:id="1158" w:name="bookmark1158"/>
      <w:bookmarkStart w:id="1159" w:name="bookmark1159"/>
      <w:bookmarkStart w:id="1160" w:name="bookmark1160"/>
      <w:bookmarkStart w:id="1161" w:name="bookmark1161"/>
      <w:r>
        <w:rPr>
          <w:rFonts w:ascii="Times New Roman" w:eastAsia="Times New Roman" w:hAnsi="Times New Roman" w:cs="Times New Roman"/>
          <w:color w:val="000000"/>
          <w:spacing w:val="0"/>
          <w:w w:val="100"/>
          <w:position w:val="0"/>
        </w:rPr>
        <w:t>1</w:t>
      </w:r>
      <w:bookmarkEnd w:id="1160"/>
      <w:r>
        <w:rPr>
          <w:color w:val="000000"/>
          <w:spacing w:val="0"/>
          <w:w w:val="100"/>
          <w:position w:val="0"/>
        </w:rPr>
        <w:t>）其他应收款按款项性质分类情况</w:t>
      </w:r>
      <w:bookmarkEnd w:id="1158"/>
      <w:bookmarkEnd w:id="1159"/>
      <w:bookmarkEnd w:id="116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款项性质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期末账面余额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期初账面余额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21,860,135.52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24,451,405.68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备用金及项目周转金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7,913,690.33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12,174,104.73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1,479,395.00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1,270,585.51</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31,253,220.85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37,896,095.92</w:t>
            </w:r>
          </w:p>
        </w:tc>
      </w:tr>
    </w:tbl>
    <w:p>
      <w:pPr>
        <w:widowControl w:val="0"/>
        <w:spacing w:after="299" w:line="1" w:lineRule="exact"/>
      </w:pPr>
    </w:p>
    <w:p>
      <w:pPr>
        <w:pStyle w:val="Style103"/>
        <w:keepNext/>
        <w:keepLines/>
        <w:widowControl w:val="0"/>
        <w:shd w:val="clear" w:color="auto" w:fill="auto"/>
        <w:bidi w:val="0"/>
        <w:spacing w:before="0" w:line="240" w:lineRule="auto"/>
        <w:ind w:left="0" w:right="0" w:firstLine="0"/>
        <w:jc w:val="left"/>
      </w:pPr>
      <w:bookmarkStart w:id="1162" w:name="bookmark1162"/>
      <w:bookmarkStart w:id="1163" w:name="bookmark1163"/>
      <w:bookmarkStart w:id="1164" w:name="bookmark1164"/>
      <w:bookmarkStart w:id="1165" w:name="bookmark1165"/>
      <w:r>
        <w:rPr>
          <w:rFonts w:ascii="Times New Roman" w:eastAsia="Times New Roman" w:hAnsi="Times New Roman" w:cs="Times New Roman"/>
          <w:color w:val="000000"/>
          <w:spacing w:val="0"/>
          <w:w w:val="100"/>
          <w:position w:val="0"/>
        </w:rPr>
        <w:t>2</w:t>
      </w:r>
      <w:bookmarkEnd w:id="1164"/>
      <w:r>
        <w:rPr>
          <w:color w:val="000000"/>
          <w:spacing w:val="0"/>
          <w:w w:val="100"/>
          <w:position w:val="0"/>
        </w:rPr>
        <w:t>）坏账准备计提情况</w:t>
      </w:r>
      <w:bookmarkEnd w:id="1162"/>
      <w:bookmarkEnd w:id="1163"/>
      <w:bookmarkEnd w:id="116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651"/>
        <w:gridCol w:w="2102"/>
        <w:gridCol w:w="2098"/>
        <w:gridCol w:w="1814"/>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第一阶段</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第二阶段</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第三阶段</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color w:val="000000"/>
                <w:spacing w:val="0"/>
                <w:w w:val="100"/>
                <w:position w:val="0"/>
                <w:sz w:val="18"/>
                <w:szCs w:val="18"/>
              </w:rPr>
              <w:t>合计</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center"/>
              <w:rPr>
                <w:sz w:val="18"/>
                <w:szCs w:val="18"/>
              </w:rPr>
            </w:pPr>
            <w:r>
              <w:rPr>
                <w:color w:val="000000"/>
                <w:spacing w:val="0"/>
                <w:w w:val="100"/>
                <w:position w:val="0"/>
                <w:sz w:val="18"/>
                <w:szCs w:val="18"/>
              </w:rPr>
              <w:t>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个月预期信 用损失</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整个存续期预期信用损失</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未发生信用减值</w:t>
            </w: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整个存续期预期信用损失</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已发生信用减值</w:t>
            </w:r>
            <w:r>
              <w:rPr>
                <w:color w:val="000000"/>
                <w:spacing w:val="0"/>
                <w:w w:val="100"/>
                <w:position w:val="0"/>
                <w:sz w:val="18"/>
                <w:szCs w:val="18"/>
              </w:rPr>
              <w:t>）</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日余额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903,328.48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4,532,174.18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696,178.00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6,131,680.67</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日余额在 本期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46,386.38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877,028.70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923,415.08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本期转回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260,722.75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418,740.67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679,463.42</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642,605.74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4,159,819.89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1,573,206.70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6,375,632.33</w:t>
            </w:r>
          </w:p>
        </w:tc>
      </w:tr>
    </w:tbl>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损失准备本期变动金额重大的账面余额变动情况</w:t>
      </w:r>
    </w:p>
    <w:p>
      <w:pPr>
        <w:pStyle w:val="Style35"/>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按账龄披露</w:t>
      </w: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账龄</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14,039,347.13</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9,322,224.69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2,344,111.12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5,547,537.91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1,585,146.94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2,389,184.27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1,573,206.70</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31,253,220.85</w:t>
            </w:r>
          </w:p>
        </w:tc>
      </w:tr>
    </w:tbl>
    <w:p>
      <w:pPr>
        <w:sectPr>
          <w:headerReference w:type="default" r:id="rId301"/>
          <w:footerReference w:type="default" r:id="rId302"/>
          <w:headerReference w:type="even" r:id="rId303"/>
          <w:footerReference w:type="even" r:id="rId304"/>
          <w:footnotePr>
            <w:pos w:val="pageBottom"/>
            <w:numFmt w:val="decimal"/>
            <w:numRestart w:val="continuous"/>
          </w:footnotePr>
          <w:pgSz w:w="11900" w:h="16840"/>
          <w:pgMar w:top="1330" w:right="1095" w:bottom="1445" w:left="1071" w:header="0" w:footer="3" w:gutter="0"/>
          <w:cols w:space="720"/>
          <w:noEndnote/>
          <w:rtlGutter w:val="0"/>
          <w:docGrid w:linePitch="360"/>
        </w:sectPr>
      </w:pPr>
    </w:p>
    <w:p>
      <w:pPr>
        <w:pStyle w:val="Style103"/>
        <w:keepNext/>
        <w:keepLines/>
        <w:widowControl w:val="0"/>
        <w:numPr>
          <w:ilvl w:val="0"/>
          <w:numId w:val="93"/>
        </w:numPr>
        <w:shd w:val="clear" w:color="auto" w:fill="auto"/>
        <w:bidi w:val="0"/>
        <w:spacing w:before="0" w:line="240" w:lineRule="auto"/>
        <w:ind w:left="0" w:right="0" w:firstLine="0"/>
        <w:jc w:val="left"/>
      </w:pPr>
      <w:bookmarkStart w:id="1166" w:name="bookmark1166"/>
      <w:bookmarkStart w:id="1167" w:name="bookmark1167"/>
      <w:bookmarkStart w:id="1168" w:name="bookmark1168"/>
      <w:bookmarkStart w:id="1169" w:name="bookmark1169"/>
      <w:bookmarkEnd w:id="1168"/>
      <w:r>
        <w:rPr>
          <w:color w:val="000000"/>
          <w:spacing w:val="0"/>
          <w:w w:val="100"/>
          <w:position w:val="0"/>
        </w:rPr>
        <w:t>本期计提、收回或转回的坏账准备情况</w:t>
      </w:r>
      <w:bookmarkEnd w:id="1166"/>
      <w:bookmarkEnd w:id="1167"/>
      <w:bookmarkEnd w:id="1169"/>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426"/>
        <w:gridCol w:w="1094"/>
        <w:gridCol w:w="1339"/>
        <w:gridCol w:w="1330"/>
        <w:gridCol w:w="1334"/>
        <w:gridCol w:w="1325"/>
        <w:gridCol w:w="173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本期变动金额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收回或转回</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核销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right w:val="single" w:sz="4"/>
            </w:tcBorders>
            <w:shd w:val="clear" w:color="auto" w:fill="D4D4D4"/>
            <w:vAlign w:val="center"/>
          </w:tcPr>
          <w:p>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账龄信用风险特</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征组合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6,068,708.54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901,987.21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679,463.42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6,291,232.33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性质组合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62,972.13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21,427.87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84,400.00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6,131,680.67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923,415.08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679,463.42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6,375,632.33</w:t>
            </w:r>
          </w:p>
        </w:tc>
      </w:tr>
    </w:tbl>
    <w:p>
      <w:pPr>
        <w:widowControl w:val="0"/>
        <w:spacing w:after="299" w:line="1" w:lineRule="exact"/>
      </w:pPr>
    </w:p>
    <w:p>
      <w:pPr>
        <w:pStyle w:val="Style103"/>
        <w:keepNext/>
        <w:keepLines/>
        <w:widowControl w:val="0"/>
        <w:shd w:val="clear" w:color="auto" w:fill="auto"/>
        <w:bidi w:val="0"/>
        <w:spacing w:before="0" w:line="240" w:lineRule="auto"/>
        <w:ind w:left="0" w:right="0" w:firstLine="0"/>
        <w:jc w:val="left"/>
      </w:pPr>
      <w:bookmarkStart w:id="1170" w:name="bookmark1170"/>
      <w:bookmarkStart w:id="1171" w:name="bookmark1171"/>
      <w:bookmarkStart w:id="1172" w:name="bookmark1172"/>
      <w:r>
        <w:rPr>
          <w:rFonts w:ascii="Times New Roman" w:eastAsia="Times New Roman" w:hAnsi="Times New Roman" w:cs="Times New Roman"/>
          <w:color w:val="000000"/>
          <w:spacing w:val="0"/>
          <w:w w:val="100"/>
          <w:position w:val="0"/>
        </w:rPr>
        <w:t>4</w:t>
      </w:r>
      <w:r>
        <w:rPr>
          <w:color w:val="000000"/>
          <w:spacing w:val="0"/>
          <w:w w:val="100"/>
          <w:position w:val="0"/>
        </w:rPr>
        <w:t>)按欠款方归集的期末余额前五名的其他应收款情况</w:t>
      </w:r>
      <w:bookmarkEnd w:id="1170"/>
      <w:bookmarkEnd w:id="1171"/>
      <w:bookmarkEnd w:id="117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598"/>
        <w:gridCol w:w="1598"/>
        <w:gridCol w:w="1594"/>
        <w:gridCol w:w="1594"/>
        <w:gridCol w:w="1594"/>
        <w:gridCol w:w="1608"/>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单位名称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款项的性质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期末余额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账龄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right"/>
              <w:rPr>
                <w:sz w:val="18"/>
                <w:szCs w:val="18"/>
              </w:rPr>
            </w:pPr>
            <w:r>
              <w:rPr>
                <w:color w:val="000000"/>
                <w:spacing w:val="0"/>
                <w:w w:val="100"/>
                <w:position w:val="0"/>
                <w:sz w:val="18"/>
                <w:szCs w:val="18"/>
              </w:rPr>
              <w:t>占其他应收款期末 余额合计数的比例</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1,785,382.00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5.71%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89,269.10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957,442.50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3.06%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95,744.25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754,836.23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2.42%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37,741.81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第四名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周转金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738,000.00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2.36%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48,900.00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694,738.73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2.22%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221,255.06</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4,930,399.46</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492,910.22</w:t>
            </w:r>
          </w:p>
        </w:tc>
      </w:tr>
    </w:tbl>
    <w:p>
      <w:pPr>
        <w:widowControl w:val="0"/>
        <w:spacing w:after="299" w:line="1" w:lineRule="exact"/>
      </w:pPr>
    </w:p>
    <w:p>
      <w:pPr>
        <w:pStyle w:val="Style44"/>
        <w:keepNext/>
        <w:keepLines/>
        <w:widowControl w:val="0"/>
        <w:shd w:val="clear" w:color="auto" w:fill="auto"/>
        <w:bidi w:val="0"/>
        <w:spacing w:before="0" w:after="360" w:line="240" w:lineRule="auto"/>
        <w:ind w:left="0" w:right="0" w:firstLine="0"/>
        <w:jc w:val="left"/>
      </w:pPr>
      <w:bookmarkStart w:id="1173" w:name="bookmark1173"/>
      <w:bookmarkStart w:id="1174" w:name="bookmark1174"/>
      <w:bookmarkStart w:id="1175" w:name="bookmark1175"/>
      <w:bookmarkStart w:id="1176" w:name="bookmark1176"/>
      <w:r>
        <w:rPr>
          <w:rFonts w:ascii="Times New Roman" w:eastAsia="Times New Roman" w:hAnsi="Times New Roman" w:cs="Times New Roman"/>
          <w:color w:val="000000"/>
          <w:spacing w:val="0"/>
          <w:w w:val="100"/>
          <w:position w:val="0"/>
        </w:rPr>
        <w:t>7</w:t>
      </w:r>
      <w:bookmarkEnd w:id="1175"/>
      <w:r>
        <w:rPr>
          <w:color w:val="000000"/>
          <w:spacing w:val="0"/>
          <w:w w:val="100"/>
          <w:position w:val="0"/>
        </w:rPr>
        <w:t>、存货</w:t>
      </w:r>
      <w:bookmarkEnd w:id="1173"/>
      <w:bookmarkEnd w:id="1174"/>
      <w:bookmarkEnd w:id="1176"/>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公司是否需要遵守房地产行业的披露要求</w:t>
      </w: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否</w:t>
      </w:r>
    </w:p>
    <w:p>
      <w:pPr>
        <w:pStyle w:val="Style60"/>
        <w:keepNext/>
        <w:keepLines/>
        <w:widowControl w:val="0"/>
        <w:shd w:val="clear" w:color="auto" w:fill="auto"/>
        <w:bidi w:val="0"/>
        <w:spacing w:before="0" w:line="240" w:lineRule="auto"/>
        <w:ind w:left="0" w:right="0" w:firstLine="140"/>
        <w:jc w:val="left"/>
      </w:pPr>
      <w:bookmarkStart w:id="1177" w:name="bookmark1177"/>
      <w:bookmarkStart w:id="1178" w:name="bookmark1178"/>
      <w:bookmarkStart w:id="1179" w:name="bookmark1179"/>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1177"/>
      <w:bookmarkEnd w:id="1178"/>
      <w:bookmarkEnd w:id="117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项目</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3"/>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1027"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存货跌价准备或 合同履约成本减 值准备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账面价值</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存货跌价准备或 合同履约成本减 值准备</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账面价值</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合同履约成本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93,890,266.89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11,357,044.02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82,533,222.87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121,892,836.12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6,184,912.11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115,707,924.01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93,890,266.89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11,357,044.02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82,533,222.87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121,892,836.12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6,184,912.11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115,707,924.01</w:t>
            </w:r>
          </w:p>
        </w:tc>
      </w:tr>
    </w:tbl>
    <w:p>
      <w:pPr>
        <w:spacing w:lineRule="exact" w:line="1"/>
        <w:rPr>
          <w:sz w:val="2"/>
          <w:szCs w:val="2"/>
        </w:rPr>
      </w:pPr>
      <w:r>
        <w:br w:type="page"/>
      </w:r>
    </w:p>
    <w:p>
      <w:pPr>
        <w:pStyle w:val="Style60"/>
        <w:keepNext/>
        <w:keepLines/>
        <w:widowControl w:val="0"/>
        <w:shd w:val="clear" w:color="auto" w:fill="auto"/>
        <w:bidi w:val="0"/>
        <w:spacing w:before="0" w:line="240" w:lineRule="auto"/>
        <w:ind w:left="0" w:right="0" w:firstLine="140"/>
        <w:jc w:val="left"/>
      </w:pPr>
      <w:bookmarkStart w:id="1180" w:name="bookmark1180"/>
      <w:bookmarkStart w:id="1181" w:name="bookmark1181"/>
      <w:bookmarkStart w:id="1182" w:name="bookmark1182"/>
      <w:r>
        <w:rPr>
          <w:rFonts w:ascii="Times New Roman" w:eastAsia="Times New Roman" w:hAnsi="Times New Roman" w:cs="Times New Roman"/>
          <w:color w:val="000000"/>
          <w:spacing w:val="0"/>
          <w:w w:val="100"/>
          <w:position w:val="0"/>
        </w:rPr>
        <w:t>(2</w:t>
      </w:r>
      <w:r>
        <w:rPr>
          <w:color w:val="000000"/>
          <w:spacing w:val="0"/>
          <w:w w:val="100"/>
          <w:position w:val="0"/>
        </w:rPr>
        <w:t>)存货跌价准备和合同履约成本减值准备</w:t>
      </w:r>
      <w:bookmarkEnd w:id="1180"/>
      <w:bookmarkEnd w:id="1181"/>
      <w:bookmarkEnd w:id="118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本期增加金额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转回或转销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合同履约成本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6,184,912.11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2,882,461.99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11,357,044.02</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6,184,912.11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2,882,461.99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11,357,044.02</w:t>
            </w:r>
          </w:p>
        </w:tc>
      </w:tr>
    </w:tbl>
    <w:p>
      <w:pPr>
        <w:widowControl w:val="0"/>
        <w:spacing w:after="79" w:line="1" w:lineRule="exact"/>
      </w:pPr>
    </w:p>
    <w:p>
      <w:pPr>
        <w:pStyle w:val="Style47"/>
        <w:keepNext w:val="0"/>
        <w:keepLines w:val="0"/>
        <w:widowControl w:val="0"/>
        <w:shd w:val="clear" w:color="auto" w:fill="auto"/>
        <w:bidi w:val="0"/>
        <w:spacing w:before="0" w:after="360" w:line="240" w:lineRule="auto"/>
        <w:ind w:left="0" w:right="0" w:firstLine="0"/>
        <w:jc w:val="both"/>
      </w:pPr>
      <w:r>
        <w:rPr>
          <w:color w:val="000000"/>
          <w:spacing w:val="0"/>
          <w:w w:val="100"/>
          <w:position w:val="0"/>
        </w:rPr>
        <w:t>预计合同成本大于合同收入。</w:t>
      </w:r>
    </w:p>
    <w:p>
      <w:pPr>
        <w:pStyle w:val="Style44"/>
        <w:keepNext/>
        <w:keepLines/>
        <w:widowControl w:val="0"/>
        <w:shd w:val="clear" w:color="auto" w:fill="auto"/>
        <w:bidi w:val="0"/>
        <w:spacing w:before="0" w:after="360" w:line="240" w:lineRule="auto"/>
        <w:ind w:left="0" w:right="0" w:firstLine="0"/>
        <w:jc w:val="both"/>
      </w:pPr>
      <w:bookmarkStart w:id="1183" w:name="bookmark1183"/>
      <w:bookmarkStart w:id="1184" w:name="bookmark1184"/>
      <w:bookmarkStart w:id="1185" w:name="bookmark1185"/>
      <w:bookmarkStart w:id="1186" w:name="bookmark1186"/>
      <w:r>
        <w:rPr>
          <w:rFonts w:ascii="Times New Roman" w:eastAsia="Times New Roman" w:hAnsi="Times New Roman" w:cs="Times New Roman"/>
          <w:color w:val="000000"/>
          <w:spacing w:val="0"/>
          <w:w w:val="100"/>
          <w:position w:val="0"/>
        </w:rPr>
        <w:t>8</w:t>
      </w:r>
      <w:bookmarkEnd w:id="1185"/>
      <w:r>
        <w:rPr>
          <w:color w:val="000000"/>
          <w:spacing w:val="0"/>
          <w:w w:val="100"/>
          <w:position w:val="0"/>
        </w:rPr>
        <w:t>、合同资产</w:t>
      </w:r>
      <w:bookmarkEnd w:id="1183"/>
      <w:bookmarkEnd w:id="1184"/>
      <w:bookmarkEnd w:id="1186"/>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141"/>
        <w:gridCol w:w="1195"/>
        <w:gridCol w:w="1330"/>
        <w:gridCol w:w="1195"/>
        <w:gridCol w:w="1195"/>
        <w:gridCol w:w="1195"/>
        <w:gridCol w:w="1334"/>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3"/>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减值准备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账面价值</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减值准备</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账面价值</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质量保证金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20,504,335.08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1,025,216.76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19,479,118.32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11,226,123.09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561,306.15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10,664,816.94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未结算</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完工项目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12,541,924.99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627,096.25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11,914,828.74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33,046,260.07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1,652,313.01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31,393,947.06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11,226,123.09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561,306.15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10,664,816.94</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合同资产的账面价值在本期内发生的重大变动金额和原因:</w:t>
      </w:r>
    </w:p>
    <w:p>
      <w:pPr>
        <w:widowControl w:val="0"/>
        <w:spacing w:after="119" w:line="1" w:lineRule="exact"/>
      </w:pP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19"/>
        <w:gridCol w:w="4954"/>
      </w:tblGrid>
      <w:tr>
        <w:trPr>
          <w:trHeight w:val="41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变动金额</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变动原因</w:t>
            </w:r>
          </w:p>
        </w:tc>
      </w:tr>
    </w:tbl>
    <w:p>
      <w:pPr>
        <w:widowControl w:val="0"/>
        <w:spacing w:after="79" w:line="1" w:lineRule="exact"/>
      </w:pP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如是按照预期信用损失一般模型计提合同资产坏账准备，请参照其他应收款的披露方式披露坏账准备的相关信息:</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本期合同资产计提减值准备情况</w:t>
      </w:r>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本期转回</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本期转销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核销</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原因</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质量保证金减值准备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463,910.61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未结算</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完工项目减值准 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627,096.25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1,091,006.86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both"/>
      </w:pPr>
      <w:bookmarkStart w:id="1187" w:name="bookmark1187"/>
      <w:bookmarkStart w:id="1188" w:name="bookmark1188"/>
      <w:bookmarkStart w:id="1189" w:name="bookmark1189"/>
      <w:bookmarkStart w:id="1190" w:name="bookmark1190"/>
      <w:r>
        <w:rPr>
          <w:rFonts w:ascii="Times New Roman" w:eastAsia="Times New Roman" w:hAnsi="Times New Roman" w:cs="Times New Roman"/>
          <w:color w:val="000000"/>
          <w:spacing w:val="0"/>
          <w:w w:val="100"/>
          <w:position w:val="0"/>
        </w:rPr>
        <w:t>9</w:t>
      </w:r>
      <w:bookmarkEnd w:id="1189"/>
      <w:r>
        <w:rPr>
          <w:color w:val="000000"/>
          <w:spacing w:val="0"/>
          <w:w w:val="100"/>
          <w:position w:val="0"/>
        </w:rPr>
        <w:t>、其他流动资产</w:t>
      </w:r>
      <w:bookmarkEnd w:id="1187"/>
      <w:bookmarkEnd w:id="1188"/>
      <w:bookmarkEnd w:id="119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待抵扣及待认证增值税进项税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575,876.55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867,442.97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预缴企业所得税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39,832.46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9,264.02</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预提其他税费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2,459.60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97"/>
        <w:gridCol w:w="3187"/>
        <w:gridCol w:w="3202"/>
      </w:tblGrid>
      <w:tr>
        <w:trPr>
          <w:trHeight w:val="41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618,168.61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876,706.99</w:t>
            </w:r>
          </w:p>
        </w:tc>
      </w:tr>
    </w:tbl>
    <w:p>
      <w:pPr>
        <w:widowControl w:val="0"/>
        <w:spacing w:after="99" w:line="1" w:lineRule="exact"/>
      </w:pP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line="240" w:lineRule="auto"/>
        <w:ind w:left="0" w:right="0" w:firstLine="0"/>
        <w:jc w:val="left"/>
      </w:pPr>
      <w:bookmarkStart w:id="1191" w:name="bookmark1191"/>
      <w:bookmarkStart w:id="1192" w:name="bookmark1192"/>
      <w:bookmarkStart w:id="1193" w:name="bookmark1193"/>
      <w:bookmarkStart w:id="1194" w:name="bookmark1194"/>
      <w:r>
        <w:rPr>
          <w:rFonts w:ascii="Times New Roman" w:eastAsia="Times New Roman" w:hAnsi="Times New Roman" w:cs="Times New Roman"/>
          <w:color w:val="000000"/>
          <w:spacing w:val="0"/>
          <w:w w:val="100"/>
          <w:position w:val="0"/>
        </w:rPr>
        <w:t>1</w:t>
      </w:r>
      <w:bookmarkEnd w:id="1193"/>
      <w:r>
        <w:rPr>
          <w:rFonts w:ascii="Times New Roman" w:eastAsia="Times New Roman" w:hAnsi="Times New Roman" w:cs="Times New Roman"/>
          <w:color w:val="000000"/>
          <w:spacing w:val="0"/>
          <w:w w:val="100"/>
          <w:position w:val="0"/>
        </w:rPr>
        <w:t>0</w:t>
      </w:r>
      <w:r>
        <w:rPr>
          <w:color w:val="000000"/>
          <w:spacing w:val="0"/>
          <w:w w:val="100"/>
          <w:position w:val="0"/>
        </w:rPr>
        <w:t>、长期股权投资</w:t>
      </w:r>
      <w:bookmarkEnd w:id="1191"/>
      <w:bookmarkEnd w:id="1192"/>
      <w:bookmarkEnd w:id="119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806"/>
        <w:gridCol w:w="792"/>
        <w:gridCol w:w="797"/>
        <w:gridCol w:w="802"/>
        <w:gridCol w:w="797"/>
        <w:gridCol w:w="797"/>
        <w:gridCol w:w="797"/>
        <w:gridCol w:w="797"/>
        <w:gridCol w:w="802"/>
        <w:gridCol w:w="797"/>
        <w:gridCol w:w="802"/>
        <w:gridCol w:w="802"/>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被投资单 位</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期初余额</w:t>
            </w:r>
          </w:p>
          <w:p>
            <w:pPr>
              <w:pStyle w:val="Style2"/>
              <w:keepNext w:val="0"/>
              <w:keepLines w:val="0"/>
              <w:widowControl w:val="0"/>
              <w:shd w:val="clear" w:color="auto" w:fill="auto"/>
              <w:bidi w:val="0"/>
              <w:spacing w:before="0" w:after="0" w:line="317"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账面价 值</w:t>
            </w:r>
            <w:r>
              <w:rPr>
                <w:color w:val="000000"/>
                <w:spacing w:val="0"/>
                <w:w w:val="100"/>
                <w:position w:val="0"/>
                <w:sz w:val="18"/>
                <w:szCs w:val="18"/>
              </w:rPr>
              <w:t>）</w:t>
            </w:r>
          </w:p>
        </w:tc>
        <w:tc>
          <w:tcPr>
            <w:gridSpan w:val="8"/>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本期增减变动</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right"/>
              <w:rPr>
                <w:sz w:val="18"/>
                <w:szCs w:val="18"/>
              </w:rPr>
            </w:pPr>
            <w:r>
              <w:rPr>
                <w:color w:val="000000"/>
                <w:spacing w:val="0"/>
                <w:w w:val="100"/>
                <w:position w:val="0"/>
                <w:sz w:val="18"/>
                <w:szCs w:val="18"/>
              </w:rPr>
              <w:t>期末余额</w:t>
            </w:r>
          </w:p>
          <w:p>
            <w:pPr>
              <w:pStyle w:val="Style2"/>
              <w:keepNext w:val="0"/>
              <w:keepLines w:val="0"/>
              <w:widowControl w:val="0"/>
              <w:shd w:val="clear" w:color="auto" w:fill="auto"/>
              <w:bidi w:val="0"/>
              <w:spacing w:before="0" w:after="0" w:line="317"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账面价 值</w:t>
            </w:r>
            <w:r>
              <w:rPr>
                <w:color w:val="000000"/>
                <w:spacing w:val="0"/>
                <w:w w:val="100"/>
                <w:position w:val="0"/>
                <w:sz w:val="18"/>
                <w:szCs w:val="18"/>
              </w:rPr>
              <w:t>）</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减值准备</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期末余额</w:t>
            </w:r>
          </w:p>
        </w:tc>
      </w:tr>
      <w:tr>
        <w:trPr>
          <w:trHeight w:val="1027"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追加投资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减少投资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权益法下 确认的投 资损益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其他综合 收益调整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其他权益 变动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center"/>
              <w:rPr>
                <w:sz w:val="18"/>
                <w:szCs w:val="18"/>
              </w:rPr>
            </w:pPr>
            <w:r>
              <w:rPr>
                <w:color w:val="000000"/>
                <w:spacing w:val="0"/>
                <w:w w:val="100"/>
                <w:position w:val="0"/>
                <w:sz w:val="18"/>
                <w:szCs w:val="18"/>
              </w:rPr>
              <w:t>宣告发放 现金股利 或利润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计提减值 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398" w:hRule="exact"/>
        </w:trPr>
        <w:tc>
          <w:tcPr>
            <w:gridSpan w:val="1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一、合营企业</w:t>
            </w:r>
          </w:p>
        </w:tc>
      </w:tr>
      <w:tr>
        <w:trPr>
          <w:trHeight w:val="403" w:hRule="exact"/>
        </w:trPr>
        <w:tc>
          <w:tcPr>
            <w:gridSpan w:val="1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二、联营企业</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9" w:lineRule="exact"/>
              <w:ind w:left="0" w:right="0" w:firstLine="0"/>
              <w:jc w:val="both"/>
              <w:rPr>
                <w:sz w:val="18"/>
                <w:szCs w:val="18"/>
              </w:rPr>
            </w:pPr>
            <w:r>
              <w:rPr>
                <w:color w:val="000000"/>
                <w:spacing w:val="0"/>
                <w:w w:val="100"/>
                <w:position w:val="0"/>
                <w:sz w:val="18"/>
                <w:szCs w:val="18"/>
              </w:rPr>
              <w:t>深圳市中 钞科信金 融科技有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10,557,92</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113,683,5</w:t>
            </w:r>
          </w:p>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62.89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10,557,92</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113,683,5</w:t>
            </w:r>
          </w:p>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62.89</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10,557,92</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113,683,5</w:t>
            </w:r>
          </w:p>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62.89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w:t>
      </w:r>
    </w:p>
    <w:p>
      <w:pPr>
        <w:widowControl w:val="0"/>
        <w:spacing w:after="339" w:line="1" w:lineRule="exact"/>
      </w:pPr>
    </w:p>
    <w:p>
      <w:pPr>
        <w:pStyle w:val="Style44"/>
        <w:keepNext/>
        <w:keepLines/>
        <w:widowControl w:val="0"/>
        <w:shd w:val="clear" w:color="auto" w:fill="auto"/>
        <w:bidi w:val="0"/>
        <w:spacing w:before="0" w:line="240" w:lineRule="auto"/>
        <w:ind w:left="0" w:right="0" w:firstLine="0"/>
        <w:jc w:val="left"/>
      </w:pPr>
      <w:bookmarkStart w:id="1195" w:name="bookmark1195"/>
      <w:bookmarkStart w:id="1196" w:name="bookmark1196"/>
      <w:bookmarkStart w:id="1197" w:name="bookmark1197"/>
      <w:bookmarkStart w:id="1198" w:name="bookmark1198"/>
      <w:r>
        <w:rPr>
          <w:rFonts w:ascii="Times New Roman" w:eastAsia="Times New Roman" w:hAnsi="Times New Roman" w:cs="Times New Roman"/>
          <w:color w:val="000000"/>
          <w:spacing w:val="0"/>
          <w:w w:val="100"/>
          <w:position w:val="0"/>
        </w:rPr>
        <w:t>1</w:t>
      </w:r>
      <w:bookmarkEnd w:id="1197"/>
      <w:r>
        <w:rPr>
          <w:rFonts w:ascii="Times New Roman" w:eastAsia="Times New Roman" w:hAnsi="Times New Roman" w:cs="Times New Roman"/>
          <w:color w:val="000000"/>
          <w:spacing w:val="0"/>
          <w:w w:val="100"/>
          <w:position w:val="0"/>
        </w:rPr>
        <w:t>1</w:t>
      </w:r>
      <w:r>
        <w:rPr>
          <w:color w:val="000000"/>
          <w:spacing w:val="0"/>
          <w:w w:val="100"/>
          <w:position w:val="0"/>
        </w:rPr>
        <w:t>、其他权益工具投资</w:t>
      </w:r>
      <w:bookmarkEnd w:id="1195"/>
      <w:bookmarkEnd w:id="1196"/>
      <w:bookmarkEnd w:id="119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贵州六合烟草自动化工程有限公司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分项披露本期非交易性权益工具投资</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8"/>
        <w:gridCol w:w="1363"/>
        <w:gridCol w:w="1378"/>
      </w:tblGrid>
      <w:tr>
        <w:trPr>
          <w:trHeight w:val="1344"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确认的股利收入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累计利得</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累计损失</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其他综合收益转</w:t>
            </w:r>
          </w:p>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入留存收益的金</w:t>
            </w:r>
          </w:p>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指定为以公允价 值计量且其变动 计入其他综合收</w:t>
            </w:r>
          </w:p>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益的原因</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其他综合收益转 入留存收益的原 因</w:t>
            </w:r>
          </w:p>
        </w:tc>
      </w:tr>
      <w:tr>
        <w:trPr>
          <w:trHeight w:val="103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贵州六合烟草自 动化工程有限公 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非交易性投资</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18"/>
          <w:szCs w:val="18"/>
        </w:rPr>
        <w:sectPr>
          <w:headerReference w:type="default" r:id="rId305"/>
          <w:footerReference w:type="default" r:id="rId306"/>
          <w:headerReference w:type="even" r:id="rId307"/>
          <w:footerReference w:type="even" r:id="rId308"/>
          <w:headerReference w:type="first" r:id="rId309"/>
          <w:footerReference w:type="first" r:id="rId310"/>
          <w:footnotePr>
            <w:pos w:val="pageBottom"/>
            <w:numFmt w:val="decimal"/>
            <w:numRestart w:val="continuous"/>
          </w:footnotePr>
          <w:pgSz w:w="11900" w:h="16840"/>
          <w:pgMar w:top="1330" w:right="1095" w:bottom="1445" w:left="1071" w:header="0" w:footer="3" w:gutter="0"/>
          <w:cols w:space="720"/>
          <w:noEndnote/>
          <w:titlePg/>
          <w:rtlGutter w:val="0"/>
          <w:docGrid w:linePitch="360"/>
        </w:sectPr>
      </w:pPr>
      <w:r>
        <w:rPr>
          <w:b w:val="0"/>
          <w:bCs w:val="0"/>
          <w:color w:val="000000"/>
          <w:spacing w:val="0"/>
          <w:w w:val="100"/>
          <w:position w:val="0"/>
          <w:sz w:val="18"/>
          <w:szCs w:val="18"/>
        </w:rPr>
        <w:t>其他说明：</w:t>
      </w:r>
    </w:p>
    <w:p>
      <w:pPr>
        <w:pStyle w:val="Style44"/>
        <w:keepNext/>
        <w:keepLines/>
        <w:widowControl w:val="0"/>
        <w:shd w:val="clear" w:color="auto" w:fill="auto"/>
        <w:bidi w:val="0"/>
        <w:spacing w:before="0" w:after="380" w:line="240" w:lineRule="auto"/>
        <w:ind w:left="0" w:right="0" w:firstLine="0"/>
        <w:jc w:val="left"/>
      </w:pPr>
      <w:bookmarkStart w:id="1199" w:name="bookmark1199"/>
      <w:bookmarkStart w:id="1200" w:name="bookmark1200"/>
      <w:bookmarkStart w:id="1201" w:name="bookmark1201"/>
      <w:bookmarkStart w:id="1202" w:name="bookmark1202"/>
      <w:r>
        <w:rPr>
          <w:rFonts w:ascii="Times New Roman" w:eastAsia="Times New Roman" w:hAnsi="Times New Roman" w:cs="Times New Roman"/>
          <w:color w:val="000000"/>
          <w:spacing w:val="0"/>
          <w:w w:val="100"/>
          <w:position w:val="0"/>
        </w:rPr>
        <w:t>1</w:t>
      </w:r>
      <w:bookmarkEnd w:id="1201"/>
      <w:r>
        <w:rPr>
          <w:rFonts w:ascii="Times New Roman" w:eastAsia="Times New Roman" w:hAnsi="Times New Roman" w:cs="Times New Roman"/>
          <w:color w:val="000000"/>
          <w:spacing w:val="0"/>
          <w:w w:val="100"/>
          <w:position w:val="0"/>
        </w:rPr>
        <w:t>2</w:t>
      </w:r>
      <w:r>
        <w:rPr>
          <w:color w:val="000000"/>
          <w:spacing w:val="0"/>
          <w:w w:val="100"/>
          <w:position w:val="0"/>
        </w:rPr>
        <w:t>、固定资产</w:t>
      </w:r>
      <w:bookmarkEnd w:id="1199"/>
      <w:bookmarkEnd w:id="1200"/>
      <w:bookmarkEnd w:id="120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18,653,023.84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19,897,186.21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18,653,023.84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19,897,186.21</w:t>
            </w:r>
          </w:p>
        </w:tc>
      </w:tr>
    </w:tbl>
    <w:p>
      <w:pPr>
        <w:widowControl w:val="0"/>
        <w:spacing w:after="299" w:line="1" w:lineRule="exact"/>
      </w:pPr>
    </w:p>
    <w:p>
      <w:pPr>
        <w:pStyle w:val="Style60"/>
        <w:keepNext/>
        <w:keepLines/>
        <w:widowControl w:val="0"/>
        <w:shd w:val="clear" w:color="auto" w:fill="auto"/>
        <w:bidi w:val="0"/>
        <w:spacing w:before="0" w:after="380" w:line="240" w:lineRule="auto"/>
        <w:ind w:left="0" w:right="0" w:firstLine="0"/>
        <w:jc w:val="left"/>
      </w:pPr>
      <w:bookmarkStart w:id="1203" w:name="bookmark1203"/>
      <w:bookmarkStart w:id="1204" w:name="bookmark1204"/>
      <w:bookmarkStart w:id="1205" w:name="bookmark1205"/>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203"/>
      <w:bookmarkEnd w:id="1204"/>
      <w:bookmarkEnd w:id="1205"/>
    </w:p>
    <w:p>
      <w:pPr>
        <w:pStyle w:val="Style35"/>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598"/>
        <w:gridCol w:w="1598"/>
        <w:gridCol w:w="1594"/>
        <w:gridCol w:w="1594"/>
        <w:gridCol w:w="1594"/>
        <w:gridCol w:w="160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房屋建筑物</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设备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运输工具</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合计</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25,516,725.90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8,001,237.07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3,561,674.12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339,011.11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37,418,648.20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409,719.69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123,764.55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533,484.24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409,719.69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123,764.55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533,484.24</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38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）在建工程</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38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）企业合并 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435,988.00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89,459.00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525,447.00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38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）处置或报 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435,988.00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89,459.00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525,447.00</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25,516,725.90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7,974,968.76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3,561,674.12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373,316.66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37,426,685.44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9,684,262.38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5,164,590.96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2,445,242.33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227,366.32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17,521,461.99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605,861.64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834,210.01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266,461.61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43,716.38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1,750,249.64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605,861.64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834,210.01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266,461.61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43,716.38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1,750,249.64</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498,050.03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498,050.03</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both"/>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）处置或报 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498,050.03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498,050.03</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10,290,124.02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5,500,750.94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2,711,703.94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271,082.70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18,773,661.60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期初余额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598"/>
        <w:gridCol w:w="1598"/>
        <w:gridCol w:w="1594"/>
        <w:gridCol w:w="1594"/>
        <w:gridCol w:w="1594"/>
        <w:gridCol w:w="160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）处置或报 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期末账面价值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15,226,601.88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2,474,217.82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849,970.18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102,233.96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18,653,023.84</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期初账面价值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15,832,463.52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2,836,646.11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1,116,431.79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111,644.79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19,897,186.21</w:t>
            </w:r>
          </w:p>
        </w:tc>
      </w:tr>
    </w:tbl>
    <w:p>
      <w:pPr>
        <w:widowControl w:val="0"/>
        <w:spacing w:after="319" w:line="1" w:lineRule="exact"/>
      </w:pPr>
    </w:p>
    <w:p>
      <w:pPr>
        <w:pStyle w:val="Style60"/>
        <w:keepNext/>
        <w:keepLines/>
        <w:widowControl w:val="0"/>
        <w:shd w:val="clear" w:color="auto" w:fill="auto"/>
        <w:bidi w:val="0"/>
        <w:spacing w:before="0" w:line="240" w:lineRule="auto"/>
        <w:ind w:left="0" w:right="0" w:firstLine="0"/>
        <w:jc w:val="left"/>
      </w:pPr>
      <w:bookmarkStart w:id="1206" w:name="bookmark1206"/>
      <w:bookmarkStart w:id="1207" w:name="bookmark1207"/>
      <w:bookmarkStart w:id="1208" w:name="bookmark1208"/>
      <w:r>
        <w:rPr>
          <w:rFonts w:ascii="Times New Roman" w:eastAsia="Times New Roman" w:hAnsi="Times New Roman" w:cs="Times New Roman"/>
          <w:color w:val="000000"/>
          <w:spacing w:val="0"/>
          <w:w w:val="100"/>
          <w:position w:val="0"/>
        </w:rPr>
        <w:t>（2</w:t>
      </w:r>
      <w:r>
        <w:rPr>
          <w:color w:val="000000"/>
          <w:spacing w:val="0"/>
          <w:w w:val="100"/>
          <w:position w:val="0"/>
        </w:rPr>
        <w:t>）通过经营租赁租出的固定资产</w:t>
      </w:r>
      <w:bookmarkEnd w:id="1206"/>
      <w:bookmarkEnd w:id="1207"/>
      <w:bookmarkEnd w:id="120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4786"/>
        <w:gridCol w:w="48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期末账面价值</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房屋及建筑物</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4,847,214.14</w:t>
            </w:r>
          </w:p>
        </w:tc>
      </w:tr>
    </w:tbl>
    <w:p>
      <w:pPr>
        <w:widowControl w:val="0"/>
        <w:spacing w:after="319" w:line="1" w:lineRule="exact"/>
      </w:pPr>
    </w:p>
    <w:p>
      <w:pPr>
        <w:pStyle w:val="Style44"/>
        <w:keepNext/>
        <w:keepLines/>
        <w:widowControl w:val="0"/>
        <w:shd w:val="clear" w:color="auto" w:fill="auto"/>
        <w:bidi w:val="0"/>
        <w:spacing w:before="0" w:after="320" w:line="240" w:lineRule="auto"/>
        <w:ind w:left="0" w:right="0" w:firstLine="0"/>
        <w:jc w:val="left"/>
      </w:pPr>
      <w:bookmarkStart w:id="1209" w:name="bookmark1209"/>
      <w:bookmarkStart w:id="1210" w:name="bookmark1210"/>
      <w:bookmarkStart w:id="1211" w:name="bookmark1211"/>
      <w:bookmarkStart w:id="1212" w:name="bookmark1212"/>
      <w:r>
        <w:rPr>
          <w:rFonts w:ascii="Times New Roman" w:eastAsia="Times New Roman" w:hAnsi="Times New Roman" w:cs="Times New Roman"/>
          <w:color w:val="000000"/>
          <w:spacing w:val="0"/>
          <w:w w:val="100"/>
          <w:position w:val="0"/>
        </w:rPr>
        <w:t>1</w:t>
      </w:r>
      <w:bookmarkEnd w:id="1211"/>
      <w:r>
        <w:rPr>
          <w:rFonts w:ascii="Times New Roman" w:eastAsia="Times New Roman" w:hAnsi="Times New Roman" w:cs="Times New Roman"/>
          <w:color w:val="000000"/>
          <w:spacing w:val="0"/>
          <w:w w:val="100"/>
          <w:position w:val="0"/>
        </w:rPr>
        <w:t>3</w:t>
      </w:r>
      <w:r>
        <w:rPr>
          <w:color w:val="000000"/>
          <w:spacing w:val="0"/>
          <w:w w:val="100"/>
          <w:position w:val="0"/>
        </w:rPr>
        <w:t>、无形资产</w:t>
      </w:r>
      <w:bookmarkEnd w:id="1209"/>
      <w:bookmarkEnd w:id="1210"/>
      <w:bookmarkEnd w:id="1212"/>
    </w:p>
    <w:p>
      <w:pPr>
        <w:pStyle w:val="Style60"/>
        <w:keepNext/>
        <w:keepLines/>
        <w:widowControl w:val="0"/>
        <w:shd w:val="clear" w:color="auto" w:fill="auto"/>
        <w:bidi w:val="0"/>
        <w:spacing w:before="0" w:line="240" w:lineRule="auto"/>
        <w:ind w:left="0" w:right="0" w:firstLine="0"/>
        <w:jc w:val="left"/>
      </w:pPr>
      <w:bookmarkStart w:id="1213" w:name="bookmark1213"/>
      <w:bookmarkStart w:id="1214" w:name="bookmark1214"/>
      <w:bookmarkStart w:id="1215" w:name="bookmark121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）无形资产情况</w:t>
      </w:r>
      <w:bookmarkEnd w:id="1213"/>
      <w:bookmarkEnd w:id="1214"/>
      <w:bookmarkEnd w:id="1215"/>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598"/>
        <w:gridCol w:w="1598"/>
        <w:gridCol w:w="1594"/>
        <w:gridCol w:w="1594"/>
        <w:gridCol w:w="1594"/>
        <w:gridCol w:w="160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土地使用权</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专利权</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非专利技术</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软件</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合计</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9,506,369.00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6,453,068.31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15,959,437.31</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本期增加金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2,809,814.68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2,809,814.68</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461,758.51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461,758.51</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）内部研</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）企业合</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软件著作权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2,348,056.17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2,348,056.17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598"/>
        <w:gridCol w:w="1598"/>
        <w:gridCol w:w="1594"/>
        <w:gridCol w:w="1594"/>
        <w:gridCol w:w="1594"/>
        <w:gridCol w:w="160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9,506,369.00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9,262,882.99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18,769,251.99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3,549,044.40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2,287,863.14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5,836,907.54</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本期增加金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190,127.38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1,385,233.63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1,575,361.01</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190,127.38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1,385,233.63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1,575,361.01</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3,739,171.78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3,673,096.77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7,412,268.55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本期增加金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期末账面价 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5,767,197.22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5,589,786.22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11,356,983.44</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期初账面价 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5,957,324.60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4,165,205.17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10,122,529.77</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本期末通过公司内部研发形成的无形资产占无形资产余额的比例。</w:t>
      </w:r>
    </w:p>
    <w:p>
      <w:pPr>
        <w:widowControl w:val="0"/>
        <w:spacing w:after="359" w:line="1" w:lineRule="exact"/>
      </w:pPr>
    </w:p>
    <w:p>
      <w:pPr>
        <w:pStyle w:val="Style44"/>
        <w:keepNext/>
        <w:keepLines/>
        <w:widowControl w:val="0"/>
        <w:shd w:val="clear" w:color="auto" w:fill="auto"/>
        <w:bidi w:val="0"/>
        <w:spacing w:before="0" w:after="360" w:line="240" w:lineRule="auto"/>
        <w:ind w:left="0" w:right="0" w:firstLine="0"/>
        <w:jc w:val="left"/>
      </w:pPr>
      <w:bookmarkStart w:id="1216" w:name="bookmark1216"/>
      <w:bookmarkStart w:id="1217" w:name="bookmark1217"/>
      <w:bookmarkStart w:id="1218" w:name="bookmark1218"/>
      <w:bookmarkStart w:id="1219" w:name="bookmark1219"/>
      <w:r>
        <w:rPr>
          <w:rFonts w:ascii="Times New Roman" w:eastAsia="Times New Roman" w:hAnsi="Times New Roman" w:cs="Times New Roman"/>
          <w:color w:val="000000"/>
          <w:spacing w:val="0"/>
          <w:w w:val="100"/>
          <w:position w:val="0"/>
        </w:rPr>
        <w:t>1</w:t>
      </w:r>
      <w:bookmarkEnd w:id="1218"/>
      <w:r>
        <w:rPr>
          <w:rFonts w:ascii="Times New Roman" w:eastAsia="Times New Roman" w:hAnsi="Times New Roman" w:cs="Times New Roman"/>
          <w:color w:val="000000"/>
          <w:spacing w:val="0"/>
          <w:w w:val="100"/>
          <w:position w:val="0"/>
        </w:rPr>
        <w:t>4</w:t>
      </w:r>
      <w:r>
        <w:rPr>
          <w:color w:val="000000"/>
          <w:spacing w:val="0"/>
          <w:w w:val="100"/>
          <w:position w:val="0"/>
        </w:rPr>
        <w:t>、开发支出</w:t>
      </w:r>
      <w:bookmarkEnd w:id="1216"/>
      <w:bookmarkEnd w:id="1217"/>
      <w:bookmarkEnd w:id="121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070"/>
        <w:gridCol w:w="1061"/>
        <w:gridCol w:w="1066"/>
        <w:gridCol w:w="1066"/>
        <w:gridCol w:w="1061"/>
        <w:gridCol w:w="1061"/>
        <w:gridCol w:w="1061"/>
        <w:gridCol w:w="1066"/>
        <w:gridCol w:w="1075"/>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本期增加金额</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710"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内部开发支</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确认为无形 资产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center"/>
              <w:rPr>
                <w:sz w:val="18"/>
                <w:szCs w:val="18"/>
              </w:rPr>
            </w:pPr>
            <w:r>
              <w:rPr>
                <w:color w:val="000000"/>
                <w:spacing w:val="0"/>
                <w:w w:val="100"/>
                <w:position w:val="0"/>
                <w:sz w:val="18"/>
                <w:szCs w:val="18"/>
              </w:rPr>
              <w:t>转入当期损</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益</w:t>
            </w:r>
          </w:p>
        </w:tc>
        <w:tc>
          <w:tcPr>
            <w:tcBorders>
              <w:top w:val="single" w:sz="4"/>
              <w:left w:val="single" w:sz="4"/>
            </w:tcBorders>
            <w:shd w:val="clear" w:color="auto" w:fill="D4D4D4"/>
            <w:vAlign w:val="top"/>
          </w:tcPr>
          <w:p>
            <w:pPr>
              <w:widowControl w:val="0"/>
              <w:rPr>
                <w:sz w:val="10"/>
                <w:szCs w:val="10"/>
              </w:rPr>
            </w:pPr>
          </w:p>
        </w:tc>
        <w:tc>
          <w:tcPr>
            <w:vMerge/>
            <w:tcBorders>
              <w:left w:val="single" w:sz="4"/>
              <w:right w:val="single" w:sz="4"/>
            </w:tcBorders>
            <w:shd w:val="clear" w:color="auto" w:fill="D4D4D4"/>
            <w:vAlign w:val="center"/>
          </w:tcPr>
          <w:p>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中科通用软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2,348,056.17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2,348,056.17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11"/>
          <w:footerReference w:type="default" r:id="rId312"/>
          <w:headerReference w:type="even" r:id="rId313"/>
          <w:footerReference w:type="even" r:id="rId314"/>
          <w:footnotePr>
            <w:pos w:val="pageBottom"/>
            <w:numFmt w:val="decimal"/>
            <w:numRestart w:val="continuous"/>
          </w:footnotePr>
          <w:pgSz w:w="11900" w:h="16840"/>
          <w:pgMar w:top="1330" w:right="1095" w:bottom="1445" w:left="1071" w:header="0" w:footer="3" w:gutter="0"/>
          <w:cols w:space="720"/>
          <w:noEndnote/>
          <w:rtlGutter w:val="0"/>
          <w:docGrid w:linePitch="360"/>
        </w:sectPr>
      </w:pPr>
    </w:p>
    <w:tbl>
      <w:tblPr>
        <w:tblOverlap w:val="never"/>
        <w:jc w:val="center"/>
        <w:tblLayout w:type="fixed"/>
      </w:tblPr>
      <w:tblGrid>
        <w:gridCol w:w="1070"/>
        <w:gridCol w:w="1061"/>
        <w:gridCol w:w="1066"/>
        <w:gridCol w:w="1066"/>
        <w:gridCol w:w="1061"/>
        <w:gridCol w:w="1061"/>
        <w:gridCol w:w="1061"/>
        <w:gridCol w:w="1066"/>
        <w:gridCol w:w="1075"/>
      </w:tblGrid>
      <w:tr>
        <w:trPr>
          <w:trHeight w:val="37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件平台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非专利技术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24,020,354.8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24,020,354.8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26,368,411.0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2,348,056.17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24,020,354.8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220" w:name="bookmark1220"/>
      <w:bookmarkStart w:id="1221" w:name="bookmark1221"/>
      <w:bookmarkStart w:id="1222" w:name="bookmark1222"/>
      <w:bookmarkStart w:id="1223" w:name="bookmark1223"/>
      <w:r>
        <w:rPr>
          <w:rFonts w:ascii="Times New Roman" w:eastAsia="Times New Roman" w:hAnsi="Times New Roman" w:cs="Times New Roman"/>
          <w:color w:val="000000"/>
          <w:spacing w:val="0"/>
          <w:w w:val="100"/>
          <w:position w:val="0"/>
        </w:rPr>
        <w:t>1</w:t>
      </w:r>
      <w:bookmarkEnd w:id="1222"/>
      <w:r>
        <w:rPr>
          <w:rFonts w:ascii="Times New Roman" w:eastAsia="Times New Roman" w:hAnsi="Times New Roman" w:cs="Times New Roman"/>
          <w:color w:val="000000"/>
          <w:spacing w:val="0"/>
          <w:w w:val="100"/>
          <w:position w:val="0"/>
        </w:rPr>
        <w:t>5</w:t>
      </w:r>
      <w:r>
        <w:rPr>
          <w:color w:val="000000"/>
          <w:spacing w:val="0"/>
          <w:w w:val="100"/>
          <w:position w:val="0"/>
        </w:rPr>
        <w:t>、递延所得税资产</w:t>
      </w:r>
      <w:r>
        <w:rPr>
          <w:rFonts w:ascii="Times New Roman" w:eastAsia="Times New Roman" w:hAnsi="Times New Roman" w:cs="Times New Roman"/>
          <w:color w:val="000000"/>
          <w:spacing w:val="0"/>
          <w:w w:val="100"/>
          <w:position w:val="0"/>
        </w:rPr>
        <w:t>/</w:t>
      </w:r>
      <w:r>
        <w:rPr>
          <w:color w:val="000000"/>
          <w:spacing w:val="0"/>
          <w:w w:val="100"/>
          <w:position w:val="0"/>
        </w:rPr>
        <w:t>递延所得税负债</w:t>
      </w:r>
      <w:bookmarkEnd w:id="1220"/>
      <w:bookmarkEnd w:id="1221"/>
      <w:bookmarkEnd w:id="1223"/>
    </w:p>
    <w:p>
      <w:pPr>
        <w:pStyle w:val="Style60"/>
        <w:keepNext/>
        <w:keepLines/>
        <w:widowControl w:val="0"/>
        <w:shd w:val="clear" w:color="auto" w:fill="auto"/>
        <w:bidi w:val="0"/>
        <w:spacing w:before="0" w:line="240" w:lineRule="auto"/>
        <w:ind w:left="0" w:right="0" w:firstLine="0"/>
        <w:jc w:val="left"/>
      </w:pPr>
      <w:bookmarkStart w:id="1224" w:name="bookmark1224"/>
      <w:bookmarkStart w:id="1225" w:name="bookmark1225"/>
      <w:bookmarkStart w:id="1226" w:name="bookmark1226"/>
      <w:r>
        <w:rPr>
          <w:rFonts w:ascii="Times New Roman" w:eastAsia="Times New Roman" w:hAnsi="Times New Roman" w:cs="Times New Roman"/>
          <w:color w:val="000000"/>
          <w:spacing w:val="0"/>
          <w:w w:val="100"/>
          <w:position w:val="0"/>
        </w:rPr>
        <w:t>(1</w:t>
      </w:r>
      <w:r>
        <w:rPr>
          <w:color w:val="000000"/>
          <w:spacing w:val="0"/>
          <w:w w:val="100"/>
          <w:position w:val="0"/>
        </w:rPr>
        <w:t>)未经抵销的递延所得税资产</w:t>
      </w:r>
      <w:bookmarkEnd w:id="1224"/>
      <w:bookmarkEnd w:id="1225"/>
      <w:bookmarkEnd w:id="1226"/>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可抵扣暂时性差异</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递延所得税资产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可抵扣暂时性差异</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递延所得税资产</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72,575,108.72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10,903,304.75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56,044,693.66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8,432,765.51</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可抵扣亏损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728,004.48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182,001.12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1,494,786.72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373,696.68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2,791,436.31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465,111.46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1,633,787.30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318,465.87</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其他权益工具投资公允 价值变动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76,194,549.51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11,565,417.33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59,273,267.68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9,139,928.06</w:t>
            </w:r>
          </w:p>
        </w:tc>
      </w:tr>
    </w:tbl>
    <w:p>
      <w:pPr>
        <w:widowControl w:val="0"/>
        <w:spacing w:after="299" w:line="1" w:lineRule="exact"/>
      </w:pPr>
    </w:p>
    <w:p>
      <w:pPr>
        <w:pStyle w:val="Style60"/>
        <w:keepNext/>
        <w:keepLines/>
        <w:widowControl w:val="0"/>
        <w:shd w:val="clear" w:color="auto" w:fill="auto"/>
        <w:bidi w:val="0"/>
        <w:spacing w:before="0" w:line="240" w:lineRule="auto"/>
        <w:ind w:left="0" w:right="0" w:firstLine="0"/>
        <w:jc w:val="left"/>
      </w:pPr>
      <w:bookmarkStart w:id="1227" w:name="bookmark1227"/>
      <w:bookmarkStart w:id="1228" w:name="bookmark1228"/>
      <w:bookmarkStart w:id="1229" w:name="bookmark1229"/>
      <w:r>
        <w:rPr>
          <w:rFonts w:ascii="Times New Roman" w:eastAsia="Times New Roman" w:hAnsi="Times New Roman" w:cs="Times New Roman"/>
          <w:color w:val="000000"/>
          <w:spacing w:val="0"/>
          <w:w w:val="100"/>
          <w:position w:val="0"/>
        </w:rPr>
        <w:t>(2</w:t>
      </w:r>
      <w:r>
        <w:rPr>
          <w:color w:val="000000"/>
          <w:spacing w:val="0"/>
          <w:w w:val="100"/>
          <w:position w:val="0"/>
        </w:rPr>
        <w:t>)未确认递延所得税资产明细</w:t>
      </w:r>
      <w:bookmarkEnd w:id="1227"/>
      <w:bookmarkEnd w:id="1228"/>
      <w:bookmarkEnd w:id="122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可抵扣暂时性差异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843,398.02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1,317,904.73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可抵扣亏损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2,293,072.31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1,905,167.43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3,136,470.33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3,223,072.16</w:t>
            </w:r>
          </w:p>
        </w:tc>
      </w:tr>
    </w:tbl>
    <w:p>
      <w:pPr>
        <w:widowControl w:val="0"/>
        <w:spacing w:after="299" w:line="1" w:lineRule="exact"/>
      </w:pPr>
    </w:p>
    <w:p>
      <w:pPr>
        <w:pStyle w:val="Style60"/>
        <w:keepNext/>
        <w:keepLines/>
        <w:widowControl w:val="0"/>
        <w:numPr>
          <w:ilvl w:val="0"/>
          <w:numId w:val="95"/>
        </w:numPr>
        <w:shd w:val="clear" w:color="auto" w:fill="auto"/>
        <w:bidi w:val="0"/>
        <w:spacing w:before="0" w:line="240" w:lineRule="auto"/>
        <w:ind w:left="0" w:right="0" w:firstLine="0"/>
        <w:jc w:val="left"/>
      </w:pPr>
      <w:bookmarkStart w:id="1230" w:name="bookmark1230"/>
      <w:bookmarkStart w:id="1231" w:name="bookmark1231"/>
      <w:bookmarkStart w:id="1232" w:name="bookmark1232"/>
      <w:bookmarkStart w:id="1233" w:name="bookmark1233"/>
      <w:bookmarkEnd w:id="1232"/>
      <w:r>
        <w:rPr>
          <w:color w:val="000000"/>
          <w:spacing w:val="0"/>
          <w:w w:val="100"/>
          <w:position w:val="0"/>
        </w:rPr>
        <w:t>未确认递延所得税资产的可抵扣亏损将于以下年度到期</w:t>
      </w:r>
      <w:bookmarkEnd w:id="1230"/>
      <w:bookmarkEnd w:id="1231"/>
      <w:bookmarkEnd w:id="123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395"/>
        <w:gridCol w:w="2395"/>
        <w:gridCol w:w="2395"/>
        <w:gridCol w:w="24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年份</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期初金额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备注</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2022 </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rFonts w:ascii="Times New Roman" w:eastAsia="Times New Roman" w:hAnsi="Times New Roman" w:cs="Times New Roman"/>
                <w:color w:val="000000"/>
                <w:spacing w:val="0"/>
                <w:w w:val="100"/>
                <w:position w:val="0"/>
                <w:sz w:val="18"/>
                <w:szCs w:val="18"/>
              </w:rPr>
              <w:t>248,180.68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248,180.68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2023 </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1,656,986.75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1,656,986.75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2024 </w:t>
            </w:r>
            <w:r>
              <w:rPr>
                <w:color w:val="000000"/>
                <w:spacing w:val="0"/>
                <w:w w:val="100"/>
                <w:position w:val="0"/>
                <w:sz w:val="18"/>
                <w:szCs w:val="18"/>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rFonts w:ascii="Times New Roman" w:eastAsia="Times New Roman" w:hAnsi="Times New Roman" w:cs="Times New Roman"/>
                <w:color w:val="000000"/>
                <w:spacing w:val="0"/>
                <w:w w:val="100"/>
                <w:position w:val="0"/>
                <w:sz w:val="18"/>
                <w:szCs w:val="18"/>
              </w:rPr>
              <w:t>387,904.88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2,293,072.31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1,905,167.43</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w:t>
      </w:r>
      <w:r>
        <w:br w:type="page"/>
      </w:r>
    </w:p>
    <w:p>
      <w:pPr>
        <w:pStyle w:val="Style44"/>
        <w:keepNext/>
        <w:keepLines/>
        <w:widowControl w:val="0"/>
        <w:shd w:val="clear" w:color="auto" w:fill="auto"/>
        <w:bidi w:val="0"/>
        <w:spacing w:before="0" w:line="240" w:lineRule="auto"/>
        <w:ind w:left="0" w:right="0" w:firstLine="0"/>
        <w:jc w:val="both"/>
      </w:pPr>
      <w:bookmarkStart w:id="1234" w:name="bookmark1234"/>
      <w:bookmarkStart w:id="1235" w:name="bookmark1235"/>
      <w:bookmarkStart w:id="1236" w:name="bookmark1236"/>
      <w:bookmarkStart w:id="1237" w:name="bookmark1237"/>
      <w:r>
        <w:rPr>
          <w:rFonts w:ascii="Times New Roman" w:eastAsia="Times New Roman" w:hAnsi="Times New Roman" w:cs="Times New Roman"/>
          <w:color w:val="000000"/>
          <w:spacing w:val="0"/>
          <w:w w:val="100"/>
          <w:position w:val="0"/>
        </w:rPr>
        <w:t>1</w:t>
      </w:r>
      <w:bookmarkEnd w:id="1236"/>
      <w:r>
        <w:rPr>
          <w:rFonts w:ascii="Times New Roman" w:eastAsia="Times New Roman" w:hAnsi="Times New Roman" w:cs="Times New Roman"/>
          <w:color w:val="000000"/>
          <w:spacing w:val="0"/>
          <w:w w:val="100"/>
          <w:position w:val="0"/>
        </w:rPr>
        <w:t>6</w:t>
      </w:r>
      <w:r>
        <w:rPr>
          <w:color w:val="000000"/>
          <w:spacing w:val="0"/>
          <w:w w:val="100"/>
          <w:position w:val="0"/>
        </w:rPr>
        <w:t>、短期借款</w:t>
      </w:r>
      <w:bookmarkEnd w:id="1234"/>
      <w:bookmarkEnd w:id="1235"/>
      <w:bookmarkEnd w:id="1237"/>
    </w:p>
    <w:p>
      <w:pPr>
        <w:pStyle w:val="Style60"/>
        <w:keepNext/>
        <w:keepLines/>
        <w:widowControl w:val="0"/>
        <w:shd w:val="clear" w:color="auto" w:fill="auto"/>
        <w:bidi w:val="0"/>
        <w:spacing w:before="0" w:after="340" w:line="240" w:lineRule="auto"/>
        <w:ind w:left="0" w:right="0" w:firstLine="0"/>
        <w:jc w:val="both"/>
      </w:pPr>
      <w:bookmarkStart w:id="1238" w:name="bookmark1238"/>
      <w:bookmarkStart w:id="1239" w:name="bookmark1239"/>
      <w:bookmarkStart w:id="1240" w:name="bookmark124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1238"/>
      <w:bookmarkEnd w:id="1239"/>
      <w:bookmarkEnd w:id="124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信用借款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30,040,043.84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30,040,043.84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bl>
    <w:p>
      <w:pPr>
        <w:widowControl w:val="0"/>
        <w:spacing w:after="79" w:line="1" w:lineRule="exact"/>
      </w:pPr>
    </w:p>
    <w:p>
      <w:pPr>
        <w:pStyle w:val="Style35"/>
        <w:keepNext w:val="0"/>
        <w:keepLines w:val="0"/>
        <w:widowControl w:val="0"/>
        <w:shd w:val="clear" w:color="auto" w:fill="auto"/>
        <w:bidi w:val="0"/>
        <w:spacing w:before="0" w:after="340" w:line="240" w:lineRule="auto"/>
        <w:ind w:left="0" w:right="0" w:firstLine="0"/>
        <w:jc w:val="both"/>
      </w:pPr>
      <w:r>
        <w:rPr>
          <w:color w:val="000000"/>
          <w:spacing w:val="0"/>
          <w:w w:val="100"/>
          <w:position w:val="0"/>
        </w:rPr>
        <w:t>短期借款分类的说明:</w:t>
      </w:r>
    </w:p>
    <w:p>
      <w:pPr>
        <w:pStyle w:val="Style44"/>
        <w:keepNext/>
        <w:keepLines/>
        <w:widowControl w:val="0"/>
        <w:shd w:val="clear" w:color="auto" w:fill="auto"/>
        <w:bidi w:val="0"/>
        <w:spacing w:before="0" w:line="240" w:lineRule="auto"/>
        <w:ind w:left="0" w:right="0" w:firstLine="0"/>
        <w:jc w:val="both"/>
      </w:pPr>
      <w:bookmarkStart w:id="1241" w:name="bookmark1241"/>
      <w:bookmarkStart w:id="1242" w:name="bookmark1242"/>
      <w:bookmarkStart w:id="1243" w:name="bookmark1243"/>
      <w:bookmarkStart w:id="1244" w:name="bookmark1244"/>
      <w:r>
        <w:rPr>
          <w:rFonts w:ascii="Times New Roman" w:eastAsia="Times New Roman" w:hAnsi="Times New Roman" w:cs="Times New Roman"/>
          <w:color w:val="000000"/>
          <w:spacing w:val="0"/>
          <w:w w:val="100"/>
          <w:position w:val="0"/>
        </w:rPr>
        <w:t>1</w:t>
      </w:r>
      <w:bookmarkEnd w:id="1243"/>
      <w:r>
        <w:rPr>
          <w:rFonts w:ascii="Times New Roman" w:eastAsia="Times New Roman" w:hAnsi="Times New Roman" w:cs="Times New Roman"/>
          <w:color w:val="000000"/>
          <w:spacing w:val="0"/>
          <w:w w:val="100"/>
          <w:position w:val="0"/>
        </w:rPr>
        <w:t>7</w:t>
      </w:r>
      <w:r>
        <w:rPr>
          <w:color w:val="000000"/>
          <w:spacing w:val="0"/>
          <w:w w:val="100"/>
          <w:position w:val="0"/>
        </w:rPr>
        <w:t>、应付账款</w:t>
      </w:r>
      <w:bookmarkEnd w:id="1241"/>
      <w:bookmarkEnd w:id="1242"/>
      <w:bookmarkEnd w:id="1244"/>
    </w:p>
    <w:p>
      <w:pPr>
        <w:pStyle w:val="Style60"/>
        <w:keepNext/>
        <w:keepLines/>
        <w:widowControl w:val="0"/>
        <w:shd w:val="clear" w:color="auto" w:fill="auto"/>
        <w:bidi w:val="0"/>
        <w:spacing w:before="0" w:after="340" w:line="240" w:lineRule="auto"/>
        <w:ind w:left="0" w:right="0" w:firstLine="0"/>
        <w:jc w:val="both"/>
      </w:pPr>
      <w:bookmarkStart w:id="1245" w:name="bookmark1245"/>
      <w:bookmarkStart w:id="1246" w:name="bookmark1246"/>
      <w:bookmarkStart w:id="1247" w:name="bookmark1247"/>
      <w:r>
        <w:rPr>
          <w:rFonts w:ascii="Times New Roman" w:eastAsia="Times New Roman" w:hAnsi="Times New Roman" w:cs="Times New Roman"/>
          <w:color w:val="000000"/>
          <w:spacing w:val="0"/>
          <w:w w:val="100"/>
          <w:position w:val="0"/>
        </w:rPr>
        <w:t>（1</w:t>
      </w:r>
      <w:r>
        <w:rPr>
          <w:color w:val="000000"/>
          <w:spacing w:val="0"/>
          <w:w w:val="100"/>
          <w:position w:val="0"/>
        </w:rPr>
        <w:t>）应付账款列示</w:t>
      </w:r>
      <w:bookmarkEnd w:id="1245"/>
      <w:bookmarkEnd w:id="1246"/>
      <w:bookmarkEnd w:id="124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应付采购款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115,679,702.72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99,989,277.10</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115,679,702.72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99,989,277.10</w:t>
            </w:r>
          </w:p>
        </w:tc>
      </w:tr>
    </w:tbl>
    <w:p>
      <w:pPr>
        <w:widowControl w:val="0"/>
        <w:spacing w:after="339" w:line="1" w:lineRule="exact"/>
      </w:pPr>
    </w:p>
    <w:p>
      <w:pPr>
        <w:pStyle w:val="Style44"/>
        <w:keepNext/>
        <w:keepLines/>
        <w:widowControl w:val="0"/>
        <w:shd w:val="clear" w:color="auto" w:fill="auto"/>
        <w:bidi w:val="0"/>
        <w:spacing w:before="0" w:line="240" w:lineRule="auto"/>
        <w:ind w:left="0" w:right="0" w:firstLine="0"/>
        <w:jc w:val="both"/>
      </w:pPr>
      <w:bookmarkStart w:id="1248" w:name="bookmark1248"/>
      <w:bookmarkStart w:id="1249" w:name="bookmark1249"/>
      <w:bookmarkStart w:id="1250" w:name="bookmark1250"/>
      <w:bookmarkStart w:id="1251" w:name="bookmark1251"/>
      <w:r>
        <w:rPr>
          <w:rFonts w:ascii="Times New Roman" w:eastAsia="Times New Roman" w:hAnsi="Times New Roman" w:cs="Times New Roman"/>
          <w:color w:val="000000"/>
          <w:spacing w:val="0"/>
          <w:w w:val="100"/>
          <w:position w:val="0"/>
        </w:rPr>
        <w:t>1</w:t>
      </w:r>
      <w:bookmarkEnd w:id="1250"/>
      <w:r>
        <w:rPr>
          <w:rFonts w:ascii="Times New Roman" w:eastAsia="Times New Roman" w:hAnsi="Times New Roman" w:cs="Times New Roman"/>
          <w:color w:val="000000"/>
          <w:spacing w:val="0"/>
          <w:w w:val="100"/>
          <w:position w:val="0"/>
        </w:rPr>
        <w:t>8</w:t>
      </w:r>
      <w:r>
        <w:rPr>
          <w:color w:val="000000"/>
          <w:spacing w:val="0"/>
          <w:w w:val="100"/>
          <w:position w:val="0"/>
        </w:rPr>
        <w:t>、合同负债</w:t>
      </w:r>
      <w:bookmarkEnd w:id="1248"/>
      <w:bookmarkEnd w:id="1249"/>
      <w:bookmarkEnd w:id="125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41,548,323.64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70,345,849.17</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41,548,323.64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70,345,849.17</w:t>
            </w:r>
          </w:p>
        </w:tc>
      </w:tr>
    </w:tbl>
    <w:p>
      <w:pPr>
        <w:widowControl w:val="0"/>
        <w:spacing w:after="339" w:line="1" w:lineRule="exact"/>
      </w:pPr>
    </w:p>
    <w:p>
      <w:pPr>
        <w:pStyle w:val="Style44"/>
        <w:keepNext/>
        <w:keepLines/>
        <w:widowControl w:val="0"/>
        <w:shd w:val="clear" w:color="auto" w:fill="auto"/>
        <w:bidi w:val="0"/>
        <w:spacing w:before="0" w:line="240" w:lineRule="auto"/>
        <w:ind w:left="0" w:right="0" w:firstLine="0"/>
        <w:jc w:val="both"/>
      </w:pPr>
      <w:bookmarkStart w:id="1252" w:name="bookmark1252"/>
      <w:bookmarkStart w:id="1253" w:name="bookmark1253"/>
      <w:bookmarkStart w:id="1254" w:name="bookmark1254"/>
      <w:bookmarkStart w:id="1255" w:name="bookmark1255"/>
      <w:r>
        <w:rPr>
          <w:rFonts w:ascii="Times New Roman" w:eastAsia="Times New Roman" w:hAnsi="Times New Roman" w:cs="Times New Roman"/>
          <w:color w:val="000000"/>
          <w:spacing w:val="0"/>
          <w:w w:val="100"/>
          <w:position w:val="0"/>
        </w:rPr>
        <w:t>1</w:t>
      </w:r>
      <w:bookmarkEnd w:id="1254"/>
      <w:r>
        <w:rPr>
          <w:rFonts w:ascii="Times New Roman" w:eastAsia="Times New Roman" w:hAnsi="Times New Roman" w:cs="Times New Roman"/>
          <w:color w:val="000000"/>
          <w:spacing w:val="0"/>
          <w:w w:val="100"/>
          <w:position w:val="0"/>
        </w:rPr>
        <w:t>9</w:t>
      </w:r>
      <w:r>
        <w:rPr>
          <w:color w:val="000000"/>
          <w:spacing w:val="0"/>
          <w:w w:val="100"/>
          <w:position w:val="0"/>
        </w:rPr>
        <w:t>、应付职工薪酬</w:t>
      </w:r>
      <w:bookmarkEnd w:id="1252"/>
      <w:bookmarkEnd w:id="1253"/>
      <w:bookmarkEnd w:id="1255"/>
    </w:p>
    <w:p>
      <w:pPr>
        <w:pStyle w:val="Style60"/>
        <w:keepNext/>
        <w:keepLines/>
        <w:widowControl w:val="0"/>
        <w:shd w:val="clear" w:color="auto" w:fill="auto"/>
        <w:bidi w:val="0"/>
        <w:spacing w:before="0" w:after="340" w:line="240" w:lineRule="auto"/>
        <w:ind w:left="0" w:right="0" w:firstLine="0"/>
        <w:jc w:val="both"/>
      </w:pPr>
      <w:bookmarkStart w:id="1256" w:name="bookmark1256"/>
      <w:bookmarkStart w:id="1257" w:name="bookmark1257"/>
      <w:bookmarkStart w:id="1258" w:name="bookmark125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）应付职工薪酬列示</w:t>
      </w:r>
      <w:bookmarkEnd w:id="1256"/>
      <w:bookmarkEnd w:id="1257"/>
      <w:bookmarkEnd w:id="125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期末余额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一、短期薪酬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7,313,445.36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57,717,191.95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59,979,699.69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5,050,937.62</w:t>
            </w: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二、离职后福利</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设定提 存计划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331,455.35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331,455.35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14,706.00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14,706.00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7,313,445.36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58,063,353.30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60,325,861.04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5,050,937.62</w:t>
            </w:r>
          </w:p>
        </w:tc>
      </w:tr>
    </w:tbl>
    <w:p>
      <w:pPr>
        <w:sectPr>
          <w:headerReference w:type="default" r:id="rId315"/>
          <w:footerReference w:type="default" r:id="rId316"/>
          <w:headerReference w:type="even" r:id="rId317"/>
          <w:footerReference w:type="even" r:id="rId318"/>
          <w:footnotePr>
            <w:pos w:val="pageBottom"/>
            <w:numFmt w:val="decimal"/>
            <w:numRestart w:val="continuous"/>
          </w:footnotePr>
          <w:pgSz w:w="11900" w:h="16840"/>
          <w:pgMar w:top="1330" w:right="1095" w:bottom="1445" w:left="1071" w:header="0" w:footer="3" w:gutter="0"/>
          <w:cols w:space="720"/>
          <w:noEndnote/>
          <w:rtlGutter w:val="0"/>
          <w:docGrid w:linePitch="360"/>
        </w:sectPr>
      </w:pPr>
    </w:p>
    <w:p>
      <w:pPr>
        <w:pStyle w:val="Style60"/>
        <w:keepNext/>
        <w:keepLines/>
        <w:widowControl w:val="0"/>
        <w:shd w:val="clear" w:color="auto" w:fill="auto"/>
        <w:bidi w:val="0"/>
        <w:spacing w:before="0" w:line="240" w:lineRule="auto"/>
        <w:ind w:left="0" w:right="0" w:firstLine="0"/>
        <w:jc w:val="left"/>
      </w:pPr>
      <w:bookmarkStart w:id="1259" w:name="bookmark1259"/>
      <w:bookmarkStart w:id="1260" w:name="bookmark1260"/>
      <w:bookmarkStart w:id="1261" w:name="bookmark1261"/>
      <w:r>
        <w:rPr>
          <w:rFonts w:ascii="Times New Roman" w:eastAsia="Times New Roman" w:hAnsi="Times New Roman" w:cs="Times New Roman"/>
          <w:color w:val="000000"/>
          <w:spacing w:val="0"/>
          <w:w w:val="100"/>
          <w:position w:val="0"/>
        </w:rPr>
        <w:t>(2</w:t>
      </w:r>
      <w:r>
        <w:rPr>
          <w:color w:val="000000"/>
          <w:spacing w:val="0"/>
          <w:w w:val="100"/>
          <w:position w:val="0"/>
        </w:rPr>
        <w:t>)短期薪酬列示</w:t>
      </w:r>
      <w:bookmarkEnd w:id="1259"/>
      <w:bookmarkEnd w:id="1260"/>
      <w:bookmarkEnd w:id="126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期末余额</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、工资、奖金、津贴和 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7,290,649.30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52,301,504.53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54,624,469.23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4,967,684.60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295,191.29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295,191.29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、社会保险费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1,259,048.57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1,259,048.57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其中：医疗保险费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1,025,347.64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1,025,347.64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工伤保险费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2,109.61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2,109.61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生育保险费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143,039.20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143,039.20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88,552.12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88,552.12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、住房公积金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3,062,506.00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3,062,506.00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、工会经费和职工教育 经费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22,796.06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798,941.56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738,484.60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83,253.02</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7,313,445.36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57,717,191.95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59,979,699.69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5,050,937.62</w:t>
            </w:r>
          </w:p>
        </w:tc>
      </w:tr>
    </w:tbl>
    <w:p>
      <w:pPr>
        <w:widowControl w:val="0"/>
        <w:spacing w:after="299" w:line="1" w:lineRule="exact"/>
      </w:pPr>
    </w:p>
    <w:p>
      <w:pPr>
        <w:pStyle w:val="Style60"/>
        <w:keepNext/>
        <w:keepLines/>
        <w:widowControl w:val="0"/>
        <w:numPr>
          <w:ilvl w:val="0"/>
          <w:numId w:val="97"/>
        </w:numPr>
        <w:shd w:val="clear" w:color="auto" w:fill="auto"/>
        <w:bidi w:val="0"/>
        <w:spacing w:before="0" w:line="240" w:lineRule="auto"/>
        <w:ind w:left="0" w:right="0" w:firstLine="0"/>
        <w:jc w:val="left"/>
      </w:pPr>
      <w:bookmarkStart w:id="1262" w:name="bookmark1262"/>
      <w:bookmarkStart w:id="1263" w:name="bookmark1263"/>
      <w:bookmarkStart w:id="1264" w:name="bookmark1264"/>
      <w:bookmarkStart w:id="1265" w:name="bookmark1265"/>
      <w:bookmarkEnd w:id="1264"/>
      <w:r>
        <w:rPr>
          <w:color w:val="000000"/>
          <w:spacing w:val="0"/>
          <w:w w:val="100"/>
          <w:position w:val="0"/>
        </w:rPr>
        <w:t>设定提存计划列示</w:t>
      </w:r>
      <w:bookmarkEnd w:id="1262"/>
      <w:bookmarkEnd w:id="1263"/>
      <w:bookmarkEnd w:id="126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期末余额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、基本养老保险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318,801.84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318,801.84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、失业保险费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12,653.51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12,653.51</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331,455.35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331,455.35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266" w:name="bookmark1266"/>
      <w:bookmarkStart w:id="1267" w:name="bookmark1267"/>
      <w:bookmarkStart w:id="1268" w:name="bookmark1268"/>
      <w:bookmarkStart w:id="1269" w:name="bookmark1269"/>
      <w:r>
        <w:rPr>
          <w:rFonts w:ascii="Times New Roman" w:eastAsia="Times New Roman" w:hAnsi="Times New Roman" w:cs="Times New Roman"/>
          <w:color w:val="000000"/>
          <w:spacing w:val="0"/>
          <w:w w:val="100"/>
          <w:position w:val="0"/>
        </w:rPr>
        <w:t>2</w:t>
      </w:r>
      <w:bookmarkEnd w:id="1268"/>
      <w:r>
        <w:rPr>
          <w:rFonts w:ascii="Times New Roman" w:eastAsia="Times New Roman" w:hAnsi="Times New Roman" w:cs="Times New Roman"/>
          <w:color w:val="000000"/>
          <w:spacing w:val="0"/>
          <w:w w:val="100"/>
          <w:position w:val="0"/>
        </w:rPr>
        <w:t>0</w:t>
      </w:r>
      <w:r>
        <w:rPr>
          <w:color w:val="000000"/>
          <w:spacing w:val="0"/>
          <w:w w:val="100"/>
          <w:position w:val="0"/>
        </w:rPr>
        <w:t>、应交税费</w:t>
      </w:r>
      <w:bookmarkEnd w:id="1266"/>
      <w:bookmarkEnd w:id="1267"/>
      <w:bookmarkEnd w:id="126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26,888,954.93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21,668,400.38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1,237,204.34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1,553,944.07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188,078.76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342,623.10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1,251,569.40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1,282,363.63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214,231.05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215,441.23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代扣代缴个人所得税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253,702.85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390,976.55</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30,033,741.33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25,453,748.96</w:t>
            </w:r>
          </w:p>
        </w:tc>
      </w:tr>
    </w:tbl>
    <w:p>
      <w:pPr>
        <w:spacing w:lineRule="exact" w:line="1"/>
        <w:rPr>
          <w:sz w:val="2"/>
          <w:szCs w:val="2"/>
        </w:rPr>
      </w:pPr>
      <w:r>
        <w:br w:type="page"/>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line="240" w:lineRule="auto"/>
        <w:ind w:left="0" w:right="0" w:firstLine="0"/>
        <w:jc w:val="left"/>
      </w:pPr>
      <w:bookmarkStart w:id="1270" w:name="bookmark1270"/>
      <w:bookmarkStart w:id="1271" w:name="bookmark1271"/>
      <w:bookmarkStart w:id="1272" w:name="bookmark1272"/>
      <w:bookmarkStart w:id="1273" w:name="bookmark1273"/>
      <w:r>
        <w:rPr>
          <w:rFonts w:ascii="Times New Roman" w:eastAsia="Times New Roman" w:hAnsi="Times New Roman" w:cs="Times New Roman"/>
          <w:color w:val="000000"/>
          <w:spacing w:val="0"/>
          <w:w w:val="100"/>
          <w:position w:val="0"/>
        </w:rPr>
        <w:t>2</w:t>
      </w:r>
      <w:bookmarkEnd w:id="1272"/>
      <w:r>
        <w:rPr>
          <w:rFonts w:ascii="Times New Roman" w:eastAsia="Times New Roman" w:hAnsi="Times New Roman" w:cs="Times New Roman"/>
          <w:color w:val="000000"/>
          <w:spacing w:val="0"/>
          <w:w w:val="100"/>
          <w:position w:val="0"/>
        </w:rPr>
        <w:t>1</w:t>
      </w:r>
      <w:r>
        <w:rPr>
          <w:color w:val="000000"/>
          <w:spacing w:val="0"/>
          <w:w w:val="100"/>
          <w:position w:val="0"/>
        </w:rPr>
        <w:t>、其他应付款</w:t>
      </w:r>
      <w:bookmarkEnd w:id="1270"/>
      <w:bookmarkEnd w:id="1271"/>
      <w:bookmarkEnd w:id="127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203,837.90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21,943,029.49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23,659,548.34</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22,146,867.39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23,893,422.42</w:t>
            </w:r>
          </w:p>
        </w:tc>
      </w:tr>
    </w:tbl>
    <w:p>
      <w:pPr>
        <w:widowControl w:val="0"/>
        <w:spacing w:after="339" w:line="1" w:lineRule="exact"/>
      </w:pPr>
    </w:p>
    <w:p>
      <w:pPr>
        <w:pStyle w:val="Style60"/>
        <w:keepNext/>
        <w:keepLines/>
        <w:widowControl w:val="0"/>
        <w:shd w:val="clear" w:color="auto" w:fill="auto"/>
        <w:bidi w:val="0"/>
        <w:spacing w:before="0" w:after="340" w:line="240" w:lineRule="auto"/>
        <w:ind w:left="0" w:right="0" w:firstLine="0"/>
        <w:jc w:val="left"/>
      </w:pPr>
      <w:bookmarkStart w:id="1274" w:name="bookmark1274"/>
      <w:bookmarkStart w:id="1275" w:name="bookmark1275"/>
      <w:bookmarkStart w:id="1276" w:name="bookmark1276"/>
      <w:r>
        <w:rPr>
          <w:rFonts w:ascii="Times New Roman" w:eastAsia="Times New Roman" w:hAnsi="Times New Roman" w:cs="Times New Roman"/>
          <w:color w:val="000000"/>
          <w:spacing w:val="0"/>
          <w:w w:val="100"/>
          <w:position w:val="0"/>
        </w:rPr>
        <w:t>(1</w:t>
      </w:r>
      <w:r>
        <w:rPr>
          <w:color w:val="000000"/>
          <w:spacing w:val="0"/>
          <w:w w:val="100"/>
          <w:position w:val="0"/>
        </w:rPr>
        <w:t>)应付利息</w:t>
      </w:r>
      <w:bookmarkEnd w:id="1274"/>
      <w:bookmarkEnd w:id="1275"/>
      <w:bookmarkEnd w:id="1276"/>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短期借款应付利息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36,262.41</w:t>
            </w:r>
          </w:p>
        </w:tc>
      </w:tr>
    </w:tbl>
    <w:p>
      <w:pPr>
        <w:widowControl w:val="0"/>
        <w:spacing w:after="339" w:line="1" w:lineRule="exact"/>
      </w:pPr>
    </w:p>
    <w:p>
      <w:pPr>
        <w:pStyle w:val="Style60"/>
        <w:keepNext/>
        <w:keepLines/>
        <w:widowControl w:val="0"/>
        <w:shd w:val="clear" w:color="auto" w:fill="auto"/>
        <w:bidi w:val="0"/>
        <w:spacing w:before="0" w:after="340" w:line="240" w:lineRule="auto"/>
        <w:ind w:left="0" w:right="0" w:firstLine="0"/>
        <w:jc w:val="left"/>
      </w:pPr>
      <w:bookmarkStart w:id="1277" w:name="bookmark1277"/>
      <w:bookmarkStart w:id="1278" w:name="bookmark1278"/>
      <w:bookmarkStart w:id="1279" w:name="bookmark1279"/>
      <w:r>
        <w:rPr>
          <w:rFonts w:ascii="Times New Roman" w:eastAsia="Times New Roman" w:hAnsi="Times New Roman" w:cs="Times New Roman"/>
          <w:color w:val="000000"/>
          <w:spacing w:val="0"/>
          <w:w w:val="100"/>
          <w:position w:val="0"/>
        </w:rPr>
        <w:t>(2</w:t>
      </w:r>
      <w:r>
        <w:rPr>
          <w:color w:val="000000"/>
          <w:spacing w:val="0"/>
          <w:w w:val="100"/>
          <w:position w:val="0"/>
        </w:rPr>
        <w:t>)应付股利</w:t>
      </w:r>
      <w:bookmarkEnd w:id="1277"/>
      <w:bookmarkEnd w:id="1278"/>
      <w:bookmarkEnd w:id="127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普通股股利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203,837.90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203,837.90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197,611.67</w:t>
            </w:r>
          </w:p>
        </w:tc>
      </w:tr>
    </w:tbl>
    <w:p>
      <w:pPr>
        <w:widowControl w:val="0"/>
        <w:spacing w:after="59" w:line="1" w:lineRule="exact"/>
      </w:pP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其他说明，包括重要的超过</w:t>
      </w:r>
      <w:r>
        <w:rPr>
          <w:rFonts w:ascii="Times New Roman" w:eastAsia="Times New Roman" w:hAnsi="Times New Roman" w:cs="Times New Roman"/>
          <w:color w:val="000000"/>
          <w:spacing w:val="0"/>
          <w:w w:val="100"/>
          <w:position w:val="0"/>
        </w:rPr>
        <w:t>1</w:t>
      </w:r>
      <w:r>
        <w:rPr>
          <w:color w:val="000000"/>
          <w:spacing w:val="0"/>
          <w:w w:val="100"/>
          <w:position w:val="0"/>
        </w:rPr>
        <w:t>年未支付的应付股利，应披露未支付原因:</w:t>
      </w:r>
    </w:p>
    <w:p>
      <w:pPr>
        <w:pStyle w:val="Style60"/>
        <w:keepNext/>
        <w:keepLines/>
        <w:widowControl w:val="0"/>
        <w:numPr>
          <w:ilvl w:val="0"/>
          <w:numId w:val="99"/>
        </w:numPr>
        <w:shd w:val="clear" w:color="auto" w:fill="auto"/>
        <w:bidi w:val="0"/>
        <w:spacing w:before="0" w:after="340" w:line="240" w:lineRule="auto"/>
        <w:ind w:left="0" w:right="0" w:firstLine="0"/>
        <w:jc w:val="left"/>
      </w:pPr>
      <w:bookmarkStart w:id="1280" w:name="bookmark1280"/>
      <w:bookmarkStart w:id="1281" w:name="bookmark1281"/>
      <w:bookmarkStart w:id="1282" w:name="bookmark1282"/>
      <w:bookmarkStart w:id="1283" w:name="bookmark1283"/>
      <w:bookmarkEnd w:id="1282"/>
      <w:r>
        <w:rPr>
          <w:color w:val="000000"/>
          <w:spacing w:val="0"/>
          <w:w w:val="100"/>
          <w:position w:val="0"/>
        </w:rPr>
        <w:t>其他应付款</w:t>
      </w:r>
      <w:bookmarkEnd w:id="1280"/>
      <w:bookmarkEnd w:id="1281"/>
      <w:bookmarkEnd w:id="1283"/>
    </w:p>
    <w:p>
      <w:pPr>
        <w:pStyle w:val="Style103"/>
        <w:keepNext/>
        <w:keepLines/>
        <w:widowControl w:val="0"/>
        <w:shd w:val="clear" w:color="auto" w:fill="auto"/>
        <w:bidi w:val="0"/>
        <w:spacing w:before="0" w:after="340" w:line="240" w:lineRule="auto"/>
        <w:ind w:left="0" w:right="0" w:firstLine="0"/>
        <w:jc w:val="left"/>
      </w:pPr>
      <w:bookmarkStart w:id="1284" w:name="bookmark1284"/>
      <w:bookmarkStart w:id="1285" w:name="bookmark1285"/>
      <w:bookmarkStart w:id="1286" w:name="bookmark1286"/>
      <w:r>
        <w:rPr>
          <w:rFonts w:ascii="Times New Roman" w:eastAsia="Times New Roman" w:hAnsi="Times New Roman" w:cs="Times New Roman"/>
          <w:color w:val="000000"/>
          <w:spacing w:val="0"/>
          <w:w w:val="100"/>
          <w:position w:val="0"/>
        </w:rPr>
        <w:t>1</w:t>
      </w:r>
      <w:r>
        <w:rPr>
          <w:color w:val="000000"/>
          <w:spacing w:val="0"/>
          <w:w w:val="100"/>
          <w:position w:val="0"/>
        </w:rPr>
        <w:t>)按款项性质列示其他应付款</w:t>
      </w:r>
      <w:bookmarkEnd w:id="1284"/>
      <w:bookmarkEnd w:id="1285"/>
      <w:bookmarkEnd w:id="1286"/>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代收代付款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12,827,549.26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13,429,950.22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应付专项款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5,563,476.47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5,796,508.33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1,993,612.70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1,897,818.60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预计费用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167,217.50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1,321,783.17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1,391,173.56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1,213,488.02</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21,943,029.49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23,659,548.34</w:t>
            </w:r>
          </w:p>
        </w:tc>
      </w:tr>
    </w:tbl>
    <w:p>
      <w:pPr>
        <w:spacing w:lineRule="exact" w:line="1"/>
        <w:rPr>
          <w:sz w:val="2"/>
          <w:szCs w:val="2"/>
        </w:rPr>
      </w:pPr>
      <w:r>
        <w:br w:type="page"/>
      </w:r>
    </w:p>
    <w:p>
      <w:pPr>
        <w:pStyle w:val="Style103"/>
        <w:keepNext/>
        <w:keepLines/>
        <w:widowControl w:val="0"/>
        <w:shd w:val="clear" w:color="auto" w:fill="auto"/>
        <w:bidi w:val="0"/>
        <w:spacing w:before="0" w:line="240" w:lineRule="auto"/>
        <w:ind w:left="0" w:right="0" w:firstLine="0"/>
        <w:jc w:val="left"/>
      </w:pPr>
      <w:bookmarkStart w:id="1287" w:name="bookmark1287"/>
      <w:bookmarkStart w:id="1288" w:name="bookmark1288"/>
      <w:bookmarkStart w:id="1289" w:name="bookmark1289"/>
      <w:r>
        <w:rPr>
          <w:rFonts w:ascii="Times New Roman" w:eastAsia="Times New Roman" w:hAnsi="Times New Roman" w:cs="Times New Roman"/>
          <w:color w:val="000000"/>
          <w:spacing w:val="0"/>
          <w:w w:val="100"/>
          <w:position w:val="0"/>
        </w:rPr>
        <w:t>2</w:t>
      </w:r>
      <w:r>
        <w:rPr>
          <w:color w:val="000000"/>
          <w:spacing w:val="0"/>
          <w:w w:val="100"/>
          <w:position w:val="0"/>
        </w:rPr>
        <w:t>)账龄超过</w:t>
      </w:r>
      <w:r>
        <w:rPr>
          <w:rFonts w:ascii="Times New Roman" w:eastAsia="Times New Roman" w:hAnsi="Times New Roman" w:cs="Times New Roman"/>
          <w:color w:val="000000"/>
          <w:spacing w:val="0"/>
          <w:w w:val="100"/>
          <w:position w:val="0"/>
        </w:rPr>
        <w:t>1</w:t>
      </w:r>
      <w:r>
        <w:rPr>
          <w:color w:val="000000"/>
          <w:spacing w:val="0"/>
          <w:w w:val="100"/>
          <w:position w:val="0"/>
        </w:rPr>
        <w:t>年的重要其他应付款</w:t>
      </w:r>
      <w:bookmarkEnd w:id="1287"/>
      <w:bookmarkEnd w:id="1288"/>
      <w:bookmarkEnd w:id="128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未偿还或结转的原因</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留存国有股红利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4,933,635.32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留存国有股红利</w:t>
            </w:r>
            <w:r>
              <w:rPr>
                <w:rFonts w:ascii="Times New Roman" w:eastAsia="Times New Roman" w:hAnsi="Times New Roman" w:cs="Times New Roman"/>
                <w:color w:val="000000"/>
                <w:spacing w:val="0"/>
                <w:w w:val="100"/>
                <w:position w:val="0"/>
                <w:sz w:val="18"/>
                <w:szCs w:val="18"/>
              </w:rPr>
              <w:t>4,933,635.32</w:t>
            </w:r>
            <w:r>
              <w:rPr>
                <w:color w:val="000000"/>
                <w:spacing w:val="0"/>
                <w:w w:val="100"/>
                <w:position w:val="0"/>
                <w:sz w:val="18"/>
                <w:szCs w:val="18"/>
              </w:rPr>
              <w:t>元。留存国 有股红利系</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rPr>
              <w:t>006</w:t>
            </w:r>
            <w:r>
              <w:rPr>
                <w:color w:val="000000"/>
                <w:spacing w:val="0"/>
                <w:w w:val="100"/>
                <w:position w:val="0"/>
                <w:sz w:val="18"/>
                <w:szCs w:val="18"/>
              </w:rPr>
              <w:t xml:space="preserve">年期间，本公 司扣除现金分红外的可供分配利润的 </w:t>
            </w:r>
            <w:r>
              <w:rPr>
                <w:rFonts w:ascii="Times New Roman" w:eastAsia="Times New Roman" w:hAnsi="Times New Roman" w:cs="Times New Roman"/>
                <w:color w:val="000000"/>
                <w:spacing w:val="0"/>
                <w:w w:val="100"/>
                <w:position w:val="0"/>
                <w:sz w:val="18"/>
                <w:szCs w:val="18"/>
              </w:rPr>
              <w:t>35%</w:t>
            </w:r>
            <w:r>
              <w:rPr>
                <w:color w:val="000000"/>
                <w:spacing w:val="0"/>
                <w:w w:val="100"/>
                <w:position w:val="0"/>
                <w:sz w:val="18"/>
                <w:szCs w:val="18"/>
              </w:rPr>
              <w:t>转入。</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养老金及补贴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1,821,200.00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养老金及补贴系中国科学院拨付的国有 留利转入的养老金及补贴款。</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6,754,835.32</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290" w:name="bookmark1290"/>
      <w:bookmarkStart w:id="1291" w:name="bookmark1291"/>
      <w:bookmarkStart w:id="1292" w:name="bookmark1292"/>
      <w:bookmarkStart w:id="1293" w:name="bookmark1293"/>
      <w:r>
        <w:rPr>
          <w:rFonts w:ascii="Times New Roman" w:eastAsia="Times New Roman" w:hAnsi="Times New Roman" w:cs="Times New Roman"/>
          <w:color w:val="000000"/>
          <w:spacing w:val="0"/>
          <w:w w:val="100"/>
          <w:position w:val="0"/>
        </w:rPr>
        <w:t>2</w:t>
      </w:r>
      <w:bookmarkEnd w:id="1292"/>
      <w:r>
        <w:rPr>
          <w:rFonts w:ascii="Times New Roman" w:eastAsia="Times New Roman" w:hAnsi="Times New Roman" w:cs="Times New Roman"/>
          <w:color w:val="000000"/>
          <w:spacing w:val="0"/>
          <w:w w:val="100"/>
          <w:position w:val="0"/>
        </w:rPr>
        <w:t>2</w:t>
      </w:r>
      <w:r>
        <w:rPr>
          <w:color w:val="000000"/>
          <w:spacing w:val="0"/>
          <w:w w:val="100"/>
          <w:position w:val="0"/>
        </w:rPr>
        <w:t>、其他流动负债</w:t>
      </w:r>
      <w:bookmarkEnd w:id="1290"/>
      <w:bookmarkEnd w:id="1291"/>
      <w:bookmarkEnd w:id="129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1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待转销项税额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3,002,903.54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7,584,292.69</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3,002,903.54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7,584,292.69</w:t>
            </w:r>
          </w:p>
        </w:tc>
      </w:tr>
    </w:tbl>
    <w:p>
      <w:pPr>
        <w:widowControl w:val="0"/>
        <w:spacing w:after="299" w:line="1" w:lineRule="exact"/>
      </w:pPr>
    </w:p>
    <w:p>
      <w:pPr>
        <w:pStyle w:val="Style44"/>
        <w:keepNext/>
        <w:keepLines/>
        <w:widowControl w:val="0"/>
        <w:shd w:val="clear" w:color="auto" w:fill="auto"/>
        <w:bidi w:val="0"/>
        <w:spacing w:before="0" w:after="360" w:line="240" w:lineRule="auto"/>
        <w:ind w:left="0" w:right="0" w:firstLine="0"/>
        <w:jc w:val="left"/>
      </w:pPr>
      <w:bookmarkStart w:id="1294" w:name="bookmark1294"/>
      <w:bookmarkStart w:id="1295" w:name="bookmark1295"/>
      <w:bookmarkStart w:id="1296" w:name="bookmark1296"/>
      <w:bookmarkStart w:id="1297" w:name="bookmark1297"/>
      <w:r>
        <w:rPr>
          <w:rFonts w:ascii="Times New Roman" w:eastAsia="Times New Roman" w:hAnsi="Times New Roman" w:cs="Times New Roman"/>
          <w:color w:val="000000"/>
          <w:spacing w:val="0"/>
          <w:w w:val="100"/>
          <w:position w:val="0"/>
        </w:rPr>
        <w:t>2</w:t>
      </w:r>
      <w:bookmarkEnd w:id="1296"/>
      <w:r>
        <w:rPr>
          <w:rFonts w:ascii="Times New Roman" w:eastAsia="Times New Roman" w:hAnsi="Times New Roman" w:cs="Times New Roman"/>
          <w:color w:val="000000"/>
          <w:spacing w:val="0"/>
          <w:w w:val="100"/>
          <w:position w:val="0"/>
        </w:rPr>
        <w:t>3</w:t>
      </w:r>
      <w:r>
        <w:rPr>
          <w:color w:val="000000"/>
          <w:spacing w:val="0"/>
          <w:w w:val="100"/>
          <w:position w:val="0"/>
        </w:rPr>
        <w:t>、长期应付款</w:t>
      </w:r>
      <w:bookmarkEnd w:id="1294"/>
      <w:bookmarkEnd w:id="1295"/>
      <w:bookmarkEnd w:id="129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r>
    </w:tbl>
    <w:p>
      <w:pPr>
        <w:widowControl w:val="0"/>
        <w:spacing w:after="299" w:line="1" w:lineRule="exact"/>
      </w:pPr>
    </w:p>
    <w:p>
      <w:pPr>
        <w:pStyle w:val="Style60"/>
        <w:keepNext/>
        <w:keepLines/>
        <w:widowControl w:val="0"/>
        <w:shd w:val="clear" w:color="auto" w:fill="auto"/>
        <w:bidi w:val="0"/>
        <w:spacing w:before="0" w:line="240" w:lineRule="auto"/>
        <w:ind w:left="0" w:right="0" w:firstLine="140"/>
        <w:jc w:val="left"/>
      </w:pPr>
      <w:bookmarkStart w:id="1298" w:name="bookmark1298"/>
      <w:bookmarkStart w:id="1299" w:name="bookmark1299"/>
      <w:bookmarkStart w:id="1300" w:name="bookmark1300"/>
      <w:r>
        <w:rPr>
          <w:rFonts w:ascii="Times New Roman" w:eastAsia="Times New Roman" w:hAnsi="Times New Roman" w:cs="Times New Roman"/>
          <w:color w:val="000000"/>
          <w:spacing w:val="0"/>
          <w:w w:val="100"/>
          <w:position w:val="0"/>
        </w:rPr>
        <w:t>(1</w:t>
      </w:r>
      <w:r>
        <w:rPr>
          <w:color w:val="000000"/>
          <w:spacing w:val="0"/>
          <w:w w:val="100"/>
          <w:position w:val="0"/>
        </w:rPr>
        <w:t>)按款项性质列示长期应付款</w:t>
      </w:r>
      <w:bookmarkEnd w:id="1298"/>
      <w:bookmarkEnd w:id="1299"/>
      <w:bookmarkEnd w:id="130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财政厅专项借款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320,000.00</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both"/>
      </w:pPr>
      <w:bookmarkStart w:id="1301" w:name="bookmark1301"/>
      <w:bookmarkStart w:id="1302" w:name="bookmark1302"/>
      <w:bookmarkStart w:id="1303" w:name="bookmark1303"/>
      <w:bookmarkStart w:id="1304" w:name="bookmark1304"/>
      <w:r>
        <w:rPr>
          <w:rFonts w:ascii="Times New Roman" w:eastAsia="Times New Roman" w:hAnsi="Times New Roman" w:cs="Times New Roman"/>
          <w:color w:val="000000"/>
          <w:spacing w:val="0"/>
          <w:w w:val="100"/>
          <w:position w:val="0"/>
        </w:rPr>
        <w:t>2</w:t>
      </w:r>
      <w:bookmarkEnd w:id="1303"/>
      <w:r>
        <w:rPr>
          <w:rFonts w:ascii="Times New Roman" w:eastAsia="Times New Roman" w:hAnsi="Times New Roman" w:cs="Times New Roman"/>
          <w:color w:val="000000"/>
          <w:spacing w:val="0"/>
          <w:w w:val="100"/>
          <w:position w:val="0"/>
        </w:rPr>
        <w:t>4</w:t>
      </w:r>
      <w:r>
        <w:rPr>
          <w:color w:val="000000"/>
          <w:spacing w:val="0"/>
          <w:w w:val="100"/>
          <w:position w:val="0"/>
        </w:rPr>
        <w:t>、递延收益</w:t>
      </w:r>
      <w:bookmarkEnd w:id="1301"/>
      <w:bookmarkEnd w:id="1302"/>
      <w:bookmarkEnd w:id="130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598"/>
        <w:gridCol w:w="1598"/>
        <w:gridCol w:w="1594"/>
        <w:gridCol w:w="1594"/>
        <w:gridCol w:w="1594"/>
        <w:gridCol w:w="1608"/>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本期增加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本期减少</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形成原因</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政府补助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1,633,787.30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10,786,426.42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9,628,777.41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2,791,436.31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已收到尚未到达确</w:t>
            </w:r>
          </w:p>
        </w:tc>
      </w:tr>
    </w:tbl>
    <w:p>
      <w:pPr>
        <w:sectPr>
          <w:headerReference w:type="default" r:id="rId319"/>
          <w:footerReference w:type="default" r:id="rId320"/>
          <w:headerReference w:type="even" r:id="rId321"/>
          <w:footerReference w:type="even" r:id="rId322"/>
          <w:footnotePr>
            <w:pos w:val="pageBottom"/>
            <w:numFmt w:val="decimal"/>
            <w:numRestart w:val="continuous"/>
          </w:footnotePr>
          <w:pgSz w:w="11900" w:h="16840"/>
          <w:pgMar w:top="1330" w:right="1095" w:bottom="1445" w:left="1071" w:header="0" w:footer="3" w:gutter="0"/>
          <w:cols w:space="720"/>
          <w:noEndnote/>
          <w:rtlGutter w:val="0"/>
          <w:docGrid w:linePitch="360"/>
        </w:sectPr>
      </w:pPr>
    </w:p>
    <w:tbl>
      <w:tblPr>
        <w:tblOverlap w:val="never"/>
        <w:jc w:val="center"/>
        <w:tblLayout w:type="fixed"/>
      </w:tblPr>
      <w:tblGrid>
        <w:gridCol w:w="1598"/>
        <w:gridCol w:w="1598"/>
        <w:gridCol w:w="1594"/>
        <w:gridCol w:w="1594"/>
        <w:gridCol w:w="1594"/>
        <w:gridCol w:w="1608"/>
      </w:tblGrid>
      <w:tr>
        <w:trPr>
          <w:trHeight w:val="370"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认条件的政府补助</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1,633,787.30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10,786,426.42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9,628,777.41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2,791,436.31</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涉及政府补助的项目:</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022"/>
        <w:gridCol w:w="1243"/>
        <w:gridCol w:w="1013"/>
        <w:gridCol w:w="1013"/>
        <w:gridCol w:w="1008"/>
        <w:gridCol w:w="1008"/>
        <w:gridCol w:w="1008"/>
        <w:gridCol w:w="1253"/>
        <w:gridCol w:w="1018"/>
      </w:tblGrid>
      <w:tr>
        <w:trPr>
          <w:trHeight w:val="103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负债项目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98" w:lineRule="exact"/>
              <w:ind w:left="0" w:right="0" w:firstLine="0"/>
              <w:jc w:val="center"/>
              <w:rPr>
                <w:sz w:val="18"/>
                <w:szCs w:val="18"/>
              </w:rPr>
            </w:pPr>
            <w:r>
              <w:rPr>
                <w:color w:val="000000"/>
                <w:spacing w:val="0"/>
                <w:w w:val="100"/>
                <w:position w:val="0"/>
                <w:sz w:val="18"/>
                <w:szCs w:val="18"/>
              </w:rPr>
              <w:t>本期新增补 助金额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本期计入营 业外收入金</w:t>
            </w:r>
          </w:p>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本期计入其</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他收益金额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本期冲减成</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本费用金额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其他变动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与资产相关</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与收益相关</w:t>
            </w:r>
          </w:p>
        </w:tc>
      </w:tr>
      <w:tr>
        <w:trPr>
          <w:trHeight w:val="22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金义都市新 区中科院成 都信息技术 股份有限公 司金义联合 研究中心项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733,977.81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270,017.64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463,960.17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与资产相关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面向大数据 处理的内存 研究与应用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rPr>
                <w:sz w:val="18"/>
                <w:szCs w:val="18"/>
              </w:rPr>
            </w:pPr>
            <w:r>
              <w:rPr>
                <w:color w:val="000000"/>
                <w:spacing w:val="0"/>
                <w:w w:val="100"/>
                <w:position w:val="0"/>
                <w:sz w:val="18"/>
                <w:szCs w:val="18"/>
              </w:rPr>
              <w:t>虚实结合的 空管新技术 运行仿真验 证系统研究 与应用示范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360,000.00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四川省科技 厅自主可控 安全技术研 发及应用示 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355,200.00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355,200.00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四川省人工 智能产业技 术创新平台 建设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44,609.73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275,390.27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基于云平台 的围术期超 声医联体分 级协同示范 模式研究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智能化基础 教育资源开 放平台研究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237,858.40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162,141.60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6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《面向弱小 目标检测的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bl>
    <w:p>
      <w:pPr>
        <w:spacing w:lineRule="exact" w:line="1"/>
        <w:rPr>
          <w:sz w:val="2"/>
          <w:szCs w:val="2"/>
        </w:rPr>
      </w:pPr>
      <w:r>
        <w:br w:type="page"/>
      </w:r>
    </w:p>
    <w:tbl>
      <w:tblPr>
        <w:tblOverlap w:val="never"/>
        <w:jc w:val="center"/>
        <w:tblLayout w:type="fixed"/>
      </w:tblPr>
      <w:tblGrid>
        <w:gridCol w:w="1022"/>
        <w:gridCol w:w="1243"/>
        <w:gridCol w:w="1013"/>
        <w:gridCol w:w="1013"/>
        <w:gridCol w:w="1008"/>
        <w:gridCol w:w="1008"/>
        <w:gridCol w:w="1008"/>
        <w:gridCol w:w="1253"/>
        <w:gridCol w:w="1018"/>
      </w:tblGrid>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智能分析》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四川省''十 四五''及中 长期电子信 息领域科技 发展战略研 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56,629.89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93,370.11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高危作业智</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能分析管控</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723,935.67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76,064.33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left"/>
              <w:rPr>
                <w:sz w:val="18"/>
                <w:szCs w:val="18"/>
              </w:rPr>
            </w:pPr>
            <w:r>
              <w:rPr>
                <w:color w:val="000000"/>
                <w:spacing w:val="0"/>
                <w:w w:val="100"/>
                <w:position w:val="0"/>
                <w:sz w:val="18"/>
                <w:szCs w:val="18"/>
              </w:rPr>
              <w:t>四川省数字 经济产业技 术路线图研 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24,619.92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75,380.08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成都市数字 经济产业发 展研究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基于遥感大 数据的地质 灾害监测预 警和分析关 键技术研究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40,000.00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40,000.00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人工智能麻</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醉辅助系统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患者危重症</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风险分析预</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测模型研究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9,980.00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10,020.00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面向图形图 像的语义理 解共性关键 技术研究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592,618.92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7,381.08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脑网络组图 谱导航的手 机机器人及 其临床示范 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1,091,226.42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1,088,697.75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2,528.67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医学可视化 辅助诊疗决 策关键技术 研发与推广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55,306.91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55,306.91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省科技厅普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47,117.45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47,117.45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与收益相关</w:t>
            </w:r>
          </w:p>
        </w:tc>
      </w:tr>
    </w:tbl>
    <w:p>
      <w:pPr>
        <w:spacing w:lineRule="exact" w:line="1"/>
        <w:rPr>
          <w:sz w:val="2"/>
          <w:szCs w:val="2"/>
        </w:rPr>
      </w:pPr>
      <w:r>
        <w:br w:type="page"/>
      </w:r>
    </w:p>
    <w:tbl>
      <w:tblPr>
        <w:tblOverlap w:val="never"/>
        <w:jc w:val="center"/>
        <w:tblLayout w:type="fixed"/>
      </w:tblPr>
      <w:tblGrid>
        <w:gridCol w:w="1022"/>
        <w:gridCol w:w="1243"/>
        <w:gridCol w:w="1013"/>
        <w:gridCol w:w="1013"/>
        <w:gridCol w:w="1008"/>
        <w:gridCol w:w="1008"/>
        <w:gridCol w:w="1008"/>
        <w:gridCol w:w="1253"/>
        <w:gridCol w:w="1018"/>
      </w:tblGrid>
      <w:tr>
        <w:trPr>
          <w:trHeight w:val="161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及型经食管 超声心动监 护仪研发与 推广（纵伍 岳庆）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高寒高海拔 地区太阳能 代供暖系统 监控（科学 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423.37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25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312" w:lineRule="exact"/>
              <w:ind w:left="0" w:right="0" w:firstLine="0"/>
              <w:jc w:val="both"/>
              <w:rPr>
                <w:sz w:val="18"/>
                <w:szCs w:val="18"/>
              </w:rPr>
            </w:pPr>
            <w:r>
              <w:rPr>
                <w:color w:val="000000"/>
                <w:spacing w:val="0"/>
                <w:w w:val="100"/>
                <w:position w:val="0"/>
                <w:sz w:val="18"/>
                <w:szCs w:val="18"/>
              </w:rPr>
              <w:t>基于病例大 数据的智能 诊疗决策关 键技术研究 与应用（省 科</w:t>
            </w:r>
          </w:p>
          <w:p>
            <w:pPr>
              <w:pStyle w:val="Style2"/>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RGYZ20170</w:t>
            </w:r>
          </w:p>
          <w:p>
            <w:pPr>
              <w:pStyle w:val="Style2"/>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07</w:t>
            </w:r>
            <w:r>
              <w:rPr>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6,961.76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6,961.76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工业互联网 基础软件平 台关键技术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普及型多模 式超声监护 系统关键技 术研究与应 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1,070,000.00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成都市创新 产品研发项 目</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双核心 双通道电子 表决系统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临床云超声 数字诊疗关 键技术研发 与应用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both"/>
              <w:rPr>
                <w:sz w:val="18"/>
                <w:szCs w:val="18"/>
              </w:rPr>
            </w:pPr>
            <w:r>
              <w:rPr>
                <w:color w:val="000000"/>
                <w:spacing w:val="0"/>
                <w:w w:val="100"/>
                <w:position w:val="0"/>
                <w:sz w:val="18"/>
                <w:szCs w:val="18"/>
              </w:rPr>
              <w:t>面向开放共 享的云深度 学习专用平 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r>
        <w:trPr>
          <w:trHeight w:val="99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成都中科重 大网络安全 事件媒体观</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700,000.00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与收益相关</w:t>
            </w:r>
          </w:p>
        </w:tc>
      </w:tr>
    </w:tbl>
    <w:p>
      <w:pPr>
        <w:sectPr>
          <w:headerReference w:type="default" r:id="rId323"/>
          <w:footerReference w:type="default" r:id="rId324"/>
          <w:headerReference w:type="even" r:id="rId325"/>
          <w:footerReference w:type="even" r:id="rId326"/>
          <w:footnotePr>
            <w:pos w:val="pageBottom"/>
            <w:numFmt w:val="decimal"/>
            <w:numRestart w:val="continuous"/>
          </w:footnotePr>
          <w:pgSz w:w="11900" w:h="16840"/>
          <w:pgMar w:top="1330" w:right="1095" w:bottom="1445" w:left="1071" w:header="0" w:footer="3" w:gutter="0"/>
          <w:cols w:space="720"/>
          <w:noEndnote/>
          <w:rtlGutter w:val="0"/>
          <w:docGrid w:linePitch="360"/>
        </w:sectPr>
      </w:pPr>
    </w:p>
    <w:tbl>
      <w:tblPr>
        <w:tblOverlap w:val="never"/>
        <w:jc w:val="center"/>
        <w:tblLayout w:type="fixed"/>
      </w:tblPr>
      <w:tblGrid>
        <w:gridCol w:w="1022"/>
        <w:gridCol w:w="1243"/>
        <w:gridCol w:w="1013"/>
        <w:gridCol w:w="1013"/>
        <w:gridCol w:w="1008"/>
        <w:gridCol w:w="1008"/>
        <w:gridCol w:w="1008"/>
        <w:gridCol w:w="1253"/>
        <w:gridCol w:w="1018"/>
      </w:tblGrid>
      <w:tr>
        <w:trPr>
          <w:trHeight w:val="13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8"/>
                <w:szCs w:val="18"/>
              </w:rPr>
              <w:t>点挖掘及演 化预测技术 研究（成都 中科）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05" w:name="bookmark1305"/>
      <w:bookmarkStart w:id="1306" w:name="bookmark1306"/>
      <w:bookmarkStart w:id="1307" w:name="bookmark1307"/>
      <w:bookmarkStart w:id="1308" w:name="bookmark1308"/>
      <w:r>
        <w:rPr>
          <w:rFonts w:ascii="Times New Roman" w:eastAsia="Times New Roman" w:hAnsi="Times New Roman" w:cs="Times New Roman"/>
          <w:color w:val="000000"/>
          <w:spacing w:val="0"/>
          <w:w w:val="100"/>
          <w:position w:val="0"/>
        </w:rPr>
        <w:t>2</w:t>
      </w:r>
      <w:bookmarkEnd w:id="1307"/>
      <w:r>
        <w:rPr>
          <w:rFonts w:ascii="Times New Roman" w:eastAsia="Times New Roman" w:hAnsi="Times New Roman" w:cs="Times New Roman"/>
          <w:color w:val="000000"/>
          <w:spacing w:val="0"/>
          <w:w w:val="100"/>
          <w:position w:val="0"/>
        </w:rPr>
        <w:t>5</w:t>
      </w:r>
      <w:r>
        <w:rPr>
          <w:color w:val="000000"/>
          <w:spacing w:val="0"/>
          <w:w w:val="100"/>
          <w:position w:val="0"/>
        </w:rPr>
        <w:t>、股本</w:t>
      </w:r>
      <w:bookmarkEnd w:id="1305"/>
      <w:bookmarkEnd w:id="1306"/>
      <w:bookmarkEnd w:id="130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200"/>
        <w:gridCol w:w="1200"/>
        <w:gridCol w:w="1195"/>
        <w:gridCol w:w="1195"/>
        <w:gridCol w:w="1200"/>
        <w:gridCol w:w="1195"/>
        <w:gridCol w:w="1195"/>
        <w:gridCol w:w="1205"/>
      </w:tblGrid>
      <w:tr>
        <w:trPr>
          <w:trHeight w:val="403" w:hRule="exact"/>
        </w:trPr>
        <w:tc>
          <w:tcPr>
            <w:vMerge w:val="restart"/>
            <w:tcBorders>
              <w:top w:val="single" w:sz="4"/>
              <w:left w:val="single" w:sz="4"/>
            </w:tcBorders>
            <w:shd w:val="clear" w:color="auto" w:fill="D4D4D4"/>
            <w:vAlign w:val="top"/>
          </w:tcPr>
          <w:p>
            <w:pPr>
              <w:widowControl w:val="0"/>
              <w:rPr>
                <w:sz w:val="10"/>
                <w:szCs w:val="10"/>
              </w:rPr>
            </w:pP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gridSpan w:val="5"/>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本次变动增减（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403" w:hRule="exact"/>
        </w:trPr>
        <w:tc>
          <w:tcPr>
            <w:vMerge/>
            <w:tcBorders>
              <w:left w:val="single" w:sz="4"/>
            </w:tcBorders>
            <w:shd w:val="clear" w:color="auto" w:fill="D4D4D4"/>
            <w:vAlign w:val="top"/>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发行新股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送股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公积金转股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小计</w:t>
            </w:r>
          </w:p>
        </w:tc>
        <w:tc>
          <w:tcPr>
            <w:vMerge/>
            <w:tcBorders>
              <w:left w:val="single" w:sz="4"/>
              <w:right w:val="single" w:sz="4"/>
            </w:tcBorders>
            <w:shd w:val="clear" w:color="auto" w:fill="D4D4D4"/>
            <w:vAlign w:val="center"/>
          </w:tcPr>
          <w:p>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180,000,000.00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180,000,000.00</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09" w:name="bookmark1309"/>
      <w:bookmarkStart w:id="1310" w:name="bookmark1310"/>
      <w:bookmarkStart w:id="1311" w:name="bookmark1311"/>
      <w:bookmarkStart w:id="1312" w:name="bookmark1312"/>
      <w:r>
        <w:rPr>
          <w:rFonts w:ascii="Times New Roman" w:eastAsia="Times New Roman" w:hAnsi="Times New Roman" w:cs="Times New Roman"/>
          <w:color w:val="000000"/>
          <w:spacing w:val="0"/>
          <w:w w:val="100"/>
          <w:position w:val="0"/>
        </w:rPr>
        <w:t>2</w:t>
      </w:r>
      <w:bookmarkEnd w:id="1311"/>
      <w:r>
        <w:rPr>
          <w:rFonts w:ascii="Times New Roman" w:eastAsia="Times New Roman" w:hAnsi="Times New Roman" w:cs="Times New Roman"/>
          <w:color w:val="000000"/>
          <w:spacing w:val="0"/>
          <w:w w:val="100"/>
          <w:position w:val="0"/>
        </w:rPr>
        <w:t>6</w:t>
      </w:r>
      <w:r>
        <w:rPr>
          <w:color w:val="000000"/>
          <w:spacing w:val="0"/>
          <w:w w:val="100"/>
          <w:position w:val="0"/>
        </w:rPr>
        <w:t>、资本公积</w:t>
      </w:r>
      <w:bookmarkEnd w:id="1309"/>
      <w:bookmarkEnd w:id="1310"/>
      <w:bookmarkEnd w:id="131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资本溢价（股本溢价）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174,365,544.44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174,365,544.44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4,002,201.38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4,002,201.38</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178,367,745.82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178,367,745.82</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其他说明，包括本期增减变动情况、变动原因说明:</w:t>
      </w:r>
    </w:p>
    <w:p>
      <w:pPr>
        <w:pStyle w:val="Style44"/>
        <w:keepNext/>
        <w:keepLines/>
        <w:widowControl w:val="0"/>
        <w:shd w:val="clear" w:color="auto" w:fill="auto"/>
        <w:bidi w:val="0"/>
        <w:spacing w:before="0" w:after="360" w:line="240" w:lineRule="auto"/>
        <w:ind w:left="0" w:right="0" w:firstLine="0"/>
        <w:jc w:val="left"/>
      </w:pPr>
      <w:bookmarkStart w:id="1313" w:name="bookmark1313"/>
      <w:bookmarkStart w:id="1314" w:name="bookmark1314"/>
      <w:bookmarkStart w:id="1315" w:name="bookmark1315"/>
      <w:bookmarkStart w:id="1316" w:name="bookmark1316"/>
      <w:r>
        <w:rPr>
          <w:rFonts w:ascii="Times New Roman" w:eastAsia="Times New Roman" w:hAnsi="Times New Roman" w:cs="Times New Roman"/>
          <w:color w:val="000000"/>
          <w:spacing w:val="0"/>
          <w:w w:val="100"/>
          <w:position w:val="0"/>
        </w:rPr>
        <w:t>2</w:t>
      </w:r>
      <w:bookmarkEnd w:id="1315"/>
      <w:r>
        <w:rPr>
          <w:rFonts w:ascii="Times New Roman" w:eastAsia="Times New Roman" w:hAnsi="Times New Roman" w:cs="Times New Roman"/>
          <w:color w:val="000000"/>
          <w:spacing w:val="0"/>
          <w:w w:val="100"/>
          <w:position w:val="0"/>
        </w:rPr>
        <w:t>7</w:t>
      </w:r>
      <w:r>
        <w:rPr>
          <w:color w:val="000000"/>
          <w:spacing w:val="0"/>
          <w:w w:val="100"/>
          <w:position w:val="0"/>
        </w:rPr>
        <w:t>、其他综合收益</w:t>
      </w:r>
      <w:bookmarkEnd w:id="1313"/>
      <w:bookmarkEnd w:id="1314"/>
      <w:bookmarkEnd w:id="1316"/>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563"/>
        <w:gridCol w:w="974"/>
        <w:gridCol w:w="854"/>
        <w:gridCol w:w="1051"/>
        <w:gridCol w:w="850"/>
        <w:gridCol w:w="850"/>
        <w:gridCol w:w="854"/>
        <w:gridCol w:w="850"/>
        <w:gridCol w:w="739"/>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期初余额</w:t>
            </w:r>
          </w:p>
        </w:tc>
        <w:tc>
          <w:tcPr>
            <w:gridSpan w:val="6"/>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center"/>
              <w:rPr>
                <w:sz w:val="18"/>
                <w:szCs w:val="18"/>
              </w:rPr>
            </w:pPr>
            <w:r>
              <w:rPr>
                <w:color w:val="000000"/>
                <w:spacing w:val="0"/>
                <w:w w:val="100"/>
                <w:position w:val="0"/>
                <w:sz w:val="18"/>
                <w:szCs w:val="18"/>
              </w:rPr>
              <w:t>期末余 额</w:t>
            </w:r>
          </w:p>
        </w:tc>
      </w:tr>
      <w:tr>
        <w:trPr>
          <w:trHeight w:val="1646"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本期所得</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税前发生</w:t>
            </w:r>
          </w:p>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5" w:lineRule="exact"/>
              <w:ind w:left="0" w:right="0" w:firstLine="0"/>
              <w:jc w:val="center"/>
              <w:rPr>
                <w:sz w:val="18"/>
                <w:szCs w:val="18"/>
              </w:rPr>
            </w:pPr>
            <w:r>
              <w:rPr>
                <w:color w:val="000000"/>
                <w:spacing w:val="0"/>
                <w:w w:val="100"/>
                <w:position w:val="0"/>
                <w:sz w:val="18"/>
                <w:szCs w:val="18"/>
              </w:rPr>
              <w:t>减:前期计入 其他综合收 益当期转入 损益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减：前期 计入其他 综合收益 当期转入 留存收益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减：所得 税费用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6" w:lineRule="exact"/>
              <w:ind w:left="0" w:right="0" w:firstLine="0"/>
              <w:jc w:val="left"/>
              <w:rPr>
                <w:sz w:val="18"/>
                <w:szCs w:val="18"/>
              </w:rPr>
            </w:pPr>
            <w:r>
              <w:rPr>
                <w:color w:val="000000"/>
                <w:spacing w:val="0"/>
                <w:w w:val="100"/>
                <w:position w:val="0"/>
                <w:sz w:val="18"/>
                <w:szCs w:val="18"/>
              </w:rPr>
              <w:t>税后归属 于母公司</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税后归属 于少数股 东</w:t>
            </w:r>
          </w:p>
        </w:tc>
        <w:tc>
          <w:tcPr>
            <w:vMerge/>
            <w:tcBorders>
              <w:left w:val="single" w:sz="4"/>
              <w:right w:val="single" w:sz="4"/>
            </w:tcBorders>
            <w:shd w:val="clear" w:color="auto" w:fill="D4D4D4"/>
            <w:vAlign w:val="center"/>
          </w:tcPr>
          <w:p>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一、不能重分类进损益的其他综 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560"/>
              <w:jc w:val="left"/>
              <w:rPr>
                <w:sz w:val="18"/>
                <w:szCs w:val="18"/>
              </w:rPr>
            </w:pPr>
            <w:r>
              <w:rPr>
                <w:color w:val="000000"/>
                <w:spacing w:val="0"/>
                <w:w w:val="100"/>
                <w:position w:val="0"/>
                <w:sz w:val="18"/>
                <w:szCs w:val="18"/>
              </w:rPr>
              <w:t>其他权益工具投资公允 价值变动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00</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其他综合收益合计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w:t>
            </w:r>
          </w:p>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00</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其他说明，包括对现金流量套期损益的有效部分转为被套期项目初始确认金额调整:</w:t>
      </w:r>
      <w:r>
        <w:br w:type="page"/>
      </w:r>
    </w:p>
    <w:p>
      <w:pPr>
        <w:pStyle w:val="Style44"/>
        <w:keepNext/>
        <w:keepLines/>
        <w:widowControl w:val="0"/>
        <w:shd w:val="clear" w:color="auto" w:fill="auto"/>
        <w:bidi w:val="0"/>
        <w:spacing w:before="0" w:after="360" w:line="240" w:lineRule="auto"/>
        <w:ind w:left="0" w:right="0" w:firstLine="0"/>
        <w:jc w:val="left"/>
      </w:pPr>
      <w:bookmarkStart w:id="1317" w:name="bookmark1317"/>
      <w:bookmarkStart w:id="1318" w:name="bookmark1318"/>
      <w:bookmarkStart w:id="1319" w:name="bookmark1319"/>
      <w:bookmarkStart w:id="1320" w:name="bookmark1320"/>
      <w:r>
        <w:rPr>
          <w:rFonts w:ascii="Times New Roman" w:eastAsia="Times New Roman" w:hAnsi="Times New Roman" w:cs="Times New Roman"/>
          <w:color w:val="000000"/>
          <w:spacing w:val="0"/>
          <w:w w:val="100"/>
          <w:position w:val="0"/>
        </w:rPr>
        <w:t>2</w:t>
      </w:r>
      <w:bookmarkEnd w:id="1319"/>
      <w:r>
        <w:rPr>
          <w:rFonts w:ascii="Times New Roman" w:eastAsia="Times New Roman" w:hAnsi="Times New Roman" w:cs="Times New Roman"/>
          <w:color w:val="000000"/>
          <w:spacing w:val="0"/>
          <w:w w:val="100"/>
          <w:position w:val="0"/>
        </w:rPr>
        <w:t>8</w:t>
      </w:r>
      <w:r>
        <w:rPr>
          <w:color w:val="000000"/>
          <w:spacing w:val="0"/>
          <w:w w:val="100"/>
          <w:position w:val="0"/>
        </w:rPr>
        <w:t>、盈余公积</w:t>
      </w:r>
      <w:bookmarkEnd w:id="1317"/>
      <w:bookmarkEnd w:id="1318"/>
      <w:bookmarkEnd w:id="1320"/>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本期增加</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本期减少</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26,649,055.06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2,214,433.74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 xml:space="preserve">28, 863, </w:t>
            </w:r>
            <w:r>
              <w:rPr>
                <w:color w:val="000000"/>
                <w:spacing w:val="0"/>
                <w:w w:val="100"/>
                <w:position w:val="0"/>
                <w:sz w:val="18"/>
                <w:szCs w:val="18"/>
              </w:rPr>
              <w:t xml:space="preserve">488. </w:t>
            </w:r>
            <w:r>
              <w:rPr>
                <w:color w:val="000000"/>
                <w:spacing w:val="0"/>
                <w:w w:val="100"/>
                <w:position w:val="0"/>
                <w:sz w:val="18"/>
                <w:szCs w:val="18"/>
              </w:rPr>
              <w:t>80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任意盈余公积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7,522,585.93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7,522,585.93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34,171,640.99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2,214,433.74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 xml:space="preserve">36, 386, </w:t>
            </w:r>
            <w:r>
              <w:rPr>
                <w:color w:val="000000"/>
                <w:spacing w:val="0"/>
                <w:w w:val="100"/>
                <w:position w:val="0"/>
                <w:sz w:val="18"/>
                <w:szCs w:val="18"/>
              </w:rPr>
              <w:t xml:space="preserve">074. </w:t>
            </w:r>
            <w:r>
              <w:rPr>
                <w:color w:val="000000"/>
                <w:spacing w:val="0"/>
                <w:w w:val="100"/>
                <w:position w:val="0"/>
                <w:sz w:val="18"/>
                <w:szCs w:val="18"/>
              </w:rPr>
              <w:t>73</w:t>
            </w:r>
          </w:p>
        </w:tc>
      </w:tr>
    </w:tbl>
    <w:p>
      <w:pPr>
        <w:widowControl w:val="0"/>
        <w:spacing w:after="9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盈余公积说明，包括本期增减变动情况、变动原因说明:</w:t>
      </w:r>
    </w:p>
    <w:p>
      <w:pPr>
        <w:pStyle w:val="Style44"/>
        <w:keepNext/>
        <w:keepLines/>
        <w:widowControl w:val="0"/>
        <w:shd w:val="clear" w:color="auto" w:fill="auto"/>
        <w:bidi w:val="0"/>
        <w:spacing w:before="0" w:after="360" w:line="240" w:lineRule="auto"/>
        <w:ind w:left="0" w:right="0" w:firstLine="0"/>
        <w:jc w:val="left"/>
      </w:pPr>
      <w:bookmarkStart w:id="1321" w:name="bookmark1321"/>
      <w:bookmarkStart w:id="1322" w:name="bookmark1322"/>
      <w:bookmarkStart w:id="1323" w:name="bookmark1323"/>
      <w:bookmarkStart w:id="1324" w:name="bookmark1324"/>
      <w:r>
        <w:rPr>
          <w:rFonts w:ascii="Times New Roman" w:eastAsia="Times New Roman" w:hAnsi="Times New Roman" w:cs="Times New Roman"/>
          <w:color w:val="000000"/>
          <w:spacing w:val="0"/>
          <w:w w:val="100"/>
          <w:position w:val="0"/>
        </w:rPr>
        <w:t>2</w:t>
      </w:r>
      <w:bookmarkEnd w:id="1323"/>
      <w:r>
        <w:rPr>
          <w:rFonts w:ascii="Times New Roman" w:eastAsia="Times New Roman" w:hAnsi="Times New Roman" w:cs="Times New Roman"/>
          <w:color w:val="000000"/>
          <w:spacing w:val="0"/>
          <w:w w:val="100"/>
          <w:position w:val="0"/>
        </w:rPr>
        <w:t>9</w:t>
      </w:r>
      <w:r>
        <w:rPr>
          <w:color w:val="000000"/>
          <w:spacing w:val="0"/>
          <w:w w:val="100"/>
          <w:position w:val="0"/>
        </w:rPr>
        <w:t>、未分配利润</w:t>
      </w:r>
      <w:bookmarkEnd w:id="1321"/>
      <w:bookmarkEnd w:id="1322"/>
      <w:bookmarkEnd w:id="132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730"/>
        <w:gridCol w:w="2923"/>
        <w:gridCol w:w="2933"/>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调整前上期末未分配利润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rFonts w:ascii="Times New Roman" w:eastAsia="Times New Roman" w:hAnsi="Times New Roman" w:cs="Times New Roman"/>
                <w:color w:val="000000"/>
                <w:spacing w:val="0"/>
                <w:w w:val="100"/>
                <w:position w:val="0"/>
                <w:sz w:val="18"/>
                <w:szCs w:val="18"/>
              </w:rPr>
              <w:t>200,480,748.76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both"/>
              <w:rPr>
                <w:sz w:val="18"/>
                <w:szCs w:val="18"/>
              </w:rPr>
            </w:pPr>
            <w:r>
              <w:rPr>
                <w:rFonts w:ascii="Times New Roman" w:eastAsia="Times New Roman" w:hAnsi="Times New Roman" w:cs="Times New Roman"/>
                <w:color w:val="000000"/>
                <w:spacing w:val="0"/>
                <w:w w:val="100"/>
                <w:position w:val="0"/>
                <w:sz w:val="18"/>
                <w:szCs w:val="18"/>
              </w:rPr>
              <w:t>176,649,316.20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调整期初未分配利润合计数（调增</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,调减</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调整后期初未分配利润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rFonts w:ascii="Times New Roman" w:eastAsia="Times New Roman" w:hAnsi="Times New Roman" w:cs="Times New Roman"/>
                <w:color w:val="000000"/>
                <w:spacing w:val="0"/>
                <w:w w:val="100"/>
                <w:position w:val="0"/>
                <w:sz w:val="18"/>
                <w:szCs w:val="18"/>
              </w:rPr>
              <w:t>200,480,748.76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both"/>
              <w:rPr>
                <w:sz w:val="18"/>
                <w:szCs w:val="18"/>
              </w:rPr>
            </w:pPr>
            <w:r>
              <w:rPr>
                <w:rFonts w:ascii="Times New Roman" w:eastAsia="Times New Roman" w:hAnsi="Times New Roman" w:cs="Times New Roman"/>
                <w:color w:val="000000"/>
                <w:spacing w:val="0"/>
                <w:w w:val="100"/>
                <w:position w:val="0"/>
                <w:sz w:val="18"/>
                <w:szCs w:val="18"/>
              </w:rPr>
              <w:t>176,734,316.20</w:t>
            </w:r>
          </w:p>
        </w:tc>
      </w:tr>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加：本期归属于母公司所有者的净利润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32,560,017.49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35,288,967.18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减：提取法定盈余公积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2,214,433.74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2,542,534.62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应付普通股股利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9,000,000.00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9,000,000.00</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期末未分配利润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rFonts w:ascii="Times New Roman" w:eastAsia="Times New Roman" w:hAnsi="Times New Roman" w:cs="Times New Roman"/>
                <w:color w:val="000000"/>
                <w:spacing w:val="0"/>
                <w:w w:val="100"/>
                <w:position w:val="0"/>
                <w:sz w:val="18"/>
                <w:szCs w:val="18"/>
              </w:rPr>
              <w:t>221,826,332.51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both"/>
              <w:rPr>
                <w:sz w:val="18"/>
                <w:szCs w:val="18"/>
              </w:rPr>
            </w:pPr>
            <w:r>
              <w:rPr>
                <w:rFonts w:ascii="Times New Roman" w:eastAsia="Times New Roman" w:hAnsi="Times New Roman" w:cs="Times New Roman"/>
                <w:color w:val="000000"/>
                <w:spacing w:val="0"/>
                <w:w w:val="100"/>
                <w:position w:val="0"/>
                <w:sz w:val="18"/>
                <w:szCs w:val="18"/>
              </w:rPr>
              <w:t>200,480,748.76</w:t>
            </w:r>
          </w:p>
        </w:tc>
      </w:tr>
    </w:tbl>
    <w:p>
      <w:pPr>
        <w:widowControl w:val="0"/>
        <w:spacing w:after="99" w:line="1" w:lineRule="exact"/>
      </w:pPr>
    </w:p>
    <w:p>
      <w:pPr>
        <w:pStyle w:val="Style35"/>
        <w:keepNext w:val="0"/>
        <w:keepLines w:val="0"/>
        <w:widowControl w:val="0"/>
        <w:shd w:val="clear" w:color="auto" w:fill="auto"/>
        <w:bidi w:val="0"/>
        <w:spacing w:before="0" w:after="240" w:line="240" w:lineRule="auto"/>
        <w:ind w:left="0" w:right="0" w:firstLine="0"/>
        <w:jc w:val="left"/>
      </w:pPr>
      <w:r>
        <w:rPr>
          <w:color w:val="000000"/>
          <w:spacing w:val="0"/>
          <w:w w:val="100"/>
          <w:position w:val="0"/>
        </w:rPr>
        <w:t>调整期初未分配利润明细：</w:t>
      </w:r>
    </w:p>
    <w:p>
      <w:pPr>
        <w:pStyle w:val="Style35"/>
        <w:keepNext w:val="0"/>
        <w:keepLines w:val="0"/>
        <w:widowControl w:val="0"/>
        <w:shd w:val="clear" w:color="auto" w:fill="auto"/>
        <w:tabs>
          <w:tab w:pos="330" w:val="left"/>
        </w:tabs>
        <w:bidi w:val="0"/>
        <w:spacing w:before="0" w:after="240" w:line="240" w:lineRule="auto"/>
        <w:ind w:left="0" w:right="0" w:firstLine="0"/>
        <w:jc w:val="left"/>
      </w:pPr>
      <w:bookmarkStart w:id="1325" w:name="bookmark1325"/>
      <w:r>
        <w:rPr>
          <w:rFonts w:ascii="Times New Roman" w:eastAsia="Times New Roman" w:hAnsi="Times New Roman" w:cs="Times New Roman"/>
          <w:color w:val="000000"/>
          <w:spacing w:val="0"/>
          <w:w w:val="100"/>
          <w:position w:val="0"/>
        </w:rPr>
        <w:t>1</w:t>
      </w:r>
      <w:bookmarkEnd w:id="1325"/>
      <w:r>
        <w:rPr>
          <w:rFonts w:ascii="Times New Roman" w:eastAsia="Times New Roman" w:hAnsi="Times New Roman" w:cs="Times New Roman"/>
          <w:color w:val="000000"/>
          <w:spacing w:val="0"/>
          <w:w w:val="100"/>
          <w:position w:val="0"/>
        </w:rPr>
        <w:t>）</w:t>
        <w:tab/>
      </w:r>
      <w:r>
        <w:rPr>
          <w:color w:val="000000"/>
          <w:spacing w:val="0"/>
          <w:w w:val="100"/>
          <w:position w:val="0"/>
        </w:rPr>
        <w:t>、由于《企业会计准则》及其相关新规定进行追溯调整，影响期初未分配利润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5"/>
        <w:keepNext w:val="0"/>
        <w:keepLines w:val="0"/>
        <w:widowControl w:val="0"/>
        <w:shd w:val="clear" w:color="auto" w:fill="auto"/>
        <w:tabs>
          <w:tab w:pos="349" w:val="left"/>
        </w:tabs>
        <w:bidi w:val="0"/>
        <w:spacing w:before="0" w:after="240" w:line="240" w:lineRule="auto"/>
        <w:ind w:left="0" w:right="0" w:firstLine="0"/>
        <w:jc w:val="left"/>
      </w:pPr>
      <w:bookmarkStart w:id="1326" w:name="bookmark1326"/>
      <w:r>
        <w:rPr>
          <w:rFonts w:ascii="Times New Roman" w:eastAsia="Times New Roman" w:hAnsi="Times New Roman" w:cs="Times New Roman"/>
          <w:color w:val="000000"/>
          <w:spacing w:val="0"/>
          <w:w w:val="100"/>
          <w:position w:val="0"/>
        </w:rPr>
        <w:t>2</w:t>
      </w:r>
      <w:bookmarkEnd w:id="1326"/>
      <w:r>
        <w:rPr>
          <w:rFonts w:ascii="Times New Roman" w:eastAsia="Times New Roman" w:hAnsi="Times New Roman" w:cs="Times New Roman"/>
          <w:color w:val="000000"/>
          <w:spacing w:val="0"/>
          <w:w w:val="100"/>
          <w:position w:val="0"/>
        </w:rPr>
        <w:t>）</w:t>
        <w:tab/>
      </w:r>
      <w:r>
        <w:rPr>
          <w:color w:val="000000"/>
          <w:spacing w:val="0"/>
          <w:w w:val="100"/>
          <w:position w:val="0"/>
        </w:rPr>
        <w:t>、由于会计政策变更，影响期初未分配利润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5"/>
        <w:keepNext w:val="0"/>
        <w:keepLines w:val="0"/>
        <w:widowControl w:val="0"/>
        <w:shd w:val="clear" w:color="auto" w:fill="auto"/>
        <w:tabs>
          <w:tab w:pos="349" w:val="left"/>
        </w:tabs>
        <w:bidi w:val="0"/>
        <w:spacing w:before="0" w:after="240" w:line="240" w:lineRule="auto"/>
        <w:ind w:left="0" w:right="0" w:firstLine="0"/>
        <w:jc w:val="left"/>
      </w:pPr>
      <w:bookmarkStart w:id="1327" w:name="bookmark1327"/>
      <w:r>
        <w:rPr>
          <w:rFonts w:ascii="Times New Roman" w:eastAsia="Times New Roman" w:hAnsi="Times New Roman" w:cs="Times New Roman"/>
          <w:color w:val="000000"/>
          <w:spacing w:val="0"/>
          <w:w w:val="100"/>
          <w:position w:val="0"/>
        </w:rPr>
        <w:t>3</w:t>
      </w:r>
      <w:bookmarkEnd w:id="1327"/>
      <w:r>
        <w:rPr>
          <w:rFonts w:ascii="Times New Roman" w:eastAsia="Times New Roman" w:hAnsi="Times New Roman" w:cs="Times New Roman"/>
          <w:color w:val="000000"/>
          <w:spacing w:val="0"/>
          <w:w w:val="100"/>
          <w:position w:val="0"/>
        </w:rPr>
        <w:t>）</w:t>
        <w:tab/>
      </w:r>
      <w:r>
        <w:rPr>
          <w:color w:val="000000"/>
          <w:spacing w:val="0"/>
          <w:w w:val="100"/>
          <w:position w:val="0"/>
        </w:rPr>
        <w:t>、由于重大会计差错更正，影响期初未分配利润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5"/>
        <w:keepNext w:val="0"/>
        <w:keepLines w:val="0"/>
        <w:widowControl w:val="0"/>
        <w:shd w:val="clear" w:color="auto" w:fill="auto"/>
        <w:tabs>
          <w:tab w:pos="349" w:val="left"/>
        </w:tabs>
        <w:bidi w:val="0"/>
        <w:spacing w:before="0" w:after="240" w:line="240" w:lineRule="auto"/>
        <w:ind w:left="0" w:right="0" w:firstLine="0"/>
        <w:jc w:val="left"/>
      </w:pPr>
      <w:bookmarkStart w:id="1328" w:name="bookmark1328"/>
      <w:r>
        <w:rPr>
          <w:rFonts w:ascii="Times New Roman" w:eastAsia="Times New Roman" w:hAnsi="Times New Roman" w:cs="Times New Roman"/>
          <w:color w:val="000000"/>
          <w:spacing w:val="0"/>
          <w:w w:val="100"/>
          <w:position w:val="0"/>
        </w:rPr>
        <w:t>4</w:t>
      </w:r>
      <w:bookmarkEnd w:id="1328"/>
      <w:r>
        <w:rPr>
          <w:rFonts w:ascii="Times New Roman" w:eastAsia="Times New Roman" w:hAnsi="Times New Roman" w:cs="Times New Roman"/>
          <w:color w:val="000000"/>
          <w:spacing w:val="0"/>
          <w:w w:val="100"/>
          <w:position w:val="0"/>
        </w:rPr>
        <w:t>）</w:t>
        <w:tab/>
      </w:r>
      <w:r>
        <w:rPr>
          <w:color w:val="000000"/>
          <w:spacing w:val="0"/>
          <w:w w:val="100"/>
          <w:position w:val="0"/>
        </w:rPr>
        <w:t>、由于同一控制导致的合并范围变更，影响期初未分配利润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5"/>
        <w:keepNext w:val="0"/>
        <w:keepLines w:val="0"/>
        <w:widowControl w:val="0"/>
        <w:shd w:val="clear" w:color="auto" w:fill="auto"/>
        <w:tabs>
          <w:tab w:pos="349" w:val="left"/>
        </w:tabs>
        <w:bidi w:val="0"/>
        <w:spacing w:before="0" w:after="440" w:line="240" w:lineRule="auto"/>
        <w:ind w:left="0" w:right="0" w:firstLine="0"/>
        <w:jc w:val="left"/>
      </w:pPr>
      <w:bookmarkStart w:id="1329" w:name="bookmark1329"/>
      <w:r>
        <w:rPr>
          <w:rFonts w:ascii="Times New Roman" w:eastAsia="Times New Roman" w:hAnsi="Times New Roman" w:cs="Times New Roman"/>
          <w:color w:val="000000"/>
          <w:spacing w:val="0"/>
          <w:w w:val="100"/>
          <w:position w:val="0"/>
        </w:rPr>
        <w:t>5</w:t>
      </w:r>
      <w:bookmarkEnd w:id="1329"/>
      <w:r>
        <w:rPr>
          <w:rFonts w:ascii="Times New Roman" w:eastAsia="Times New Roman" w:hAnsi="Times New Roman" w:cs="Times New Roman"/>
          <w:color w:val="000000"/>
          <w:spacing w:val="0"/>
          <w:w w:val="100"/>
          <w:position w:val="0"/>
        </w:rPr>
        <w:t>）</w:t>
        <w:tab/>
      </w:r>
      <w:r>
        <w:rPr>
          <w:color w:val="000000"/>
          <w:spacing w:val="0"/>
          <w:w w:val="100"/>
          <w:position w:val="0"/>
        </w:rPr>
        <w:t>、其他调整合计影响期初未分配利润</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44"/>
        <w:keepNext/>
        <w:keepLines/>
        <w:widowControl w:val="0"/>
        <w:shd w:val="clear" w:color="auto" w:fill="auto"/>
        <w:bidi w:val="0"/>
        <w:spacing w:before="0" w:after="360" w:line="240" w:lineRule="auto"/>
        <w:ind w:left="0" w:right="0" w:firstLine="0"/>
        <w:jc w:val="left"/>
      </w:pPr>
      <w:bookmarkStart w:id="1330" w:name="bookmark1330"/>
      <w:bookmarkStart w:id="1331" w:name="bookmark1331"/>
      <w:bookmarkStart w:id="1332" w:name="bookmark1332"/>
      <w:bookmarkStart w:id="1333" w:name="bookmark1333"/>
      <w:r>
        <w:rPr>
          <w:rFonts w:ascii="Times New Roman" w:eastAsia="Times New Roman" w:hAnsi="Times New Roman" w:cs="Times New Roman"/>
          <w:color w:val="000000"/>
          <w:spacing w:val="0"/>
          <w:w w:val="100"/>
          <w:position w:val="0"/>
        </w:rPr>
        <w:t>3</w:t>
      </w:r>
      <w:bookmarkEnd w:id="1332"/>
      <w:r>
        <w:rPr>
          <w:rFonts w:ascii="Times New Roman" w:eastAsia="Times New Roman" w:hAnsi="Times New Roman" w:cs="Times New Roman"/>
          <w:color w:val="000000"/>
          <w:spacing w:val="0"/>
          <w:w w:val="100"/>
          <w:position w:val="0"/>
        </w:rPr>
        <w:t>0</w:t>
      </w:r>
      <w:r>
        <w:rPr>
          <w:color w:val="000000"/>
          <w:spacing w:val="0"/>
          <w:w w:val="100"/>
          <w:position w:val="0"/>
        </w:rPr>
        <w:t>、营业收入和营业成本</w:t>
      </w:r>
      <w:bookmarkEnd w:id="1330"/>
      <w:bookmarkEnd w:id="1331"/>
      <w:bookmarkEnd w:id="133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项目</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成本</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收入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成本</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433,834,753.30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334,846,180.46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360,589,964.66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282,084,423.31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2,908,238.07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52,737.16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3,823,307.16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202,003.08</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334,898,917.62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364,413,271.82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282,286,426.39</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经审计扣除非经常损益前后净利润孰低是否为负值</w:t>
      </w:r>
      <w:r>
        <w:br w:type="page"/>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口</w:t>
      </w:r>
      <w:r>
        <w:rPr>
          <w:color w:val="000000"/>
          <w:spacing w:val="0"/>
          <w:w w:val="100"/>
          <w:position w:val="0"/>
        </w:rPr>
        <w:t>是</w:t>
      </w:r>
      <w:r>
        <w:rPr>
          <w:rFonts w:ascii="Times New Roman" w:eastAsia="Times New Roman" w:hAnsi="Times New Roman" w:cs="Times New Roman"/>
          <w:color w:val="000000"/>
          <w:spacing w:val="0"/>
          <w:w w:val="100"/>
          <w:position w:val="0"/>
        </w:rPr>
        <w:t>V</w:t>
      </w:r>
      <w:r>
        <w:rPr>
          <w:color w:val="000000"/>
          <w:spacing w:val="0"/>
          <w:w w:val="100"/>
          <w:position w:val="0"/>
        </w:rPr>
        <w:t>否</w:t>
      </w:r>
    </w:p>
    <w:p>
      <w:pPr>
        <w:pStyle w:val="Style35"/>
        <w:keepNext w:val="0"/>
        <w:keepLines w:val="0"/>
        <w:widowControl w:val="0"/>
        <w:shd w:val="clear" w:color="auto" w:fill="auto"/>
        <w:bidi w:val="0"/>
        <w:spacing w:before="0" w:line="240" w:lineRule="auto"/>
        <w:ind w:left="0" w:right="0" w:firstLine="0"/>
        <w:jc w:val="both"/>
      </w:pPr>
      <w:r>
        <w:rPr>
          <w:color w:val="000000"/>
          <w:spacing w:val="0"/>
          <w:w w:val="100"/>
          <w:position w:val="0"/>
        </w:rPr>
        <w:t>收入相关信息:</w:t>
      </w:r>
    </w:p>
    <w:p>
      <w:pPr>
        <w:pStyle w:val="Style35"/>
        <w:keepNext w:val="0"/>
        <w:keepLines w:val="0"/>
        <w:widowControl w:val="0"/>
        <w:shd w:val="clear" w:color="auto" w:fill="auto"/>
        <w:bidi w:val="0"/>
        <w:spacing w:before="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合同分类</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分部</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分部</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营业收入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合计</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商品类型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信息化解决方案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351,784,324.56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351,784,324.56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技术服务与开发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82,050,428.74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82,050,428.74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2,908,238.07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2,908,238.07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按经营地区分类</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东北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1,357,263.78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1,357,263.78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23,867,658.02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23,867,658.02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华东</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27,842,049.36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27,842,049.36</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5,072,351.96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5,072,351.96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华中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6,352,892.37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6,352,892.37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84,616,494.86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84,616,494.86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287,634,281.02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287,634,281.02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市场或客户类型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数字会议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63,756,475.10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63,756,475.10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烟草行业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60,166,104.46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60,166,104.46</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油气行业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93,196,981.04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93,196,981.04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政府及事业单位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158,435,373.90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158,435,373.90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其他行业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61,188,056.87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61,188,056.87</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436,742,991.37</w:t>
            </w:r>
          </w:p>
        </w:tc>
      </w:tr>
    </w:tbl>
    <w:p>
      <w:pPr>
        <w:widowControl w:val="0"/>
        <w:spacing w:after="119" w:line="1" w:lineRule="exact"/>
      </w:pPr>
    </w:p>
    <w:p>
      <w:pPr>
        <w:pStyle w:val="Style4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与履约义务相关的信息:</w:t>
      </w:r>
    </w:p>
    <w:p>
      <w:pPr>
        <w:pStyle w:val="Style4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本公司在合同开始日，识别合同中存在的各单项履约义务，并按照各单项履约义务所承诺商品或服务 的单独售价的相对比例，将交易价格分摊至各单项履约义务，在确定交易价格时考虑了可变对价、合同中 存在的重大融资成分、非现金对价、应付客户对价等因素的影响，分别按</w:t>
      </w:r>
      <w:r>
        <w:rPr>
          <w:rFonts w:ascii="Times New Roman" w:eastAsia="Times New Roman" w:hAnsi="Times New Roman" w:cs="Times New Roman"/>
          <w:color w:val="000000"/>
          <w:spacing w:val="0"/>
          <w:w w:val="100"/>
          <w:position w:val="0"/>
        </w:rPr>
        <w:t>“</w:t>
      </w:r>
      <w:r>
        <w:rPr>
          <w:color w:val="000000"/>
          <w:spacing w:val="0"/>
          <w:w w:val="100"/>
          <w:position w:val="0"/>
        </w:rPr>
        <w:t>在某一时段内履行的履约义务</w:t>
      </w:r>
      <w:r>
        <w:rPr>
          <w:color w:val="000000"/>
          <w:spacing w:val="0"/>
          <w:w w:val="100"/>
          <w:position w:val="0"/>
        </w:rPr>
        <w:t xml:space="preserve">'' </w:t>
      </w:r>
      <w:r>
        <w:rPr>
          <w:color w:val="000000"/>
          <w:spacing w:val="0"/>
          <w:w w:val="100"/>
          <w:position w:val="0"/>
        </w:rPr>
        <w:t>或</w:t>
      </w:r>
      <w:r>
        <w:rPr>
          <w:rFonts w:ascii="Times New Roman" w:eastAsia="Times New Roman" w:hAnsi="Times New Roman" w:cs="Times New Roman"/>
          <w:color w:val="000000"/>
          <w:spacing w:val="0"/>
          <w:w w:val="100"/>
          <w:position w:val="0"/>
        </w:rPr>
        <w:t>“</w:t>
      </w:r>
      <w:r>
        <w:rPr>
          <w:color w:val="000000"/>
          <w:spacing w:val="0"/>
          <w:w w:val="100"/>
          <w:position w:val="0"/>
        </w:rPr>
        <w:t>某一时点履行的履约义务</w:t>
      </w:r>
      <w:r>
        <w:rPr>
          <w:color w:val="000000"/>
          <w:spacing w:val="0"/>
          <w:w w:val="100"/>
          <w:position w:val="0"/>
        </w:rPr>
        <w:t>''，</w:t>
      </w:r>
      <w:r>
        <w:rPr>
          <w:color w:val="000000"/>
          <w:spacing w:val="0"/>
          <w:w w:val="100"/>
          <w:position w:val="0"/>
        </w:rPr>
        <w:t>根据分摊至各单项履约义务的交易价格计量收入。</w:t>
      </w:r>
    </w:p>
    <w:p>
      <w:pPr>
        <w:pStyle w:val="Style47"/>
        <w:keepNext w:val="0"/>
        <w:keepLines w:val="0"/>
        <w:widowControl w:val="0"/>
        <w:shd w:val="clear" w:color="auto" w:fill="auto"/>
        <w:bidi w:val="0"/>
        <w:spacing w:before="0" w:after="0" w:line="469" w:lineRule="exact"/>
        <w:ind w:left="0" w:right="0" w:firstLine="0"/>
        <w:jc w:val="both"/>
      </w:pPr>
      <w:r>
        <w:rPr>
          <w:color w:val="000000"/>
          <w:spacing w:val="0"/>
          <w:w w:val="100"/>
          <w:position w:val="0"/>
        </w:rPr>
        <w:t>与分摊至剩余履约义务的交易价格相关的信息：</w:t>
      </w:r>
    </w:p>
    <w:p>
      <w:pPr>
        <w:pStyle w:val="Style47"/>
        <w:keepNext w:val="0"/>
        <w:keepLines w:val="0"/>
        <w:widowControl w:val="0"/>
        <w:shd w:val="clear" w:color="auto" w:fill="auto"/>
        <w:bidi w:val="0"/>
        <w:spacing w:before="0" w:after="0" w:line="469" w:lineRule="exact"/>
        <w:ind w:left="0" w:right="0" w:firstLine="420"/>
        <w:jc w:val="left"/>
      </w:pPr>
      <w:r>
        <w:rPr>
          <w:color w:val="000000"/>
          <w:spacing w:val="0"/>
          <w:w w:val="100"/>
          <w:position w:val="0"/>
        </w:rPr>
        <w:t>本报告期末已签订合同、但尚未履行或尚未履行完毕的履约义务所对应的收入金额为</w:t>
      </w:r>
      <w:r>
        <w:rPr>
          <w:rFonts w:ascii="Times New Roman" w:eastAsia="Times New Roman" w:hAnsi="Times New Roman" w:cs="Times New Roman"/>
          <w:color w:val="000000"/>
          <w:spacing w:val="0"/>
          <w:w w:val="100"/>
          <w:position w:val="0"/>
        </w:rPr>
        <w:t>244,230,715.97</w:t>
        <w:br w:type="page"/>
      </w:r>
      <w:r>
        <w:rPr>
          <w:rStyle w:val="CharStyle3"/>
        </w:rPr>
        <w:t>元，其中，</w:t>
      </w:r>
      <w:r>
        <w:rPr>
          <w:rStyle w:val="CharStyle3"/>
          <w:rFonts w:ascii="Times New Roman" w:eastAsia="Times New Roman" w:hAnsi="Times New Roman" w:cs="Times New Roman"/>
        </w:rPr>
        <w:t>209,918,707.92</w:t>
      </w:r>
      <w:r>
        <w:rPr>
          <w:rStyle w:val="CharStyle3"/>
        </w:rPr>
        <w:t>元预计将于</w:t>
      </w:r>
      <w:r>
        <w:rPr>
          <w:rStyle w:val="CharStyle3"/>
          <w:rFonts w:ascii="Times New Roman" w:eastAsia="Times New Roman" w:hAnsi="Times New Roman" w:cs="Times New Roman"/>
        </w:rPr>
        <w:t>2021</w:t>
      </w:r>
      <w:r>
        <w:rPr>
          <w:rStyle w:val="CharStyle3"/>
        </w:rPr>
        <w:t>年度确认收入，</w:t>
      </w:r>
      <w:r>
        <w:rPr>
          <w:rStyle w:val="CharStyle3"/>
          <w:rFonts w:ascii="Times New Roman" w:eastAsia="Times New Roman" w:hAnsi="Times New Roman" w:cs="Times New Roman"/>
        </w:rPr>
        <w:t>33,415,781.64</w:t>
      </w:r>
      <w:r>
        <w:rPr>
          <w:rStyle w:val="CharStyle3"/>
        </w:rPr>
        <w:t>元预计将于</w:t>
      </w:r>
      <w:r>
        <w:rPr>
          <w:rStyle w:val="CharStyle3"/>
          <w:rFonts w:ascii="Times New Roman" w:eastAsia="Times New Roman" w:hAnsi="Times New Roman" w:cs="Times New Roman"/>
        </w:rPr>
        <w:t>2022</w:t>
      </w:r>
      <w:r>
        <w:rPr>
          <w:rStyle w:val="CharStyle3"/>
        </w:rPr>
        <w:t xml:space="preserve">年度确认收入, </w:t>
      </w:r>
      <w:r>
        <w:rPr>
          <w:rStyle w:val="CharStyle3"/>
          <w:rFonts w:ascii="Times New Roman" w:eastAsia="Times New Roman" w:hAnsi="Times New Roman" w:cs="Times New Roman"/>
        </w:rPr>
        <w:t>896,226.42</w:t>
      </w:r>
      <w:r>
        <w:rPr>
          <w:rStyle w:val="CharStyle3"/>
        </w:rPr>
        <w:t>元预计将于</w:t>
      </w:r>
      <w:r>
        <w:rPr>
          <w:rStyle w:val="CharStyle3"/>
          <w:rFonts w:ascii="Times New Roman" w:eastAsia="Times New Roman" w:hAnsi="Times New Roman" w:cs="Times New Roman"/>
        </w:rPr>
        <w:t>2023</w:t>
      </w:r>
      <w:r>
        <w:rPr>
          <w:rStyle w:val="CharStyle3"/>
        </w:rPr>
        <w:t>年度确认收入。</w:t>
      </w:r>
    </w:p>
    <w:p>
      <w:pPr>
        <w:pStyle w:val="Style47"/>
        <w:keepNext w:val="0"/>
        <w:keepLines w:val="0"/>
        <w:widowControl w:val="0"/>
        <w:shd w:val="clear" w:color="auto" w:fill="auto"/>
        <w:bidi w:val="0"/>
        <w:spacing w:before="0" w:after="220" w:line="466" w:lineRule="exact"/>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466" w:lineRule="exact"/>
        <w:ind w:left="0" w:right="0" w:firstLine="0"/>
        <w:jc w:val="left"/>
      </w:pPr>
      <w:bookmarkStart w:id="1334" w:name="bookmark1334"/>
      <w:bookmarkStart w:id="1335" w:name="bookmark1335"/>
      <w:bookmarkStart w:id="1336" w:name="bookmark1336"/>
      <w:bookmarkStart w:id="1337" w:name="bookmark1337"/>
      <w:r>
        <w:rPr>
          <w:rFonts w:ascii="Times New Roman" w:eastAsia="Times New Roman" w:hAnsi="Times New Roman" w:cs="Times New Roman"/>
          <w:color w:val="000000"/>
          <w:spacing w:val="0"/>
          <w:w w:val="100"/>
          <w:position w:val="0"/>
        </w:rPr>
        <w:t>3</w:t>
      </w:r>
      <w:bookmarkEnd w:id="1336"/>
      <w:r>
        <w:rPr>
          <w:rFonts w:ascii="Times New Roman" w:eastAsia="Times New Roman" w:hAnsi="Times New Roman" w:cs="Times New Roman"/>
          <w:color w:val="000000"/>
          <w:spacing w:val="0"/>
          <w:w w:val="100"/>
          <w:position w:val="0"/>
        </w:rPr>
        <w:t>1</w:t>
      </w:r>
      <w:r>
        <w:rPr>
          <w:color w:val="000000"/>
          <w:spacing w:val="0"/>
          <w:w w:val="100"/>
          <w:position w:val="0"/>
        </w:rPr>
        <w:t>、税金及附加</w:t>
      </w:r>
      <w:bookmarkEnd w:id="1334"/>
      <w:bookmarkEnd w:id="1335"/>
      <w:bookmarkEnd w:id="133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299,920.76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598,324.02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282,706.76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434,259.44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622,905.62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688,208.41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149,196.20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149,196.20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832,430.93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79,290.40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2,187,160.27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1,949,278.47</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38" w:name="bookmark1338"/>
      <w:bookmarkStart w:id="1339" w:name="bookmark1339"/>
      <w:bookmarkStart w:id="1340" w:name="bookmark1340"/>
      <w:bookmarkStart w:id="1341" w:name="bookmark1341"/>
      <w:r>
        <w:rPr>
          <w:rFonts w:ascii="Times New Roman" w:eastAsia="Times New Roman" w:hAnsi="Times New Roman" w:cs="Times New Roman"/>
          <w:color w:val="000000"/>
          <w:spacing w:val="0"/>
          <w:w w:val="100"/>
          <w:position w:val="0"/>
        </w:rPr>
        <w:t>3</w:t>
      </w:r>
      <w:bookmarkEnd w:id="1340"/>
      <w:r>
        <w:rPr>
          <w:rFonts w:ascii="Times New Roman" w:eastAsia="Times New Roman" w:hAnsi="Times New Roman" w:cs="Times New Roman"/>
          <w:color w:val="000000"/>
          <w:spacing w:val="0"/>
          <w:w w:val="100"/>
          <w:position w:val="0"/>
        </w:rPr>
        <w:t>2</w:t>
      </w:r>
      <w:r>
        <w:rPr>
          <w:color w:val="000000"/>
          <w:spacing w:val="0"/>
          <w:w w:val="100"/>
          <w:position w:val="0"/>
        </w:rPr>
        <w:t>、销售费用</w:t>
      </w:r>
      <w:bookmarkEnd w:id="1338"/>
      <w:bookmarkEnd w:id="1339"/>
      <w:bookmarkEnd w:id="134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11,007,772.97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14,507,965.05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项目间接费用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5,472,952.73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5,008,034.21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运输及车辆费用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2,457,139.91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2,313,139.56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1,124,061.53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2,283,479.73</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999,025.42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1,411,655.98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653,143.91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363,105.80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29,013.41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24,531.06</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21,743,109.88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25,911,911.39</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42" w:name="bookmark1342"/>
      <w:bookmarkStart w:id="1343" w:name="bookmark1343"/>
      <w:bookmarkStart w:id="1344" w:name="bookmark1344"/>
      <w:bookmarkStart w:id="1345" w:name="bookmark1345"/>
      <w:r>
        <w:rPr>
          <w:rFonts w:ascii="Times New Roman" w:eastAsia="Times New Roman" w:hAnsi="Times New Roman" w:cs="Times New Roman"/>
          <w:color w:val="000000"/>
          <w:spacing w:val="0"/>
          <w:w w:val="100"/>
          <w:position w:val="0"/>
        </w:rPr>
        <w:t>3</w:t>
      </w:r>
      <w:bookmarkEnd w:id="1344"/>
      <w:r>
        <w:rPr>
          <w:rFonts w:ascii="Times New Roman" w:eastAsia="Times New Roman" w:hAnsi="Times New Roman" w:cs="Times New Roman"/>
          <w:color w:val="000000"/>
          <w:spacing w:val="0"/>
          <w:w w:val="100"/>
          <w:position w:val="0"/>
        </w:rPr>
        <w:t>3</w:t>
      </w:r>
      <w:r>
        <w:rPr>
          <w:color w:val="000000"/>
          <w:spacing w:val="0"/>
          <w:w w:val="100"/>
          <w:position w:val="0"/>
        </w:rPr>
        <w:t>、管理费用</w:t>
      </w:r>
      <w:bookmarkEnd w:id="1342"/>
      <w:bookmarkEnd w:id="1343"/>
      <w:bookmarkEnd w:id="134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11,807,836.51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13,931,420.59</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折旧及摊销费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2,805,321.87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1,661,543.43</w:t>
            </w:r>
          </w:p>
        </w:tc>
      </w:tr>
    </w:tbl>
    <w:p>
      <w:pPr>
        <w:spacing w:lineRule="exact" w:line="1"/>
        <w:rPr>
          <w:sz w:val="2"/>
          <w:szCs w:val="2"/>
        </w:rPr>
      </w:pPr>
      <w:r>
        <w:br w:type="page"/>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中介及顾问咨询费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2,802,063.60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2,540,266.35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办公费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2,635,007.38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1,377,201.20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552,127.81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1,001,578.59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物料消耗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144,295.23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313,344.53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1,037,773.48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1,036,603.69</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21,784,425.88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21,861,958.38</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both"/>
      </w:pPr>
      <w:bookmarkStart w:id="1346" w:name="bookmark1346"/>
      <w:bookmarkStart w:id="1347" w:name="bookmark1347"/>
      <w:bookmarkStart w:id="1348" w:name="bookmark1348"/>
      <w:bookmarkStart w:id="1349" w:name="bookmark1349"/>
      <w:r>
        <w:rPr>
          <w:rFonts w:ascii="Times New Roman" w:eastAsia="Times New Roman" w:hAnsi="Times New Roman" w:cs="Times New Roman"/>
          <w:color w:val="000000"/>
          <w:spacing w:val="0"/>
          <w:w w:val="100"/>
          <w:position w:val="0"/>
        </w:rPr>
        <w:t>3</w:t>
      </w:r>
      <w:bookmarkEnd w:id="1348"/>
      <w:r>
        <w:rPr>
          <w:rFonts w:ascii="Times New Roman" w:eastAsia="Times New Roman" w:hAnsi="Times New Roman" w:cs="Times New Roman"/>
          <w:color w:val="000000"/>
          <w:spacing w:val="0"/>
          <w:w w:val="100"/>
          <w:position w:val="0"/>
        </w:rPr>
        <w:t>4</w:t>
      </w:r>
      <w:r>
        <w:rPr>
          <w:color w:val="000000"/>
          <w:spacing w:val="0"/>
          <w:w w:val="100"/>
          <w:position w:val="0"/>
        </w:rPr>
        <w:t>、研发费用</w:t>
      </w:r>
      <w:bookmarkEnd w:id="1346"/>
      <w:bookmarkEnd w:id="1347"/>
      <w:bookmarkEnd w:id="134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材料及设备费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10,096,062.06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6,180,641.35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人工费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8,237,215.19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3,676,576.16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设计及评审费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1,767,492.57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1,846,973.77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136,037.77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329,717.03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3,783,547.30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2,529,124.47</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24,020,354.89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14,563,032.78</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both"/>
      </w:pPr>
      <w:bookmarkStart w:id="1350" w:name="bookmark1350"/>
      <w:bookmarkStart w:id="1351" w:name="bookmark1351"/>
      <w:bookmarkStart w:id="1352" w:name="bookmark1352"/>
      <w:bookmarkStart w:id="1353" w:name="bookmark1353"/>
      <w:r>
        <w:rPr>
          <w:rFonts w:ascii="Times New Roman" w:eastAsia="Times New Roman" w:hAnsi="Times New Roman" w:cs="Times New Roman"/>
          <w:color w:val="000000"/>
          <w:spacing w:val="0"/>
          <w:w w:val="100"/>
          <w:position w:val="0"/>
        </w:rPr>
        <w:t>3</w:t>
      </w:r>
      <w:bookmarkEnd w:id="1352"/>
      <w:r>
        <w:rPr>
          <w:rFonts w:ascii="Times New Roman" w:eastAsia="Times New Roman" w:hAnsi="Times New Roman" w:cs="Times New Roman"/>
          <w:color w:val="000000"/>
          <w:spacing w:val="0"/>
          <w:w w:val="100"/>
          <w:position w:val="0"/>
        </w:rPr>
        <w:t>5</w:t>
      </w:r>
      <w:r>
        <w:rPr>
          <w:color w:val="000000"/>
          <w:spacing w:val="0"/>
          <w:w w:val="100"/>
          <w:position w:val="0"/>
        </w:rPr>
        <w:t>、财务费用</w:t>
      </w:r>
      <w:bookmarkEnd w:id="1350"/>
      <w:bookmarkEnd w:id="1351"/>
      <w:bookmarkEnd w:id="135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利息支出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1,496,773.93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390,606.16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2,727,113.49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3,077,249.08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汇兑净损失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78.03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加：其他支出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45,154.19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60,891.55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-1,185,185.37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-2,625,829.40</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both"/>
      </w:pPr>
      <w:bookmarkStart w:id="1354" w:name="bookmark1354"/>
      <w:bookmarkStart w:id="1355" w:name="bookmark1355"/>
      <w:bookmarkStart w:id="1356" w:name="bookmark1356"/>
      <w:bookmarkStart w:id="1357" w:name="bookmark1357"/>
      <w:r>
        <w:rPr>
          <w:rFonts w:ascii="Times New Roman" w:eastAsia="Times New Roman" w:hAnsi="Times New Roman" w:cs="Times New Roman"/>
          <w:color w:val="000000"/>
          <w:spacing w:val="0"/>
          <w:w w:val="100"/>
          <w:position w:val="0"/>
        </w:rPr>
        <w:t>3</w:t>
      </w:r>
      <w:bookmarkEnd w:id="1356"/>
      <w:r>
        <w:rPr>
          <w:rFonts w:ascii="Times New Roman" w:eastAsia="Times New Roman" w:hAnsi="Times New Roman" w:cs="Times New Roman"/>
          <w:color w:val="000000"/>
          <w:spacing w:val="0"/>
          <w:w w:val="100"/>
          <w:position w:val="0"/>
        </w:rPr>
        <w:t>6</w:t>
      </w:r>
      <w:r>
        <w:rPr>
          <w:color w:val="000000"/>
          <w:spacing w:val="0"/>
          <w:w w:val="100"/>
          <w:position w:val="0"/>
        </w:rPr>
        <w:t>、其他收益</w:t>
      </w:r>
      <w:bookmarkEnd w:id="1354"/>
      <w:bookmarkEnd w:id="1355"/>
      <w:bookmarkEnd w:id="135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产生其他收益的来源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工业互联网基础软件平台关键技术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脑网络组图谱导航的手机机器人及其临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both"/>
              <w:rPr>
                <w:sz w:val="18"/>
                <w:szCs w:val="18"/>
              </w:rPr>
            </w:pPr>
            <w:r>
              <w:rPr>
                <w:rFonts w:ascii="Times New Roman" w:eastAsia="Times New Roman" w:hAnsi="Times New Roman" w:cs="Times New Roman"/>
                <w:color w:val="000000"/>
                <w:spacing w:val="0"/>
                <w:w w:val="100"/>
                <w:position w:val="0"/>
                <w:sz w:val="18"/>
                <w:szCs w:val="18"/>
              </w:rPr>
              <w:t>1,088,697.75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27"/>
          <w:footerReference w:type="default" r:id="rId328"/>
          <w:headerReference w:type="even" r:id="rId329"/>
          <w:footerReference w:type="even" r:id="rId330"/>
          <w:footnotePr>
            <w:pos w:val="pageBottom"/>
            <w:numFmt w:val="decimal"/>
            <w:numRestart w:val="continuous"/>
          </w:footnotePr>
          <w:pgSz w:w="11900" w:h="16840"/>
          <w:pgMar w:top="1330" w:right="1095" w:bottom="1445" w:left="1071" w:header="0" w:footer="3" w:gutter="0"/>
          <w:cols w:space="720"/>
          <w:noEndnote/>
          <w:rtlGutter w:val="0"/>
          <w:docGrid w:linePitch="360"/>
        </w:sectPr>
      </w:pPr>
    </w:p>
    <w:tbl>
      <w:tblPr>
        <w:tblOverlap w:val="never"/>
        <w:jc w:val="center"/>
        <w:tblLayout w:type="fixed"/>
      </w:tblPr>
      <w:tblGrid>
        <w:gridCol w:w="3197"/>
        <w:gridCol w:w="3187"/>
        <w:gridCol w:w="3202"/>
      </w:tblGrid>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床示范应用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普及型多模式超声监护系统关键技术研 究与应用示范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970,000.00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高危作业智能分析管控平台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723,935.67</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成都中科重大网络安全事件媒体观点挖 掘及演化预测技术研究（成都中科）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700,000.00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面向图形图像的语义理解共性关键技术 研究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592,618.92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成都高新技术产业开发区科技和人才工 作局加计扣除奖励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590,000.00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成都市创新产品研发项目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双核心双通道 电子表决系统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面向开放共享的云深度学习专用平台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西部之光围术期人体基本功能动态监测 设备研发与推广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rPr>
                <w:sz w:val="18"/>
                <w:szCs w:val="18"/>
              </w:rPr>
            </w:pPr>
            <w:r>
              <w:rPr>
                <w:color w:val="000000"/>
                <w:spacing w:val="0"/>
                <w:w w:val="100"/>
                <w:position w:val="0"/>
                <w:sz w:val="18"/>
                <w:szCs w:val="18"/>
              </w:rPr>
              <w:t>西部之光海外大规模选举系统关键技术 研究与开发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西部之光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350,000.00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临床云超声数字诊疗关键技术研发与应 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300,000.00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金义都市新区中科院成都信息技术股份</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有限公司金义联合研究中心项目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270,017.64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270,017.58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智能化基础教育资源开放平台研究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237,858.40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稳岗补贴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182,531.47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中国科学院拨入专款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108,000.00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758,000.00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成都高新技术产业开发区科技和人才工 作局市级财政科技项目专项资金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87,200.00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中国科学院成都分院四川省科技后补助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68,000.00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四川省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十四五</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及中长期电子信息领域 科技发展战略研究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56,629.89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医学可视化辅助诊疗决策关键技术研发 与推广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55,306.91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left"/>
              <w:rPr>
                <w:sz w:val="18"/>
                <w:szCs w:val="18"/>
              </w:rPr>
            </w:pPr>
            <w:r>
              <w:rPr>
                <w:rFonts w:ascii="Times New Roman" w:eastAsia="Times New Roman" w:hAnsi="Times New Roman" w:cs="Times New Roman"/>
                <w:color w:val="000000"/>
                <w:spacing w:val="0"/>
                <w:w w:val="100"/>
                <w:position w:val="0"/>
                <w:sz w:val="18"/>
                <w:szCs w:val="18"/>
              </w:rPr>
              <w:t>603,134.10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省科技厅普及型经食管超声心动监护仪 研发与推广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47,117.45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1,415,277.92</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中国科学院成都分院下拨企业研发投入 后补助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45,000.00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四川省人工智能产业技术创新平台建设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40" w:right="0" w:firstLine="0"/>
              <w:jc w:val="both"/>
              <w:rPr>
                <w:sz w:val="18"/>
                <w:szCs w:val="18"/>
              </w:rPr>
            </w:pPr>
            <w:r>
              <w:rPr>
                <w:rFonts w:ascii="Times New Roman" w:eastAsia="Times New Roman" w:hAnsi="Times New Roman" w:cs="Times New Roman"/>
                <w:color w:val="000000"/>
                <w:spacing w:val="0"/>
                <w:w w:val="100"/>
                <w:position w:val="0"/>
                <w:sz w:val="18"/>
                <w:szCs w:val="18"/>
              </w:rPr>
              <w:t>44,609.73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四川省专家服务中心博士后经费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四川省数字经济产业技术路线图研究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24,619.92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患者危重症风险分析预测模型研究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20" w:right="0" w:firstLine="0"/>
              <w:jc w:val="left"/>
              <w:rPr>
                <w:sz w:val="18"/>
                <w:szCs w:val="18"/>
              </w:rPr>
            </w:pPr>
            <w:r>
              <w:rPr>
                <w:rFonts w:ascii="Times New Roman" w:eastAsia="Times New Roman" w:hAnsi="Times New Roman" w:cs="Times New Roman"/>
                <w:color w:val="000000"/>
                <w:spacing w:val="0"/>
                <w:w w:val="100"/>
                <w:position w:val="0"/>
                <w:sz w:val="18"/>
                <w:szCs w:val="18"/>
              </w:rPr>
              <w:t>9,980.00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基于病例大数据的智能诊疗决策关键技 术研究与应用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20" w:right="0" w:firstLine="0"/>
              <w:jc w:val="left"/>
              <w:rPr>
                <w:sz w:val="18"/>
                <w:szCs w:val="18"/>
              </w:rPr>
            </w:pPr>
            <w:r>
              <w:rPr>
                <w:rFonts w:ascii="Times New Roman" w:eastAsia="Times New Roman" w:hAnsi="Times New Roman" w:cs="Times New Roman"/>
                <w:color w:val="000000"/>
                <w:spacing w:val="0"/>
                <w:w w:val="100"/>
                <w:position w:val="0"/>
                <w:sz w:val="18"/>
                <w:szCs w:val="18"/>
              </w:rPr>
              <w:t>6,961.76</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成都高新技术产业开发区经济运行局拨 付专项资金报送火炬计划统计的补贴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20" w:right="0" w:firstLine="0"/>
              <w:jc w:val="left"/>
              <w:rPr>
                <w:sz w:val="18"/>
                <w:szCs w:val="18"/>
              </w:rPr>
            </w:pPr>
            <w:r>
              <w:rPr>
                <w:rFonts w:ascii="Times New Roman" w:eastAsia="Times New Roman" w:hAnsi="Times New Roman" w:cs="Times New Roman"/>
                <w:color w:val="000000"/>
                <w:spacing w:val="0"/>
                <w:w w:val="100"/>
                <w:position w:val="0"/>
                <w:sz w:val="18"/>
                <w:szCs w:val="18"/>
              </w:rPr>
              <w:t>5,000.00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both"/>
              <w:rPr>
                <w:sz w:val="18"/>
                <w:szCs w:val="18"/>
              </w:rPr>
            </w:pPr>
            <w:r>
              <w:rPr>
                <w:color w:val="000000"/>
                <w:spacing w:val="0"/>
                <w:w w:val="100"/>
                <w:position w:val="0"/>
                <w:sz w:val="18"/>
                <w:szCs w:val="18"/>
              </w:rPr>
              <w:t>成都高新技术产业开发区经济运行局高 质量发展专项奖励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20" w:right="0" w:firstLine="0"/>
              <w:jc w:val="left"/>
              <w:rPr>
                <w:sz w:val="18"/>
                <w:szCs w:val="18"/>
              </w:rPr>
            </w:pPr>
            <w:r>
              <w:rPr>
                <w:rFonts w:ascii="Times New Roman" w:eastAsia="Times New Roman" w:hAnsi="Times New Roman" w:cs="Times New Roman"/>
                <w:color w:val="000000"/>
                <w:spacing w:val="0"/>
                <w:w w:val="100"/>
                <w:position w:val="0"/>
                <w:sz w:val="18"/>
                <w:szCs w:val="18"/>
              </w:rPr>
              <w:t>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所得税费用返还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20" w:right="0" w:firstLine="0"/>
              <w:jc w:val="left"/>
              <w:rPr>
                <w:sz w:val="18"/>
                <w:szCs w:val="18"/>
              </w:rPr>
            </w:pPr>
            <w:r>
              <w:rPr>
                <w:rFonts w:ascii="Times New Roman" w:eastAsia="Times New Roman" w:hAnsi="Times New Roman" w:cs="Times New Roman"/>
                <w:color w:val="000000"/>
                <w:spacing w:val="0"/>
                <w:w w:val="100"/>
                <w:position w:val="0"/>
                <w:sz w:val="18"/>
                <w:szCs w:val="18"/>
              </w:rPr>
              <w:t>1,657.57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个税手续费返还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20" w:right="0" w:firstLine="0"/>
              <w:jc w:val="left"/>
              <w:rPr>
                <w:sz w:val="18"/>
                <w:szCs w:val="18"/>
              </w:rPr>
            </w:pPr>
            <w:r>
              <w:rPr>
                <w:rFonts w:ascii="Times New Roman" w:eastAsia="Times New Roman" w:hAnsi="Times New Roman" w:cs="Times New Roman"/>
                <w:color w:val="000000"/>
                <w:spacing w:val="0"/>
                <w:w w:val="100"/>
                <w:position w:val="0"/>
                <w:sz w:val="18"/>
                <w:szCs w:val="18"/>
              </w:rPr>
              <w:t>1,185.44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高寒高海拔地区太阳能代供暖系统监控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455,576.63</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中共四川省委员会组织部</w:t>
            </w:r>
            <w:r>
              <w:rPr>
                <w:rFonts w:ascii="Times New Roman" w:eastAsia="Times New Roman" w:hAnsi="Times New Roman" w:cs="Times New Roman"/>
                <w:color w:val="000000"/>
                <w:spacing w:val="0"/>
                <w:w w:val="100"/>
                <w:position w:val="0"/>
                <w:sz w:val="18"/>
                <w:szCs w:val="18"/>
              </w:rPr>
              <w:t>119</w:t>
            </w:r>
            <w:r>
              <w:rPr>
                <w:color w:val="000000"/>
                <w:spacing w:val="0"/>
                <w:w w:val="100"/>
                <w:position w:val="0"/>
                <w:sz w:val="18"/>
                <w:szCs w:val="18"/>
              </w:rPr>
              <w:t>省万自助 和激励资金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200,000.00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成都高新技术产业开发区经济运行局专 项资金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766,500.00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财政拨</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年体检专项资金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both"/>
              <w:rPr>
                <w:sz w:val="18"/>
                <w:szCs w:val="18"/>
              </w:rPr>
            </w:pPr>
            <w:r>
              <w:rPr>
                <w:color w:val="000000"/>
                <w:spacing w:val="0"/>
                <w:w w:val="100"/>
                <w:position w:val="0"/>
                <w:sz w:val="18"/>
                <w:szCs w:val="18"/>
              </w:rPr>
              <w:t>成都高新技术产业开发区电子信息产业 发展局专项补贴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both"/>
              <w:rPr>
                <w:sz w:val="18"/>
                <w:szCs w:val="18"/>
              </w:rPr>
            </w:pPr>
            <w:r>
              <w:rPr>
                <w:color w:val="000000"/>
                <w:spacing w:val="0"/>
                <w:w w:val="100"/>
                <w:position w:val="0"/>
                <w:sz w:val="18"/>
                <w:szCs w:val="18"/>
              </w:rPr>
              <w:t>成都高新技术产业开发区经济运行与安 全生产监管局专项资金补助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600,000.00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多模态小型化超声监测设备研发与产业 化推广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425,174.25</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中国科学院西部之光残损人民币复点与 销毁的自动化、智能化管控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四川生态多样性实践活动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200,000.00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both"/>
              <w:rPr>
                <w:sz w:val="18"/>
                <w:szCs w:val="18"/>
              </w:rPr>
            </w:pPr>
            <w:r>
              <w:rPr>
                <w:color w:val="000000"/>
                <w:spacing w:val="0"/>
                <w:w w:val="100"/>
                <w:position w:val="0"/>
                <w:sz w:val="18"/>
                <w:szCs w:val="18"/>
              </w:rPr>
              <w:t>围术期智能辅助诊疗产品及云平台研发 与应用示范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2,116,037.74</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rPr>
                <w:sz w:val="18"/>
                <w:szCs w:val="18"/>
              </w:rPr>
            </w:pPr>
            <w:r>
              <w:rPr>
                <w:color w:val="000000"/>
                <w:spacing w:val="0"/>
                <w:w w:val="100"/>
                <w:position w:val="0"/>
                <w:sz w:val="18"/>
                <w:szCs w:val="18"/>
              </w:rPr>
              <w:t>新一代超声影像智能比例库关键技术研 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both"/>
              <w:rPr>
                <w:sz w:val="18"/>
                <w:szCs w:val="18"/>
              </w:rPr>
            </w:pPr>
            <w:r>
              <w:rPr>
                <w:color w:val="000000"/>
                <w:spacing w:val="0"/>
                <w:w w:val="100"/>
                <w:position w:val="0"/>
                <w:sz w:val="18"/>
                <w:szCs w:val="18"/>
              </w:rPr>
              <w:t>面向移动互联网应用的智能软件云端开 发平台示范应用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55,716.01</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both"/>
              <w:rPr>
                <w:sz w:val="18"/>
                <w:szCs w:val="18"/>
              </w:rPr>
            </w:pPr>
            <w:r>
              <w:rPr>
                <w:color w:val="000000"/>
                <w:spacing w:val="0"/>
                <w:w w:val="100"/>
                <w:position w:val="0"/>
                <w:sz w:val="18"/>
                <w:szCs w:val="18"/>
              </w:rPr>
              <w:t>四川省科技厅自主可控安全技术研发及 应用示范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532,800.00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面向党和国家重大战略需求的会议电子 表决关键技术研究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200,000.00</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四川省基层''两委</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换届选举智能服务挂 办理平台关键技术研究与产业化示范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301,000.01</w:t>
            </w:r>
          </w:p>
        </w:tc>
      </w:tr>
    </w:tbl>
    <w:p>
      <w:pPr>
        <w:spacing w:lineRule="exact" w:line="1"/>
        <w:rPr>
          <w:sz w:val="2"/>
          <w:szCs w:val="2"/>
        </w:rPr>
      </w:pPr>
      <w:r>
        <w:br w:type="page"/>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大数据可视化平台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新一代互联网智能教育平台与示范应用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674,234.70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无人机集群代数优化协同控制及应用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智能安全路径规划与控制算法研究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经济型电子计票系统产业化推广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1,563.87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大数据智能处理关键技术研究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成都高新技术产业开发区新经济发展局 奖励款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w:t>
            </w:r>
          </w:p>
        </w:tc>
      </w:tr>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成都高新技术产业开发区新经济发展局 优化产业服务补助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成都高新区技术产业开发区科技和人才 工作局补贴款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179,800.00</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成都高新技术产业开发区经济运行与安 全生产监管局高质量发展专项奖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w:t>
            </w:r>
          </w:p>
        </w:tc>
      </w:tr>
    </w:tbl>
    <w:p>
      <w:pPr>
        <w:widowControl w:val="0"/>
        <w:spacing w:after="319" w:line="1" w:lineRule="exact"/>
      </w:pPr>
    </w:p>
    <w:p>
      <w:pPr>
        <w:pStyle w:val="Style44"/>
        <w:keepNext/>
        <w:keepLines/>
        <w:widowControl w:val="0"/>
        <w:shd w:val="clear" w:color="auto" w:fill="auto"/>
        <w:bidi w:val="0"/>
        <w:spacing w:before="0" w:after="360" w:line="240" w:lineRule="auto"/>
        <w:ind w:left="0" w:right="0" w:firstLine="0"/>
        <w:jc w:val="both"/>
      </w:pPr>
      <w:bookmarkStart w:id="1358" w:name="bookmark1358"/>
      <w:bookmarkStart w:id="1359" w:name="bookmark1359"/>
      <w:bookmarkStart w:id="1360" w:name="bookmark1360"/>
      <w:bookmarkStart w:id="1361" w:name="bookmark1361"/>
      <w:r>
        <w:rPr>
          <w:rFonts w:ascii="Times New Roman" w:eastAsia="Times New Roman" w:hAnsi="Times New Roman" w:cs="Times New Roman"/>
          <w:color w:val="000000"/>
          <w:spacing w:val="0"/>
          <w:w w:val="100"/>
          <w:position w:val="0"/>
        </w:rPr>
        <w:t>3</w:t>
      </w:r>
      <w:bookmarkEnd w:id="1360"/>
      <w:r>
        <w:rPr>
          <w:rFonts w:ascii="Times New Roman" w:eastAsia="Times New Roman" w:hAnsi="Times New Roman" w:cs="Times New Roman"/>
          <w:color w:val="000000"/>
          <w:spacing w:val="0"/>
          <w:w w:val="100"/>
          <w:position w:val="0"/>
        </w:rPr>
        <w:t>7</w:t>
      </w:r>
      <w:r>
        <w:rPr>
          <w:color w:val="000000"/>
          <w:spacing w:val="0"/>
          <w:w w:val="100"/>
          <w:position w:val="0"/>
        </w:rPr>
        <w:t>、投资收益</w:t>
      </w:r>
      <w:bookmarkEnd w:id="1358"/>
      <w:bookmarkEnd w:id="1359"/>
      <w:bookmarkEnd w:id="136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470"/>
        <w:gridCol w:w="3187"/>
        <w:gridCol w:w="2928"/>
      </w:tblGrid>
      <w:tr>
        <w:trPr>
          <w:trHeight w:val="41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8,519,447.33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购买银行保本理财产品收益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398,904.11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8,918,351.44</w:t>
            </w:r>
          </w:p>
        </w:tc>
      </w:tr>
    </w:tbl>
    <w:p>
      <w:pPr>
        <w:widowControl w:val="0"/>
        <w:spacing w:after="79" w:line="1" w:lineRule="exact"/>
      </w:pPr>
    </w:p>
    <w:p>
      <w:pPr>
        <w:pStyle w:val="Style35"/>
        <w:keepNext w:val="0"/>
        <w:keepLines w:val="0"/>
        <w:widowControl w:val="0"/>
        <w:shd w:val="clear" w:color="auto" w:fill="auto"/>
        <w:bidi w:val="0"/>
        <w:spacing w:before="0" w:after="320" w:line="240" w:lineRule="auto"/>
        <w:ind w:left="0" w:right="0" w:firstLine="0"/>
        <w:jc w:val="both"/>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both"/>
      </w:pPr>
      <w:bookmarkStart w:id="1362" w:name="bookmark1362"/>
      <w:bookmarkStart w:id="1363" w:name="bookmark1363"/>
      <w:bookmarkStart w:id="1364" w:name="bookmark1364"/>
      <w:bookmarkStart w:id="1365" w:name="bookmark1365"/>
      <w:r>
        <w:rPr>
          <w:rFonts w:ascii="Times New Roman" w:eastAsia="Times New Roman" w:hAnsi="Times New Roman" w:cs="Times New Roman"/>
          <w:color w:val="000000"/>
          <w:spacing w:val="0"/>
          <w:w w:val="100"/>
          <w:position w:val="0"/>
        </w:rPr>
        <w:t>3</w:t>
      </w:r>
      <w:bookmarkEnd w:id="1364"/>
      <w:r>
        <w:rPr>
          <w:rFonts w:ascii="Times New Roman" w:eastAsia="Times New Roman" w:hAnsi="Times New Roman" w:cs="Times New Roman"/>
          <w:color w:val="000000"/>
          <w:spacing w:val="0"/>
          <w:w w:val="100"/>
          <w:position w:val="0"/>
        </w:rPr>
        <w:t>8</w:t>
      </w:r>
      <w:r>
        <w:rPr>
          <w:color w:val="000000"/>
          <w:spacing w:val="0"/>
          <w:w w:val="100"/>
          <w:position w:val="0"/>
        </w:rPr>
        <w:t>、信用减值损失</w:t>
      </w:r>
      <w:bookmarkEnd w:id="1362"/>
      <w:bookmarkEnd w:id="1363"/>
      <w:bookmarkEnd w:id="136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其他应收款坏账损失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-243,951.66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1,407,285.62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应收票据坏账损失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rFonts w:ascii="Times New Roman" w:eastAsia="Times New Roman" w:hAnsi="Times New Roman" w:cs="Times New Roman"/>
                <w:color w:val="000000"/>
                <w:spacing w:val="0"/>
                <w:w w:val="100"/>
                <w:position w:val="0"/>
                <w:sz w:val="18"/>
                <w:szCs w:val="18"/>
              </w:rPr>
              <w:t>-10,003,324.63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4,560,961.33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合同资产减值损失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-1,091,006.86</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rFonts w:ascii="Times New Roman" w:eastAsia="Times New Roman" w:hAnsi="Times New Roman" w:cs="Times New Roman"/>
                <w:color w:val="000000"/>
                <w:spacing w:val="0"/>
                <w:w w:val="100"/>
                <w:position w:val="0"/>
                <w:sz w:val="18"/>
                <w:szCs w:val="18"/>
              </w:rPr>
              <w:t>-11,358,283.15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5,993,246.95</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w:t>
      </w:r>
    </w:p>
    <w:p>
      <w:pPr>
        <w:widowControl w:val="0"/>
        <w:spacing w:after="319" w:line="1" w:lineRule="exact"/>
      </w:pPr>
    </w:p>
    <w:p>
      <w:pPr>
        <w:pStyle w:val="Style44"/>
        <w:keepNext/>
        <w:keepLines/>
        <w:widowControl w:val="0"/>
        <w:shd w:val="clear" w:color="auto" w:fill="auto"/>
        <w:bidi w:val="0"/>
        <w:spacing w:before="0" w:after="360" w:line="240" w:lineRule="auto"/>
        <w:ind w:left="0" w:right="0" w:firstLine="0"/>
        <w:jc w:val="both"/>
      </w:pPr>
      <w:bookmarkStart w:id="1366" w:name="bookmark1366"/>
      <w:bookmarkStart w:id="1367" w:name="bookmark1367"/>
      <w:bookmarkStart w:id="1368" w:name="bookmark1368"/>
      <w:bookmarkStart w:id="1369" w:name="bookmark1369"/>
      <w:r>
        <w:rPr>
          <w:rFonts w:ascii="Times New Roman" w:eastAsia="Times New Roman" w:hAnsi="Times New Roman" w:cs="Times New Roman"/>
          <w:color w:val="000000"/>
          <w:spacing w:val="0"/>
          <w:w w:val="100"/>
          <w:position w:val="0"/>
        </w:rPr>
        <w:t>3</w:t>
      </w:r>
      <w:bookmarkEnd w:id="1368"/>
      <w:r>
        <w:rPr>
          <w:rFonts w:ascii="Times New Roman" w:eastAsia="Times New Roman" w:hAnsi="Times New Roman" w:cs="Times New Roman"/>
          <w:color w:val="000000"/>
          <w:spacing w:val="0"/>
          <w:w w:val="100"/>
          <w:position w:val="0"/>
        </w:rPr>
        <w:t>9</w:t>
      </w:r>
      <w:r>
        <w:rPr>
          <w:color w:val="000000"/>
          <w:spacing w:val="0"/>
          <w:w w:val="100"/>
          <w:position w:val="0"/>
        </w:rPr>
        <w:t>、资产减值损失</w:t>
      </w:r>
      <w:bookmarkEnd w:id="1366"/>
      <w:bookmarkEnd w:id="1367"/>
      <w:bookmarkEnd w:id="1369"/>
    </w:p>
    <w:p>
      <w:pPr>
        <w:pStyle w:val="Style35"/>
        <w:keepNext w:val="0"/>
        <w:keepLines w:val="0"/>
        <w:widowControl w:val="0"/>
        <w:shd w:val="clear" w:color="auto" w:fill="auto"/>
        <w:bidi w:val="0"/>
        <w:spacing w:before="0" w:after="340" w:line="240" w:lineRule="auto"/>
        <w:ind w:left="0" w:right="0" w:firstLine="0"/>
        <w:jc w:val="right"/>
        <w:sectPr>
          <w:headerReference w:type="default" r:id="rId331"/>
          <w:footerReference w:type="default" r:id="rId332"/>
          <w:headerReference w:type="even" r:id="rId333"/>
          <w:footerReference w:type="even" r:id="rId334"/>
          <w:footnotePr>
            <w:pos w:val="pageBottom"/>
            <w:numFmt w:val="decimal"/>
            <w:numRestart w:val="continuous"/>
          </w:footnotePr>
          <w:pgSz w:w="11900" w:h="16840"/>
          <w:pgMar w:top="1330" w:right="1095" w:bottom="1445" w:left="1071"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二、存货跌价损失及合同履约成本减值 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-6,782,594.45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-8,054,593.90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-6,782,594.45</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70" w:name="bookmark1370"/>
      <w:bookmarkStart w:id="1371" w:name="bookmark1371"/>
      <w:bookmarkStart w:id="1372" w:name="bookmark1372"/>
      <w:bookmarkStart w:id="1373" w:name="bookmark1373"/>
      <w:r>
        <w:rPr>
          <w:rFonts w:ascii="Times New Roman" w:eastAsia="Times New Roman" w:hAnsi="Times New Roman" w:cs="Times New Roman"/>
          <w:color w:val="000000"/>
          <w:spacing w:val="0"/>
          <w:w w:val="100"/>
          <w:position w:val="0"/>
        </w:rPr>
        <w:t>4</w:t>
      </w:r>
      <w:bookmarkEnd w:id="1372"/>
      <w:r>
        <w:rPr>
          <w:rFonts w:ascii="Times New Roman" w:eastAsia="Times New Roman" w:hAnsi="Times New Roman" w:cs="Times New Roman"/>
          <w:color w:val="000000"/>
          <w:spacing w:val="0"/>
          <w:w w:val="100"/>
          <w:position w:val="0"/>
        </w:rPr>
        <w:t>0</w:t>
      </w:r>
      <w:r>
        <w:rPr>
          <w:color w:val="000000"/>
          <w:spacing w:val="0"/>
          <w:w w:val="100"/>
          <w:position w:val="0"/>
        </w:rPr>
        <w:t>、营业外收入</w:t>
      </w:r>
      <w:bookmarkEnd w:id="1370"/>
      <w:bookmarkEnd w:id="1371"/>
      <w:bookmarkEnd w:id="137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395"/>
        <w:gridCol w:w="2395"/>
        <w:gridCol w:w="2395"/>
        <w:gridCol w:w="2400"/>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0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本期发生额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计入当期非经常性损益的金 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rFonts w:ascii="Times New Roman" w:eastAsia="Times New Roman" w:hAnsi="Times New Roman" w:cs="Times New Roman"/>
                <w:color w:val="000000"/>
                <w:spacing w:val="0"/>
                <w:w w:val="100"/>
                <w:position w:val="0"/>
                <w:sz w:val="18"/>
                <w:szCs w:val="18"/>
              </w:rPr>
              <w:t>60,800.59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60,800.59</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rFonts w:ascii="Times New Roman" w:eastAsia="Times New Roman" w:hAnsi="Times New Roman" w:cs="Times New Roman"/>
                <w:color w:val="000000"/>
                <w:spacing w:val="0"/>
                <w:w w:val="100"/>
                <w:position w:val="0"/>
                <w:sz w:val="18"/>
                <w:szCs w:val="18"/>
              </w:rPr>
              <w:t>60,800.59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74" w:name="bookmark1374"/>
      <w:bookmarkStart w:id="1375" w:name="bookmark1375"/>
      <w:bookmarkStart w:id="1376" w:name="bookmark1376"/>
      <w:bookmarkStart w:id="1377" w:name="bookmark1377"/>
      <w:r>
        <w:rPr>
          <w:rFonts w:ascii="Times New Roman" w:eastAsia="Times New Roman" w:hAnsi="Times New Roman" w:cs="Times New Roman"/>
          <w:color w:val="000000"/>
          <w:spacing w:val="0"/>
          <w:w w:val="100"/>
          <w:position w:val="0"/>
        </w:rPr>
        <w:t>4</w:t>
      </w:r>
      <w:bookmarkEnd w:id="1376"/>
      <w:r>
        <w:rPr>
          <w:rFonts w:ascii="Times New Roman" w:eastAsia="Times New Roman" w:hAnsi="Times New Roman" w:cs="Times New Roman"/>
          <w:color w:val="000000"/>
          <w:spacing w:val="0"/>
          <w:w w:val="100"/>
          <w:position w:val="0"/>
        </w:rPr>
        <w:t>1</w:t>
      </w:r>
      <w:r>
        <w:rPr>
          <w:color w:val="000000"/>
          <w:spacing w:val="0"/>
          <w:w w:val="100"/>
          <w:position w:val="0"/>
        </w:rPr>
        <w:t>、营业外支出</w:t>
      </w:r>
      <w:bookmarkEnd w:id="1374"/>
      <w:bookmarkEnd w:id="1375"/>
      <w:bookmarkEnd w:id="137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395"/>
        <w:gridCol w:w="2395"/>
        <w:gridCol w:w="2395"/>
        <w:gridCol w:w="2400"/>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0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本期发生额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计入当期非经常性损益的金 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rFonts w:ascii="Times New Roman" w:eastAsia="Times New Roman" w:hAnsi="Times New Roman" w:cs="Times New Roman"/>
                <w:color w:val="000000"/>
                <w:spacing w:val="0"/>
                <w:w w:val="100"/>
                <w:position w:val="0"/>
                <w:sz w:val="18"/>
                <w:szCs w:val="18"/>
              </w:rPr>
              <w:t>15,102.79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510,000.00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15,102.79</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rFonts w:ascii="Times New Roman" w:eastAsia="Times New Roman" w:hAnsi="Times New Roman" w:cs="Times New Roman"/>
                <w:color w:val="000000"/>
                <w:spacing w:val="0"/>
                <w:w w:val="100"/>
                <w:position w:val="0"/>
                <w:sz w:val="18"/>
                <w:szCs w:val="18"/>
              </w:rPr>
              <w:t>15,102.79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510,000.00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378" w:name="bookmark1378"/>
      <w:bookmarkStart w:id="1379" w:name="bookmark1379"/>
      <w:bookmarkStart w:id="1380" w:name="bookmark1380"/>
      <w:bookmarkStart w:id="1381" w:name="bookmark1381"/>
      <w:r>
        <w:rPr>
          <w:rFonts w:ascii="Times New Roman" w:eastAsia="Times New Roman" w:hAnsi="Times New Roman" w:cs="Times New Roman"/>
          <w:color w:val="000000"/>
          <w:spacing w:val="0"/>
          <w:w w:val="100"/>
          <w:position w:val="0"/>
        </w:rPr>
        <w:t>4</w:t>
      </w:r>
      <w:bookmarkEnd w:id="1380"/>
      <w:r>
        <w:rPr>
          <w:rFonts w:ascii="Times New Roman" w:eastAsia="Times New Roman" w:hAnsi="Times New Roman" w:cs="Times New Roman"/>
          <w:color w:val="000000"/>
          <w:spacing w:val="0"/>
          <w:w w:val="100"/>
          <w:position w:val="0"/>
        </w:rPr>
        <w:t>2</w:t>
      </w:r>
      <w:r>
        <w:rPr>
          <w:color w:val="000000"/>
          <w:spacing w:val="0"/>
          <w:w w:val="100"/>
          <w:position w:val="0"/>
        </w:rPr>
        <w:t>、所得税费用</w:t>
      </w:r>
      <w:bookmarkEnd w:id="1378"/>
      <w:bookmarkEnd w:id="1379"/>
      <w:bookmarkEnd w:id="1381"/>
    </w:p>
    <w:p>
      <w:pPr>
        <w:pStyle w:val="Style60"/>
        <w:keepNext/>
        <w:keepLines/>
        <w:widowControl w:val="0"/>
        <w:shd w:val="clear" w:color="auto" w:fill="auto"/>
        <w:bidi w:val="0"/>
        <w:spacing w:before="0" w:line="240" w:lineRule="auto"/>
        <w:ind w:left="0" w:right="0" w:firstLine="140"/>
        <w:jc w:val="left"/>
      </w:pPr>
      <w:bookmarkStart w:id="1382" w:name="bookmark1382"/>
      <w:bookmarkStart w:id="1383" w:name="bookmark1383"/>
      <w:bookmarkStart w:id="1384" w:name="bookmark1384"/>
      <w:r>
        <w:rPr>
          <w:rFonts w:ascii="Times New Roman" w:eastAsia="Times New Roman" w:hAnsi="Times New Roman" w:cs="Times New Roman"/>
          <w:color w:val="000000"/>
          <w:spacing w:val="0"/>
          <w:w w:val="100"/>
          <w:position w:val="0"/>
        </w:rPr>
        <w:t>(1</w:t>
      </w:r>
      <w:r>
        <w:rPr>
          <w:color w:val="000000"/>
          <w:spacing w:val="0"/>
          <w:w w:val="100"/>
          <w:position w:val="0"/>
        </w:rPr>
        <w:t>)所得税费用表</w:t>
      </w:r>
      <w:bookmarkEnd w:id="1382"/>
      <w:bookmarkEnd w:id="1383"/>
      <w:bookmarkEnd w:id="138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当期所得税费用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4,546,693.02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2,547,098.79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递延所得税费用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-2,425,489.27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681,732.33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2,121,203.75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3,228,831.12</w:t>
            </w:r>
          </w:p>
        </w:tc>
      </w:tr>
    </w:tbl>
    <w:p>
      <w:pPr>
        <w:widowControl w:val="0"/>
        <w:spacing w:after="299" w:line="1" w:lineRule="exact"/>
      </w:pPr>
    </w:p>
    <w:p>
      <w:pPr>
        <w:pStyle w:val="Style60"/>
        <w:keepNext/>
        <w:keepLines/>
        <w:widowControl w:val="0"/>
        <w:shd w:val="clear" w:color="auto" w:fill="auto"/>
        <w:bidi w:val="0"/>
        <w:spacing w:before="0" w:line="240" w:lineRule="auto"/>
        <w:ind w:left="0" w:right="0" w:firstLine="140"/>
        <w:jc w:val="left"/>
      </w:pPr>
      <w:bookmarkStart w:id="1385" w:name="bookmark1385"/>
      <w:bookmarkStart w:id="1386" w:name="bookmark1386"/>
      <w:bookmarkStart w:id="1387" w:name="bookmark1387"/>
      <w:r>
        <w:rPr>
          <w:rFonts w:ascii="Times New Roman" w:eastAsia="Times New Roman" w:hAnsi="Times New Roman" w:cs="Times New Roman"/>
          <w:color w:val="000000"/>
          <w:spacing w:val="0"/>
          <w:w w:val="100"/>
          <w:position w:val="0"/>
        </w:rPr>
        <w:t>(2</w:t>
      </w:r>
      <w:r>
        <w:rPr>
          <w:color w:val="000000"/>
          <w:spacing w:val="0"/>
          <w:w w:val="100"/>
          <w:position w:val="0"/>
        </w:rPr>
        <w:t>)会计利润与所得税费用调整过程</w:t>
      </w:r>
      <w:bookmarkEnd w:id="1385"/>
      <w:bookmarkEnd w:id="1386"/>
      <w:bookmarkEnd w:id="138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4786"/>
        <w:gridCol w:w="4800"/>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利润总额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34,929,906.62</w:t>
            </w:r>
          </w:p>
        </w:tc>
      </w:tr>
    </w:tbl>
    <w:p>
      <w:pPr>
        <w:spacing w:lineRule="exact" w:line="1"/>
        <w:rPr>
          <w:sz w:val="2"/>
          <w:szCs w:val="2"/>
        </w:rPr>
      </w:pPr>
      <w:r>
        <w:br w:type="page"/>
      </w:r>
    </w:p>
    <w:tbl>
      <w:tblPr>
        <w:tblOverlap w:val="never"/>
        <w:jc w:val="center"/>
        <w:tblLayout w:type="fixed"/>
      </w:tblPr>
      <w:tblGrid>
        <w:gridCol w:w="4786"/>
        <w:gridCol w:w="48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按法定</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适用税率计算的所得税费用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5,239,485.99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子公司适用不同税率的影响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16,232.88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调整以前期间所得税的影响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720,286.83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不可抵扣的成本、费用和损失的影响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170,646.50</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本期未确认递延所得税资产的可抵扣暂时性差异或可抵扣亏 损的影响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96,976.22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归属于合营企业和联营企业损益的影响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-1,583,688.41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研发费用加计扣除的影响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-2,595,860.74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合并未实现利润的影响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46,269.54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10,854.94</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所得税费用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2,121,203.75</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w:t>
      </w:r>
    </w:p>
    <w:p>
      <w:pPr>
        <w:widowControl w:val="0"/>
        <w:spacing w:after="339" w:line="1" w:lineRule="exact"/>
      </w:pPr>
    </w:p>
    <w:p>
      <w:pPr>
        <w:pStyle w:val="Style44"/>
        <w:keepNext/>
        <w:keepLines/>
        <w:widowControl w:val="0"/>
        <w:shd w:val="clear" w:color="auto" w:fill="auto"/>
        <w:bidi w:val="0"/>
        <w:spacing w:before="0" w:line="240" w:lineRule="auto"/>
        <w:ind w:left="0" w:right="0" w:firstLine="0"/>
        <w:jc w:val="left"/>
      </w:pPr>
      <w:bookmarkStart w:id="1388" w:name="bookmark1388"/>
      <w:bookmarkStart w:id="1389" w:name="bookmark1389"/>
      <w:bookmarkStart w:id="1390" w:name="bookmark1390"/>
      <w:bookmarkStart w:id="1391" w:name="bookmark1391"/>
      <w:r>
        <w:rPr>
          <w:rFonts w:ascii="Times New Roman" w:eastAsia="Times New Roman" w:hAnsi="Times New Roman" w:cs="Times New Roman"/>
          <w:color w:val="000000"/>
          <w:spacing w:val="0"/>
          <w:w w:val="100"/>
          <w:position w:val="0"/>
        </w:rPr>
        <w:t>4</w:t>
      </w:r>
      <w:bookmarkEnd w:id="1390"/>
      <w:r>
        <w:rPr>
          <w:rFonts w:ascii="Times New Roman" w:eastAsia="Times New Roman" w:hAnsi="Times New Roman" w:cs="Times New Roman"/>
          <w:color w:val="000000"/>
          <w:spacing w:val="0"/>
          <w:w w:val="100"/>
          <w:position w:val="0"/>
        </w:rPr>
        <w:t>3</w:t>
      </w:r>
      <w:r>
        <w:rPr>
          <w:color w:val="000000"/>
          <w:spacing w:val="0"/>
          <w:w w:val="100"/>
          <w:position w:val="0"/>
        </w:rPr>
        <w:t>、其他综合收益</w:t>
      </w:r>
      <w:bookmarkEnd w:id="1388"/>
      <w:bookmarkEnd w:id="1389"/>
      <w:bookmarkEnd w:id="1391"/>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详见附注</w:t>
      </w:r>
      <w:r>
        <w:rPr>
          <w:rFonts w:ascii="Times New Roman" w:eastAsia="Times New Roman" w:hAnsi="Times New Roman" w:cs="Times New Roman"/>
          <w:color w:val="000000"/>
          <w:spacing w:val="0"/>
          <w:w w:val="100"/>
          <w:position w:val="0"/>
        </w:rPr>
        <w:t>28</w:t>
      </w:r>
      <w:r>
        <w:rPr>
          <w:color w:val="000000"/>
          <w:spacing w:val="0"/>
          <w:w w:val="100"/>
          <w:position w:val="0"/>
        </w:rPr>
        <w:t>。</w:t>
      </w:r>
    </w:p>
    <w:p>
      <w:pPr>
        <w:pStyle w:val="Style44"/>
        <w:keepNext/>
        <w:keepLines/>
        <w:widowControl w:val="0"/>
        <w:shd w:val="clear" w:color="auto" w:fill="auto"/>
        <w:bidi w:val="0"/>
        <w:spacing w:before="0" w:line="240" w:lineRule="auto"/>
        <w:ind w:left="0" w:right="0" w:firstLine="0"/>
        <w:jc w:val="left"/>
      </w:pPr>
      <w:bookmarkStart w:id="1392" w:name="bookmark1392"/>
      <w:bookmarkStart w:id="1393" w:name="bookmark1393"/>
      <w:bookmarkStart w:id="1394" w:name="bookmark1394"/>
      <w:bookmarkStart w:id="1395" w:name="bookmark1395"/>
      <w:r>
        <w:rPr>
          <w:rFonts w:ascii="Times New Roman" w:eastAsia="Times New Roman" w:hAnsi="Times New Roman" w:cs="Times New Roman"/>
          <w:color w:val="000000"/>
          <w:spacing w:val="0"/>
          <w:w w:val="100"/>
          <w:position w:val="0"/>
        </w:rPr>
        <w:t>4</w:t>
      </w:r>
      <w:bookmarkEnd w:id="1394"/>
      <w:r>
        <w:rPr>
          <w:rFonts w:ascii="Times New Roman" w:eastAsia="Times New Roman" w:hAnsi="Times New Roman" w:cs="Times New Roman"/>
          <w:color w:val="000000"/>
          <w:spacing w:val="0"/>
          <w:w w:val="100"/>
          <w:position w:val="0"/>
        </w:rPr>
        <w:t>4</w:t>
      </w:r>
      <w:r>
        <w:rPr>
          <w:color w:val="000000"/>
          <w:spacing w:val="0"/>
          <w:w w:val="100"/>
          <w:position w:val="0"/>
        </w:rPr>
        <w:t>、现金流量表项目</w:t>
      </w:r>
      <w:bookmarkEnd w:id="1392"/>
      <w:bookmarkEnd w:id="1393"/>
      <w:bookmarkEnd w:id="1395"/>
    </w:p>
    <w:p>
      <w:pPr>
        <w:pStyle w:val="Style60"/>
        <w:keepNext/>
        <w:keepLines/>
        <w:widowControl w:val="0"/>
        <w:shd w:val="clear" w:color="auto" w:fill="auto"/>
        <w:bidi w:val="0"/>
        <w:spacing w:before="0" w:after="340" w:line="240" w:lineRule="auto"/>
        <w:ind w:left="0" w:right="0" w:firstLine="0"/>
        <w:jc w:val="left"/>
      </w:pPr>
      <w:bookmarkStart w:id="1396" w:name="bookmark1396"/>
      <w:bookmarkStart w:id="1397" w:name="bookmark1397"/>
      <w:bookmarkStart w:id="1398" w:name="bookmark1398"/>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396"/>
      <w:bookmarkEnd w:id="1397"/>
      <w:bookmarkEnd w:id="139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11,620,000.90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4,231,100.00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1,458,856.16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8,832,756.40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往来款及其他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247,481.68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3,266,241.04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2,740,856.58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474,789.71</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16,067,195.32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16,804,887.15</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收到的其他与经营活动有关的现金说明:</w:t>
      </w:r>
    </w:p>
    <w:p>
      <w:pPr>
        <w:widowControl w:val="0"/>
        <w:spacing w:after="339" w:line="1" w:lineRule="exact"/>
      </w:pPr>
    </w:p>
    <w:p>
      <w:pPr>
        <w:pStyle w:val="Style60"/>
        <w:keepNext/>
        <w:keepLines/>
        <w:widowControl w:val="0"/>
        <w:shd w:val="clear" w:color="auto" w:fill="auto"/>
        <w:bidi w:val="0"/>
        <w:spacing w:before="0" w:after="340" w:line="240" w:lineRule="auto"/>
        <w:ind w:left="0" w:right="0" w:firstLine="0"/>
        <w:jc w:val="left"/>
      </w:pPr>
      <w:bookmarkStart w:id="1399" w:name="bookmark1399"/>
      <w:bookmarkStart w:id="1400" w:name="bookmark1400"/>
      <w:bookmarkStart w:id="1401" w:name="bookmark1401"/>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399"/>
      <w:bookmarkEnd w:id="1400"/>
      <w:bookmarkEnd w:id="140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付现费用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41,311,643.22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41,855,861.72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往来及其他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4,036,926.42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5,626,346.21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6,111,297.95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4,121,445.13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51,459,867.59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51,603,653.06</w:t>
            </w:r>
          </w:p>
        </w:tc>
      </w:tr>
    </w:tbl>
    <w:p>
      <w:pPr>
        <w:sectPr>
          <w:headerReference w:type="default" r:id="rId335"/>
          <w:footerReference w:type="default" r:id="rId336"/>
          <w:headerReference w:type="even" r:id="rId337"/>
          <w:footerReference w:type="even" r:id="rId338"/>
          <w:footnotePr>
            <w:pos w:val="pageBottom"/>
            <w:numFmt w:val="decimal"/>
            <w:numRestart w:val="continuous"/>
          </w:footnotePr>
          <w:pgSz w:w="11900" w:h="16840"/>
          <w:pgMar w:top="1330" w:right="1095" w:bottom="1445" w:left="1071" w:header="0" w:footer="3" w:gutter="0"/>
          <w:cols w:space="720"/>
          <w:noEndnote/>
          <w:rtlGutter w:val="0"/>
          <w:docGrid w:linePitch="360"/>
        </w:sectPr>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支付的其他与经营活动有关的现金说明:</w:t>
      </w:r>
    </w:p>
    <w:p>
      <w:pPr>
        <w:pStyle w:val="Style44"/>
        <w:keepNext/>
        <w:keepLines/>
        <w:widowControl w:val="0"/>
        <w:shd w:val="clear" w:color="auto" w:fill="auto"/>
        <w:bidi w:val="0"/>
        <w:spacing w:before="0" w:after="360" w:line="240" w:lineRule="auto"/>
        <w:ind w:left="0" w:right="0" w:firstLine="0"/>
        <w:jc w:val="left"/>
      </w:pPr>
      <w:bookmarkStart w:id="1402" w:name="bookmark1402"/>
      <w:bookmarkStart w:id="1403" w:name="bookmark1403"/>
      <w:bookmarkStart w:id="1404" w:name="bookmark1404"/>
      <w:bookmarkStart w:id="1405" w:name="bookmark1405"/>
      <w:r>
        <w:rPr>
          <w:rFonts w:ascii="Times New Roman" w:eastAsia="Times New Roman" w:hAnsi="Times New Roman" w:cs="Times New Roman"/>
          <w:color w:val="000000"/>
          <w:spacing w:val="0"/>
          <w:w w:val="100"/>
          <w:position w:val="0"/>
        </w:rPr>
        <w:t>4</w:t>
      </w:r>
      <w:bookmarkEnd w:id="1404"/>
      <w:r>
        <w:rPr>
          <w:rFonts w:ascii="Times New Roman" w:eastAsia="Times New Roman" w:hAnsi="Times New Roman" w:cs="Times New Roman"/>
          <w:color w:val="000000"/>
          <w:spacing w:val="0"/>
          <w:w w:val="100"/>
          <w:position w:val="0"/>
        </w:rPr>
        <w:t>5</w:t>
      </w:r>
      <w:r>
        <w:rPr>
          <w:color w:val="000000"/>
          <w:spacing w:val="0"/>
          <w:w w:val="100"/>
          <w:position w:val="0"/>
        </w:rPr>
        <w:t>、现金流量表补充资料</w:t>
      </w:r>
      <w:bookmarkEnd w:id="1402"/>
      <w:bookmarkEnd w:id="1403"/>
      <w:bookmarkEnd w:id="1405"/>
    </w:p>
    <w:p>
      <w:pPr>
        <w:pStyle w:val="Style60"/>
        <w:keepNext/>
        <w:keepLines/>
        <w:widowControl w:val="0"/>
        <w:shd w:val="clear" w:color="auto" w:fill="auto"/>
        <w:bidi w:val="0"/>
        <w:spacing w:before="0" w:line="240" w:lineRule="auto"/>
        <w:ind w:left="0" w:right="0" w:firstLine="0"/>
        <w:jc w:val="left"/>
      </w:pPr>
      <w:bookmarkStart w:id="1406" w:name="bookmark1406"/>
      <w:bookmarkStart w:id="1407" w:name="bookmark1407"/>
      <w:bookmarkStart w:id="1408" w:name="bookmark1408"/>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406"/>
      <w:bookmarkEnd w:id="1407"/>
      <w:bookmarkEnd w:id="140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331"/>
        <w:gridCol w:w="3062"/>
        <w:gridCol w:w="319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补充资料</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本期金额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上期金额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.将净利润调节为经营活动现金流量：</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32,808,702.87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35,888,299.44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19,412,877.05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789,347.50</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left"/>
              <w:rPr>
                <w:sz w:val="18"/>
                <w:szCs w:val="18"/>
              </w:rPr>
            </w:pPr>
            <w:r>
              <w:rPr>
                <w:color w:val="000000"/>
                <w:spacing w:val="0"/>
                <w:w w:val="100"/>
                <w:position w:val="0"/>
                <w:sz w:val="18"/>
                <w:szCs w:val="18"/>
              </w:rPr>
              <w:t>固定资产折旧、油气资产折耗、</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生产性生物资产折旧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1,750,249.64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1,781,570.13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color w:val="000000"/>
                <w:spacing w:val="0"/>
                <w:w w:val="100"/>
                <w:position w:val="0"/>
                <w:sz w:val="18"/>
                <w:szCs w:val="18"/>
              </w:rPr>
              <w:t>使用权资产折旧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color w:val="000000"/>
                <w:spacing w:val="0"/>
                <w:w w:val="100"/>
                <w:position w:val="0"/>
                <w:sz w:val="18"/>
                <w:szCs w:val="18"/>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1,575,361.01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1,214,257.75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color w:val="000000"/>
                <w:spacing w:val="0"/>
                <w:w w:val="100"/>
                <w:position w:val="0"/>
                <w:sz w:val="18"/>
                <w:szCs w:val="18"/>
              </w:rPr>
              <w:t>长期待摊费用摊销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740"/>
              <w:jc w:val="both"/>
              <w:rPr>
                <w:sz w:val="18"/>
                <w:szCs w:val="18"/>
              </w:rPr>
            </w:pPr>
            <w:r>
              <w:rPr>
                <w:color w:val="000000"/>
                <w:spacing w:val="0"/>
                <w:w w:val="100"/>
                <w:position w:val="0"/>
                <w:sz w:val="18"/>
                <w:szCs w:val="18"/>
              </w:rPr>
              <w:t>处置固定资产、无形资产和其他 长期资产的损失（收益以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固定资产报废损失（收益以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17,396.97</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740"/>
              <w:jc w:val="both"/>
              <w:rPr>
                <w:sz w:val="18"/>
                <w:szCs w:val="18"/>
              </w:rPr>
            </w:pPr>
            <w:r>
              <w:rPr>
                <w:color w:val="000000"/>
                <w:spacing w:val="0"/>
                <w:w w:val="100"/>
                <w:position w:val="0"/>
                <w:sz w:val="18"/>
                <w:szCs w:val="18"/>
              </w:rPr>
              <w:t>公允价值变动损失（收益以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color w:val="000000"/>
                <w:spacing w:val="0"/>
                <w:w w:val="100"/>
                <w:position w:val="0"/>
                <w:sz w:val="18"/>
                <w:szCs w:val="18"/>
              </w:rPr>
              <w:t>财务费用（收益以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1,496,773.93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-2,155,674.11</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both"/>
              <w:rPr>
                <w:sz w:val="18"/>
                <w:szCs w:val="18"/>
              </w:rPr>
            </w:pPr>
            <w:r>
              <w:rPr>
                <w:color w:val="000000"/>
                <w:spacing w:val="0"/>
                <w:w w:val="100"/>
                <w:position w:val="0"/>
                <w:sz w:val="18"/>
                <w:szCs w:val="18"/>
              </w:rPr>
              <w:t>投资损失（收益以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-8,918,351.44</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both"/>
              <w:rPr>
                <w:sz w:val="18"/>
                <w:szCs w:val="18"/>
              </w:rPr>
            </w:pPr>
            <w:r>
              <w:rPr>
                <w:color w:val="000000"/>
                <w:spacing w:val="0"/>
                <w:w w:val="100"/>
                <w:position w:val="0"/>
                <w:sz w:val="18"/>
                <w:szCs w:val="18"/>
              </w:rPr>
              <w:t>递延所得税资产减少（增加以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-2,425,489.27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681,732.33</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left"/>
              <w:rPr>
                <w:sz w:val="18"/>
                <w:szCs w:val="18"/>
              </w:rPr>
            </w:pPr>
            <w:r>
              <w:rPr>
                <w:color w:val="000000"/>
                <w:spacing w:val="0"/>
                <w:w w:val="100"/>
                <w:position w:val="0"/>
                <w:sz w:val="18"/>
                <w:szCs w:val="18"/>
              </w:rPr>
              <w:t>递延所得税负债增加（减少以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存货的减少（增加以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28,002,569.23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-50,312,578.09</w:t>
            </w:r>
          </w:p>
        </w:tc>
      </w:tr>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left"/>
              <w:rPr>
                <w:sz w:val="18"/>
                <w:szCs w:val="18"/>
              </w:rPr>
            </w:pPr>
            <w:r>
              <w:rPr>
                <w:color w:val="000000"/>
                <w:spacing w:val="0"/>
                <w:w w:val="100"/>
                <w:position w:val="0"/>
                <w:sz w:val="18"/>
                <w:szCs w:val="18"/>
              </w:rPr>
              <w:t>经营性应收项目的减少（增加以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-72,051,515.17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-58,618,787.85</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740"/>
              <w:jc w:val="left"/>
              <w:rPr>
                <w:sz w:val="18"/>
                <w:szCs w:val="18"/>
              </w:rPr>
            </w:pPr>
            <w:r>
              <w:rPr>
                <w:color w:val="000000"/>
                <w:spacing w:val="0"/>
                <w:w w:val="100"/>
                <w:position w:val="0"/>
                <w:sz w:val="18"/>
                <w:szCs w:val="18"/>
              </w:rPr>
              <w:t>经营性应付项目的增加（减少以</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-19,028,477.41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74,678,582.15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-18,999,473.90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-4,971,602.19</w:t>
            </w: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.不涉及现金收支的重大投资和筹资活</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债务转为资本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59" w:line="1" w:lineRule="exact"/>
      </w:pPr>
    </w:p>
    <w:p>
      <w:pPr>
        <w:pStyle w:val="Style83"/>
        <w:keepNext w:val="0"/>
        <w:keepLines w:val="0"/>
        <w:widowControl w:val="0"/>
        <w:shd w:val="clear" w:color="auto" w:fill="auto"/>
        <w:bidi w:val="0"/>
        <w:spacing w:before="0" w:after="0" w:line="240" w:lineRule="auto"/>
        <w:ind w:left="0" w:right="0" w:firstLine="0"/>
        <w:jc w:val="right"/>
      </w:pPr>
      <w:r>
        <w:rPr>
          <w:spacing w:val="0"/>
          <w:w w:val="100"/>
          <w:position w:val="0"/>
        </w:rPr>
        <w:t>cninf^r</w:t>
      </w:r>
    </w:p>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SimHei" w:eastAsia="SimHei" w:hAnsi="SimHei" w:cs="SimHei"/>
          <w:color w:val="A2A2A2"/>
          <w:spacing w:val="0"/>
          <w:w w:val="100"/>
          <w:position w:val="0"/>
          <w:sz w:val="12"/>
          <w:szCs w:val="12"/>
        </w:rPr>
        <w:t>巨潮资讯</w:t>
      </w:r>
    </w:p>
    <w:p>
      <w:pPr>
        <w:pStyle w:val="Style86"/>
        <w:keepNext w:val="0"/>
        <w:keepLines w:val="0"/>
        <w:widowControl w:val="0"/>
        <w:shd w:val="clear" w:color="auto" w:fill="auto"/>
        <w:bidi w:val="0"/>
        <w:spacing w:before="0" w:after="0" w:line="240" w:lineRule="auto"/>
        <w:ind w:left="0" w:right="0" w:firstLine="0"/>
        <w:jc w:val="right"/>
        <w:sectPr>
          <w:headerReference w:type="default" r:id="rId339"/>
          <w:footerReference w:type="default" r:id="rId340"/>
          <w:headerReference w:type="even" r:id="rId341"/>
          <w:footerReference w:type="even" r:id="rId342"/>
          <w:footnotePr>
            <w:pos w:val="pageBottom"/>
            <w:numFmt w:val="decimal"/>
            <w:numRestart w:val="continuous"/>
          </w:footnotePr>
          <w:pgSz w:w="11900" w:h="16840"/>
          <w:pgMar w:top="1484" w:right="1114" w:bottom="169" w:left="1119" w:header="0" w:footer="3" w:gutter="0"/>
          <w:cols w:space="720"/>
          <w:noEndnote/>
          <w:rtlGutter w:val="0"/>
          <w:docGrid w:linePitch="360"/>
        </w:sectPr>
      </w:pPr>
      <w:r>
        <w:rPr>
          <w:spacing w:val="0"/>
          <w:w w:val="100"/>
          <w:position w:val="0"/>
        </w:rPr>
        <w:t>ww.cnlnTo.com.cn</w:t>
      </w:r>
    </w:p>
    <w:tbl>
      <w:tblPr>
        <w:tblOverlap w:val="never"/>
        <w:jc w:val="center"/>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.现金及现金等价物净变动情况：</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现金的期末余额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246,113,172.65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275,011,614.40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减：现金的期初余额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275,011,614.40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108,365,888.35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-28,898,441.75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166,645,726.05</w:t>
            </w:r>
          </w:p>
        </w:tc>
      </w:tr>
    </w:tbl>
    <w:p>
      <w:pPr>
        <w:widowControl w:val="0"/>
        <w:spacing w:after="339" w:line="1" w:lineRule="exact"/>
      </w:pPr>
    </w:p>
    <w:p>
      <w:pPr>
        <w:pStyle w:val="Style60"/>
        <w:keepNext/>
        <w:keepLines/>
        <w:widowControl w:val="0"/>
        <w:shd w:val="clear" w:color="auto" w:fill="auto"/>
        <w:bidi w:val="0"/>
        <w:spacing w:before="0" w:after="340" w:line="240" w:lineRule="auto"/>
        <w:ind w:left="0" w:right="0" w:firstLine="140"/>
        <w:jc w:val="left"/>
      </w:pPr>
      <w:bookmarkStart w:id="1409" w:name="bookmark1409"/>
      <w:bookmarkStart w:id="1410" w:name="bookmark1410"/>
      <w:bookmarkStart w:id="1411" w:name="bookmark1411"/>
      <w:r>
        <w:rPr>
          <w:rFonts w:ascii="Times New Roman" w:eastAsia="Times New Roman" w:hAnsi="Times New Roman" w:cs="Times New Roman"/>
          <w:color w:val="000000"/>
          <w:spacing w:val="0"/>
          <w:w w:val="100"/>
          <w:position w:val="0"/>
        </w:rPr>
        <w:t>(2</w:t>
      </w:r>
      <w:r>
        <w:rPr>
          <w:color w:val="000000"/>
          <w:spacing w:val="0"/>
          <w:w w:val="100"/>
          <w:position w:val="0"/>
        </w:rPr>
        <w:t>)现金和现金等价物的构成</w:t>
      </w:r>
      <w:bookmarkEnd w:id="1409"/>
      <w:bookmarkEnd w:id="1410"/>
      <w:bookmarkEnd w:id="141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246,113,172.65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275,011,614.40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可随时用于支付的银行存款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246,110,109.04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275,008,550.79</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可随时用于支付的其他货币资金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3,063.61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3,063.61</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246,113,172.65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275,011,614.40</w:t>
            </w:r>
          </w:p>
        </w:tc>
      </w:tr>
    </w:tbl>
    <w:p>
      <w:pPr>
        <w:widowControl w:val="0"/>
        <w:spacing w:after="79" w:line="1" w:lineRule="exact"/>
      </w:pP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line="240" w:lineRule="auto"/>
        <w:ind w:left="0" w:right="0" w:firstLine="0"/>
        <w:jc w:val="left"/>
      </w:pPr>
      <w:bookmarkStart w:id="1412" w:name="bookmark1412"/>
      <w:bookmarkStart w:id="1413" w:name="bookmark1413"/>
      <w:bookmarkStart w:id="1414" w:name="bookmark1414"/>
      <w:bookmarkStart w:id="1415" w:name="bookmark1415"/>
      <w:r>
        <w:rPr>
          <w:rFonts w:ascii="Times New Roman" w:eastAsia="Times New Roman" w:hAnsi="Times New Roman" w:cs="Times New Roman"/>
          <w:color w:val="000000"/>
          <w:spacing w:val="0"/>
          <w:w w:val="100"/>
          <w:position w:val="0"/>
        </w:rPr>
        <w:t>4</w:t>
      </w:r>
      <w:bookmarkEnd w:id="1414"/>
      <w:r>
        <w:rPr>
          <w:rFonts w:ascii="Times New Roman" w:eastAsia="Times New Roman" w:hAnsi="Times New Roman" w:cs="Times New Roman"/>
          <w:color w:val="000000"/>
          <w:spacing w:val="0"/>
          <w:w w:val="100"/>
          <w:position w:val="0"/>
        </w:rPr>
        <w:t>6</w:t>
      </w:r>
      <w:r>
        <w:rPr>
          <w:color w:val="000000"/>
          <w:spacing w:val="0"/>
          <w:w w:val="100"/>
          <w:position w:val="0"/>
        </w:rPr>
        <w:t>、所有权或使用权受到限制的资产</w:t>
      </w:r>
      <w:bookmarkEnd w:id="1412"/>
      <w:bookmarkEnd w:id="1413"/>
      <w:bookmarkEnd w:id="141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期末账面价值</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受限原因</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7,147,906.76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履约保证金</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7,147,906.76</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line="240" w:lineRule="auto"/>
        <w:ind w:left="0" w:right="0" w:firstLine="0"/>
        <w:jc w:val="left"/>
      </w:pPr>
      <w:bookmarkStart w:id="1416" w:name="bookmark1416"/>
      <w:bookmarkStart w:id="1417" w:name="bookmark1417"/>
      <w:bookmarkStart w:id="1418" w:name="bookmark1418"/>
      <w:bookmarkStart w:id="1419" w:name="bookmark1419"/>
      <w:r>
        <w:rPr>
          <w:rFonts w:ascii="Times New Roman" w:eastAsia="Times New Roman" w:hAnsi="Times New Roman" w:cs="Times New Roman"/>
          <w:color w:val="000000"/>
          <w:spacing w:val="0"/>
          <w:w w:val="100"/>
          <w:position w:val="0"/>
        </w:rPr>
        <w:t>4</w:t>
      </w:r>
      <w:bookmarkEnd w:id="1418"/>
      <w:r>
        <w:rPr>
          <w:rFonts w:ascii="Times New Roman" w:eastAsia="Times New Roman" w:hAnsi="Times New Roman" w:cs="Times New Roman"/>
          <w:color w:val="000000"/>
          <w:spacing w:val="0"/>
          <w:w w:val="100"/>
          <w:position w:val="0"/>
        </w:rPr>
        <w:t>7</w:t>
      </w:r>
      <w:r>
        <w:rPr>
          <w:color w:val="000000"/>
          <w:spacing w:val="0"/>
          <w:w w:val="100"/>
          <w:position w:val="0"/>
        </w:rPr>
        <w:t>、政府补助</w:t>
      </w:r>
      <w:bookmarkEnd w:id="1416"/>
      <w:bookmarkEnd w:id="1417"/>
      <w:bookmarkEnd w:id="1419"/>
    </w:p>
    <w:p>
      <w:pPr>
        <w:pStyle w:val="Style60"/>
        <w:keepNext/>
        <w:keepLines/>
        <w:widowControl w:val="0"/>
        <w:shd w:val="clear" w:color="auto" w:fill="auto"/>
        <w:bidi w:val="0"/>
        <w:spacing w:before="0" w:after="340" w:line="240" w:lineRule="auto"/>
        <w:ind w:left="0" w:right="0" w:firstLine="140"/>
        <w:jc w:val="left"/>
      </w:pPr>
      <w:bookmarkStart w:id="1420" w:name="bookmark1420"/>
      <w:bookmarkStart w:id="1421" w:name="bookmark1421"/>
      <w:bookmarkStart w:id="1422" w:name="bookmark1422"/>
      <w:r>
        <w:rPr>
          <w:rFonts w:ascii="Times New Roman" w:eastAsia="Times New Roman" w:hAnsi="Times New Roman" w:cs="Times New Roman"/>
          <w:color w:val="000000"/>
          <w:spacing w:val="0"/>
          <w:w w:val="100"/>
          <w:position w:val="0"/>
        </w:rPr>
        <w:t>(1</w:t>
      </w:r>
      <w:r>
        <w:rPr>
          <w:color w:val="000000"/>
          <w:spacing w:val="0"/>
          <w:w w:val="100"/>
          <w:position w:val="0"/>
        </w:rPr>
        <w:t>)政府补助基本情况</w:t>
      </w:r>
      <w:bookmarkEnd w:id="1420"/>
      <w:bookmarkEnd w:id="1421"/>
      <w:bookmarkEnd w:id="142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种类</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列报项目</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计入当期损益的金额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科技研发专项支持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12,420,213.72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递延收益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8,178,777.41</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其他拨入专款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2,283,574.48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其他收益</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2,283,574.48</w:t>
            </w:r>
          </w:p>
        </w:tc>
      </w:tr>
    </w:tbl>
    <w:p>
      <w:pPr>
        <w:pStyle w:val="Style60"/>
        <w:keepNext/>
        <w:keepLines/>
        <w:widowControl w:val="0"/>
        <w:shd w:val="clear" w:color="auto" w:fill="auto"/>
        <w:bidi w:val="0"/>
        <w:spacing w:before="0" w:after="380" w:line="240" w:lineRule="auto"/>
        <w:ind w:left="0" w:right="0" w:firstLine="0"/>
        <w:jc w:val="left"/>
      </w:pPr>
      <w:bookmarkStart w:id="1423" w:name="bookmark1423"/>
      <w:bookmarkStart w:id="1424" w:name="bookmark1424"/>
      <w:bookmarkStart w:id="1425" w:name="bookmark142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)政府补助退回情况</w:t>
      </w:r>
      <w:bookmarkEnd w:id="1423"/>
      <w:bookmarkEnd w:id="1424"/>
      <w:bookmarkEnd w:id="1425"/>
    </w:p>
    <w:p>
      <w:pPr>
        <w:pStyle w:val="Style3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其他说明：</w:t>
      </w:r>
    </w:p>
    <w:p>
      <w:pPr>
        <w:pStyle w:val="Style33"/>
        <w:keepNext/>
        <w:keepLines/>
        <w:widowControl w:val="0"/>
        <w:shd w:val="clear" w:color="auto" w:fill="auto"/>
        <w:bidi w:val="0"/>
        <w:spacing w:before="0" w:after="340" w:line="240" w:lineRule="auto"/>
        <w:ind w:left="0" w:right="0" w:firstLine="0"/>
        <w:jc w:val="left"/>
      </w:pPr>
      <w:bookmarkStart w:id="1426" w:name="bookmark1426"/>
      <w:bookmarkStart w:id="1427" w:name="bookmark1427"/>
      <w:bookmarkStart w:id="1428" w:name="bookmark1428"/>
      <w:bookmarkStart w:id="1429" w:name="bookmark1429"/>
      <w:r>
        <w:rPr>
          <w:color w:val="000000"/>
          <w:spacing w:val="0"/>
          <w:w w:val="100"/>
          <w:position w:val="0"/>
          <w:sz w:val="24"/>
          <w:szCs w:val="24"/>
        </w:rPr>
        <w:t>八</w:t>
      </w:r>
      <w:bookmarkEnd w:id="1428"/>
      <w:r>
        <w:rPr>
          <w:color w:val="000000"/>
          <w:spacing w:val="0"/>
          <w:w w:val="100"/>
          <w:position w:val="0"/>
          <w:sz w:val="24"/>
          <w:szCs w:val="24"/>
        </w:rPr>
        <w:t>、在其他主体中的权益</w:t>
      </w:r>
      <w:bookmarkEnd w:id="1426"/>
      <w:bookmarkEnd w:id="1427"/>
      <w:bookmarkEnd w:id="1429"/>
    </w:p>
    <w:p>
      <w:pPr>
        <w:pStyle w:val="Style44"/>
        <w:keepNext/>
        <w:keepLines/>
        <w:widowControl w:val="0"/>
        <w:shd w:val="clear" w:color="auto" w:fill="auto"/>
        <w:bidi w:val="0"/>
        <w:spacing w:before="0" w:line="240" w:lineRule="auto"/>
        <w:ind w:left="0" w:right="0" w:firstLine="0"/>
        <w:jc w:val="left"/>
      </w:pPr>
      <w:bookmarkStart w:id="1430" w:name="bookmark1430"/>
      <w:bookmarkStart w:id="1431" w:name="bookmark1431"/>
      <w:bookmarkStart w:id="1432" w:name="bookmark1432"/>
      <w:r>
        <w:rPr>
          <w:rFonts w:ascii="Times New Roman" w:eastAsia="Times New Roman" w:hAnsi="Times New Roman" w:cs="Times New Roman"/>
          <w:color w:val="000000"/>
          <w:spacing w:val="0"/>
          <w:w w:val="100"/>
          <w:position w:val="0"/>
        </w:rPr>
        <w:t>1</w:t>
      </w:r>
      <w:r>
        <w:rPr>
          <w:color w:val="000000"/>
          <w:spacing w:val="0"/>
          <w:w w:val="100"/>
          <w:position w:val="0"/>
        </w:rPr>
        <w:t>、在子公司中的权益</w:t>
      </w:r>
      <w:bookmarkEnd w:id="1430"/>
      <w:bookmarkEnd w:id="1431"/>
      <w:bookmarkEnd w:id="1432"/>
    </w:p>
    <w:p>
      <w:pPr>
        <w:pStyle w:val="Style60"/>
        <w:keepNext/>
        <w:keepLines/>
        <w:widowControl w:val="0"/>
        <w:shd w:val="clear" w:color="auto" w:fill="auto"/>
        <w:bidi w:val="0"/>
        <w:spacing w:before="0" w:after="340" w:line="240" w:lineRule="auto"/>
        <w:ind w:left="0" w:right="0" w:firstLine="140"/>
        <w:jc w:val="left"/>
      </w:pPr>
      <w:bookmarkStart w:id="1433" w:name="bookmark1433"/>
      <w:bookmarkStart w:id="1434" w:name="bookmark1434"/>
      <w:bookmarkStart w:id="1435" w:name="bookmark1435"/>
      <w:r>
        <w:rPr>
          <w:rFonts w:ascii="Times New Roman" w:eastAsia="Times New Roman" w:hAnsi="Times New Roman" w:cs="Times New Roman"/>
          <w:color w:val="000000"/>
          <w:spacing w:val="0"/>
          <w:w w:val="100"/>
          <w:position w:val="0"/>
        </w:rPr>
        <w:t>(1</w:t>
      </w:r>
      <w:r>
        <w:rPr>
          <w:color w:val="000000"/>
          <w:spacing w:val="0"/>
          <w:w w:val="100"/>
          <w:position w:val="0"/>
        </w:rPr>
        <w:t>)企业集团的构成</w:t>
      </w:r>
      <w:bookmarkEnd w:id="1433"/>
      <w:bookmarkEnd w:id="1434"/>
      <w:bookmarkEnd w:id="1435"/>
    </w:p>
    <w:tbl>
      <w:tblPr>
        <w:tblOverlap w:val="never"/>
        <w:jc w:val="center"/>
        <w:tblLayout w:type="fixed"/>
      </w:tblPr>
      <w:tblGrid>
        <w:gridCol w:w="1378"/>
        <w:gridCol w:w="1368"/>
        <w:gridCol w:w="1363"/>
        <w:gridCol w:w="1368"/>
        <w:gridCol w:w="1368"/>
        <w:gridCol w:w="1368"/>
        <w:gridCol w:w="1373"/>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子公司名称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主要经营地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注册地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业务性质</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持股比例</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取得方式</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直接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间接</w:t>
            </w:r>
          </w:p>
        </w:tc>
        <w:tc>
          <w:tcPr>
            <w:vMerge/>
            <w:tcBorders>
              <w:left w:val="single" w:sz="4"/>
              <w:right w:val="single" w:sz="4"/>
            </w:tcBorders>
            <w:shd w:val="clear" w:color="auto" w:fill="D4D4D4"/>
            <w:vAlign w:val="center"/>
          </w:tcPr>
          <w:p>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成都中科石油工 程技术股份有限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计算机应用服务</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成都中科信息技 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四川省成都市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计算机应用服务</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投资设立</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中科院金华信息 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浙江省金华市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金华市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计算机应用服务</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投资设立</w:t>
            </w:r>
          </w:p>
        </w:tc>
      </w:tr>
    </w:tbl>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在子公司的持股比例不同于表决权比例的说明：</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无</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持有半数或以下表决权但仍控制被投资单位、以及持有半数以上表决权但不控制被投资单位的依据: 无</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对于纳入合并范围的重要的结构化主体，控制的依据：</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无</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确定公司是代理人还是委托人的依据：</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无</w:t>
      </w:r>
    </w:p>
    <w:p>
      <w:pPr>
        <w:pStyle w:val="Style35"/>
        <w:keepNext w:val="0"/>
        <w:keepLines w:val="0"/>
        <w:widowControl w:val="0"/>
        <w:shd w:val="clear" w:color="auto" w:fill="auto"/>
        <w:bidi w:val="0"/>
        <w:spacing w:before="0" w:after="0" w:line="355" w:lineRule="exact"/>
        <w:ind w:left="0" w:right="0" w:firstLine="0"/>
        <w:jc w:val="left"/>
      </w:pPr>
      <w:r>
        <w:rPr>
          <w:color w:val="000000"/>
          <w:spacing w:val="0"/>
          <w:w w:val="100"/>
          <w:position w:val="0"/>
        </w:rPr>
        <w:t>其他说明：</w:t>
      </w:r>
    </w:p>
    <w:p>
      <w:pPr>
        <w:pStyle w:val="Style35"/>
        <w:keepNext w:val="0"/>
        <w:keepLines w:val="0"/>
        <w:widowControl w:val="0"/>
        <w:shd w:val="clear" w:color="auto" w:fill="auto"/>
        <w:bidi w:val="0"/>
        <w:spacing w:before="0" w:after="340" w:line="355" w:lineRule="exact"/>
        <w:ind w:left="0" w:right="0" w:firstLine="0"/>
        <w:jc w:val="left"/>
      </w:pPr>
      <w:r>
        <w:rPr>
          <w:color w:val="000000"/>
          <w:spacing w:val="0"/>
          <w:w w:val="100"/>
          <w:position w:val="0"/>
        </w:rPr>
        <w:t>无</w:t>
      </w:r>
    </w:p>
    <w:p>
      <w:pPr>
        <w:pStyle w:val="Style60"/>
        <w:keepNext/>
        <w:keepLines/>
        <w:widowControl w:val="0"/>
        <w:shd w:val="clear" w:color="auto" w:fill="auto"/>
        <w:bidi w:val="0"/>
        <w:spacing w:before="0" w:after="380" w:line="240" w:lineRule="auto"/>
        <w:ind w:left="0" w:right="0" w:firstLine="0"/>
        <w:jc w:val="left"/>
      </w:pPr>
      <w:bookmarkStart w:id="1436" w:name="bookmark1436"/>
      <w:bookmarkStart w:id="1437" w:name="bookmark1437"/>
      <w:bookmarkStart w:id="1438" w:name="bookmark1438"/>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)重要的非全资子公司</w:t>
      </w:r>
      <w:bookmarkEnd w:id="1436"/>
      <w:bookmarkEnd w:id="1437"/>
      <w:bookmarkEnd w:id="143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center"/>
        <w:tblLayout w:type="fixed"/>
      </w:tblPr>
      <w:tblGrid>
        <w:gridCol w:w="1920"/>
        <w:gridCol w:w="1915"/>
        <w:gridCol w:w="1915"/>
        <w:gridCol w:w="1910"/>
        <w:gridCol w:w="1925"/>
      </w:tblGrid>
      <w:tr>
        <w:trPr>
          <w:trHeight w:val="77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子公司名称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少数股东持股比例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本期归属于少数股东的</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损益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本期向少数股东宣告分</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派的股利</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期末少数股东权益余额</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成都中科石油工程技术</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45.00%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249,660.07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259,367.41</w:t>
            </w:r>
          </w:p>
        </w:tc>
      </w:tr>
    </w:tbl>
    <w:p>
      <w:pPr>
        <w:pStyle w:val="Style35"/>
        <w:keepNext w:val="0"/>
        <w:keepLines w:val="0"/>
        <w:widowControl w:val="0"/>
        <w:shd w:val="clear" w:color="auto" w:fill="auto"/>
        <w:bidi w:val="0"/>
        <w:spacing w:before="0" w:after="340" w:line="360" w:lineRule="exact"/>
        <w:ind w:left="0" w:right="0" w:firstLine="0"/>
        <w:jc w:val="left"/>
      </w:pPr>
      <w:r>
        <w:rPr>
          <w:color w:val="000000"/>
          <w:spacing w:val="0"/>
          <w:w w:val="100"/>
          <w:position w:val="0"/>
        </w:rPr>
        <w:t>子公司少数股东的持股比例不同于表决权比例的说明: 无</w:t>
      </w:r>
      <w:r>
        <w:br w:type="page"/>
      </w: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其他说明：</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无</w:t>
      </w:r>
    </w:p>
    <w:p>
      <w:pPr>
        <w:pStyle w:val="Style60"/>
        <w:keepNext/>
        <w:keepLines/>
        <w:widowControl w:val="0"/>
        <w:numPr>
          <w:ilvl w:val="0"/>
          <w:numId w:val="101"/>
        </w:numPr>
        <w:shd w:val="clear" w:color="auto" w:fill="auto"/>
        <w:bidi w:val="0"/>
        <w:spacing w:before="0" w:after="380" w:line="240" w:lineRule="auto"/>
        <w:ind w:left="0" w:right="0" w:firstLine="0"/>
        <w:jc w:val="left"/>
      </w:pPr>
      <w:bookmarkStart w:id="1439" w:name="bookmark1439"/>
      <w:bookmarkStart w:id="1440" w:name="bookmark1440"/>
      <w:bookmarkStart w:id="1441" w:name="bookmark1441"/>
      <w:bookmarkStart w:id="1442" w:name="bookmark1442"/>
      <w:bookmarkEnd w:id="1441"/>
      <w:r>
        <w:rPr>
          <w:color w:val="000000"/>
          <w:spacing w:val="0"/>
          <w:w w:val="100"/>
          <w:position w:val="0"/>
        </w:rPr>
        <w:t>重要非全资子公司的主要财务信息</w:t>
      </w:r>
      <w:bookmarkEnd w:id="1439"/>
      <w:bookmarkEnd w:id="1440"/>
      <w:bookmarkEnd w:id="1442"/>
    </w:p>
    <w:p>
      <w:pPr>
        <w:pStyle w:val="Style35"/>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744"/>
        <w:gridCol w:w="734"/>
        <w:gridCol w:w="739"/>
        <w:gridCol w:w="734"/>
        <w:gridCol w:w="734"/>
        <w:gridCol w:w="739"/>
        <w:gridCol w:w="734"/>
        <w:gridCol w:w="734"/>
        <w:gridCol w:w="730"/>
        <w:gridCol w:w="739"/>
        <w:gridCol w:w="734"/>
        <w:gridCol w:w="734"/>
        <w:gridCol w:w="749"/>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子公司 名称</w:t>
            </w:r>
          </w:p>
        </w:tc>
        <w:tc>
          <w:tcPr>
            <w:gridSpan w:val="6"/>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6"/>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流动资 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非流动</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资产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资产合 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流动负 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非流动</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负债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负债合 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流动资 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非流动 资产</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资产合 计</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流动负 债</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非流动 负债</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负债合 计</w:t>
            </w:r>
          </w:p>
        </w:tc>
      </w:tr>
      <w:tr>
        <w:trPr>
          <w:trHeight w:val="197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rPr>
                <w:sz w:val="18"/>
                <w:szCs w:val="18"/>
              </w:rPr>
            </w:pPr>
            <w:r>
              <w:rPr>
                <w:color w:val="000000"/>
                <w:spacing w:val="0"/>
                <w:w w:val="100"/>
                <w:position w:val="0"/>
                <w:sz w:val="18"/>
                <w:szCs w:val="18"/>
              </w:rPr>
              <w:t>成都中 科石油 工程技 术股份 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18,957,4</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88.89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714,345.</w:t>
            </w:r>
          </w:p>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19,671,8</w:t>
            </w:r>
          </w:p>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34.70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19,097,6</w:t>
            </w:r>
          </w:p>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28.66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19,097,6</w:t>
            </w:r>
          </w:p>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28.66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20,261,0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1,070,56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21,331,6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21,310,0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21,310,0</w:t>
            </w:r>
          </w:p>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60.83</w:t>
            </w:r>
          </w:p>
        </w:tc>
      </w:tr>
    </w:tbl>
    <w:p>
      <w:pPr>
        <w:widowControl w:val="0"/>
        <w:spacing w:after="79" w:line="1" w:lineRule="exact"/>
      </w:pPr>
    </w:p>
    <w:p>
      <w:pPr>
        <w:pStyle w:val="Style41"/>
        <w:keepNext w:val="0"/>
        <w:keepLines w:val="0"/>
        <w:widowControl w:val="0"/>
        <w:shd w:val="clear" w:color="auto" w:fill="auto"/>
        <w:bidi w:val="0"/>
        <w:spacing w:before="0" w:after="0" w:line="240" w:lineRule="auto"/>
        <w:ind w:left="8909" w:right="0" w:firstLine="0"/>
        <w:jc w:val="left"/>
        <w:rPr>
          <w:sz w:val="18"/>
          <w:szCs w:val="18"/>
        </w:rPr>
      </w:pPr>
      <w:r>
        <w:rPr>
          <w:b w:val="0"/>
          <w:bCs w:val="0"/>
          <w:color w:val="000000"/>
          <w:spacing w:val="0"/>
          <w:w w:val="100"/>
          <w:position w:val="0"/>
          <w:sz w:val="18"/>
          <w:szCs w:val="18"/>
        </w:rPr>
        <w:t>单位：元</w:t>
      </w:r>
    </w:p>
    <w:tbl>
      <w:tblPr>
        <w:tblOverlap w:val="never"/>
        <w:jc w:val="left"/>
        <w:tblLayout w:type="fixed"/>
      </w:tblPr>
      <w:tblGrid>
        <w:gridCol w:w="1066"/>
        <w:gridCol w:w="1066"/>
        <w:gridCol w:w="1061"/>
        <w:gridCol w:w="1061"/>
        <w:gridCol w:w="1066"/>
        <w:gridCol w:w="1066"/>
        <w:gridCol w:w="1061"/>
        <w:gridCol w:w="1066"/>
        <w:gridCol w:w="1075"/>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子公司名称</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gridSpan w:val="4"/>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营业收入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净利润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综合收益总 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center"/>
              <w:rPr>
                <w:sz w:val="18"/>
                <w:szCs w:val="18"/>
              </w:rPr>
            </w:pPr>
            <w:r>
              <w:rPr>
                <w:color w:val="000000"/>
                <w:spacing w:val="0"/>
                <w:w w:val="100"/>
                <w:position w:val="0"/>
                <w:sz w:val="18"/>
                <w:szCs w:val="18"/>
              </w:rPr>
              <w:t>经营活动现 金流量</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160" w:firstLine="0"/>
              <w:jc w:val="right"/>
              <w:rPr>
                <w:sz w:val="18"/>
                <w:szCs w:val="18"/>
              </w:rPr>
            </w:pPr>
            <w:r>
              <w:rPr>
                <w:color w:val="000000"/>
                <w:spacing w:val="0"/>
                <w:w w:val="100"/>
                <w:position w:val="0"/>
                <w:sz w:val="18"/>
                <w:szCs w:val="18"/>
              </w:rPr>
              <w:t>营业收入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净利润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8"/>
                <w:szCs w:val="18"/>
              </w:rPr>
              <w:t>综合收益总 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02" w:lineRule="exact"/>
              <w:ind w:left="0" w:right="0" w:firstLine="0"/>
              <w:jc w:val="center"/>
              <w:rPr>
                <w:sz w:val="18"/>
                <w:szCs w:val="18"/>
              </w:rPr>
            </w:pPr>
            <w:r>
              <w:rPr>
                <w:color w:val="000000"/>
                <w:spacing w:val="0"/>
                <w:w w:val="100"/>
                <w:position w:val="0"/>
                <w:sz w:val="18"/>
                <w:szCs w:val="18"/>
              </w:rPr>
              <w:t>经营活动现 金流量</w:t>
            </w:r>
          </w:p>
        </w:tc>
      </w:tr>
      <w:tr>
        <w:trPr>
          <w:trHeight w:val="134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成都中科石 油工程技术 股份有限公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16,395,208.8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552,634.17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552,634.17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1,932,716.76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15,605,571.1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1,331,849.47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1,331,849.47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-959,140.97</w:t>
            </w:r>
          </w:p>
        </w:tc>
      </w:tr>
    </w:tbl>
    <w:p>
      <w:pPr>
        <w:widowControl w:val="0"/>
        <w:spacing w:after="79" w:line="1" w:lineRule="exact"/>
      </w:pP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其他说明：</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无</w:t>
      </w:r>
    </w:p>
    <w:p>
      <w:pPr>
        <w:pStyle w:val="Style44"/>
        <w:keepNext/>
        <w:keepLines/>
        <w:widowControl w:val="0"/>
        <w:shd w:val="clear" w:color="auto" w:fill="auto"/>
        <w:bidi w:val="0"/>
        <w:spacing w:before="0" w:line="240" w:lineRule="auto"/>
        <w:ind w:left="0" w:right="0" w:firstLine="0"/>
        <w:jc w:val="left"/>
      </w:pPr>
      <w:bookmarkStart w:id="1443" w:name="bookmark1443"/>
      <w:bookmarkStart w:id="1444" w:name="bookmark1444"/>
      <w:bookmarkStart w:id="1445" w:name="bookmark1445"/>
      <w:r>
        <w:rPr>
          <w:rFonts w:ascii="Times New Roman" w:eastAsia="Times New Roman" w:hAnsi="Times New Roman" w:cs="Times New Roman"/>
          <w:color w:val="000000"/>
          <w:spacing w:val="0"/>
          <w:w w:val="100"/>
          <w:position w:val="0"/>
        </w:rPr>
        <w:t>2</w:t>
      </w:r>
      <w:r>
        <w:rPr>
          <w:color w:val="000000"/>
          <w:spacing w:val="0"/>
          <w:w w:val="100"/>
          <w:position w:val="0"/>
        </w:rPr>
        <w:t>、在合营安排或联营企业中的权益</w:t>
      </w:r>
      <w:bookmarkEnd w:id="1443"/>
      <w:bookmarkEnd w:id="1444"/>
      <w:bookmarkEnd w:id="1445"/>
    </w:p>
    <w:p>
      <w:pPr>
        <w:pStyle w:val="Style60"/>
        <w:keepNext/>
        <w:keepLines/>
        <w:widowControl w:val="0"/>
        <w:shd w:val="clear" w:color="auto" w:fill="auto"/>
        <w:bidi w:val="0"/>
        <w:spacing w:before="0" w:after="340" w:line="240" w:lineRule="auto"/>
        <w:ind w:left="0" w:right="0" w:firstLine="140"/>
        <w:jc w:val="left"/>
      </w:pPr>
      <w:bookmarkStart w:id="1446" w:name="bookmark1446"/>
      <w:bookmarkStart w:id="1447" w:name="bookmark1447"/>
      <w:bookmarkStart w:id="1448" w:name="bookmark1448"/>
      <w:r>
        <w:rPr>
          <w:rFonts w:ascii="Times New Roman" w:eastAsia="Times New Roman" w:hAnsi="Times New Roman" w:cs="Times New Roman"/>
          <w:color w:val="000000"/>
          <w:spacing w:val="0"/>
          <w:w w:val="100"/>
          <w:position w:val="0"/>
        </w:rPr>
        <w:t>(1</w:t>
      </w:r>
      <w:r>
        <w:rPr>
          <w:color w:val="000000"/>
          <w:spacing w:val="0"/>
          <w:w w:val="100"/>
          <w:position w:val="0"/>
        </w:rPr>
        <w:t>)重要的合营企业或联营企业</w:t>
      </w:r>
      <w:bookmarkEnd w:id="1446"/>
      <w:bookmarkEnd w:id="1447"/>
      <w:bookmarkEnd w:id="1448"/>
    </w:p>
    <w:tbl>
      <w:tblPr>
        <w:tblOverlap w:val="never"/>
        <w:jc w:val="left"/>
        <w:tblLayout w:type="fixed"/>
      </w:tblPr>
      <w:tblGrid>
        <w:gridCol w:w="1378"/>
        <w:gridCol w:w="1368"/>
        <w:gridCol w:w="1363"/>
        <w:gridCol w:w="1368"/>
        <w:gridCol w:w="1368"/>
        <w:gridCol w:w="1368"/>
        <w:gridCol w:w="1373"/>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合营企业或联营 企业名称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主要经营地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注册地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业务性质</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持股比例</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4" w:lineRule="exact"/>
              <w:ind w:left="0" w:right="0" w:firstLine="0"/>
              <w:jc w:val="center"/>
              <w:rPr>
                <w:sz w:val="18"/>
                <w:szCs w:val="18"/>
              </w:rPr>
            </w:pPr>
            <w:r>
              <w:rPr>
                <w:color w:val="000000"/>
                <w:spacing w:val="0"/>
                <w:w w:val="100"/>
                <w:position w:val="0"/>
                <w:sz w:val="18"/>
                <w:szCs w:val="18"/>
              </w:rPr>
              <w:t>对合营企业或联 营企业投资的会 计处理方法</w:t>
            </w:r>
          </w:p>
        </w:tc>
      </w:tr>
      <w:tr>
        <w:trPr>
          <w:trHeight w:val="624"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直接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间接</w:t>
            </w:r>
          </w:p>
        </w:tc>
        <w:tc>
          <w:tcPr>
            <w:vMerge/>
            <w:tcBorders>
              <w:left w:val="single" w:sz="4"/>
              <w:right w:val="single" w:sz="4"/>
            </w:tcBorders>
            <w:shd w:val="clear" w:color="auto" w:fill="D4D4D4"/>
            <w:vAlign w:val="center"/>
          </w:tcPr>
          <w:p>
            <w:pP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深圳市中钞科信 金融科技有限公 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计算机应用服务</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40.00%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权益法</w:t>
            </w:r>
          </w:p>
        </w:tc>
      </w:tr>
    </w:tbl>
    <w:p>
      <w:pPr>
        <w:widowControl w:val="0"/>
        <w:spacing w:after="79" w:line="1" w:lineRule="exact"/>
      </w:pP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在合营企业或联营企业的持股比例不同于表决权比例的说明：</w:t>
      </w:r>
    </w:p>
    <w:p>
      <w:pPr>
        <w:pStyle w:val="Style35"/>
        <w:keepNext w:val="0"/>
        <w:keepLines w:val="0"/>
        <w:widowControl w:val="0"/>
        <w:shd w:val="clear" w:color="auto" w:fill="auto"/>
        <w:bidi w:val="0"/>
        <w:spacing w:before="0" w:after="140" w:line="240" w:lineRule="auto"/>
        <w:ind w:left="0" w:right="0" w:firstLine="0"/>
        <w:jc w:val="left"/>
        <w:sectPr>
          <w:headerReference w:type="default" r:id="rId343"/>
          <w:footerReference w:type="default" r:id="rId344"/>
          <w:headerReference w:type="even" r:id="rId345"/>
          <w:footerReference w:type="even" r:id="rId346"/>
          <w:headerReference w:type="first" r:id="rId347"/>
          <w:footerReference w:type="first" r:id="rId348"/>
          <w:footnotePr>
            <w:pos w:val="pageBottom"/>
            <w:numFmt w:val="decimal"/>
            <w:numRestart w:val="continuous"/>
          </w:footnotePr>
          <w:pgSz w:w="11900" w:h="16840"/>
          <w:pgMar w:top="1436" w:right="548" w:bottom="1695" w:left="566" w:header="0" w:footer="3" w:gutter="0"/>
          <w:cols w:space="720"/>
          <w:noEndnote/>
          <w:titlePg/>
          <w:rtlGutter w:val="0"/>
          <w:docGrid w:linePitch="360"/>
        </w:sectPr>
      </w:pPr>
      <w:r>
        <w:rPr>
          <w:color w:val="000000"/>
          <w:spacing w:val="0"/>
          <w:w w:val="100"/>
          <w:position w:val="0"/>
        </w:rPr>
        <w:t>持有</w:t>
      </w:r>
      <w:r>
        <w:rPr>
          <w:rFonts w:ascii="Times New Roman" w:eastAsia="Times New Roman" w:hAnsi="Times New Roman" w:cs="Times New Roman"/>
          <w:color w:val="000000"/>
          <w:spacing w:val="0"/>
          <w:w w:val="100"/>
          <w:position w:val="0"/>
        </w:rPr>
        <w:t>20%</w:t>
      </w:r>
      <w:r>
        <w:rPr>
          <w:color w:val="000000"/>
          <w:spacing w:val="0"/>
          <w:w w:val="100"/>
          <w:position w:val="0"/>
        </w:rPr>
        <w:t>以下表决权但具有重大影响，或者持有</w:t>
      </w:r>
      <w:r>
        <w:rPr>
          <w:rFonts w:ascii="Times New Roman" w:eastAsia="Times New Roman" w:hAnsi="Times New Roman" w:cs="Times New Roman"/>
          <w:color w:val="000000"/>
          <w:spacing w:val="0"/>
          <w:w w:val="100"/>
          <w:position w:val="0"/>
        </w:rPr>
        <w:t>20%</w:t>
      </w:r>
      <w:r>
        <w:rPr>
          <w:color w:val="000000"/>
          <w:spacing w:val="0"/>
          <w:w w:val="100"/>
          <w:position w:val="0"/>
        </w:rPr>
        <w:t>或以上表决权但不具有重大影响的依据:</w:t>
      </w:r>
    </w:p>
    <w:p>
      <w:pPr>
        <w:pStyle w:val="Style60"/>
        <w:keepNext/>
        <w:keepLines/>
        <w:widowControl w:val="0"/>
        <w:shd w:val="clear" w:color="auto" w:fill="auto"/>
        <w:bidi w:val="0"/>
        <w:spacing w:before="0" w:line="240" w:lineRule="auto"/>
        <w:ind w:left="0" w:right="0" w:firstLine="140"/>
        <w:jc w:val="left"/>
      </w:pPr>
      <w:bookmarkStart w:id="1449" w:name="bookmark1449"/>
      <w:bookmarkStart w:id="1450" w:name="bookmark1450"/>
      <w:bookmarkStart w:id="1451" w:name="bookmark1451"/>
      <w:r>
        <w:rPr>
          <w:rFonts w:ascii="Times New Roman" w:eastAsia="Times New Roman" w:hAnsi="Times New Roman" w:cs="Times New Roman"/>
          <w:color w:val="000000"/>
          <w:spacing w:val="0"/>
          <w:w w:val="100"/>
          <w:position w:val="0"/>
        </w:rPr>
        <w:t>(2</w:t>
      </w:r>
      <w:r>
        <w:rPr>
          <w:color w:val="000000"/>
          <w:spacing w:val="0"/>
          <w:w w:val="100"/>
          <w:position w:val="0"/>
        </w:rPr>
        <w:t>)重要联营企业的主要财务信息</w:t>
      </w:r>
      <w:bookmarkEnd w:id="1449"/>
      <w:bookmarkEnd w:id="1450"/>
      <w:bookmarkEnd w:id="1451"/>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3197"/>
        <w:gridCol w:w="3187"/>
        <w:gridCol w:w="3202"/>
      </w:tblGrid>
      <w:tr>
        <w:trPr>
          <w:trHeight w:val="408"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中钞科信</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中钞科信</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398,052,857.52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383,229,518.77</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39,105,468.88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1,301,972.84</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437,158,326.40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384,531,491.61</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150,277,619.14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116,717,391.23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2,671,800.00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152,949,419.14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116,717,391.23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归属于母公司股东权益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284,208,907.26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267,814,100.38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按持股比例计算的净资产份额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113,683,562.90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107,125,640.15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对联营企业权益投资的账面价值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113,683,562.90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107,125,640.15</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136,075,184.91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113,105,065.82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26,394,806.88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21,298,618.33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26,394,806.88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21,298,618.33</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本年度收到的来自联营企业的股利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10,000,000.00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5,000,000.00</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w:t>
      </w:r>
    </w:p>
    <w:p>
      <w:pPr>
        <w:widowControl w:val="0"/>
        <w:spacing w:after="359" w:line="1" w:lineRule="exact"/>
      </w:pPr>
    </w:p>
    <w:p>
      <w:pPr>
        <w:pStyle w:val="Style33"/>
        <w:keepNext/>
        <w:keepLines/>
        <w:widowControl w:val="0"/>
        <w:shd w:val="clear" w:color="auto" w:fill="auto"/>
        <w:bidi w:val="0"/>
        <w:spacing w:before="0" w:after="420" w:line="240" w:lineRule="auto"/>
        <w:ind w:left="0" w:right="0" w:firstLine="0"/>
        <w:jc w:val="left"/>
      </w:pPr>
      <w:bookmarkStart w:id="1452" w:name="bookmark1452"/>
      <w:bookmarkStart w:id="1453" w:name="bookmark1453"/>
      <w:bookmarkStart w:id="1454" w:name="bookmark1454"/>
      <w:bookmarkStart w:id="1455" w:name="bookmark1455"/>
      <w:r>
        <w:rPr>
          <w:color w:val="000000"/>
          <w:spacing w:val="0"/>
          <w:w w:val="100"/>
          <w:position w:val="0"/>
          <w:sz w:val="24"/>
          <w:szCs w:val="24"/>
        </w:rPr>
        <w:t>九</w:t>
      </w:r>
      <w:bookmarkEnd w:id="1454"/>
      <w:r>
        <w:rPr>
          <w:color w:val="000000"/>
          <w:spacing w:val="0"/>
          <w:w w:val="100"/>
          <w:position w:val="0"/>
          <w:sz w:val="24"/>
          <w:szCs w:val="24"/>
        </w:rPr>
        <w:t>、与金融工具相关的风险</w:t>
      </w:r>
      <w:bookmarkEnd w:id="1452"/>
      <w:bookmarkEnd w:id="1453"/>
      <w:bookmarkEnd w:id="1455"/>
    </w:p>
    <w:p>
      <w:pPr>
        <w:pStyle w:val="Style47"/>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本集团的主要金融工具，除衍生工具外，包括银行借款、其他计息借款、货币资金等。这些金融工具</w:t>
      </w:r>
    </w:p>
    <w:p>
      <w:pPr>
        <w:pStyle w:val="Style47"/>
        <w:keepNext w:val="0"/>
        <w:keepLines w:val="0"/>
        <w:widowControl w:val="0"/>
        <w:shd w:val="clear" w:color="auto" w:fill="auto"/>
        <w:bidi w:val="0"/>
        <w:spacing w:before="0" w:after="220" w:line="240" w:lineRule="auto"/>
        <w:ind w:left="0" w:right="0" w:firstLine="0"/>
        <w:jc w:val="left"/>
      </w:pPr>
      <w:r>
        <mc:AlternateContent>
          <mc:Choice Requires="wps">
            <w:drawing>
              <wp:anchor distT="0" distB="0" distL="50800" distR="50800" simplePos="0" relativeHeight="125829416" behindDoc="0" locked="0" layoutInCell="1" allowOverlap="1">
                <wp:simplePos x="0" y="0"/>
                <wp:positionH relativeFrom="page">
                  <wp:posOffset>6423025</wp:posOffset>
                </wp:positionH>
                <wp:positionV relativeFrom="paragraph">
                  <wp:posOffset>12700</wp:posOffset>
                </wp:positionV>
                <wp:extent cx="426720" cy="167640"/>
                <wp:wrapSquare wrapText="left"/>
                <wp:docPr id="1374" name="Shape 1374"/>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47"/>
                              <w:keepNext w:val="0"/>
                              <w:keepLines w:val="0"/>
                              <w:widowControl w:val="0"/>
                              <w:shd w:val="clear" w:color="auto" w:fill="auto"/>
                              <w:bidi w:val="0"/>
                              <w:spacing w:before="0" w:after="0" w:line="240" w:lineRule="auto"/>
                              <w:ind w:left="0" w:right="0" w:firstLine="0"/>
                              <w:jc w:val="right"/>
                            </w:pPr>
                            <w:r>
                              <w:rPr>
                                <w:color w:val="000000"/>
                                <w:spacing w:val="0"/>
                                <w:w w:val="100"/>
                                <w:position w:val="0"/>
                              </w:rPr>
                              <w:t>如应收</w:t>
                            </w:r>
                          </w:p>
                        </w:txbxContent>
                      </wps:txbx>
                      <wps:bodyPr wrap="none" lIns="0" tIns="0" rIns="0" bIns="0">
                        <a:noAutoFit/>
                      </wps:bodyPr>
                    </wps:wsp>
                  </a:graphicData>
                </a:graphic>
              </wp:anchor>
            </w:drawing>
          </mc:Choice>
          <mc:Fallback>
            <w:pict>
              <v:shape id="_x0000_s2400" type="#_x0000_t202" style="position:absolute;margin-left:505.75pt;margin-top:1.pt;width:33.600000000000001pt;height:13.200000000000001pt;z-index:-125829337;mso-wrap-distance-left:4.pt;mso-wrap-distance-right:4.pt;mso-position-horizontal-relative:page" filled="f" stroked="f">
                <v:textbox inset="0,0,0,0">
                  <w:txbxContent>
                    <w:p>
                      <w:pPr>
                        <w:pStyle w:val="Style47"/>
                        <w:keepNext w:val="0"/>
                        <w:keepLines w:val="0"/>
                        <w:widowControl w:val="0"/>
                        <w:shd w:val="clear" w:color="auto" w:fill="auto"/>
                        <w:bidi w:val="0"/>
                        <w:spacing w:before="0" w:after="0" w:line="240" w:lineRule="auto"/>
                        <w:ind w:left="0" w:right="0" w:firstLine="0"/>
                        <w:jc w:val="right"/>
                      </w:pPr>
                      <w:r>
                        <w:rPr>
                          <w:color w:val="000000"/>
                          <w:spacing w:val="0"/>
                          <w:w w:val="100"/>
                          <w:position w:val="0"/>
                        </w:rPr>
                        <w:t>如应收</w:t>
                      </w:r>
                    </w:p>
                  </w:txbxContent>
                </v:textbox>
                <w10:wrap type="square" side="left" anchorx="page"/>
              </v:shape>
            </w:pict>
          </mc:Fallback>
        </mc:AlternateContent>
      </w:r>
      <w:r>
        <w:rPr>
          <w:color w:val="000000"/>
          <w:spacing w:val="0"/>
          <w:w w:val="100"/>
          <w:position w:val="0"/>
        </w:rPr>
        <w:t xml:space="preserve">的主要目的在于为本集团的运营融资。本集团具有多种因经营而直接产生的其他金融资产和负债, </w:t>
      </w:r>
      <w:r>
        <w:rPr>
          <w:color w:val="000000"/>
          <w:spacing w:val="0"/>
          <w:w w:val="100"/>
          <w:position w:val="0"/>
        </w:rPr>
        <w:t>账款和应付账款等。</w:t>
      </w:r>
    </w:p>
    <w:p>
      <w:pPr>
        <w:pStyle w:val="Style47"/>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本集团的金融工具导致的主要风险是信用风险、流动性风险。</w:t>
      </w:r>
    </w:p>
    <w:p>
      <w:pPr>
        <w:pStyle w:val="Style47"/>
        <w:keepNext w:val="0"/>
        <w:keepLines w:val="0"/>
        <w:widowControl w:val="0"/>
        <w:shd w:val="clear" w:color="auto" w:fill="auto"/>
        <w:bidi w:val="0"/>
        <w:spacing w:before="0" w:after="220" w:line="240" w:lineRule="auto"/>
        <w:ind w:left="0" w:right="0" w:firstLine="560"/>
        <w:jc w:val="left"/>
      </w:pPr>
      <w:r>
        <w:rPr>
          <w:color w:val="000000"/>
          <w:spacing w:val="0"/>
          <w:w w:val="100"/>
          <w:position w:val="0"/>
        </w:rPr>
        <w:t>(一)金融工具分类</w:t>
      </w:r>
    </w:p>
    <w:p>
      <w:pPr>
        <w:pStyle w:val="Style47"/>
        <w:keepNext w:val="0"/>
        <w:keepLines w:val="0"/>
        <w:widowControl w:val="0"/>
        <w:shd w:val="clear" w:color="auto" w:fill="auto"/>
        <w:bidi w:val="0"/>
        <w:spacing w:before="0" w:after="220" w:line="240" w:lineRule="auto"/>
        <w:ind w:left="0" w:right="0" w:firstLine="440"/>
        <w:jc w:val="both"/>
      </w:pPr>
      <w:r>
        <w:rPr>
          <w:rFonts w:ascii="Times New Roman" w:eastAsia="Times New Roman" w:hAnsi="Times New Roman" w:cs="Times New Roman"/>
          <w:color w:val="000000"/>
          <w:spacing w:val="0"/>
          <w:w w:val="100"/>
          <w:position w:val="0"/>
        </w:rPr>
        <w:t>1.</w:t>
      </w:r>
      <w:r>
        <w:rPr>
          <w:color w:val="000000"/>
          <w:spacing w:val="0"/>
          <w:w w:val="100"/>
          <w:position w:val="0"/>
        </w:rPr>
        <w:t>资产负债表日的各类金融资产的账面价值</w:t>
      </w:r>
    </w:p>
    <w:p>
      <w:pPr>
        <w:pStyle w:val="Style2"/>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0</w:t>
      </w:r>
    </w:p>
    <w:tbl>
      <w:tblPr>
        <w:tblOverlap w:val="never"/>
        <w:jc w:val="left"/>
        <w:tblLayout w:type="fixed"/>
      </w:tblPr>
      <w:tblGrid>
        <w:gridCol w:w="1306"/>
        <w:gridCol w:w="1478"/>
        <w:gridCol w:w="2093"/>
        <w:gridCol w:w="2467"/>
        <w:gridCol w:w="1358"/>
      </w:tblGrid>
      <w:tr>
        <w:trPr>
          <w:trHeight w:val="667" w:hRule="exact"/>
        </w:trPr>
        <w:tc>
          <w:tcPr>
            <w:tcBorders>
              <w:top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rPr>
                <w:sz w:val="18"/>
                <w:szCs w:val="18"/>
              </w:rPr>
            </w:pPr>
            <w:r>
              <w:rPr>
                <w:b/>
                <w:bCs/>
                <w:color w:val="000000"/>
                <w:spacing w:val="0"/>
                <w:w w:val="100"/>
                <w:position w:val="0"/>
                <w:sz w:val="18"/>
                <w:szCs w:val="18"/>
              </w:rPr>
              <w:t>金融资产项目</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b/>
                <w:bCs/>
                <w:color w:val="000000"/>
                <w:spacing w:val="0"/>
                <w:w w:val="100"/>
                <w:position w:val="0"/>
                <w:sz w:val="18"/>
                <w:szCs w:val="18"/>
              </w:rPr>
              <w:t>以摊余成本计量 的金融资产</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b/>
                <w:bCs/>
                <w:color w:val="000000"/>
                <w:spacing w:val="0"/>
                <w:w w:val="100"/>
                <w:position w:val="0"/>
                <w:sz w:val="18"/>
                <w:szCs w:val="18"/>
              </w:rPr>
              <w:t>以公允价值计量且其变动 计入当期损益的金融资产</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b/>
                <w:bCs/>
                <w:color w:val="000000"/>
                <w:spacing w:val="0"/>
                <w:w w:val="100"/>
                <w:position w:val="0"/>
                <w:sz w:val="18"/>
                <w:szCs w:val="18"/>
              </w:rPr>
              <w:t>以公允价值计量且其变动计 入其他综合收益的金融资产</w:t>
            </w:r>
          </w:p>
        </w:tc>
        <w:tc>
          <w:tcPr>
            <w:tcBorders>
              <w:top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360"/>
              <w:jc w:val="left"/>
              <w:rPr>
                <w:sz w:val="18"/>
                <w:szCs w:val="18"/>
              </w:rPr>
            </w:pPr>
            <w:r>
              <w:rPr>
                <w:b/>
                <w:bCs/>
                <w:color w:val="000000"/>
                <w:spacing w:val="0"/>
                <w:w w:val="100"/>
                <w:position w:val="0"/>
                <w:sz w:val="18"/>
                <w:szCs w:val="18"/>
              </w:rPr>
              <w:t>合计</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货币资金</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253,261,079.41</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253,261,079.41</w:t>
            </w:r>
          </w:p>
        </w:tc>
      </w:tr>
      <w:tr>
        <w:trPr>
          <w:trHeight w:val="35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应收票据</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23,003,332.80</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23,003,332.80</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269,304,389.35</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269,304,389.35</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应收款项融资</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3,000,000.00</w:t>
            </w:r>
          </w:p>
        </w:tc>
      </w:tr>
      <w:tr>
        <w:trPr>
          <w:trHeight w:val="298"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其他应收款</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24,877,588.52</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24,877,588.52</w:t>
            </w:r>
          </w:p>
        </w:tc>
      </w:tr>
    </w:tbl>
    <w:p>
      <w:pPr>
        <w:widowControl w:val="0"/>
        <w:spacing w:after="759" w:line="1" w:lineRule="exact"/>
      </w:pPr>
    </w:p>
    <w:p>
      <w:pPr>
        <w:pStyle w:val="Style83"/>
        <w:keepNext w:val="0"/>
        <w:keepLines w:val="0"/>
        <w:widowControl w:val="0"/>
        <w:shd w:val="clear" w:color="auto" w:fill="auto"/>
        <w:bidi w:val="0"/>
        <w:spacing w:before="0" w:after="0" w:line="240" w:lineRule="auto"/>
        <w:ind w:left="0" w:right="0" w:firstLine="0"/>
        <w:jc w:val="right"/>
        <w:rPr>
          <w:sz w:val="26"/>
          <w:szCs w:val="26"/>
        </w:rPr>
      </w:pPr>
      <w:r>
        <w:rPr>
          <w:spacing w:val="0"/>
          <w:w w:val="100"/>
          <w:position w:val="0"/>
          <w:sz w:val="20"/>
          <w:szCs w:val="20"/>
        </w:rPr>
        <w:t xml:space="preserve">cninf </w:t>
      </w:r>
      <w:r>
        <w:rPr>
          <w:rFonts w:ascii="SimSun" w:eastAsia="SimSun" w:hAnsi="SimSun" w:cs="SimSun"/>
          <w:b w:val="0"/>
          <w:bCs w:val="0"/>
          <w:spacing w:val="0"/>
          <w:w w:val="100"/>
          <w:position w:val="0"/>
          <w:sz w:val="26"/>
          <w:szCs w:val="26"/>
        </w:rPr>
        <w:t>多</w:t>
      </w:r>
    </w:p>
    <w:p>
      <w:pPr>
        <w:pStyle w:val="Style2"/>
        <w:keepNext w:val="0"/>
        <w:keepLines w:val="0"/>
        <w:widowControl w:val="0"/>
        <w:shd w:val="clear" w:color="auto" w:fill="auto"/>
        <w:bidi w:val="0"/>
        <w:spacing w:before="0" w:after="0" w:line="240" w:lineRule="auto"/>
        <w:ind w:left="9920" w:right="0" w:firstLine="0"/>
        <w:jc w:val="left"/>
        <w:rPr>
          <w:sz w:val="12"/>
          <w:szCs w:val="12"/>
        </w:rPr>
      </w:pPr>
      <w:r>
        <w:rPr>
          <w:rFonts w:ascii="SimHei" w:eastAsia="SimHei" w:hAnsi="SimHei" w:cs="SimHei"/>
          <w:color w:val="A2A2A2"/>
          <w:spacing w:val="0"/>
          <w:w w:val="100"/>
          <w:position w:val="0"/>
          <w:sz w:val="12"/>
          <w:szCs w:val="12"/>
        </w:rPr>
        <w:t>巨潮资讯</w:t>
      </w:r>
    </w:p>
    <w:p>
      <w:pPr>
        <w:pStyle w:val="Style86"/>
        <w:keepNext w:val="0"/>
        <w:keepLines w:val="0"/>
        <w:widowControl w:val="0"/>
        <w:shd w:val="clear" w:color="auto" w:fill="auto"/>
        <w:bidi w:val="0"/>
        <w:spacing w:before="0" w:after="220" w:line="240" w:lineRule="auto"/>
        <w:ind w:left="0" w:right="0" w:firstLine="0"/>
        <w:jc w:val="right"/>
        <w:sectPr>
          <w:headerReference w:type="default" r:id="rId349"/>
          <w:footerReference w:type="default" r:id="rId350"/>
          <w:headerReference w:type="even" r:id="rId351"/>
          <w:footerReference w:type="even" r:id="rId352"/>
          <w:footnotePr>
            <w:pos w:val="pageBottom"/>
            <w:numFmt w:val="decimal"/>
            <w:numRestart w:val="continuous"/>
          </w:footnotePr>
          <w:pgSz w:w="11900" w:h="16840"/>
          <w:pgMar w:top="1450" w:right="24" w:bottom="168" w:left="1091" w:header="0" w:footer="3" w:gutter="0"/>
          <w:cols w:space="720"/>
          <w:noEndnote/>
          <w:rtlGutter w:val="0"/>
          <w:docGrid w:linePitch="360"/>
        </w:sectPr>
      </w:pPr>
      <w:r>
        <w:rPr>
          <w:spacing w:val="0"/>
          <w:w w:val="100"/>
          <w:position w:val="0"/>
        </w:rPr>
        <w:t>ww.cnlnTo.com.cn</w:t>
      </w:r>
    </w:p>
    <w:p>
      <w:pPr>
        <w:pStyle w:val="Style2"/>
        <w:keepNext w:val="0"/>
        <w:keepLines w:val="0"/>
        <w:widowControl w:val="0"/>
        <w:pBdr>
          <w:bottom w:val="single" w:sz="4" w:space="0" w:color="auto"/>
        </w:pBdr>
        <w:shd w:val="clear" w:color="auto" w:fill="auto"/>
        <w:bidi w:val="0"/>
        <w:spacing w:before="560" w:after="220" w:line="240" w:lineRule="auto"/>
        <w:ind w:left="0" w:right="0" w:firstLine="560"/>
        <w:jc w:val="left"/>
      </w:pPr>
      <w:r>
        <w:rPr>
          <w:rFonts w:ascii="Times New Roman" w:eastAsia="Times New Roman" w:hAnsi="Times New Roman" w:cs="Times New Roman"/>
          <w:color w:val="000000"/>
          <w:spacing w:val="0"/>
          <w:w w:val="100"/>
          <w:position w:val="0"/>
        </w:rPr>
        <w:t>(2</w:t>
      </w:r>
      <w:r>
        <w:rPr>
          <w:color w:val="000000"/>
          <w:spacing w:val="0"/>
          <w:w w:val="100"/>
          <w:position w:val="0"/>
        </w:rPr>
        <w:t xml:space="preserve">) </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 xml:space="preserve">31 </w:t>
      </w:r>
      <w:r>
        <w:rPr>
          <w:color w:val="000000"/>
          <w:spacing w:val="0"/>
          <w:w w:val="100"/>
          <w:position w:val="0"/>
        </w:rPr>
        <w:t>日</w:t>
      </w:r>
    </w:p>
    <w:tbl>
      <w:tblPr>
        <w:tblOverlap w:val="never"/>
        <w:jc w:val="left"/>
        <w:tblLayout w:type="fixed"/>
      </w:tblPr>
      <w:tblGrid>
        <w:gridCol w:w="2779"/>
        <w:gridCol w:w="5923"/>
      </w:tblGrid>
      <w:tr>
        <w:trPr>
          <w:trHeight w:val="600"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0"/>
              <w:jc w:val="left"/>
              <w:rPr>
                <w:sz w:val="18"/>
                <w:szCs w:val="18"/>
              </w:rPr>
            </w:pPr>
            <w:r>
              <w:rPr>
                <w:b/>
                <w:bCs/>
                <w:color w:val="000000"/>
                <w:spacing w:val="0"/>
                <w:w w:val="100"/>
                <w:position w:val="0"/>
                <w:sz w:val="18"/>
                <w:szCs w:val="18"/>
              </w:rPr>
              <w:t>金融资产项目以摊余成本计量</w:t>
            </w:r>
          </w:p>
          <w:p>
            <w:pPr>
              <w:pStyle w:val="Style2"/>
              <w:keepNext w:val="0"/>
              <w:keepLines w:val="0"/>
              <w:widowControl w:val="0"/>
              <w:shd w:val="clear" w:color="auto" w:fill="auto"/>
              <w:bidi w:val="0"/>
              <w:spacing w:before="0" w:after="0" w:line="240" w:lineRule="auto"/>
              <w:ind w:left="1560" w:right="0" w:firstLine="0"/>
              <w:jc w:val="left"/>
              <w:rPr>
                <w:sz w:val="18"/>
                <w:szCs w:val="18"/>
              </w:rPr>
            </w:pPr>
            <w:r>
              <w:rPr>
                <w:b/>
                <w:bCs/>
                <w:color w:val="000000"/>
                <w:spacing w:val="0"/>
                <w:w w:val="100"/>
                <w:position w:val="0"/>
                <w:sz w:val="18"/>
                <w:szCs w:val="18"/>
              </w:rPr>
              <w:t>的金融资产</w:t>
            </w:r>
          </w:p>
        </w:tc>
        <w:tc>
          <w:tcPr>
            <w:tcBorders>
              <w:top w:val="single" w:sz="4"/>
            </w:tcBorders>
            <w:shd w:val="clear" w:color="auto" w:fill="FFFFFF"/>
            <w:vAlign w:val="top"/>
          </w:tcPr>
          <w:p>
            <w:pPr>
              <w:pStyle w:val="Style2"/>
              <w:keepNext w:val="0"/>
              <w:keepLines w:val="0"/>
              <w:widowControl w:val="0"/>
              <w:shd w:val="clear" w:color="auto" w:fill="auto"/>
              <w:tabs>
                <w:tab w:pos="4862" w:val="left"/>
              </w:tabs>
              <w:bidi w:val="0"/>
              <w:spacing w:before="0" w:after="100" w:line="240" w:lineRule="auto"/>
              <w:ind w:left="0" w:right="0" w:firstLine="0"/>
              <w:jc w:val="left"/>
              <w:rPr>
                <w:sz w:val="18"/>
                <w:szCs w:val="18"/>
              </w:rPr>
            </w:pPr>
            <w:r>
              <w:rPr>
                <w:b/>
                <w:bCs/>
                <w:color w:val="000000"/>
                <w:spacing w:val="0"/>
                <w:w w:val="100"/>
                <w:position w:val="0"/>
                <w:sz w:val="18"/>
                <w:szCs w:val="18"/>
              </w:rPr>
              <w:t>以公允价值计量且其变动以公允价值计量且其变动计</w:t>
              <w:tab/>
              <w:t>合计</w:t>
            </w:r>
          </w:p>
          <w:p>
            <w:pPr>
              <w:pStyle w:val="Style2"/>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计入当期损益的金融资产入其他综合收益的金融资产</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tabs>
                <w:tab w:pos="1550" w:val="left"/>
              </w:tabs>
              <w:bidi w:val="0"/>
              <w:spacing w:before="0" w:after="0" w:line="240" w:lineRule="auto"/>
              <w:ind w:left="0" w:right="0" w:firstLine="0"/>
              <w:jc w:val="left"/>
              <w:rPr>
                <w:sz w:val="18"/>
                <w:szCs w:val="18"/>
              </w:rPr>
            </w:pPr>
            <w:r>
              <w:rPr>
                <w:color w:val="000000"/>
                <w:spacing w:val="0"/>
                <w:w w:val="100"/>
                <w:position w:val="0"/>
                <w:sz w:val="18"/>
                <w:szCs w:val="18"/>
              </w:rPr>
              <w:t>货币资金</w:t>
              <w:tab/>
            </w:r>
            <w:r>
              <w:rPr>
                <w:rFonts w:ascii="Times New Roman" w:eastAsia="Times New Roman" w:hAnsi="Times New Roman" w:cs="Times New Roman"/>
                <w:color w:val="000000"/>
                <w:spacing w:val="0"/>
                <w:w w:val="100"/>
                <w:position w:val="0"/>
                <w:sz w:val="18"/>
                <w:szCs w:val="18"/>
              </w:rPr>
              <w:t>282,924,331.03</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u w:val="single"/>
              </w:rPr>
              <w:t>282,924,331.03</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tabs>
                <w:tab w:pos="1666" w:val="left"/>
              </w:tabs>
              <w:bidi w:val="0"/>
              <w:spacing w:before="0" w:after="0" w:line="240" w:lineRule="auto"/>
              <w:ind w:left="0" w:right="0" w:firstLine="0"/>
              <w:jc w:val="left"/>
              <w:rPr>
                <w:sz w:val="18"/>
                <w:szCs w:val="18"/>
              </w:rPr>
            </w:pPr>
            <w:r>
              <w:rPr>
                <w:color w:val="000000"/>
                <w:spacing w:val="0"/>
                <w:w w:val="100"/>
                <w:position w:val="0"/>
                <w:sz w:val="18"/>
                <w:szCs w:val="18"/>
              </w:rPr>
              <w:t>应收票据</w:t>
              <w:tab/>
            </w:r>
            <w:r>
              <w:rPr>
                <w:rFonts w:ascii="Times New Roman" w:eastAsia="Times New Roman" w:hAnsi="Times New Roman" w:cs="Times New Roman"/>
                <w:color w:val="000000"/>
                <w:spacing w:val="0"/>
                <w:w w:val="100"/>
                <w:position w:val="0"/>
                <w:sz w:val="18"/>
                <w:szCs w:val="18"/>
              </w:rPr>
              <w:t>10,716,935.35</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10,716,935.35</w:t>
            </w:r>
          </w:p>
        </w:tc>
      </w:tr>
      <w:tr>
        <w:trPr>
          <w:trHeight w:val="346" w:hRule="exact"/>
        </w:trPr>
        <w:tc>
          <w:tcPr>
            <w:tcBorders>
              <w:top w:val="single" w:sz="4"/>
            </w:tcBorders>
            <w:shd w:val="clear" w:color="auto" w:fill="FFFFFF"/>
            <w:vAlign w:val="center"/>
          </w:tcPr>
          <w:p>
            <w:pPr>
              <w:pStyle w:val="Style2"/>
              <w:keepNext w:val="0"/>
              <w:keepLines w:val="0"/>
              <w:widowControl w:val="0"/>
              <w:shd w:val="clear" w:color="auto" w:fill="auto"/>
              <w:tabs>
                <w:tab w:pos="1555" w:val="left"/>
              </w:tabs>
              <w:bidi w:val="0"/>
              <w:spacing w:before="0" w:after="0" w:line="240" w:lineRule="auto"/>
              <w:ind w:left="0" w:right="0" w:firstLine="0"/>
              <w:jc w:val="left"/>
              <w:rPr>
                <w:sz w:val="18"/>
                <w:szCs w:val="18"/>
              </w:rPr>
            </w:pPr>
            <w:r>
              <w:rPr>
                <w:color w:val="000000"/>
                <w:spacing w:val="0"/>
                <w:w w:val="100"/>
                <w:position w:val="0"/>
                <w:sz w:val="18"/>
                <w:szCs w:val="18"/>
              </w:rPr>
              <w:t>应收账款</w:t>
              <w:tab/>
            </w:r>
            <w:r>
              <w:rPr>
                <w:rFonts w:ascii="Times New Roman" w:eastAsia="Times New Roman" w:hAnsi="Times New Roman" w:cs="Times New Roman"/>
                <w:color w:val="000000"/>
                <w:spacing w:val="0"/>
                <w:w w:val="100"/>
                <w:position w:val="0"/>
                <w:sz w:val="18"/>
                <w:szCs w:val="18"/>
              </w:rPr>
              <w:t>245,016,362.46</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u w:val="single"/>
              </w:rPr>
              <w:t>245,016,362.46</w:t>
            </w:r>
          </w:p>
        </w:tc>
      </w:tr>
      <w:tr>
        <w:trPr>
          <w:trHeight w:val="350"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应收款项融资</w:t>
            </w:r>
          </w:p>
        </w:tc>
        <w:tc>
          <w:tcPr>
            <w:tcBorders>
              <w:top w:val="single" w:sz="4"/>
            </w:tcBorders>
            <w:shd w:val="clear" w:color="auto" w:fill="FFFFFF"/>
            <w:vAlign w:val="center"/>
          </w:tcPr>
          <w:p>
            <w:pPr>
              <w:pStyle w:val="Style2"/>
              <w:keepNext w:val="0"/>
              <w:keepLines w:val="0"/>
              <w:widowControl w:val="0"/>
              <w:shd w:val="clear" w:color="auto" w:fill="auto"/>
              <w:tabs>
                <w:tab w:pos="1498" w:val="left"/>
              </w:tabs>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422,250.00</w:t>
              <w:tab/>
            </w:r>
            <w:r>
              <w:rPr>
                <w:rFonts w:ascii="Times New Roman" w:eastAsia="Times New Roman" w:hAnsi="Times New Roman" w:cs="Times New Roman"/>
                <w:color w:val="000000"/>
                <w:spacing w:val="0"/>
                <w:w w:val="100"/>
                <w:position w:val="0"/>
                <w:sz w:val="18"/>
                <w:szCs w:val="18"/>
                <w:u w:val="single"/>
              </w:rPr>
              <w:t>422,250.00</w:t>
            </w:r>
          </w:p>
        </w:tc>
      </w:tr>
      <w:tr>
        <w:trPr>
          <w:trHeight w:val="298" w:hRule="exact"/>
        </w:trPr>
        <w:tc>
          <w:tcPr>
            <w:tcBorders>
              <w:top w:val="single" w:sz="4"/>
            </w:tcBorders>
            <w:shd w:val="clear" w:color="auto" w:fill="FFFFFF"/>
            <w:vAlign w:val="bottom"/>
          </w:tcPr>
          <w:p>
            <w:pPr>
              <w:pStyle w:val="Style2"/>
              <w:keepNext w:val="0"/>
              <w:keepLines w:val="0"/>
              <w:widowControl w:val="0"/>
              <w:shd w:val="clear" w:color="auto" w:fill="auto"/>
              <w:tabs>
                <w:tab w:pos="1618" w:val="left"/>
              </w:tabs>
              <w:bidi w:val="0"/>
              <w:spacing w:before="0" w:after="0" w:line="240" w:lineRule="auto"/>
              <w:ind w:left="0" w:right="0" w:firstLine="0"/>
              <w:jc w:val="left"/>
              <w:rPr>
                <w:sz w:val="18"/>
                <w:szCs w:val="18"/>
              </w:rPr>
            </w:pPr>
            <w:r>
              <w:rPr>
                <w:color w:val="000000"/>
                <w:spacing w:val="0"/>
                <w:w w:val="100"/>
                <w:position w:val="0"/>
                <w:sz w:val="18"/>
                <w:szCs w:val="18"/>
              </w:rPr>
              <w:t>其他应收款</w:t>
              <w:tab/>
            </w:r>
            <w:r>
              <w:rPr>
                <w:rFonts w:ascii="Times New Roman" w:eastAsia="Times New Roman" w:hAnsi="Times New Roman" w:cs="Times New Roman"/>
                <w:color w:val="000000"/>
                <w:spacing w:val="0"/>
                <w:w w:val="100"/>
                <w:position w:val="0"/>
                <w:sz w:val="18"/>
                <w:szCs w:val="18"/>
              </w:rPr>
              <w:t>31,819,254.42</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u w:val="single"/>
              </w:rPr>
              <w:t>31,819,254.42</w:t>
            </w:r>
          </w:p>
        </w:tc>
      </w:tr>
    </w:tbl>
    <w:p>
      <w:pPr>
        <w:widowControl w:val="0"/>
        <w:spacing w:after="479" w:line="1" w:lineRule="exact"/>
      </w:pPr>
    </w:p>
    <w:p>
      <w:pPr>
        <w:pStyle w:val="Style47"/>
        <w:keepNext w:val="0"/>
        <w:keepLines w:val="0"/>
        <w:widowControl w:val="0"/>
        <w:shd w:val="clear" w:color="auto" w:fill="auto"/>
        <w:bidi w:val="0"/>
        <w:spacing w:before="0" w:after="160" w:line="240" w:lineRule="auto"/>
        <w:ind w:left="0" w:right="0" w:firstLine="440"/>
        <w:jc w:val="left"/>
      </w:pPr>
      <w:r>
        <w:rPr>
          <w:rFonts w:ascii="Times New Roman" w:eastAsia="Times New Roman" w:hAnsi="Times New Roman" w:cs="Times New Roman"/>
          <w:color w:val="000000"/>
          <w:spacing w:val="0"/>
          <w:w w:val="100"/>
          <w:position w:val="0"/>
        </w:rPr>
        <w:t>2.</w:t>
      </w:r>
      <w:r>
        <w:rPr>
          <w:color w:val="000000"/>
          <w:spacing w:val="0"/>
          <w:w w:val="100"/>
          <w:position w:val="0"/>
        </w:rPr>
        <w:t>资产负债表日的各类金融负债的账面价值</w:t>
      </w:r>
    </w:p>
    <w:p>
      <w:pPr>
        <w:pStyle w:val="Style2"/>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 </w:t>
      </w:r>
      <w:r>
        <w:rPr>
          <w:rFonts w:ascii="Times New Roman" w:eastAsia="Times New Roman" w:hAnsi="Times New Roman" w:cs="Times New Roman"/>
          <w:color w:val="000000"/>
          <w:spacing w:val="0"/>
          <w:w w:val="100"/>
          <w:position w:val="0"/>
        </w:rPr>
        <w:t>12</w:t>
      </w:r>
      <w:r>
        <w:rPr>
          <w:color w:val="000000"/>
          <w:spacing w:val="0"/>
          <w:w w:val="100"/>
          <w:position w:val="0"/>
        </w:rPr>
        <w:t xml:space="preserve">月 </w:t>
      </w:r>
      <w:r>
        <w:rPr>
          <w:rFonts w:ascii="Times New Roman" w:eastAsia="Times New Roman" w:hAnsi="Times New Roman" w:cs="Times New Roman"/>
          <w:color w:val="000000"/>
          <w:spacing w:val="0"/>
          <w:w w:val="100"/>
          <w:position w:val="0"/>
        </w:rPr>
        <w:t>31</w:t>
      </w:r>
      <w:r>
        <w:rPr>
          <w:color w:val="000000"/>
          <w:spacing w:val="0"/>
          <w:w w:val="100"/>
          <w:position w:val="0"/>
        </w:rPr>
        <w:t>0</w:t>
      </w:r>
    </w:p>
    <w:tbl>
      <w:tblPr>
        <w:tblOverlap w:val="never"/>
        <w:jc w:val="left"/>
        <w:tblLayout w:type="fixed"/>
      </w:tblPr>
      <w:tblGrid>
        <w:gridCol w:w="2606"/>
        <w:gridCol w:w="2578"/>
        <w:gridCol w:w="2021"/>
        <w:gridCol w:w="1478"/>
      </w:tblGrid>
      <w:tr>
        <w:trPr>
          <w:trHeight w:val="5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40"/>
              <w:jc w:val="left"/>
              <w:rPr>
                <w:sz w:val="18"/>
                <w:szCs w:val="18"/>
              </w:rPr>
            </w:pPr>
            <w:r>
              <w:rPr>
                <w:b/>
                <w:bCs/>
                <w:color w:val="000000"/>
                <w:spacing w:val="0"/>
                <w:w w:val="100"/>
                <w:position w:val="0"/>
                <w:sz w:val="18"/>
                <w:szCs w:val="18"/>
              </w:rPr>
              <w:t>金融负债项目</w:t>
            </w:r>
          </w:p>
        </w:tc>
        <w:tc>
          <w:tcPr>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b/>
                <w:bCs/>
                <w:color w:val="000000"/>
                <w:spacing w:val="0"/>
                <w:w w:val="100"/>
                <w:position w:val="0"/>
                <w:sz w:val="18"/>
                <w:szCs w:val="18"/>
              </w:rPr>
              <w:t>以公允价值计量且其变动计 入当期损益的金融负债</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b/>
                <w:bCs/>
                <w:color w:val="000000"/>
                <w:spacing w:val="0"/>
                <w:w w:val="100"/>
                <w:position w:val="0"/>
                <w:sz w:val="18"/>
                <w:szCs w:val="18"/>
              </w:rPr>
              <w:t>其他金融负债</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b/>
                <w:bCs/>
                <w:color w:val="000000"/>
                <w:spacing w:val="0"/>
                <w:w w:val="100"/>
                <w:position w:val="0"/>
                <w:sz w:val="18"/>
                <w:szCs w:val="18"/>
              </w:rPr>
              <w:t>合计</w:t>
            </w:r>
          </w:p>
        </w:tc>
      </w:tr>
      <w:tr>
        <w:trPr>
          <w:trHeight w:val="336"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短期借款</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30,040,043.84</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30,040,043.84</w:t>
            </w:r>
          </w:p>
        </w:tc>
      </w:tr>
      <w:tr>
        <w:trPr>
          <w:trHeight w:val="341"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应付账款</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135,858,582.48</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135,858,582.48</w:t>
            </w:r>
          </w:p>
        </w:tc>
      </w:tr>
      <w:tr>
        <w:trPr>
          <w:trHeight w:val="336" w:hRule="exact"/>
        </w:trPr>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其他应付款</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23,870,589.77</w:t>
            </w:r>
          </w:p>
        </w:tc>
        <w:tc>
          <w:tcPr>
            <w:tcBorders>
              <w:top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23,870,589.77</w:t>
            </w:r>
          </w:p>
        </w:tc>
      </w:tr>
      <w:tr>
        <w:trPr>
          <w:trHeight w:val="821"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701" w:hRule="exact"/>
        </w:trPr>
        <w:tc>
          <w:tcPr>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840"/>
              <w:jc w:val="left"/>
              <w:rPr>
                <w:sz w:val="18"/>
                <w:szCs w:val="18"/>
              </w:rPr>
            </w:pPr>
            <w:r>
              <w:rPr>
                <w:b/>
                <w:bCs/>
                <w:color w:val="000000"/>
                <w:spacing w:val="0"/>
                <w:w w:val="100"/>
                <w:position w:val="0"/>
                <w:sz w:val="18"/>
                <w:szCs w:val="18"/>
              </w:rPr>
              <w:t>金融负债项目</w:t>
            </w:r>
          </w:p>
        </w:tc>
        <w:tc>
          <w:tcPr>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rPr>
                <w:sz w:val="18"/>
                <w:szCs w:val="18"/>
              </w:rPr>
            </w:pPr>
            <w:r>
              <w:rPr>
                <w:b/>
                <w:bCs/>
                <w:color w:val="000000"/>
                <w:spacing w:val="0"/>
                <w:w w:val="100"/>
                <w:position w:val="0"/>
                <w:sz w:val="18"/>
                <w:szCs w:val="18"/>
              </w:rPr>
              <w:t>以公允价值计量且其变动计 入当期损益的金融负债</w:t>
            </w:r>
          </w:p>
        </w:tc>
        <w:tc>
          <w:tcPr>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200"/>
              <w:jc w:val="left"/>
              <w:rPr>
                <w:sz w:val="18"/>
                <w:szCs w:val="18"/>
              </w:rPr>
            </w:pPr>
            <w:r>
              <w:rPr>
                <w:b/>
                <w:bCs/>
                <w:color w:val="000000"/>
                <w:spacing w:val="0"/>
                <w:w w:val="100"/>
                <w:position w:val="0"/>
                <w:sz w:val="18"/>
                <w:szCs w:val="18"/>
              </w:rPr>
              <w:t>其他金融负债</w:t>
            </w:r>
          </w:p>
        </w:tc>
        <w:tc>
          <w:tcPr>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360"/>
              <w:jc w:val="left"/>
              <w:rPr>
                <w:sz w:val="18"/>
                <w:szCs w:val="18"/>
              </w:rPr>
            </w:pPr>
            <w:r>
              <w:rPr>
                <w:b/>
                <w:bCs/>
                <w:color w:val="000000"/>
                <w:spacing w:val="0"/>
                <w:w w:val="100"/>
                <w:position w:val="0"/>
                <w:sz w:val="18"/>
                <w:szCs w:val="18"/>
              </w:rPr>
              <w:t>合计</w:t>
            </w:r>
          </w:p>
        </w:tc>
      </w:tr>
      <w:tr>
        <w:trPr>
          <w:trHeight w:val="336"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短期借款</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336"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应付账款</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99,989,277.10</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99,989,277.10</w:t>
            </w:r>
          </w:p>
        </w:tc>
      </w:tr>
      <w:tr>
        <w:trPr>
          <w:trHeight w:val="293" w:hRule="exact"/>
        </w:trPr>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其他应付款</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23,893,422.42</w:t>
            </w:r>
          </w:p>
        </w:tc>
        <w:tc>
          <w:tcPr>
            <w:tcBorders>
              <w:top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23,893,422.42</w:t>
            </w:r>
          </w:p>
        </w:tc>
      </w:tr>
    </w:tbl>
    <w:p>
      <w:pPr>
        <w:widowControl w:val="0"/>
        <w:spacing w:after="359" w:line="1" w:lineRule="exact"/>
      </w:pP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（二）信用风险</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于</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日，可能引起本集团财务损失的最大信用风险敞口主要来自于合同另一方未能履行义 务而导致本集团金融资产产生的损失。</w:t>
      </w:r>
    </w:p>
    <w:p>
      <w:pPr>
        <w:pStyle w:val="Style47"/>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为降低信用风险，本集团成立专门部门，对客户的选择、项目承接、不同客户项目款支付进度进行评 审，已保证项目款的收回，并执行其它监控程序以确保采取必要的措施回收过期债权。此外，本集团于每 个资产负债表日审核应收款的回收情况，以确保就无法回收的款项计提充分的坏账准备。因此，本集团管 理层认为本集团所承担的信用风险已经大为降低。</w:t>
      </w:r>
    </w:p>
    <w:p>
      <w:pPr>
        <w:pStyle w:val="Style47"/>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本集团的流动资金存放在信用评级较高的银行，故流动资金的信用风险较低。</w:t>
      </w:r>
    </w:p>
    <w:p>
      <w:pPr>
        <w:pStyle w:val="Style47"/>
        <w:keepNext w:val="0"/>
        <w:keepLines w:val="0"/>
        <w:widowControl w:val="0"/>
        <w:shd w:val="clear" w:color="auto" w:fill="auto"/>
        <w:bidi w:val="0"/>
        <w:spacing w:before="0" w:after="220" w:line="469" w:lineRule="exact"/>
        <w:ind w:left="0" w:right="0" w:firstLine="440"/>
        <w:jc w:val="left"/>
      </w:pPr>
      <w:r>
        <w:rPr>
          <w:color w:val="000000"/>
          <w:spacing w:val="0"/>
          <w:w w:val="100"/>
          <w:position w:val="0"/>
        </w:rPr>
        <w:t>除应收账款金额前五名外，本集团无其他重大信用集中风险。应收账款前五名金额合计：</w:t>
      </w:r>
      <w:r>
        <w:rPr>
          <w:rFonts w:ascii="Times New Roman" w:eastAsia="Times New Roman" w:hAnsi="Times New Roman" w:cs="Times New Roman"/>
          <w:color w:val="000000"/>
          <w:spacing w:val="0"/>
          <w:w w:val="100"/>
          <w:position w:val="0"/>
        </w:rPr>
        <w:t>89,579,996.75</w:t>
      </w:r>
    </w:p>
    <w:p>
      <w:pPr>
        <w:pStyle w:val="Style47"/>
        <w:keepNext w:val="0"/>
        <w:keepLines w:val="0"/>
        <w:widowControl w:val="0"/>
        <w:shd w:val="clear" w:color="auto" w:fill="auto"/>
        <w:bidi w:val="0"/>
        <w:spacing w:before="0" w:after="220" w:line="469" w:lineRule="exact"/>
        <w:ind w:left="0" w:right="0" w:firstLine="0"/>
        <w:jc w:val="left"/>
      </w:pPr>
      <w:r>
        <w:rPr>
          <w:color w:val="000000"/>
          <w:spacing w:val="0"/>
          <w:w w:val="100"/>
          <w:position w:val="0"/>
        </w:rPr>
        <w:t>yLo</w:t>
      </w:r>
    </w:p>
    <w:p>
      <w:pPr>
        <w:pStyle w:val="Style47"/>
        <w:keepNext w:val="0"/>
        <w:keepLines w:val="0"/>
        <w:widowControl w:val="0"/>
        <w:shd w:val="clear" w:color="auto" w:fill="auto"/>
        <w:bidi w:val="0"/>
        <w:spacing w:before="0" w:after="0" w:line="469" w:lineRule="exact"/>
        <w:ind w:left="0" w:right="0" w:firstLine="440"/>
        <w:jc w:val="both"/>
      </w:pPr>
      <w:bookmarkStart w:id="1456" w:name="bookmark1456"/>
      <w:r>
        <w:rPr>
          <w:color w:val="000000"/>
          <w:spacing w:val="0"/>
          <w:w w:val="100"/>
          <w:position w:val="0"/>
        </w:rPr>
        <w:t>（</w:t>
      </w:r>
      <w:bookmarkEnd w:id="1456"/>
      <w:r>
        <w:rPr>
          <w:color w:val="000000"/>
          <w:spacing w:val="0"/>
          <w:w w:val="100"/>
          <w:position w:val="0"/>
        </w:rPr>
        <w:t>三）流动性风险</w:t>
      </w:r>
    </w:p>
    <w:p>
      <w:pPr>
        <w:pStyle w:val="Style47"/>
        <w:keepNext w:val="0"/>
        <w:keepLines w:val="0"/>
        <w:widowControl w:val="0"/>
        <w:shd w:val="clear" w:color="auto" w:fill="auto"/>
        <w:bidi w:val="0"/>
        <w:spacing w:before="0" w:after="440" w:line="469" w:lineRule="exact"/>
        <w:ind w:left="0" w:right="0" w:firstLine="440"/>
        <w:jc w:val="both"/>
      </w:pPr>
      <w:r>
        <w:rPr>
          <w:color w:val="000000"/>
          <w:spacing w:val="0"/>
          <w:w w:val="100"/>
          <w:position w:val="0"/>
        </w:rPr>
        <w:t>流动风险为本集团在到期日无法履行其财务义务的风险。本集团管理流动性风险的方法是确保有足够 的资金流动性来履行到期债务，而不至于造成不可接受的损失或对企业信誉造成损害。本集团定期分析负 债结构和期限，以确保有充裕的资金。本集团管理层与金融机构进行融资磋商，以保持一定的授信额度， 减低流动性风险。</w:t>
      </w:r>
    </w:p>
    <w:p>
      <w:pPr>
        <w:pStyle w:val="Style33"/>
        <w:keepNext/>
        <w:keepLines/>
        <w:widowControl w:val="0"/>
        <w:shd w:val="clear" w:color="auto" w:fill="auto"/>
        <w:bidi w:val="0"/>
        <w:spacing w:before="0" w:after="320" w:line="240" w:lineRule="auto"/>
        <w:ind w:left="0" w:right="0" w:firstLine="0"/>
        <w:jc w:val="left"/>
      </w:pPr>
      <w:bookmarkStart w:id="1457" w:name="bookmark1457"/>
      <w:bookmarkStart w:id="1458" w:name="bookmark1458"/>
      <w:bookmarkStart w:id="1459" w:name="bookmark1459"/>
      <w:r>
        <w:rPr>
          <w:color w:val="000000"/>
          <w:spacing w:val="0"/>
          <w:w w:val="100"/>
          <w:position w:val="0"/>
          <w:sz w:val="24"/>
          <w:szCs w:val="24"/>
        </w:rPr>
        <w:t>十、公允价值的披露</w:t>
      </w:r>
      <w:bookmarkEnd w:id="1457"/>
      <w:bookmarkEnd w:id="1458"/>
      <w:bookmarkEnd w:id="1459"/>
    </w:p>
    <w:p>
      <w:pPr>
        <w:pStyle w:val="Style44"/>
        <w:keepNext/>
        <w:keepLines/>
        <w:widowControl w:val="0"/>
        <w:shd w:val="clear" w:color="auto" w:fill="auto"/>
        <w:tabs>
          <w:tab w:pos="368" w:val="left"/>
        </w:tabs>
        <w:bidi w:val="0"/>
        <w:spacing w:before="0" w:after="0" w:line="480" w:lineRule="auto"/>
        <w:ind w:left="0" w:right="0" w:firstLine="0"/>
        <w:jc w:val="left"/>
      </w:pPr>
      <w:bookmarkStart w:id="1460" w:name="bookmark1460"/>
      <w:bookmarkStart w:id="1461" w:name="bookmark1461"/>
      <w:bookmarkStart w:id="1462" w:name="bookmark1462"/>
      <w:bookmarkStart w:id="1463" w:name="bookmark1463"/>
      <w:r>
        <w:rPr>
          <w:rFonts w:ascii="Times New Roman" w:eastAsia="Times New Roman" w:hAnsi="Times New Roman" w:cs="Times New Roman"/>
          <w:color w:val="000000"/>
          <w:spacing w:val="0"/>
          <w:w w:val="100"/>
          <w:position w:val="0"/>
        </w:rPr>
        <w:t>1</w:t>
      </w:r>
      <w:bookmarkEnd w:id="1462"/>
      <w:r>
        <w:rPr>
          <w:color w:val="000000"/>
          <w:spacing w:val="0"/>
          <w:w w:val="100"/>
          <w:position w:val="0"/>
        </w:rPr>
        <w:t>、</w:t>
        <w:tab/>
        <w:t>持续和非持续第一层次公允价值计量项目市价的确定依据</w:t>
      </w:r>
      <w:bookmarkEnd w:id="1460"/>
      <w:bookmarkEnd w:id="1461"/>
      <w:bookmarkEnd w:id="1463"/>
    </w:p>
    <w:p>
      <w:pPr>
        <w:pStyle w:val="Style47"/>
        <w:keepNext w:val="0"/>
        <w:keepLines w:val="0"/>
        <w:widowControl w:val="0"/>
        <w:shd w:val="clear" w:color="auto" w:fill="auto"/>
        <w:bidi w:val="0"/>
        <w:spacing w:before="0" w:after="320" w:line="469" w:lineRule="exact"/>
        <w:ind w:left="0" w:right="0" w:firstLine="440"/>
        <w:jc w:val="both"/>
      </w:pPr>
      <w:r>
        <w:rPr>
          <w:color w:val="000000"/>
          <w:spacing w:val="0"/>
          <w:w w:val="100"/>
          <w:position w:val="0"/>
        </w:rPr>
        <w:t>公司对于短期理财产品，以银行销售价格确认公允价值。</w:t>
      </w:r>
    </w:p>
    <w:p>
      <w:pPr>
        <w:pStyle w:val="Style44"/>
        <w:keepNext/>
        <w:keepLines/>
        <w:widowControl w:val="0"/>
        <w:shd w:val="clear" w:color="auto" w:fill="auto"/>
        <w:tabs>
          <w:tab w:pos="378" w:val="left"/>
        </w:tabs>
        <w:bidi w:val="0"/>
        <w:spacing w:before="0" w:after="0" w:line="480" w:lineRule="auto"/>
        <w:ind w:left="0" w:right="0" w:firstLine="0"/>
        <w:jc w:val="left"/>
      </w:pPr>
      <w:bookmarkStart w:id="1464" w:name="bookmark1464"/>
      <w:bookmarkStart w:id="1465" w:name="bookmark1465"/>
      <w:bookmarkStart w:id="1466" w:name="bookmark1466"/>
      <w:bookmarkStart w:id="1467" w:name="bookmark1467"/>
      <w:r>
        <w:rPr>
          <w:rFonts w:ascii="Times New Roman" w:eastAsia="Times New Roman" w:hAnsi="Times New Roman" w:cs="Times New Roman"/>
          <w:color w:val="000000"/>
          <w:spacing w:val="0"/>
          <w:w w:val="100"/>
          <w:position w:val="0"/>
        </w:rPr>
        <w:t>2</w:t>
      </w:r>
      <w:bookmarkEnd w:id="1466"/>
      <w:r>
        <w:rPr>
          <w:color w:val="000000"/>
          <w:spacing w:val="0"/>
          <w:w w:val="100"/>
          <w:position w:val="0"/>
        </w:rPr>
        <w:t>、</w:t>
        <w:tab/>
        <w:t>持续和非持续第二层次公允价值计量项目，采用的估值技术和重要参数的定性及定量信息</w:t>
      </w:r>
      <w:bookmarkEnd w:id="1464"/>
      <w:bookmarkEnd w:id="1465"/>
      <w:bookmarkEnd w:id="1467"/>
    </w:p>
    <w:p>
      <w:pPr>
        <w:pStyle w:val="Style47"/>
        <w:keepNext w:val="0"/>
        <w:keepLines w:val="0"/>
        <w:widowControl w:val="0"/>
        <w:shd w:val="clear" w:color="auto" w:fill="auto"/>
        <w:bidi w:val="0"/>
        <w:spacing w:before="0" w:after="320" w:line="469" w:lineRule="exact"/>
        <w:ind w:left="0" w:right="0" w:firstLine="440"/>
        <w:jc w:val="both"/>
      </w:pPr>
      <w:r>
        <w:rPr>
          <w:color w:val="000000"/>
          <w:spacing w:val="0"/>
          <w:w w:val="100"/>
          <w:position w:val="0"/>
        </w:rPr>
        <w:t>公司持有的票据主要为银行承兑汇票，有银行信用背书，故公司以票据票面价值确定其公允价值。</w:t>
      </w:r>
    </w:p>
    <w:p>
      <w:pPr>
        <w:pStyle w:val="Style44"/>
        <w:keepNext/>
        <w:keepLines/>
        <w:widowControl w:val="0"/>
        <w:shd w:val="clear" w:color="auto" w:fill="auto"/>
        <w:tabs>
          <w:tab w:pos="378" w:val="left"/>
        </w:tabs>
        <w:bidi w:val="0"/>
        <w:spacing w:before="0" w:after="0" w:line="480" w:lineRule="auto"/>
        <w:ind w:left="0" w:right="0" w:firstLine="0"/>
        <w:jc w:val="left"/>
      </w:pPr>
      <w:bookmarkStart w:id="1468" w:name="bookmark1468"/>
      <w:bookmarkStart w:id="1469" w:name="bookmark1469"/>
      <w:bookmarkStart w:id="1470" w:name="bookmark1470"/>
      <w:bookmarkStart w:id="1471" w:name="bookmark1471"/>
      <w:r>
        <w:rPr>
          <w:rFonts w:ascii="Times New Roman" w:eastAsia="Times New Roman" w:hAnsi="Times New Roman" w:cs="Times New Roman"/>
          <w:color w:val="000000"/>
          <w:spacing w:val="0"/>
          <w:w w:val="100"/>
          <w:position w:val="0"/>
        </w:rPr>
        <w:t>3</w:t>
      </w:r>
      <w:bookmarkEnd w:id="1470"/>
      <w:r>
        <w:rPr>
          <w:color w:val="000000"/>
          <w:spacing w:val="0"/>
          <w:w w:val="100"/>
          <w:position w:val="0"/>
        </w:rPr>
        <w:t>、</w:t>
        <w:tab/>
        <w:t>持续和非持续第三层次公允价值计量项目，采用的估值技术和重要参数的定性及定量信息</w:t>
      </w:r>
      <w:bookmarkEnd w:id="1468"/>
      <w:bookmarkEnd w:id="1469"/>
      <w:bookmarkEnd w:id="1471"/>
    </w:p>
    <w:p>
      <w:pPr>
        <w:pStyle w:val="Style47"/>
        <w:keepNext w:val="0"/>
        <w:keepLines w:val="0"/>
        <w:widowControl w:val="0"/>
        <w:shd w:val="clear" w:color="auto" w:fill="auto"/>
        <w:bidi w:val="0"/>
        <w:spacing w:before="0" w:after="440" w:line="466" w:lineRule="exact"/>
        <w:ind w:left="0" w:right="0" w:firstLine="440"/>
        <w:jc w:val="both"/>
      </w:pPr>
      <w:r>
        <w:rPr>
          <w:color w:val="000000"/>
          <w:spacing w:val="0"/>
          <w:w w:val="100"/>
          <w:position w:val="0"/>
        </w:rPr>
        <w:t>公司持续第三层次公允价值计量项目主要为非交易性权益工具投资，每年根据贵州六合烟草自动化工 程有限公司审计报告及公司所持份额确定公允价值。</w:t>
      </w:r>
    </w:p>
    <w:p>
      <w:pPr>
        <w:pStyle w:val="Style33"/>
        <w:keepNext/>
        <w:keepLines/>
        <w:widowControl w:val="0"/>
        <w:shd w:val="clear" w:color="auto" w:fill="auto"/>
        <w:bidi w:val="0"/>
        <w:spacing w:before="0" w:after="320" w:line="240" w:lineRule="auto"/>
        <w:ind w:left="0" w:right="0" w:firstLine="0"/>
        <w:jc w:val="left"/>
      </w:pPr>
      <w:bookmarkStart w:id="1472" w:name="bookmark1472"/>
      <w:bookmarkStart w:id="1473" w:name="bookmark1473"/>
      <w:bookmarkStart w:id="1474" w:name="bookmark1474"/>
      <w:r>
        <w:rPr>
          <w:color w:val="000000"/>
          <w:spacing w:val="0"/>
          <w:w w:val="100"/>
          <w:position w:val="0"/>
          <w:sz w:val="24"/>
          <w:szCs w:val="24"/>
        </w:rPr>
        <w:t>十一、关联方及关联交易</w:t>
      </w:r>
      <w:bookmarkEnd w:id="1472"/>
      <w:bookmarkEnd w:id="1473"/>
      <w:bookmarkEnd w:id="1474"/>
    </w:p>
    <w:p>
      <w:pPr>
        <w:pStyle w:val="Style44"/>
        <w:keepNext/>
        <w:keepLines/>
        <w:widowControl w:val="0"/>
        <w:shd w:val="clear" w:color="auto" w:fill="auto"/>
        <w:bidi w:val="0"/>
        <w:spacing w:before="0" w:after="80" w:line="480" w:lineRule="auto"/>
        <w:ind w:left="0" w:right="0" w:firstLine="0"/>
        <w:jc w:val="left"/>
      </w:pPr>
      <w:bookmarkStart w:id="1475" w:name="bookmark1475"/>
      <w:bookmarkStart w:id="1476" w:name="bookmark1476"/>
      <w:bookmarkStart w:id="1477" w:name="bookmark1477"/>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1475"/>
      <w:bookmarkEnd w:id="1476"/>
      <w:bookmarkEnd w:id="1477"/>
    </w:p>
    <w:tbl>
      <w:tblPr>
        <w:tblOverlap w:val="never"/>
        <w:jc w:val="left"/>
        <w:tblLayout w:type="fixed"/>
      </w:tblPr>
      <w:tblGrid>
        <w:gridCol w:w="1603"/>
        <w:gridCol w:w="1594"/>
        <w:gridCol w:w="1594"/>
        <w:gridCol w:w="1594"/>
        <w:gridCol w:w="1594"/>
        <w:gridCol w:w="1608"/>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母公司名称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注册地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业务性质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注册资本</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母公司对本企业的 持股比例</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8"/>
                <w:szCs w:val="18"/>
              </w:rPr>
              <w:t>母公司对本企业的 表决权比例</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中国科学院控股有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资产管理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506,703.00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33.51%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33.51%</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本企业的母公司情况的说明</w:t>
      </w:r>
    </w:p>
    <w:p>
      <w:pPr>
        <w:pStyle w:val="Style47"/>
        <w:keepNext w:val="0"/>
        <w:keepLines w:val="0"/>
        <w:widowControl w:val="0"/>
        <w:shd w:val="clear" w:color="auto" w:fill="auto"/>
        <w:bidi w:val="0"/>
        <w:spacing w:before="0" w:after="0" w:line="470" w:lineRule="exact"/>
        <w:ind w:left="0" w:right="0" w:firstLine="440"/>
        <w:jc w:val="left"/>
      </w:pPr>
      <w:r>
        <w:rPr>
          <w:color w:val="000000"/>
          <w:spacing w:val="0"/>
          <w:w w:val="100"/>
          <w:position w:val="0"/>
        </w:rPr>
        <w:t>中国科学院控股有限公司简称国科控股是经国务院批准，由中科院于</w:t>
      </w:r>
      <w:r>
        <w:rPr>
          <w:rFonts w:ascii="Times New Roman" w:eastAsia="Times New Roman" w:hAnsi="Times New Roman" w:cs="Times New Roman"/>
          <w:color w:val="000000"/>
          <w:spacing w:val="0"/>
          <w:w w:val="100"/>
          <w:position w:val="0"/>
        </w:rPr>
        <w:t>2002</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日设立的国有独资 公司，注册资本</w:t>
      </w:r>
      <w:r>
        <w:rPr>
          <w:rFonts w:ascii="Times New Roman" w:eastAsia="Times New Roman" w:hAnsi="Times New Roman" w:cs="Times New Roman"/>
          <w:color w:val="000000"/>
          <w:spacing w:val="0"/>
          <w:w w:val="100"/>
          <w:position w:val="0"/>
        </w:rPr>
        <w:t>50.67</w:t>
      </w:r>
      <w:r>
        <w:rPr>
          <w:color w:val="000000"/>
          <w:spacing w:val="0"/>
          <w:w w:val="100"/>
          <w:position w:val="0"/>
        </w:rPr>
        <w:t>亿元。根据《中国科学院章程》，中国科学院设立国有资产经营有限责任公司，授权 其管理院经营性国有资产，对院属单位经营性国有资产管理进行监督和指导；对院直接投资的企业中有关 国有资产依法行使出资人权利，并承担相应的保值增值责任。作为中科院设立的国有独资公司，国科控股 主要按照上述章程的规定行使相关权利和义务。</w:t>
      </w:r>
    </w:p>
    <w:p>
      <w:pPr>
        <w:pStyle w:val="Style47"/>
        <w:keepNext w:val="0"/>
        <w:keepLines w:val="0"/>
        <w:widowControl w:val="0"/>
        <w:shd w:val="clear" w:color="auto" w:fill="auto"/>
        <w:bidi w:val="0"/>
        <w:spacing w:before="0" w:after="200" w:line="470" w:lineRule="exact"/>
        <w:ind w:left="0" w:right="0" w:firstLine="440"/>
        <w:jc w:val="left"/>
      </w:pPr>
      <w:r>
        <w:rPr>
          <w:color w:val="000000"/>
          <w:spacing w:val="0"/>
          <w:w w:val="100"/>
          <w:position w:val="0"/>
        </w:rPr>
        <w:t>本企业最终控制方是中国科学院控股有限公司。</w:t>
      </w:r>
    </w:p>
    <w:p>
      <w:pPr>
        <w:pStyle w:val="Style35"/>
        <w:keepNext w:val="0"/>
        <w:keepLines w:val="0"/>
        <w:widowControl w:val="0"/>
        <w:shd w:val="clear" w:color="auto" w:fill="auto"/>
        <w:bidi w:val="0"/>
        <w:spacing w:before="0" w:after="320" w:line="240" w:lineRule="auto"/>
        <w:ind w:left="0" w:right="0" w:firstLine="0"/>
        <w:jc w:val="left"/>
        <w:sectPr>
          <w:headerReference w:type="default" r:id="rId353"/>
          <w:footerReference w:type="default" r:id="rId354"/>
          <w:headerReference w:type="even" r:id="rId355"/>
          <w:footerReference w:type="even" r:id="rId356"/>
          <w:footnotePr>
            <w:pos w:val="pageBottom"/>
            <w:numFmt w:val="decimal"/>
            <w:numRestart w:val="continuous"/>
          </w:footnotePr>
          <w:pgSz w:w="11900" w:h="16840"/>
          <w:pgMar w:top="1326" w:right="24" w:bottom="1528" w:left="1091" w:header="0" w:footer="3" w:gutter="0"/>
          <w:cols w:space="720"/>
          <w:noEndnote/>
          <w:rtlGutter w:val="0"/>
          <w:docGrid w:linePitch="360"/>
        </w:sectPr>
      </w:pPr>
      <w:r>
        <w:rPr>
          <w:color w:val="000000"/>
          <w:spacing w:val="0"/>
          <w:w w:val="100"/>
          <w:position w:val="0"/>
        </w:rPr>
        <w:t>其他说明：</w:t>
      </w:r>
    </w:p>
    <w:p>
      <w:pPr>
        <w:pStyle w:val="Style44"/>
        <w:keepNext/>
        <w:keepLines/>
        <w:widowControl w:val="0"/>
        <w:shd w:val="clear" w:color="auto" w:fill="auto"/>
        <w:tabs>
          <w:tab w:pos="378" w:val="left"/>
        </w:tabs>
        <w:bidi w:val="0"/>
        <w:spacing w:before="0" w:after="360" w:line="240" w:lineRule="auto"/>
        <w:ind w:left="0" w:right="0" w:firstLine="0"/>
        <w:jc w:val="left"/>
      </w:pPr>
      <w:bookmarkStart w:id="1478" w:name="bookmark1478"/>
      <w:bookmarkStart w:id="1479" w:name="bookmark1479"/>
      <w:bookmarkStart w:id="1480" w:name="bookmark1480"/>
      <w:bookmarkStart w:id="1481" w:name="bookmark1481"/>
      <w:r>
        <w:rPr>
          <w:rFonts w:ascii="Times New Roman" w:eastAsia="Times New Roman" w:hAnsi="Times New Roman" w:cs="Times New Roman"/>
          <w:color w:val="000000"/>
          <w:spacing w:val="0"/>
          <w:w w:val="100"/>
          <w:position w:val="0"/>
        </w:rPr>
        <w:t>2</w:t>
      </w:r>
      <w:bookmarkEnd w:id="1480"/>
      <w:r>
        <w:rPr>
          <w:color w:val="000000"/>
          <w:spacing w:val="0"/>
          <w:w w:val="100"/>
          <w:position w:val="0"/>
        </w:rPr>
        <w:t>、</w:t>
        <w:tab/>
        <w:t>本企业的子公司情况</w:t>
      </w:r>
      <w:bookmarkEnd w:id="1478"/>
      <w:bookmarkEnd w:id="1479"/>
      <w:bookmarkEnd w:id="1481"/>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本企业子公司的情况详见附注八、</w:t>
      </w:r>
      <w:r>
        <w:rPr>
          <w:rFonts w:ascii="Times New Roman" w:eastAsia="Times New Roman" w:hAnsi="Times New Roman" w:cs="Times New Roman"/>
          <w:color w:val="000000"/>
          <w:spacing w:val="0"/>
          <w:w w:val="100"/>
          <w:position w:val="0"/>
        </w:rPr>
        <w:t>1</w:t>
      </w:r>
      <w:r>
        <w:rPr>
          <w:color w:val="000000"/>
          <w:spacing w:val="0"/>
          <w:w w:val="100"/>
          <w:position w:val="0"/>
        </w:rPr>
        <w:t>。</w:t>
      </w:r>
    </w:p>
    <w:p>
      <w:pPr>
        <w:pStyle w:val="Style44"/>
        <w:keepNext/>
        <w:keepLines/>
        <w:widowControl w:val="0"/>
        <w:shd w:val="clear" w:color="auto" w:fill="auto"/>
        <w:tabs>
          <w:tab w:pos="378" w:val="left"/>
        </w:tabs>
        <w:bidi w:val="0"/>
        <w:spacing w:before="0" w:after="360" w:line="240" w:lineRule="auto"/>
        <w:ind w:left="0" w:right="0" w:firstLine="0"/>
        <w:jc w:val="left"/>
      </w:pPr>
      <w:bookmarkStart w:id="1482" w:name="bookmark1482"/>
      <w:bookmarkStart w:id="1483" w:name="bookmark1483"/>
      <w:bookmarkStart w:id="1484" w:name="bookmark1484"/>
      <w:bookmarkStart w:id="1485" w:name="bookmark1485"/>
      <w:r>
        <w:rPr>
          <w:rFonts w:ascii="Times New Roman" w:eastAsia="Times New Roman" w:hAnsi="Times New Roman" w:cs="Times New Roman"/>
          <w:color w:val="000000"/>
          <w:spacing w:val="0"/>
          <w:w w:val="100"/>
          <w:position w:val="0"/>
        </w:rPr>
        <w:t>3</w:t>
      </w:r>
      <w:bookmarkEnd w:id="1484"/>
      <w:r>
        <w:rPr>
          <w:color w:val="000000"/>
          <w:spacing w:val="0"/>
          <w:w w:val="100"/>
          <w:position w:val="0"/>
        </w:rPr>
        <w:t>、</w:t>
        <w:tab/>
        <w:t>本企业合营和联营企业情况</w:t>
      </w:r>
      <w:bookmarkEnd w:id="1482"/>
      <w:bookmarkEnd w:id="1483"/>
      <w:bookmarkEnd w:id="1485"/>
    </w:p>
    <w:p>
      <w:pPr>
        <w:pStyle w:val="Style35"/>
        <w:keepNext w:val="0"/>
        <w:keepLines w:val="0"/>
        <w:widowControl w:val="0"/>
        <w:shd w:val="clear" w:color="auto" w:fill="auto"/>
        <w:bidi w:val="0"/>
        <w:spacing w:before="0" w:after="160" w:line="240" w:lineRule="auto"/>
        <w:ind w:left="0" w:right="0" w:firstLine="0"/>
        <w:jc w:val="left"/>
      </w:pPr>
      <w:r>
        <w:rPr>
          <w:color w:val="000000"/>
          <w:spacing w:val="0"/>
          <w:w w:val="100"/>
          <w:position w:val="0"/>
        </w:rPr>
        <w:t>本企业重要的合营或联营企业详见附注八、</w:t>
      </w:r>
      <w:r>
        <w:rPr>
          <w:rFonts w:ascii="Times New Roman" w:eastAsia="Times New Roman" w:hAnsi="Times New Roman" w:cs="Times New Roman"/>
          <w:color w:val="000000"/>
          <w:spacing w:val="0"/>
          <w:w w:val="100"/>
          <w:position w:val="0"/>
        </w:rPr>
        <w:t>2</w:t>
      </w:r>
      <w:r>
        <w:rPr>
          <w:color w:val="000000"/>
          <w:spacing w:val="0"/>
          <w:w w:val="100"/>
          <w:position w:val="0"/>
        </w:rPr>
        <w:t>。</w:t>
      </w:r>
    </w:p>
    <w:p>
      <w:pPr>
        <w:pStyle w:val="Style35"/>
        <w:keepNext w:val="0"/>
        <w:keepLines w:val="0"/>
        <w:widowControl w:val="0"/>
        <w:shd w:val="clear" w:color="auto" w:fill="auto"/>
        <w:bidi w:val="0"/>
        <w:spacing w:before="0" w:after="80" w:line="240" w:lineRule="auto"/>
        <w:ind w:left="0" w:right="0" w:firstLine="0"/>
        <w:jc w:val="left"/>
      </w:pPr>
      <w:r>
        <w:rPr>
          <w:color w:val="000000"/>
          <w:spacing w:val="0"/>
          <w:w w:val="100"/>
          <w:position w:val="0"/>
        </w:rPr>
        <w:t>本期与本公司发生关联方交易，或前期与本公司发生关联方交易形成余额的其他合营或联营企业情况如下:</w:t>
      </w:r>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合营或联营企业名称</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与本企业关系</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深圳市中钞科信金融科技有限公司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联营企业</w:t>
            </w:r>
          </w:p>
        </w:tc>
      </w:tr>
    </w:tbl>
    <w:p>
      <w:pPr>
        <w:widowControl w:val="0"/>
        <w:spacing w:after="79" w:line="1" w:lineRule="exact"/>
      </w:pPr>
    </w:p>
    <w:p>
      <w:pPr>
        <w:pStyle w:val="Style3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360" w:line="240" w:lineRule="auto"/>
        <w:ind w:left="0" w:right="0" w:firstLine="0"/>
        <w:jc w:val="left"/>
      </w:pPr>
      <w:bookmarkStart w:id="1486" w:name="bookmark1486"/>
      <w:bookmarkStart w:id="1487" w:name="bookmark1487"/>
      <w:bookmarkStart w:id="1488" w:name="bookmark1488"/>
      <w:bookmarkStart w:id="1489" w:name="bookmark1489"/>
      <w:r>
        <w:rPr>
          <w:rFonts w:ascii="Times New Roman" w:eastAsia="Times New Roman" w:hAnsi="Times New Roman" w:cs="Times New Roman"/>
          <w:color w:val="000000"/>
          <w:spacing w:val="0"/>
          <w:w w:val="100"/>
          <w:position w:val="0"/>
        </w:rPr>
        <w:t>4</w:t>
      </w:r>
      <w:bookmarkEnd w:id="1488"/>
      <w:r>
        <w:rPr>
          <w:color w:val="000000"/>
          <w:spacing w:val="0"/>
          <w:w w:val="100"/>
          <w:position w:val="0"/>
        </w:rPr>
        <w:t>、其他关联方情况</w:t>
      </w:r>
      <w:bookmarkEnd w:id="1486"/>
      <w:bookmarkEnd w:id="1487"/>
      <w:bookmarkEnd w:id="1489"/>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其他关联方名称</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其他关联方与本企业关系</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北京中科印刷有限公司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中科院资本管理有限公司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深圳中科院知识产权投资有限公司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中科院创新孵化投资有限责任公司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中科院广州化学有限公司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北京中科院软件中心有限公司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中科院南京天文仪器有限公司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中科院科技发展投资有限公司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国科健康管理股份有限公司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中国科学院广州电子技术有限公司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中国科学院成都有机化学研究有限公司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中科院科技服务有限公司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中国科学院沈阳科学仪器股份有限公司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国科健康生物科技有限公司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中科院广州电子技术有限公司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成都瑞拓科技股份有限公司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北京中科科仪股份有限公司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控股股东控制的企业</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深圳市中钞科信金融科技有限公司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联营企业</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其他说明</w:t>
      </w:r>
      <w:r>
        <w:br w:type="page"/>
      </w:r>
    </w:p>
    <w:p>
      <w:pPr>
        <w:pStyle w:val="Style44"/>
        <w:keepNext/>
        <w:keepLines/>
        <w:widowControl w:val="0"/>
        <w:shd w:val="clear" w:color="auto" w:fill="auto"/>
        <w:bidi w:val="0"/>
        <w:spacing w:before="0" w:line="240" w:lineRule="auto"/>
        <w:ind w:left="0" w:right="0" w:firstLine="0"/>
        <w:jc w:val="left"/>
      </w:pPr>
      <w:bookmarkStart w:id="1490" w:name="bookmark1490"/>
      <w:bookmarkStart w:id="1491" w:name="bookmark1491"/>
      <w:bookmarkStart w:id="1492" w:name="bookmark1492"/>
      <w:bookmarkStart w:id="1493" w:name="bookmark1493"/>
      <w:r>
        <w:rPr>
          <w:rFonts w:ascii="Times New Roman" w:eastAsia="Times New Roman" w:hAnsi="Times New Roman" w:cs="Times New Roman"/>
          <w:color w:val="000000"/>
          <w:spacing w:val="0"/>
          <w:w w:val="100"/>
          <w:position w:val="0"/>
        </w:rPr>
        <w:t>5</w:t>
      </w:r>
      <w:bookmarkEnd w:id="1492"/>
      <w:r>
        <w:rPr>
          <w:color w:val="000000"/>
          <w:spacing w:val="0"/>
          <w:w w:val="100"/>
          <w:position w:val="0"/>
        </w:rPr>
        <w:t>、关联交易情况</w:t>
      </w:r>
      <w:bookmarkEnd w:id="1490"/>
      <w:bookmarkEnd w:id="1491"/>
      <w:bookmarkEnd w:id="1493"/>
    </w:p>
    <w:p>
      <w:pPr>
        <w:pStyle w:val="Style60"/>
        <w:keepNext/>
        <w:keepLines/>
        <w:widowControl w:val="0"/>
        <w:shd w:val="clear" w:color="auto" w:fill="auto"/>
        <w:bidi w:val="0"/>
        <w:spacing w:before="0" w:after="340" w:line="240" w:lineRule="auto"/>
        <w:ind w:left="0" w:right="0" w:firstLine="0"/>
        <w:jc w:val="left"/>
      </w:pPr>
      <w:bookmarkStart w:id="1494" w:name="bookmark1494"/>
      <w:bookmarkStart w:id="1495" w:name="bookmark1495"/>
      <w:bookmarkStart w:id="1496" w:name="bookmark149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）购销商品、提供和接受劳务的关联交易</w:t>
      </w:r>
      <w:bookmarkEnd w:id="1494"/>
      <w:bookmarkEnd w:id="1495"/>
      <w:bookmarkEnd w:id="1496"/>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采购商品</w:t>
      </w:r>
      <w:r>
        <w:rPr>
          <w:rFonts w:ascii="Times New Roman" w:eastAsia="Times New Roman" w:hAnsi="Times New Roman" w:cs="Times New Roman"/>
          <w:color w:val="000000"/>
          <w:spacing w:val="0"/>
          <w:w w:val="100"/>
          <w:position w:val="0"/>
        </w:rPr>
        <w:t>/</w:t>
      </w:r>
      <w:r>
        <w:rPr>
          <w:color w:val="000000"/>
          <w:spacing w:val="0"/>
          <w:w w:val="100"/>
          <w:position w:val="0"/>
        </w:rPr>
        <w:t>接受劳务情况表</w:t>
      </w:r>
    </w:p>
    <w:p>
      <w:pPr>
        <w:pStyle w:val="Style3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1546"/>
        <w:gridCol w:w="1454"/>
        <w:gridCol w:w="1454"/>
        <w:gridCol w:w="1709"/>
        <w:gridCol w:w="1704"/>
        <w:gridCol w:w="1718"/>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关联方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关联交易内容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本期发生额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获批的交易额度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是否超过交易额度</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上期发生额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中科院广州电子技</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技术服务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1,559,433.96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1,320,754.71</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北京中科科仪股份</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148,607.68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4,950.00</w:t>
            </w:r>
          </w:p>
        </w:tc>
      </w:tr>
    </w:tbl>
    <w:p>
      <w:pPr>
        <w:pStyle w:val="Style41"/>
        <w:keepNext w:val="0"/>
        <w:keepLines w:val="0"/>
        <w:widowControl w:val="0"/>
        <w:shd w:val="clear" w:color="auto" w:fill="auto"/>
        <w:bidi w:val="0"/>
        <w:spacing w:before="0" w:after="0" w:line="240" w:lineRule="auto"/>
        <w:ind w:left="5" w:right="0" w:firstLine="0"/>
        <w:jc w:val="left"/>
        <w:rPr>
          <w:sz w:val="18"/>
          <w:szCs w:val="18"/>
        </w:rPr>
      </w:pPr>
      <w:r>
        <w:rPr>
          <w:b w:val="0"/>
          <w:bCs w:val="0"/>
          <w:color w:val="000000"/>
          <w:spacing w:val="0"/>
          <w:w w:val="100"/>
          <w:position w:val="0"/>
          <w:sz w:val="18"/>
          <w:szCs w:val="18"/>
        </w:rPr>
        <w:t>出售商品</w:t>
      </w:r>
      <w:r>
        <w:rPr>
          <w:rFonts w:ascii="Times New Roman" w:eastAsia="Times New Roman" w:hAnsi="Times New Roman" w:cs="Times New Roman"/>
          <w:b w:val="0"/>
          <w:bCs w:val="0"/>
          <w:color w:val="000000"/>
          <w:spacing w:val="0"/>
          <w:w w:val="100"/>
          <w:position w:val="0"/>
          <w:sz w:val="18"/>
          <w:szCs w:val="18"/>
        </w:rPr>
        <w:t>/</w:t>
      </w:r>
      <w:r>
        <w:rPr>
          <w:b w:val="0"/>
          <w:bCs w:val="0"/>
          <w:color w:val="000000"/>
          <w:spacing w:val="0"/>
          <w:w w:val="100"/>
          <w:position w:val="0"/>
          <w:sz w:val="18"/>
          <w:szCs w:val="18"/>
        </w:rPr>
        <w:t>提供劳务情况表</w:t>
      </w:r>
    </w:p>
    <w:p>
      <w:pPr>
        <w:widowControl w:val="0"/>
        <w:spacing w:after="79" w:line="1" w:lineRule="exact"/>
      </w:pPr>
    </w:p>
    <w:p>
      <w:pPr>
        <w:pStyle w:val="Style35"/>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left"/>
        <w:tblLayout w:type="fixed"/>
      </w:tblPr>
      <w:tblGrid>
        <w:gridCol w:w="2405"/>
        <w:gridCol w:w="2261"/>
        <w:gridCol w:w="2256"/>
        <w:gridCol w:w="2664"/>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关联方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关联交易内容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成都瑞拓科技股份有限公司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技术服务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103,773.58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中国科学院控股有限公司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1,221,576.00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北京中科印刷有限公司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56,200.00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中科院资本管理有限公司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深圳中科院知识产权投资有限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中科院创新孵化投资有限责任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中科院广州化学有限公司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北京中科院软件中心有限公司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中科院南京天文仪器有限公司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中科院科技发展投资有限公司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国科健康管理股份有限公司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中国科学院广州电子技术有限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中国科学院成都有机化学研究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中科院科技服务有限公司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8"/>
                <w:szCs w:val="18"/>
              </w:rPr>
              <w:t>中国科学院沈阳科学仪器股份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国科健康生物科技有限公司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集成销售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购销商品、提供和接受劳务的关联交易说明</w:t>
      </w:r>
    </w:p>
    <w:p>
      <w:pPr>
        <w:pStyle w:val="Style60"/>
        <w:keepNext/>
        <w:keepLines/>
        <w:widowControl w:val="0"/>
        <w:shd w:val="clear" w:color="auto" w:fill="auto"/>
        <w:bidi w:val="0"/>
        <w:spacing w:before="0" w:line="240" w:lineRule="auto"/>
        <w:ind w:left="0" w:right="0" w:firstLine="0"/>
        <w:jc w:val="both"/>
      </w:pPr>
      <w:bookmarkStart w:id="1497" w:name="bookmark1497"/>
      <w:bookmarkStart w:id="1498" w:name="bookmark1498"/>
      <w:bookmarkStart w:id="1499" w:name="bookmark1499"/>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)关联租赁情况</w:t>
      </w:r>
      <w:bookmarkEnd w:id="1497"/>
      <w:bookmarkEnd w:id="1498"/>
      <w:bookmarkEnd w:id="1499"/>
    </w:p>
    <w:p>
      <w:pPr>
        <w:pStyle w:val="Style35"/>
        <w:keepNext w:val="0"/>
        <w:keepLines w:val="0"/>
        <w:widowControl w:val="0"/>
        <w:shd w:val="clear" w:color="auto" w:fill="auto"/>
        <w:bidi w:val="0"/>
        <w:spacing w:before="0" w:after="140" w:line="240" w:lineRule="auto"/>
        <w:ind w:left="0" w:right="0" w:firstLine="0"/>
        <w:jc w:val="both"/>
      </w:pPr>
      <w:r>
        <w:rPr>
          <w:color w:val="000000"/>
          <w:spacing w:val="0"/>
          <w:w w:val="100"/>
          <w:position w:val="0"/>
        </w:rPr>
        <w:t>本公司作为出租方：</w:t>
      </w:r>
    </w:p>
    <w:p>
      <w:pPr>
        <w:pStyle w:val="Style35"/>
        <w:keepNext w:val="0"/>
        <w:keepLines w:val="0"/>
        <w:widowControl w:val="0"/>
        <w:shd w:val="clear" w:color="auto" w:fill="auto"/>
        <w:bidi w:val="0"/>
        <w:spacing w:before="0" w:after="100" w:line="240" w:lineRule="auto"/>
        <w:ind w:left="0" w:right="1080" w:firstLine="0"/>
        <w:jc w:val="right"/>
      </w:pPr>
      <w:r>
        <w:rPr>
          <w:color w:val="000000"/>
          <w:spacing w:val="0"/>
          <w:w w:val="100"/>
          <w:position w:val="0"/>
        </w:rPr>
        <w:t>单位：元</w:t>
      </w:r>
    </w:p>
    <w:tbl>
      <w:tblPr>
        <w:tblOverlap w:val="never"/>
        <w:jc w:val="left"/>
        <w:tblLayout w:type="fixed"/>
      </w:tblPr>
      <w:tblGrid>
        <w:gridCol w:w="2395"/>
        <w:gridCol w:w="2395"/>
        <w:gridCol w:w="2395"/>
        <w:gridCol w:w="24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承租方名称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租赁资产种类</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本期确认的租赁收入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上期确认的租赁收入</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rPr>
                <w:sz w:val="18"/>
                <w:szCs w:val="18"/>
              </w:rPr>
            </w:pPr>
            <w:r>
              <w:rPr>
                <w:color w:val="000000"/>
                <w:spacing w:val="0"/>
                <w:w w:val="100"/>
                <w:position w:val="0"/>
                <w:sz w:val="18"/>
                <w:szCs w:val="18"/>
              </w:rPr>
              <w:t>深圳市中钞科信金融科技有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586,080.00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1,758,240.00</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本公司作为承租方:</w:t>
      </w:r>
    </w:p>
    <w:p>
      <w:pPr>
        <w:widowControl w:val="0"/>
        <w:spacing w:after="99" w:line="1" w:lineRule="exact"/>
      </w:pPr>
    </w:p>
    <w:p>
      <w:pPr>
        <w:pStyle w:val="Style35"/>
        <w:keepNext w:val="0"/>
        <w:keepLines w:val="0"/>
        <w:widowControl w:val="0"/>
        <w:shd w:val="clear" w:color="auto" w:fill="auto"/>
        <w:bidi w:val="0"/>
        <w:spacing w:before="0" w:after="100" w:line="240" w:lineRule="auto"/>
        <w:ind w:left="0" w:right="1080" w:firstLine="0"/>
        <w:jc w:val="right"/>
      </w:pPr>
      <w:r>
        <w:rPr>
          <w:color w:val="000000"/>
          <w:spacing w:val="0"/>
          <w:w w:val="100"/>
          <w:position w:val="0"/>
        </w:rPr>
        <w:t>单位：元</w:t>
      </w:r>
    </w:p>
    <w:tbl>
      <w:tblPr>
        <w:tblOverlap w:val="never"/>
        <w:jc w:val="left"/>
        <w:tblLayout w:type="fixed"/>
      </w:tblPr>
      <w:tblGrid>
        <w:gridCol w:w="2395"/>
        <w:gridCol w:w="2395"/>
        <w:gridCol w:w="2395"/>
        <w:gridCol w:w="24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出租方名称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租赁资产种类</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本期确认的租赁费</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上期确认的租赁费</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北京中科科仪股份有限公司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房屋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281,050.00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135,506.25</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北京中科科仪股份有限公司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车辆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11,000.00</w:t>
            </w:r>
          </w:p>
        </w:tc>
      </w:tr>
    </w:tbl>
    <w:p>
      <w:pPr>
        <w:widowControl w:val="0"/>
        <w:spacing w:after="99" w:line="1" w:lineRule="exact"/>
      </w:pPr>
    </w:p>
    <w:p>
      <w:pPr>
        <w:pStyle w:val="Style35"/>
        <w:keepNext w:val="0"/>
        <w:keepLines w:val="0"/>
        <w:widowControl w:val="0"/>
        <w:shd w:val="clear" w:color="auto" w:fill="auto"/>
        <w:bidi w:val="0"/>
        <w:spacing w:before="0" w:after="360" w:line="240" w:lineRule="auto"/>
        <w:ind w:left="0" w:right="0" w:firstLine="0"/>
        <w:jc w:val="both"/>
      </w:pPr>
      <w:r>
        <w:rPr>
          <w:color w:val="000000"/>
          <w:spacing w:val="0"/>
          <w:w w:val="100"/>
          <w:position w:val="0"/>
        </w:rPr>
        <w:t>关联租赁情况说明</w:t>
      </w:r>
    </w:p>
    <w:p>
      <w:pPr>
        <w:pStyle w:val="Style60"/>
        <w:keepNext/>
        <w:keepLines/>
        <w:widowControl w:val="0"/>
        <w:numPr>
          <w:ilvl w:val="0"/>
          <w:numId w:val="103"/>
        </w:numPr>
        <w:shd w:val="clear" w:color="auto" w:fill="auto"/>
        <w:bidi w:val="0"/>
        <w:spacing w:before="0" w:line="240" w:lineRule="auto"/>
        <w:ind w:left="0" w:right="0" w:firstLine="0"/>
        <w:jc w:val="both"/>
      </w:pPr>
      <w:bookmarkStart w:id="1500" w:name="bookmark1500"/>
      <w:bookmarkStart w:id="1501" w:name="bookmark1501"/>
      <w:bookmarkStart w:id="1502" w:name="bookmark1502"/>
      <w:bookmarkStart w:id="1503" w:name="bookmark1503"/>
      <w:bookmarkEnd w:id="1502"/>
      <w:r>
        <w:rPr>
          <w:color w:val="000000"/>
          <w:spacing w:val="0"/>
          <w:w w:val="100"/>
          <w:position w:val="0"/>
        </w:rPr>
        <w:t>关键管理人员报酬</w:t>
      </w:r>
      <w:bookmarkEnd w:id="1500"/>
      <w:bookmarkEnd w:id="1501"/>
      <w:bookmarkEnd w:id="150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关键管理人员报酬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4,089,590.00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6,209,900.00</w:t>
            </w:r>
          </w:p>
        </w:tc>
      </w:tr>
    </w:tbl>
    <w:p>
      <w:pPr>
        <w:widowControl w:val="0"/>
        <w:spacing w:after="99" w:line="1" w:lineRule="exact"/>
      </w:pPr>
    </w:p>
    <w:p>
      <w:pPr>
        <w:pStyle w:val="Style60"/>
        <w:keepNext/>
        <w:keepLines/>
        <w:widowControl w:val="0"/>
        <w:numPr>
          <w:ilvl w:val="0"/>
          <w:numId w:val="103"/>
        </w:numPr>
        <w:shd w:val="clear" w:color="auto" w:fill="auto"/>
        <w:bidi w:val="0"/>
        <w:spacing w:before="0" w:after="220" w:line="468" w:lineRule="exact"/>
        <w:ind w:left="0" w:right="0" w:firstLine="0"/>
        <w:jc w:val="both"/>
      </w:pPr>
      <w:bookmarkStart w:id="1504" w:name="bookmark1504"/>
      <w:bookmarkStart w:id="1505" w:name="bookmark1505"/>
      <w:bookmarkStart w:id="1506" w:name="bookmark1506"/>
      <w:bookmarkStart w:id="1507" w:name="bookmark1507"/>
      <w:bookmarkEnd w:id="1506"/>
      <w:r>
        <w:rPr>
          <w:color w:val="000000"/>
          <w:spacing w:val="0"/>
          <w:w w:val="100"/>
          <w:position w:val="0"/>
        </w:rPr>
        <w:t>其他关联交易</w:t>
      </w:r>
      <w:bookmarkEnd w:id="1504"/>
      <w:bookmarkEnd w:id="1505"/>
      <w:bookmarkEnd w:id="1507"/>
    </w:p>
    <w:p>
      <w:pPr>
        <w:pStyle w:val="Style4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高速机器视觉技术是联营企业中钞科信业务开展的技术基础，鉴于本公司在机器视觉领域具有强大的 技术实力，为支持联营企业的业务发展，本公司自中钞科信设立以来一直以员工借用的方式为中钞科信提 供支持。</w:t>
      </w:r>
    </w:p>
    <w:p>
      <w:pPr>
        <w:pStyle w:val="Style47"/>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本年度本公司与中钞科信签订了《员工借用协议》，借用的员工主要从事技术研发、产品开发、技术 服务、经营管理等工作；中钞科信承担借用员工在借用期间发生的职工薪酬、社会保险等费用，并支付给 本公司，由本公司向相关员工发放工资及缴纳社会保险等，涉及人数</w:t>
      </w:r>
      <w:r>
        <w:rPr>
          <w:rFonts w:ascii="Times New Roman" w:eastAsia="Times New Roman" w:hAnsi="Times New Roman" w:cs="Times New Roman"/>
          <w:color w:val="000000"/>
          <w:spacing w:val="0"/>
          <w:w w:val="100"/>
          <w:position w:val="0"/>
        </w:rPr>
        <w:t>73</w:t>
      </w:r>
      <w:r>
        <w:rPr>
          <w:color w:val="000000"/>
          <w:spacing w:val="0"/>
          <w:w w:val="100"/>
          <w:position w:val="0"/>
        </w:rPr>
        <w:t>人，金额</w:t>
      </w:r>
      <w:r>
        <w:rPr>
          <w:rFonts w:ascii="Times New Roman" w:eastAsia="Times New Roman" w:hAnsi="Times New Roman" w:cs="Times New Roman"/>
          <w:color w:val="000000"/>
          <w:spacing w:val="0"/>
          <w:w w:val="100"/>
          <w:position w:val="0"/>
          <w:sz w:val="18"/>
          <w:szCs w:val="18"/>
        </w:rPr>
        <w:t>7,511,829.86</w:t>
      </w:r>
      <w:r>
        <w:rPr>
          <w:color w:val="000000"/>
          <w:spacing w:val="0"/>
          <w:w w:val="100"/>
          <w:position w:val="0"/>
          <w:sz w:val="18"/>
          <w:szCs w:val="18"/>
        </w:rPr>
        <w:t>元</w:t>
      </w:r>
      <w:r>
        <w:rPr>
          <w:color w:val="000000"/>
          <w:spacing w:val="0"/>
          <w:w w:val="100"/>
          <w:position w:val="0"/>
        </w:rPr>
        <w:t>。</w:t>
      </w:r>
    </w:p>
    <w:p>
      <w:pPr>
        <w:pStyle w:val="Style44"/>
        <w:keepNext/>
        <w:keepLines/>
        <w:widowControl w:val="0"/>
        <w:shd w:val="clear" w:color="auto" w:fill="auto"/>
        <w:bidi w:val="0"/>
        <w:spacing w:before="0" w:after="140" w:line="468" w:lineRule="exact"/>
        <w:ind w:left="0" w:right="0" w:firstLine="0"/>
        <w:jc w:val="both"/>
      </w:pPr>
      <w:bookmarkStart w:id="1508" w:name="bookmark1508"/>
      <w:bookmarkStart w:id="1509" w:name="bookmark1509"/>
      <w:bookmarkStart w:id="1510" w:name="bookmark1510"/>
      <w:r>
        <w:rPr>
          <w:rFonts w:ascii="Times New Roman" w:eastAsia="Times New Roman" w:hAnsi="Times New Roman" w:cs="Times New Roman"/>
          <w:color w:val="000000"/>
          <w:spacing w:val="0"/>
          <w:w w:val="100"/>
          <w:position w:val="0"/>
        </w:rPr>
        <w:t>6</w:t>
      </w:r>
      <w:r>
        <w:rPr>
          <w:color w:val="000000"/>
          <w:spacing w:val="0"/>
          <w:w w:val="100"/>
          <w:position w:val="0"/>
        </w:rPr>
        <w:t>、关联方应收应付款项</w:t>
      </w:r>
      <w:bookmarkEnd w:id="1508"/>
      <w:bookmarkEnd w:id="1509"/>
      <w:bookmarkEnd w:id="1510"/>
    </w:p>
    <w:p>
      <w:pPr>
        <w:pStyle w:val="Style60"/>
        <w:keepNext/>
        <w:keepLines/>
        <w:widowControl w:val="0"/>
        <w:shd w:val="clear" w:color="auto" w:fill="auto"/>
        <w:bidi w:val="0"/>
        <w:spacing w:before="0" w:line="468" w:lineRule="exact"/>
        <w:ind w:left="0" w:right="0" w:firstLine="0"/>
        <w:jc w:val="both"/>
      </w:pPr>
      <w:bookmarkStart w:id="1511" w:name="bookmark1511"/>
      <w:bookmarkStart w:id="1512" w:name="bookmark1512"/>
      <w:bookmarkStart w:id="1513" w:name="bookmark151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)应收项目</w:t>
      </w:r>
      <w:bookmarkEnd w:id="1511"/>
      <w:bookmarkEnd w:id="1512"/>
      <w:bookmarkEnd w:id="151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603"/>
        <w:gridCol w:w="1594"/>
        <w:gridCol w:w="1594"/>
        <w:gridCol w:w="1594"/>
        <w:gridCol w:w="1594"/>
        <w:gridCol w:w="160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项目名称</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关联方</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坏账准备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账面余额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坏账准备</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深圳市中钞科信金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169,375.00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92,062.50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169,375.00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61,137.50</w:t>
            </w:r>
          </w:p>
        </w:tc>
      </w:tr>
    </w:tbl>
    <w:tbl>
      <w:tblPr>
        <w:tblOverlap w:val="never"/>
        <w:jc w:val="left"/>
        <w:tblLayout w:type="fixed"/>
      </w:tblPr>
      <w:tblGrid>
        <w:gridCol w:w="1603"/>
        <w:gridCol w:w="1594"/>
        <w:gridCol w:w="1594"/>
        <w:gridCol w:w="1594"/>
        <w:gridCol w:w="1594"/>
        <w:gridCol w:w="1608"/>
      </w:tblGrid>
      <w:tr>
        <w:trPr>
          <w:trHeight w:val="3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融科技有限公司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中科院资本管理有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中科院南京天文仪</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器有限公司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28,100.00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中科院科技发展投</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资有限公司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35,400.00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合同资产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中国科学院控股有 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61,078.80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3,053.94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60"/>
        <w:keepNext/>
        <w:keepLines/>
        <w:widowControl w:val="0"/>
        <w:shd w:val="clear" w:color="auto" w:fill="auto"/>
        <w:bidi w:val="0"/>
        <w:spacing w:before="0" w:after="400" w:line="240" w:lineRule="auto"/>
        <w:ind w:left="0" w:right="0" w:firstLine="140"/>
        <w:jc w:val="left"/>
      </w:pPr>
      <w:bookmarkStart w:id="1514" w:name="bookmark1514"/>
      <w:bookmarkStart w:id="1515" w:name="bookmark1515"/>
      <w:bookmarkStart w:id="1516" w:name="bookmark1516"/>
      <w:r>
        <w:rPr>
          <w:rFonts w:ascii="Times New Roman" w:eastAsia="Times New Roman" w:hAnsi="Times New Roman" w:cs="Times New Roman"/>
          <w:color w:val="000000"/>
          <w:spacing w:val="0"/>
          <w:w w:val="100"/>
          <w:position w:val="0"/>
        </w:rPr>
        <w:t>(2</w:t>
      </w:r>
      <w:r>
        <w:rPr>
          <w:color w:val="000000"/>
          <w:spacing w:val="0"/>
          <w:w w:val="100"/>
          <w:position w:val="0"/>
        </w:rPr>
        <w:t>)应付项目</w:t>
      </w:r>
      <w:bookmarkEnd w:id="1514"/>
      <w:bookmarkEnd w:id="1515"/>
      <w:bookmarkEnd w:id="1516"/>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2395"/>
        <w:gridCol w:w="2395"/>
        <w:gridCol w:w="2395"/>
        <w:gridCol w:w="2400"/>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关联方</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期末账面余额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期初账面余额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北京中科科仪股份有限公司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86,212.50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合同负债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成都瑞拓科技股份有限公司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594,037.74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138,000.00</w:t>
            </w:r>
          </w:p>
        </w:tc>
      </w:tr>
    </w:tbl>
    <w:p>
      <w:pPr>
        <w:widowControl w:val="0"/>
        <w:spacing w:after="339" w:line="1" w:lineRule="exact"/>
      </w:pPr>
    </w:p>
    <w:p>
      <w:pPr>
        <w:pStyle w:val="Style33"/>
        <w:keepNext/>
        <w:keepLines/>
        <w:widowControl w:val="0"/>
        <w:shd w:val="clear" w:color="auto" w:fill="auto"/>
        <w:bidi w:val="0"/>
        <w:spacing w:before="0" w:after="340" w:line="240" w:lineRule="auto"/>
        <w:ind w:left="0" w:right="0" w:firstLine="0"/>
        <w:jc w:val="left"/>
      </w:pPr>
      <w:bookmarkStart w:id="1517" w:name="bookmark1517"/>
      <w:bookmarkStart w:id="1518" w:name="bookmark1518"/>
      <w:bookmarkStart w:id="1519" w:name="bookmark1519"/>
      <w:r>
        <w:rPr>
          <w:color w:val="000000"/>
          <w:spacing w:val="0"/>
          <w:w w:val="100"/>
          <w:position w:val="0"/>
          <w:sz w:val="24"/>
          <w:szCs w:val="24"/>
        </w:rPr>
        <w:t>十二、承诺及或有事项</w:t>
      </w:r>
      <w:bookmarkEnd w:id="1517"/>
      <w:bookmarkEnd w:id="1518"/>
      <w:bookmarkEnd w:id="1519"/>
    </w:p>
    <w:p>
      <w:pPr>
        <w:pStyle w:val="Style44"/>
        <w:keepNext/>
        <w:keepLines/>
        <w:widowControl w:val="0"/>
        <w:shd w:val="clear" w:color="auto" w:fill="auto"/>
        <w:tabs>
          <w:tab w:pos="368" w:val="left"/>
        </w:tabs>
        <w:bidi w:val="0"/>
        <w:spacing w:before="0" w:after="400" w:line="240" w:lineRule="auto"/>
        <w:ind w:left="0" w:right="0" w:firstLine="0"/>
        <w:jc w:val="left"/>
      </w:pPr>
      <w:bookmarkStart w:id="1520" w:name="bookmark1520"/>
      <w:bookmarkStart w:id="1521" w:name="bookmark1521"/>
      <w:bookmarkStart w:id="1522" w:name="bookmark1522"/>
      <w:bookmarkStart w:id="1523" w:name="bookmark1523"/>
      <w:r>
        <w:rPr>
          <w:rFonts w:ascii="Times New Roman" w:eastAsia="Times New Roman" w:hAnsi="Times New Roman" w:cs="Times New Roman"/>
          <w:color w:val="000000"/>
          <w:spacing w:val="0"/>
          <w:w w:val="100"/>
          <w:position w:val="0"/>
        </w:rPr>
        <w:t>1</w:t>
      </w:r>
      <w:bookmarkEnd w:id="1522"/>
      <w:r>
        <w:rPr>
          <w:color w:val="000000"/>
          <w:spacing w:val="0"/>
          <w:w w:val="100"/>
          <w:position w:val="0"/>
        </w:rPr>
        <w:t>、</w:t>
        <w:tab/>
        <w:t>重要承诺事项</w:t>
      </w:r>
      <w:bookmarkEnd w:id="1520"/>
      <w:bookmarkEnd w:id="1521"/>
      <w:bookmarkEnd w:id="1523"/>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资产负债表日存在的重要承诺</w:t>
      </w:r>
    </w:p>
    <w:p>
      <w:pPr>
        <w:pStyle w:val="Style47"/>
        <w:keepNext w:val="0"/>
        <w:keepLines w:val="0"/>
        <w:widowControl w:val="0"/>
        <w:shd w:val="clear" w:color="auto" w:fill="auto"/>
        <w:bidi w:val="0"/>
        <w:spacing w:before="0" w:after="340" w:line="240" w:lineRule="auto"/>
        <w:ind w:left="0" w:right="0" w:firstLine="440"/>
        <w:jc w:val="left"/>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日，本集团无需要披露的重要承诺事项。</w:t>
      </w:r>
    </w:p>
    <w:p>
      <w:pPr>
        <w:pStyle w:val="Style44"/>
        <w:keepNext/>
        <w:keepLines/>
        <w:widowControl w:val="0"/>
        <w:shd w:val="clear" w:color="auto" w:fill="auto"/>
        <w:tabs>
          <w:tab w:pos="378" w:val="left"/>
        </w:tabs>
        <w:bidi w:val="0"/>
        <w:spacing w:before="0" w:line="240" w:lineRule="auto"/>
        <w:ind w:left="0" w:right="0" w:firstLine="0"/>
        <w:jc w:val="left"/>
      </w:pPr>
      <w:bookmarkStart w:id="1524" w:name="bookmark1524"/>
      <w:bookmarkStart w:id="1525" w:name="bookmark1525"/>
      <w:bookmarkStart w:id="1526" w:name="bookmark1526"/>
      <w:bookmarkStart w:id="1527" w:name="bookmark1527"/>
      <w:r>
        <w:rPr>
          <w:rFonts w:ascii="Times New Roman" w:eastAsia="Times New Roman" w:hAnsi="Times New Roman" w:cs="Times New Roman"/>
          <w:color w:val="000000"/>
          <w:spacing w:val="0"/>
          <w:w w:val="100"/>
          <w:position w:val="0"/>
        </w:rPr>
        <w:t>2</w:t>
      </w:r>
      <w:bookmarkEnd w:id="1526"/>
      <w:r>
        <w:rPr>
          <w:color w:val="000000"/>
          <w:spacing w:val="0"/>
          <w:w w:val="100"/>
          <w:position w:val="0"/>
        </w:rPr>
        <w:t>、</w:t>
        <w:tab/>
        <w:t>或有事项</w:t>
      </w:r>
      <w:bookmarkEnd w:id="1524"/>
      <w:bookmarkEnd w:id="1525"/>
      <w:bookmarkEnd w:id="1527"/>
    </w:p>
    <w:p>
      <w:pPr>
        <w:pStyle w:val="Style60"/>
        <w:keepNext/>
        <w:keepLines/>
        <w:widowControl w:val="0"/>
        <w:numPr>
          <w:ilvl w:val="0"/>
          <w:numId w:val="105"/>
        </w:numPr>
        <w:shd w:val="clear" w:color="auto" w:fill="auto"/>
        <w:tabs>
          <w:tab w:pos="493" w:val="left"/>
        </w:tabs>
        <w:bidi w:val="0"/>
        <w:spacing w:before="0" w:after="340" w:line="240" w:lineRule="auto"/>
        <w:ind w:left="0" w:right="0" w:firstLine="0"/>
        <w:jc w:val="left"/>
      </w:pPr>
      <w:bookmarkStart w:id="1528" w:name="bookmark1528"/>
      <w:bookmarkStart w:id="1529" w:name="bookmark1529"/>
      <w:bookmarkStart w:id="1530" w:name="bookmark1530"/>
      <w:bookmarkStart w:id="1531" w:name="bookmark1531"/>
      <w:bookmarkEnd w:id="1530"/>
      <w:r>
        <w:rPr>
          <w:color w:val="000000"/>
          <w:spacing w:val="0"/>
          <w:w w:val="100"/>
          <w:position w:val="0"/>
        </w:rPr>
        <w:t>资产负债表日存在的重要或有事项</w:t>
      </w:r>
      <w:bookmarkEnd w:id="1528"/>
      <w:bookmarkEnd w:id="1529"/>
      <w:bookmarkEnd w:id="1531"/>
    </w:p>
    <w:p>
      <w:pPr>
        <w:pStyle w:val="Style47"/>
        <w:keepNext w:val="0"/>
        <w:keepLines w:val="0"/>
        <w:widowControl w:val="0"/>
        <w:shd w:val="clear" w:color="auto" w:fill="auto"/>
        <w:bidi w:val="0"/>
        <w:spacing w:before="0" w:after="340" w:line="240" w:lineRule="auto"/>
        <w:ind w:left="0" w:right="0" w:firstLine="440"/>
        <w:jc w:val="left"/>
      </w:pPr>
      <w:r>
        <w:rPr>
          <w:color w:val="000000"/>
          <w:spacing w:val="0"/>
          <w:w w:val="100"/>
          <w:position w:val="0"/>
        </w:rPr>
        <w:t>截至</w:t>
      </w: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日，本集团无需要披露的或有事项。</w:t>
      </w:r>
    </w:p>
    <w:p>
      <w:pPr>
        <w:pStyle w:val="Style60"/>
        <w:keepNext/>
        <w:keepLines/>
        <w:widowControl w:val="0"/>
        <w:numPr>
          <w:ilvl w:val="0"/>
          <w:numId w:val="105"/>
        </w:numPr>
        <w:shd w:val="clear" w:color="auto" w:fill="auto"/>
        <w:tabs>
          <w:tab w:pos="493" w:val="left"/>
        </w:tabs>
        <w:bidi w:val="0"/>
        <w:spacing w:before="0" w:after="400" w:line="240" w:lineRule="auto"/>
        <w:ind w:left="0" w:right="0" w:firstLine="0"/>
        <w:jc w:val="left"/>
      </w:pPr>
      <w:bookmarkStart w:id="1532" w:name="bookmark1532"/>
      <w:bookmarkStart w:id="1533" w:name="bookmark1533"/>
      <w:bookmarkStart w:id="1534" w:name="bookmark1534"/>
      <w:bookmarkStart w:id="1535" w:name="bookmark1535"/>
      <w:bookmarkEnd w:id="1534"/>
      <w:r>
        <w:rPr>
          <w:color w:val="000000"/>
          <w:spacing w:val="0"/>
          <w:w w:val="100"/>
          <w:position w:val="0"/>
        </w:rPr>
        <w:t>公司没有需要披露的重要或有事项，也应予以说明</w:t>
      </w:r>
      <w:bookmarkEnd w:id="1532"/>
      <w:bookmarkEnd w:id="1533"/>
      <w:bookmarkEnd w:id="1535"/>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公司不存在需要披露的重要或有事项。</w:t>
      </w:r>
    </w:p>
    <w:p>
      <w:pPr>
        <w:pStyle w:val="Style33"/>
        <w:keepNext/>
        <w:keepLines/>
        <w:widowControl w:val="0"/>
        <w:shd w:val="clear" w:color="auto" w:fill="auto"/>
        <w:bidi w:val="0"/>
        <w:spacing w:before="0" w:after="340" w:line="240" w:lineRule="auto"/>
        <w:ind w:left="0" w:right="0" w:firstLine="0"/>
        <w:jc w:val="left"/>
      </w:pPr>
      <w:bookmarkStart w:id="1536" w:name="bookmark1536"/>
      <w:bookmarkStart w:id="1537" w:name="bookmark1537"/>
      <w:bookmarkStart w:id="1538" w:name="bookmark1538"/>
      <w:r>
        <w:rPr>
          <w:color w:val="000000"/>
          <w:spacing w:val="0"/>
          <w:w w:val="100"/>
          <w:position w:val="0"/>
          <w:sz w:val="24"/>
          <w:szCs w:val="24"/>
        </w:rPr>
        <w:t>十三、资产负债表日后事项</w:t>
      </w:r>
      <w:bookmarkEnd w:id="1536"/>
      <w:bookmarkEnd w:id="1537"/>
      <w:bookmarkEnd w:id="1538"/>
    </w:p>
    <w:p>
      <w:pPr>
        <w:pStyle w:val="Style44"/>
        <w:keepNext/>
        <w:keepLines/>
        <w:widowControl w:val="0"/>
        <w:shd w:val="clear" w:color="auto" w:fill="auto"/>
        <w:bidi w:val="0"/>
        <w:spacing w:before="0" w:line="240" w:lineRule="auto"/>
        <w:ind w:left="0" w:right="0" w:firstLine="0"/>
        <w:jc w:val="left"/>
      </w:pPr>
      <w:bookmarkStart w:id="1539" w:name="bookmark1539"/>
      <w:bookmarkStart w:id="1540" w:name="bookmark1540"/>
      <w:bookmarkStart w:id="1541" w:name="bookmark1541"/>
      <w:r>
        <w:rPr>
          <w:rFonts w:ascii="Times New Roman" w:eastAsia="Times New Roman" w:hAnsi="Times New Roman" w:cs="Times New Roman"/>
          <w:color w:val="000000"/>
          <w:spacing w:val="0"/>
          <w:w w:val="100"/>
          <w:position w:val="0"/>
        </w:rPr>
        <w:t>1</w:t>
      </w:r>
      <w:r>
        <w:rPr>
          <w:color w:val="000000"/>
          <w:spacing w:val="0"/>
          <w:w w:val="100"/>
          <w:position w:val="0"/>
        </w:rPr>
        <w:t>、重要的非调整事项</w:t>
      </w:r>
      <w:bookmarkEnd w:id="1539"/>
      <w:bookmarkEnd w:id="1540"/>
      <w:bookmarkEnd w:id="1541"/>
    </w:p>
    <w:p>
      <w:pPr>
        <w:pStyle w:val="Style35"/>
        <w:keepNext w:val="0"/>
        <w:keepLines w:val="0"/>
        <w:widowControl w:val="0"/>
        <w:shd w:val="clear" w:color="auto" w:fill="auto"/>
        <w:bidi w:val="0"/>
        <w:spacing w:before="0" w:after="100" w:line="240" w:lineRule="auto"/>
        <w:ind w:left="0" w:right="1080" w:firstLine="0"/>
        <w:jc w:val="right"/>
      </w:pPr>
      <w:r>
        <w:rPr>
          <w:color w:val="000000"/>
          <w:spacing w:val="0"/>
          <w:w w:val="100"/>
          <w:position w:val="0"/>
        </w:rPr>
        <w:t>单位：元</w:t>
      </w:r>
    </w:p>
    <w:tbl>
      <w:tblPr>
        <w:tblOverlap w:val="never"/>
        <w:jc w:val="left"/>
        <w:tblLayout w:type="fixed"/>
      </w:tblPr>
      <w:tblGrid>
        <w:gridCol w:w="2501"/>
        <w:gridCol w:w="2294"/>
        <w:gridCol w:w="2390"/>
        <w:gridCol w:w="2400"/>
      </w:tblGrid>
      <w:tr>
        <w:trPr>
          <w:trHeight w:val="730"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内容</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对财务状况和经营成果的影 响数</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无法估计影响数的原因</w:t>
            </w:r>
          </w:p>
        </w:tc>
      </w:tr>
    </w:tbl>
    <w:p>
      <w:pPr>
        <w:sectPr>
          <w:headerReference w:type="default" r:id="rId357"/>
          <w:footerReference w:type="default" r:id="rId358"/>
          <w:headerReference w:type="even" r:id="rId359"/>
          <w:footerReference w:type="even" r:id="rId360"/>
          <w:footnotePr>
            <w:pos w:val="pageBottom"/>
            <w:numFmt w:val="decimal"/>
            <w:numRestart w:val="continuous"/>
          </w:footnotePr>
          <w:pgSz w:w="11900" w:h="16840"/>
          <w:pgMar w:top="1326" w:right="24" w:bottom="1528" w:left="1091" w:header="0" w:footer="3" w:gutter="0"/>
          <w:cols w:space="720"/>
          <w:noEndnote/>
          <w:rtlGutter w:val="0"/>
          <w:docGrid w:linePitch="360"/>
        </w:sectPr>
      </w:pPr>
    </w:p>
    <w:tbl>
      <w:tblPr>
        <w:tblOverlap w:val="never"/>
        <w:jc w:val="left"/>
        <w:tblLayout w:type="fixed"/>
      </w:tblPr>
      <w:tblGrid>
        <w:gridCol w:w="2501"/>
        <w:gridCol w:w="2294"/>
        <w:gridCol w:w="2390"/>
        <w:gridCol w:w="2400"/>
      </w:tblGrid>
      <w:tr>
        <w:trPr>
          <w:trHeight w:val="1666"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重要的对外投资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rPr>
                <w:sz w:val="18"/>
                <w:szCs w:val="18"/>
              </w:rPr>
            </w:pPr>
            <w:r>
              <w:rPr>
                <w:color w:val="000000"/>
                <w:spacing w:val="0"/>
                <w:w w:val="100"/>
                <w:position w:val="0"/>
                <w:sz w:val="18"/>
                <w:szCs w:val="18"/>
              </w:rPr>
              <w:t>本公司拟通过发行股份及支 付现金的方式购买成都瑞拓 科技股份有限公司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sz w:val="18"/>
                <w:szCs w:val="18"/>
              </w:rPr>
              <w:t>股 权；同时，公司拟非公开发 行股份募集配套资金。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8"/>
                <w:szCs w:val="18"/>
              </w:rPr>
              <w:t>日深圳证券交易 所受理相关申请文件，截至本 财务报表报出日，重组申请仍 在审核程序中。</w:t>
            </w:r>
          </w:p>
        </w:tc>
      </w:tr>
    </w:tbl>
    <w:p>
      <w:pPr>
        <w:widowControl w:val="0"/>
        <w:spacing w:after="319" w:line="1" w:lineRule="exact"/>
      </w:pPr>
    </w:p>
    <w:p>
      <w:pPr>
        <w:pStyle w:val="Style44"/>
        <w:keepNext/>
        <w:keepLines/>
        <w:widowControl w:val="0"/>
        <w:shd w:val="clear" w:color="auto" w:fill="auto"/>
        <w:bidi w:val="0"/>
        <w:spacing w:before="0" w:after="360" w:line="240" w:lineRule="auto"/>
        <w:ind w:left="0" w:right="0" w:firstLine="0"/>
        <w:jc w:val="left"/>
      </w:pPr>
      <w:bookmarkStart w:id="1542" w:name="bookmark1542"/>
      <w:bookmarkStart w:id="1543" w:name="bookmark1543"/>
      <w:bookmarkStart w:id="1544" w:name="bookmark1544"/>
      <w:r>
        <w:rPr>
          <w:rFonts w:ascii="Times New Roman" w:eastAsia="Times New Roman" w:hAnsi="Times New Roman" w:cs="Times New Roman"/>
          <w:color w:val="000000"/>
          <w:spacing w:val="0"/>
          <w:w w:val="100"/>
          <w:position w:val="0"/>
        </w:rPr>
        <w:t>2</w:t>
      </w:r>
      <w:r>
        <w:rPr>
          <w:color w:val="000000"/>
          <w:spacing w:val="0"/>
          <w:w w:val="100"/>
          <w:position w:val="0"/>
        </w:rPr>
        <w:t>、利润分配情况</w:t>
      </w:r>
      <w:bookmarkEnd w:id="1542"/>
      <w:bookmarkEnd w:id="1543"/>
      <w:bookmarkEnd w:id="154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4987"/>
        <w:gridCol w:w="4598"/>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拟分配的利润或股利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经审议批准宣告发放的利润或股利</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9,000,000.00</w:t>
            </w:r>
          </w:p>
        </w:tc>
      </w:tr>
    </w:tbl>
    <w:p>
      <w:pPr>
        <w:widowControl w:val="0"/>
        <w:spacing w:after="319" w:line="1" w:lineRule="exact"/>
      </w:pPr>
    </w:p>
    <w:p>
      <w:pPr>
        <w:pStyle w:val="Style33"/>
        <w:keepNext/>
        <w:keepLines/>
        <w:widowControl w:val="0"/>
        <w:shd w:val="clear" w:color="auto" w:fill="auto"/>
        <w:bidi w:val="0"/>
        <w:spacing w:before="0" w:after="320" w:line="240" w:lineRule="auto"/>
        <w:ind w:left="0" w:right="0" w:firstLine="0"/>
        <w:jc w:val="left"/>
      </w:pPr>
      <w:bookmarkStart w:id="1545" w:name="bookmark1545"/>
      <w:bookmarkStart w:id="1546" w:name="bookmark1546"/>
      <w:bookmarkStart w:id="1547" w:name="bookmark1547"/>
      <w:r>
        <w:rPr>
          <w:color w:val="000000"/>
          <w:spacing w:val="0"/>
          <w:w w:val="100"/>
          <w:position w:val="0"/>
          <w:sz w:val="24"/>
          <w:szCs w:val="24"/>
        </w:rPr>
        <w:t>十四、其他重要事项</w:t>
      </w:r>
      <w:bookmarkEnd w:id="1545"/>
      <w:bookmarkEnd w:id="1546"/>
      <w:bookmarkEnd w:id="1547"/>
    </w:p>
    <w:p>
      <w:pPr>
        <w:pStyle w:val="Style44"/>
        <w:keepNext/>
        <w:keepLines/>
        <w:widowControl w:val="0"/>
        <w:shd w:val="clear" w:color="auto" w:fill="auto"/>
        <w:bidi w:val="0"/>
        <w:spacing w:before="0" w:after="320" w:line="240" w:lineRule="auto"/>
        <w:ind w:left="0" w:right="0" w:firstLine="0"/>
        <w:jc w:val="left"/>
      </w:pPr>
      <w:bookmarkStart w:id="1548" w:name="bookmark1548"/>
      <w:bookmarkStart w:id="1549" w:name="bookmark1549"/>
      <w:bookmarkStart w:id="1550" w:name="bookmark1550"/>
      <w:r>
        <w:rPr>
          <w:rFonts w:ascii="Times New Roman" w:eastAsia="Times New Roman" w:hAnsi="Times New Roman" w:cs="Times New Roman"/>
          <w:color w:val="000000"/>
          <w:spacing w:val="0"/>
          <w:w w:val="100"/>
          <w:position w:val="0"/>
        </w:rPr>
        <w:t>1</w:t>
      </w:r>
      <w:r>
        <w:rPr>
          <w:color w:val="000000"/>
          <w:spacing w:val="0"/>
          <w:w w:val="100"/>
          <w:position w:val="0"/>
        </w:rPr>
        <w:t>、分部信息</w:t>
      </w:r>
      <w:bookmarkEnd w:id="1548"/>
      <w:bookmarkEnd w:id="1549"/>
      <w:bookmarkEnd w:id="1550"/>
    </w:p>
    <w:p>
      <w:pPr>
        <w:pStyle w:val="Style60"/>
        <w:keepNext/>
        <w:keepLines/>
        <w:widowControl w:val="0"/>
        <w:shd w:val="clear" w:color="auto" w:fill="auto"/>
        <w:bidi w:val="0"/>
        <w:spacing w:before="0" w:line="240" w:lineRule="auto"/>
        <w:ind w:left="0" w:right="0" w:firstLine="0"/>
        <w:jc w:val="left"/>
      </w:pPr>
      <w:bookmarkStart w:id="1551" w:name="bookmark1551"/>
      <w:bookmarkStart w:id="1552" w:name="bookmark1552"/>
      <w:bookmarkStart w:id="1553" w:name="bookmark155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）报告分部的确定依据与会计政策</w:t>
      </w:r>
      <w:bookmarkEnd w:id="1551"/>
      <w:bookmarkEnd w:id="1552"/>
      <w:bookmarkEnd w:id="1553"/>
    </w:p>
    <w:p>
      <w:pPr>
        <w:pStyle w:val="Style47"/>
        <w:keepNext w:val="0"/>
        <w:keepLines w:val="0"/>
        <w:widowControl w:val="0"/>
        <w:shd w:val="clear" w:color="auto" w:fill="auto"/>
        <w:bidi w:val="0"/>
        <w:spacing w:before="0" w:after="360" w:line="240" w:lineRule="auto"/>
        <w:ind w:left="0" w:right="0" w:firstLine="440"/>
        <w:jc w:val="left"/>
      </w:pPr>
      <w:r>
        <w:rPr>
          <w:color w:val="000000"/>
          <w:spacing w:val="0"/>
          <w:w w:val="100"/>
          <w:position w:val="0"/>
        </w:rPr>
        <w:t>本集团规模较小，业务较为单一，无报告分部。</w:t>
      </w:r>
    </w:p>
    <w:p>
      <w:pPr>
        <w:pStyle w:val="Style33"/>
        <w:keepNext/>
        <w:keepLines/>
        <w:widowControl w:val="0"/>
        <w:shd w:val="clear" w:color="auto" w:fill="auto"/>
        <w:bidi w:val="0"/>
        <w:spacing w:before="0" w:after="320" w:line="240" w:lineRule="auto"/>
        <w:ind w:left="0" w:right="0" w:firstLine="0"/>
        <w:jc w:val="left"/>
      </w:pPr>
      <w:bookmarkStart w:id="1554" w:name="bookmark1554"/>
      <w:bookmarkStart w:id="1555" w:name="bookmark1555"/>
      <w:bookmarkStart w:id="1556" w:name="bookmark1556"/>
      <w:r>
        <w:rPr>
          <w:color w:val="000000"/>
          <w:spacing w:val="0"/>
          <w:w w:val="100"/>
          <w:position w:val="0"/>
          <w:sz w:val="24"/>
          <w:szCs w:val="24"/>
        </w:rPr>
        <w:t>十五、母公司财务报表主要项目注释</w:t>
      </w:r>
      <w:bookmarkEnd w:id="1554"/>
      <w:bookmarkEnd w:id="1555"/>
      <w:bookmarkEnd w:id="1556"/>
    </w:p>
    <w:p>
      <w:pPr>
        <w:pStyle w:val="Style44"/>
        <w:keepNext/>
        <w:keepLines/>
        <w:widowControl w:val="0"/>
        <w:shd w:val="clear" w:color="auto" w:fill="auto"/>
        <w:bidi w:val="0"/>
        <w:spacing w:before="0" w:after="320" w:line="240" w:lineRule="auto"/>
        <w:ind w:left="0" w:right="0" w:firstLine="0"/>
        <w:jc w:val="left"/>
      </w:pPr>
      <w:bookmarkStart w:id="1557" w:name="bookmark1557"/>
      <w:bookmarkStart w:id="1558" w:name="bookmark1558"/>
      <w:bookmarkStart w:id="1559" w:name="bookmark1559"/>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557"/>
      <w:bookmarkEnd w:id="1558"/>
      <w:bookmarkEnd w:id="1559"/>
    </w:p>
    <w:p>
      <w:pPr>
        <w:pStyle w:val="Style60"/>
        <w:keepNext/>
        <w:keepLines/>
        <w:widowControl w:val="0"/>
        <w:shd w:val="clear" w:color="auto" w:fill="auto"/>
        <w:bidi w:val="0"/>
        <w:spacing w:before="0" w:line="240" w:lineRule="auto"/>
        <w:ind w:left="0" w:right="0" w:firstLine="0"/>
        <w:jc w:val="left"/>
      </w:pPr>
      <w:bookmarkStart w:id="1560" w:name="bookmark1560"/>
      <w:bookmarkStart w:id="1561" w:name="bookmark1561"/>
      <w:bookmarkStart w:id="1562" w:name="bookmark156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）应收账款分类披露</w:t>
      </w:r>
      <w:bookmarkEnd w:id="1560"/>
      <w:bookmarkEnd w:id="1561"/>
      <w:bookmarkEnd w:id="156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642"/>
        <w:gridCol w:w="763"/>
        <w:gridCol w:w="763"/>
        <w:gridCol w:w="763"/>
        <w:gridCol w:w="763"/>
        <w:gridCol w:w="787"/>
        <w:gridCol w:w="773"/>
        <w:gridCol w:w="802"/>
        <w:gridCol w:w="797"/>
        <w:gridCol w:w="787"/>
        <w:gridCol w:w="946"/>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gridSpan w:val="5"/>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5"/>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vMerge/>
            <w:tcBorders>
              <w:left w:val="single" w:sz="4"/>
            </w:tcBorders>
            <w:shd w:val="clear" w:color="auto" w:fill="D4D4D4"/>
            <w:vAlign w:val="center"/>
          </w:tcPr>
          <w:p>
            <w:pP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账面价值</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账面价值</w:t>
            </w:r>
          </w:p>
        </w:tc>
      </w:tr>
      <w:tr>
        <w:trPr>
          <w:trHeight w:val="710"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计提比 例</w:t>
            </w: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00" w:firstLine="0"/>
              <w:jc w:val="right"/>
              <w:rPr>
                <w:sz w:val="18"/>
                <w:szCs w:val="18"/>
              </w:rPr>
            </w:pPr>
            <w:r>
              <w:rPr>
                <w:color w:val="000000"/>
                <w:spacing w:val="0"/>
                <w:w w:val="100"/>
                <w:position w:val="0"/>
                <w:sz w:val="18"/>
                <w:szCs w:val="18"/>
              </w:rPr>
              <w:t>比例</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220" w:firstLine="0"/>
              <w:jc w:val="right"/>
              <w:rPr>
                <w:sz w:val="18"/>
                <w:szCs w:val="18"/>
              </w:rPr>
            </w:pPr>
            <w:r>
              <w:rPr>
                <w:color w:val="000000"/>
                <w:spacing w:val="0"/>
                <w:w w:val="100"/>
                <w:position w:val="0"/>
                <w:sz w:val="18"/>
                <w:szCs w:val="18"/>
              </w:rPr>
              <w:t>金额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计提比例</w:t>
            </w:r>
          </w:p>
        </w:tc>
        <w:tc>
          <w:tcPr>
            <w:vMerge/>
            <w:tcBorders>
              <w:left w:val="single" w:sz="4"/>
              <w:right w:val="single" w:sz="4"/>
            </w:tcBorders>
            <w:shd w:val="clear" w:color="auto" w:fill="D4D4D4"/>
            <w:vAlign w:val="center"/>
          </w:tcPr>
          <w:p>
            <w:pP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按单项计提坏账准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1,004,56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49.77%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504,560.0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1,004,560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504,560.00</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374" w:hRule="exact"/>
        </w:trPr>
        <w:tc>
          <w:tcPr>
            <w:tcBorders>
              <w:top w:val="single" w:sz="4"/>
              <w:left w:val="single" w:sz="4"/>
            </w:tcBorders>
            <w:shd w:val="clear" w:color="auto" w:fill="D4D4D4"/>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按组合计提坏账准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280,497,</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99.64%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47,966,0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232,531,6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247,168,6</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99.60%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40,302,67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206,865,94</w:t>
            </w:r>
          </w:p>
        </w:tc>
      </w:tr>
      <w:tr>
        <w:trPr>
          <w:trHeight w:val="341" w:hRule="exact"/>
        </w:trPr>
        <w:tc>
          <w:tcPr>
            <w:tcBorders>
              <w:left w:val="single" w:sz="4"/>
            </w:tcBorders>
            <w:shd w:val="clear" w:color="auto" w:fill="D4D4D4"/>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备的应收账款</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663.24</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35.45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27.79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23.85</w:t>
            </w: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6.72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其中：</w:t>
            </w: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tcBorders>
            <w:shd w:val="clear" w:color="auto" w:fill="D4D4D4"/>
            <w:vAlign w:val="top"/>
          </w:tcPr>
          <w:p>
            <w:pPr>
              <w:widowControl w:val="0"/>
              <w:rPr>
                <w:sz w:val="10"/>
                <w:szCs w:val="10"/>
              </w:rPr>
            </w:pPr>
          </w:p>
        </w:tc>
        <w:tc>
          <w:tcPr>
            <w:tcBorders>
              <w:top w:val="single" w:sz="4"/>
              <w:left w:val="single" w:sz="4"/>
              <w:right w:val="single" w:sz="4"/>
            </w:tcBorders>
            <w:shd w:val="clear" w:color="auto" w:fill="D4D4D4"/>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信用风险特征组合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280,497,</w:t>
            </w:r>
          </w:p>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663.24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99.64%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47,966,0</w:t>
            </w:r>
          </w:p>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35.45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17.10%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232,531,6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247,044,6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40,302,67</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206,741,98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7.13</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无风险组合</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123,960.0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123,960.00</w:t>
            </w:r>
          </w:p>
        </w:tc>
      </w:tr>
    </w:tbl>
    <w:p>
      <w:pPr>
        <w:spacing w:lineRule="exact" w:line="1"/>
        <w:rPr>
          <w:sz w:val="2"/>
          <w:szCs w:val="2"/>
        </w:rPr>
      </w:pPr>
      <w:r>
        <w:br w:type="page"/>
      </w:r>
    </w:p>
    <w:p>
      <w:pPr>
        <w:widowControl w:val="0"/>
        <w:jc w:val="left"/>
        <w:rPr>
          <w:sz w:val="2"/>
          <w:szCs w:val="2"/>
        </w:rPr>
      </w:pPr>
      <w:r>
        <w:drawing>
          <wp:inline>
            <wp:extent cx="6126480" cy="4827905"/>
            <wp:docPr id="1422" name="Picutre 1422"/>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61"/>
                    <a:stretch/>
                  </pic:blipFill>
                  <pic:spPr>
                    <a:xfrm>
                      <a:ext cx="6126480" cy="4827905"/>
                    </a:xfrm>
                    <a:prstGeom prst="rect"/>
                  </pic:spPr>
                </pic:pic>
              </a:graphicData>
            </a:graphic>
          </wp:inline>
        </w:drawing>
      </w:r>
    </w:p>
    <w:p>
      <w:pPr>
        <w:widowControl w:val="0"/>
        <w:spacing w:after="139" w:line="1" w:lineRule="exact"/>
      </w:pP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按组合计提坏账准备：</w:t>
      </w:r>
    </w:p>
    <w:p>
      <w:pPr>
        <w:pStyle w:val="Style3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left"/>
        <w:tblLayout w:type="fixed"/>
      </w:tblPr>
      <w:tblGrid>
        <w:gridCol w:w="2400"/>
        <w:gridCol w:w="2390"/>
        <w:gridCol w:w="2395"/>
        <w:gridCol w:w="2400"/>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名称</w:t>
            </w:r>
          </w:p>
        </w:tc>
        <w:tc>
          <w:tcPr>
            <w:gridSpan w:val="3"/>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r>
      <w:tr>
        <w:trPr>
          <w:trHeight w:val="413" w:hRule="exact"/>
        </w:trPr>
        <w:tc>
          <w:tcPr>
            <w:vMerge/>
            <w:tcBorders>
              <w:left w:val="single" w:sz="4"/>
              <w:bottom w:val="single" w:sz="4"/>
            </w:tcBorders>
            <w:shd w:val="clear" w:color="auto" w:fill="D4D4D4"/>
            <w:vAlign w:val="center"/>
          </w:tcPr>
          <w:p>
            <w:pP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计提比例</w:t>
            </w:r>
          </w:p>
        </w:tc>
      </w:tr>
    </w:tbl>
    <w:p>
      <w:pPr>
        <w:widowControl w:val="0"/>
        <w:spacing w:after="99" w:line="1" w:lineRule="exact"/>
      </w:pPr>
    </w:p>
    <w:p>
      <w:pPr>
        <w:pStyle w:val="Style35"/>
        <w:keepNext w:val="0"/>
        <w:keepLines w:val="0"/>
        <w:widowControl w:val="0"/>
        <w:shd w:val="clear" w:color="auto" w:fill="auto"/>
        <w:bidi w:val="0"/>
        <w:spacing w:before="0" w:after="140" w:line="240" w:lineRule="auto"/>
        <w:ind w:left="0" w:right="0" w:firstLine="0"/>
        <w:jc w:val="left"/>
      </w:pPr>
      <w:r>
        <w:rPr>
          <w:color w:val="000000"/>
          <w:spacing w:val="0"/>
          <w:w w:val="100"/>
          <w:position w:val="0"/>
        </w:rPr>
        <w:t>确定该组合依据的说明：</w:t>
      </w: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3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按账龄披露</w:t>
      </w:r>
    </w:p>
    <w:p>
      <w:pPr>
        <w:pStyle w:val="Style35"/>
        <w:keepNext w:val="0"/>
        <w:keepLines w:val="0"/>
        <w:widowControl w:val="0"/>
        <w:shd w:val="clear" w:color="auto" w:fill="auto"/>
        <w:bidi w:val="0"/>
        <w:spacing w:before="0" w:after="100" w:line="240" w:lineRule="auto"/>
        <w:ind w:left="8940" w:right="0" w:firstLine="0"/>
        <w:jc w:val="left"/>
      </w:pPr>
      <w:r>
        <w:rPr>
          <w:color w:val="000000"/>
          <w:spacing w:val="0"/>
          <w:w w:val="100"/>
          <w:position w:val="0"/>
        </w:rPr>
        <w:t>单位：元</w:t>
      </w:r>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账龄</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142,042,309.08</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84,414,911.83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23,650,771.99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31,394,230.34</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5,077,634.60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10,086,452.76</w:t>
            </w:r>
          </w:p>
        </w:tc>
      </w:tr>
    </w:tbl>
    <w:p>
      <w:pPr>
        <w:spacing w:lineRule="exact" w:line="1"/>
        <w:rPr>
          <w:sz w:val="2"/>
          <w:szCs w:val="2"/>
        </w:rPr>
      </w:pPr>
      <w:r>
        <w:br w:type="page"/>
      </w:r>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16,230,142.98</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281,502,223.24</w:t>
            </w:r>
          </w:p>
        </w:tc>
      </w:tr>
    </w:tbl>
    <w:p>
      <w:pPr>
        <w:widowControl w:val="0"/>
        <w:spacing w:after="299" w:line="1" w:lineRule="exact"/>
      </w:pPr>
    </w:p>
    <w:p>
      <w:pPr>
        <w:pStyle w:val="Style60"/>
        <w:keepNext/>
        <w:keepLines/>
        <w:widowControl w:val="0"/>
        <w:shd w:val="clear" w:color="auto" w:fill="auto"/>
        <w:bidi w:val="0"/>
        <w:spacing w:before="0" w:after="380" w:line="240" w:lineRule="auto"/>
        <w:ind w:left="0" w:right="0" w:firstLine="0"/>
        <w:jc w:val="left"/>
      </w:pPr>
      <w:bookmarkStart w:id="1563" w:name="bookmark1563"/>
      <w:bookmarkStart w:id="1564" w:name="bookmark1564"/>
      <w:bookmarkStart w:id="1565" w:name="bookmark1565"/>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)本期计提、收回或转回的坏账准备情况</w:t>
      </w:r>
      <w:bookmarkEnd w:id="1563"/>
      <w:bookmarkEnd w:id="1564"/>
      <w:bookmarkEnd w:id="1565"/>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35"/>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期初余额</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本期变动金额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期末余额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收回或转回</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核销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right w:val="single" w:sz="4"/>
            </w:tcBorders>
            <w:shd w:val="clear" w:color="auto" w:fill="D4D4D4"/>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按单项计提坏账 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按组合计提坏账 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40,302,676.72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7,663,358.73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47,966,035.45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40,802,676.72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7,663,358.73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48,466,035.45</w:t>
            </w:r>
          </w:p>
        </w:tc>
      </w:tr>
    </w:tbl>
    <w:p>
      <w:pPr>
        <w:widowControl w:val="0"/>
        <w:spacing w:after="299" w:line="1" w:lineRule="exact"/>
      </w:pPr>
    </w:p>
    <w:p>
      <w:pPr>
        <w:pStyle w:val="Style60"/>
        <w:keepNext/>
        <w:keepLines/>
        <w:widowControl w:val="0"/>
        <w:numPr>
          <w:ilvl w:val="0"/>
          <w:numId w:val="107"/>
        </w:numPr>
        <w:shd w:val="clear" w:color="auto" w:fill="auto"/>
        <w:bidi w:val="0"/>
        <w:spacing w:before="0" w:after="380" w:line="240" w:lineRule="auto"/>
        <w:ind w:left="0" w:right="0" w:firstLine="140"/>
        <w:jc w:val="left"/>
      </w:pPr>
      <w:bookmarkStart w:id="1566" w:name="bookmark1566"/>
      <w:bookmarkStart w:id="1567" w:name="bookmark1567"/>
      <w:bookmarkStart w:id="1568" w:name="bookmark1568"/>
      <w:bookmarkStart w:id="1569" w:name="bookmark1569"/>
      <w:bookmarkEnd w:id="1568"/>
      <w:r>
        <w:rPr>
          <w:color w:val="000000"/>
          <w:spacing w:val="0"/>
          <w:w w:val="100"/>
          <w:position w:val="0"/>
        </w:rPr>
        <w:t>按欠款方归集的期末余额前五名的应收账款情况</w:t>
      </w:r>
      <w:bookmarkEnd w:id="1566"/>
      <w:bookmarkEnd w:id="1567"/>
      <w:bookmarkEnd w:id="156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2400"/>
        <w:gridCol w:w="2390"/>
        <w:gridCol w:w="2395"/>
        <w:gridCol w:w="2400"/>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单位名称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应收账款期末余额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占应收账款期末余额合计数</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的比例</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72,095,919.03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11,644,583.19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16,800,000.00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840,000.00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11,121,578.85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556,078.94</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7,196,664.00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359,833.20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1,427,474.81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89,254.15</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108,641,636.69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38.59%</w:t>
            </w:r>
          </w:p>
        </w:tc>
        <w:tc>
          <w:tcPr>
            <w:tcBorders>
              <w:top w:val="single" w:sz="4"/>
              <w:left w:val="single" w:sz="4"/>
              <w:bottom w:val="single" w:sz="4"/>
              <w:right w:val="single" w:sz="4"/>
            </w:tcBorders>
            <w:shd w:val="clear" w:color="auto" w:fill="D4D4D4"/>
            <w:vAlign w:val="top"/>
          </w:tcPr>
          <w:p>
            <w:pPr>
              <w:widowControl w:val="0"/>
              <w:rPr>
                <w:sz w:val="10"/>
                <w:szCs w:val="10"/>
              </w:rPr>
            </w:pPr>
          </w:p>
        </w:tc>
      </w:tr>
    </w:tbl>
    <w:p>
      <w:pPr>
        <w:widowControl w:val="0"/>
        <w:spacing w:after="299" w:line="1" w:lineRule="exact"/>
      </w:pPr>
    </w:p>
    <w:p>
      <w:pPr>
        <w:pStyle w:val="Style44"/>
        <w:keepNext/>
        <w:keepLines/>
        <w:widowControl w:val="0"/>
        <w:shd w:val="clear" w:color="auto" w:fill="auto"/>
        <w:bidi w:val="0"/>
        <w:spacing w:before="0" w:after="380" w:line="240" w:lineRule="auto"/>
        <w:ind w:left="0" w:right="0" w:firstLine="0"/>
        <w:jc w:val="both"/>
      </w:pPr>
      <w:bookmarkStart w:id="1570" w:name="bookmark1570"/>
      <w:bookmarkStart w:id="1571" w:name="bookmark1571"/>
      <w:bookmarkStart w:id="1572" w:name="bookmark1572"/>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570"/>
      <w:bookmarkEnd w:id="1571"/>
      <w:bookmarkEnd w:id="157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41,087.08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33,704,152.17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35,739,457.35</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33,704,152.17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35,780,544.43</w:t>
            </w:r>
          </w:p>
        </w:tc>
      </w:tr>
    </w:tbl>
    <w:p>
      <w:pPr>
        <w:spacing w:lineRule="exact" w:line="1"/>
        <w:rPr>
          <w:sz w:val="2"/>
          <w:szCs w:val="2"/>
        </w:rPr>
      </w:pPr>
      <w:r>
        <w:br w:type="page"/>
      </w:r>
    </w:p>
    <w:p>
      <w:pPr>
        <w:pStyle w:val="Style60"/>
        <w:keepNext/>
        <w:keepLines/>
        <w:widowControl w:val="0"/>
        <w:shd w:val="clear" w:color="auto" w:fill="auto"/>
        <w:bidi w:val="0"/>
        <w:spacing w:before="0" w:after="340" w:line="240" w:lineRule="auto"/>
        <w:ind w:left="0" w:right="0" w:firstLine="0"/>
        <w:jc w:val="left"/>
      </w:pPr>
      <w:bookmarkStart w:id="1573" w:name="bookmark1573"/>
      <w:bookmarkStart w:id="1574" w:name="bookmark1574"/>
      <w:bookmarkStart w:id="1575" w:name="bookmark157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1573"/>
      <w:bookmarkEnd w:id="1574"/>
      <w:bookmarkEnd w:id="1575"/>
    </w:p>
    <w:p>
      <w:pPr>
        <w:pStyle w:val="Style103"/>
        <w:keepNext/>
        <w:keepLines/>
        <w:widowControl w:val="0"/>
        <w:shd w:val="clear" w:color="auto" w:fill="auto"/>
        <w:bidi w:val="0"/>
        <w:spacing w:before="0" w:after="340" w:line="240" w:lineRule="auto"/>
        <w:ind w:left="0" w:right="0" w:firstLine="0"/>
        <w:jc w:val="left"/>
      </w:pPr>
      <w:bookmarkStart w:id="1576" w:name="bookmark1576"/>
      <w:bookmarkStart w:id="1577" w:name="bookmark1577"/>
      <w:bookmarkStart w:id="1578" w:name="bookmark1578"/>
      <w:r>
        <w:rPr>
          <w:rFonts w:ascii="Times New Roman" w:eastAsia="Times New Roman" w:hAnsi="Times New Roman" w:cs="Times New Roman"/>
          <w:color w:val="000000"/>
          <w:spacing w:val="0"/>
          <w:w w:val="100"/>
          <w:position w:val="0"/>
        </w:rPr>
        <w:t>1</w:t>
      </w:r>
      <w:r>
        <w:rPr>
          <w:color w:val="000000"/>
          <w:spacing w:val="0"/>
          <w:w w:val="100"/>
          <w:position w:val="0"/>
        </w:rPr>
        <w:t>）应收利息分类</w:t>
      </w:r>
      <w:bookmarkEnd w:id="1576"/>
      <w:bookmarkEnd w:id="1577"/>
      <w:bookmarkEnd w:id="1578"/>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3197"/>
        <w:gridCol w:w="3187"/>
        <w:gridCol w:w="3202"/>
      </w:tblGrid>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通知存款利息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41,087.08</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41,087.08</w:t>
            </w:r>
          </w:p>
        </w:tc>
      </w:tr>
    </w:tbl>
    <w:p>
      <w:pPr>
        <w:widowControl w:val="0"/>
        <w:spacing w:after="339" w:line="1" w:lineRule="exact"/>
      </w:pPr>
    </w:p>
    <w:p>
      <w:pPr>
        <w:pStyle w:val="Style60"/>
        <w:keepNext/>
        <w:keepLines/>
        <w:widowControl w:val="0"/>
        <w:shd w:val="clear" w:color="auto" w:fill="auto"/>
        <w:bidi w:val="0"/>
        <w:spacing w:before="0" w:after="340" w:line="240" w:lineRule="auto"/>
        <w:ind w:left="0" w:right="0" w:firstLine="0"/>
        <w:jc w:val="left"/>
      </w:pPr>
      <w:bookmarkStart w:id="1579" w:name="bookmark1579"/>
      <w:bookmarkStart w:id="1580" w:name="bookmark1580"/>
      <w:bookmarkStart w:id="1581" w:name="bookmark1581"/>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579"/>
      <w:bookmarkEnd w:id="1580"/>
      <w:bookmarkEnd w:id="1581"/>
    </w:p>
    <w:p>
      <w:pPr>
        <w:pStyle w:val="Style103"/>
        <w:keepNext/>
        <w:keepLines/>
        <w:widowControl w:val="0"/>
        <w:shd w:val="clear" w:color="auto" w:fill="auto"/>
        <w:bidi w:val="0"/>
        <w:spacing w:before="0" w:after="340" w:line="240" w:lineRule="auto"/>
        <w:ind w:left="0" w:right="0" w:firstLine="0"/>
        <w:jc w:val="left"/>
      </w:pPr>
      <w:bookmarkStart w:id="1582" w:name="bookmark1582"/>
      <w:bookmarkStart w:id="1583" w:name="bookmark1583"/>
      <w:bookmarkStart w:id="1584" w:name="bookmark1584"/>
      <w:r>
        <w:rPr>
          <w:rFonts w:ascii="Times New Roman" w:eastAsia="Times New Roman" w:hAnsi="Times New Roman" w:cs="Times New Roman"/>
          <w:color w:val="000000"/>
          <w:spacing w:val="0"/>
          <w:w w:val="100"/>
          <w:position w:val="0"/>
        </w:rPr>
        <w:t>1</w:t>
      </w:r>
      <w:r>
        <w:rPr>
          <w:color w:val="000000"/>
          <w:spacing w:val="0"/>
          <w:w w:val="100"/>
          <w:position w:val="0"/>
        </w:rPr>
        <w:t>）其他应收款按款项性质分类情况</w:t>
      </w:r>
      <w:bookmarkEnd w:id="1582"/>
      <w:bookmarkEnd w:id="1583"/>
      <w:bookmarkEnd w:id="1584"/>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3197"/>
        <w:gridCol w:w="3187"/>
        <w:gridCol w:w="320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款项性质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期末账面余额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期初账面余额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19,791,063.78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22,470,252.01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备用金及项目周转金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6,552,556.24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10,923,775.36</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应收关联方款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11,993,067.88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6,843,817.40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1,447,346.95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1,240,561.19</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39,784,034.85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41,478,405.96</w:t>
            </w:r>
          </w:p>
        </w:tc>
      </w:tr>
    </w:tbl>
    <w:p>
      <w:pPr>
        <w:widowControl w:val="0"/>
        <w:spacing w:after="339" w:line="1" w:lineRule="exact"/>
      </w:pPr>
    </w:p>
    <w:p>
      <w:pPr>
        <w:pStyle w:val="Style103"/>
        <w:keepNext/>
        <w:keepLines/>
        <w:widowControl w:val="0"/>
        <w:shd w:val="clear" w:color="auto" w:fill="auto"/>
        <w:bidi w:val="0"/>
        <w:spacing w:before="0" w:after="340" w:line="240" w:lineRule="auto"/>
        <w:ind w:left="0" w:right="0" w:firstLine="0"/>
        <w:jc w:val="left"/>
      </w:pPr>
      <w:bookmarkStart w:id="1585" w:name="bookmark1585"/>
      <w:bookmarkStart w:id="1586" w:name="bookmark1586"/>
      <w:bookmarkStart w:id="1587" w:name="bookmark1587"/>
      <w:r>
        <w:rPr>
          <w:rFonts w:ascii="Times New Roman" w:eastAsia="Times New Roman" w:hAnsi="Times New Roman" w:cs="Times New Roman"/>
          <w:color w:val="000000"/>
          <w:spacing w:val="0"/>
          <w:w w:val="100"/>
          <w:position w:val="0"/>
        </w:rPr>
        <w:t>2</w:t>
      </w:r>
      <w:r>
        <w:rPr>
          <w:color w:val="000000"/>
          <w:spacing w:val="0"/>
          <w:w w:val="100"/>
          <w:position w:val="0"/>
        </w:rPr>
        <w:t>）坏账准备计提情况</w:t>
      </w:r>
      <w:bookmarkEnd w:id="1585"/>
      <w:bookmarkEnd w:id="1586"/>
      <w:bookmarkEnd w:id="1587"/>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920"/>
        <w:gridCol w:w="1651"/>
        <w:gridCol w:w="2102"/>
        <w:gridCol w:w="2098"/>
        <w:gridCol w:w="1814"/>
      </w:tblGrid>
      <w:tr>
        <w:trPr>
          <w:trHeight w:val="403"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坏账准备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第一阶段</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第二阶段</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第三阶段</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color w:val="000000"/>
                <w:spacing w:val="0"/>
                <w:w w:val="100"/>
                <w:position w:val="0"/>
                <w:sz w:val="18"/>
                <w:szCs w:val="18"/>
              </w:rPr>
              <w:t>合计</w:t>
            </w:r>
          </w:p>
        </w:tc>
      </w:tr>
      <w:tr>
        <w:trPr>
          <w:trHeight w:val="715"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center"/>
              <w:rPr>
                <w:sz w:val="18"/>
                <w:szCs w:val="18"/>
              </w:rPr>
            </w:pPr>
            <w:r>
              <w:rPr>
                <w:color w:val="000000"/>
                <w:spacing w:val="0"/>
                <w:w w:val="100"/>
                <w:position w:val="0"/>
                <w:sz w:val="18"/>
                <w:szCs w:val="18"/>
              </w:rPr>
              <w:t>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个月预期信 用损失</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center"/>
              <w:rPr>
                <w:sz w:val="18"/>
                <w:szCs w:val="18"/>
              </w:rPr>
            </w:pPr>
            <w:r>
              <w:rPr>
                <w:color w:val="000000"/>
                <w:spacing w:val="0"/>
                <w:w w:val="100"/>
                <w:position w:val="0"/>
                <w:sz w:val="18"/>
                <w:szCs w:val="18"/>
              </w:rPr>
              <w:t>整个存续期预期信用损失</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未发生信用减值</w:t>
            </w: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整个存续期预期信用损失</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已发生信用减值</w:t>
            </w:r>
            <w:r>
              <w:rPr>
                <w:color w:val="000000"/>
                <w:spacing w:val="0"/>
                <w:w w:val="100"/>
                <w:position w:val="0"/>
                <w:sz w:val="18"/>
                <w:szCs w:val="18"/>
              </w:rPr>
              <w:t>）</w:t>
            </w:r>
          </w:p>
        </w:tc>
        <w:tc>
          <w:tcPr>
            <w:vMerge/>
            <w:tcBorders>
              <w:left w:val="single" w:sz="4"/>
              <w:right w:val="single" w:sz="4"/>
            </w:tcBorders>
            <w:shd w:val="clear" w:color="auto" w:fill="D4D4D4"/>
            <w:vAlign w:val="center"/>
          </w:tcPr>
          <w:p>
            <w:pP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日余额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679,942.65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4,362,827.96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696,178.00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5,738,948.61</w:t>
            </w:r>
          </w:p>
        </w:tc>
      </w:tr>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31"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日余额在 本期</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color w:val="000000"/>
                <w:spacing w:val="0"/>
                <w:w w:val="100"/>
                <w:position w:val="0"/>
                <w:sz w:val="18"/>
                <w:szCs w:val="18"/>
              </w:rPr>
              <w:t>—</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877,028.70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877,028.70</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本期转回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117,773.96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418,320.67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536,094.63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8"/>
                <w:szCs w:val="18"/>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8"/>
                <w:szCs w:val="18"/>
              </w:rPr>
              <w:t>日余额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562,168.69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3,944,507.29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1,573,206.70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6,079,882.68</w:t>
            </w:r>
          </w:p>
        </w:tc>
      </w:tr>
    </w:tbl>
    <w:p>
      <w:pPr>
        <w:widowControl w:val="0"/>
        <w:spacing w:after="119" w:line="1" w:lineRule="exact"/>
      </w:pP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损失准备本期变动金额重大的账面余额变动情况</w:t>
      </w:r>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适用</w:t>
      </w:r>
      <w:r>
        <w:rPr>
          <w:rFonts w:ascii="Times New Roman" w:eastAsia="Times New Roman" w:hAnsi="Times New Roman" w:cs="Times New Roman"/>
          <w:color w:val="000000"/>
          <w:spacing w:val="0"/>
          <w:w w:val="100"/>
          <w:position w:val="0"/>
        </w:rPr>
        <w:t>V</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按账龄披露</w:t>
      </w:r>
    </w:p>
    <w:p>
      <w:pPr>
        <w:pStyle w:val="Style35"/>
        <w:keepNext w:val="0"/>
        <w:keepLines w:val="0"/>
        <w:widowControl w:val="0"/>
        <w:shd w:val="clear" w:color="auto" w:fill="auto"/>
        <w:bidi w:val="0"/>
        <w:spacing w:before="0" w:line="240" w:lineRule="auto"/>
        <w:ind w:left="0" w:right="1080" w:firstLine="0"/>
        <w:jc w:val="right"/>
      </w:pPr>
      <w:r>
        <w:rPr>
          <w:color w:val="000000"/>
          <w:spacing w:val="0"/>
          <w:w w:val="100"/>
          <w:position w:val="0"/>
        </w:rPr>
        <w:t>单位：元</w:t>
      </w:r>
    </w:p>
    <w:tbl>
      <w:tblPr>
        <w:tblOverlap w:val="never"/>
        <w:jc w:val="left"/>
        <w:tblLayout w:type="fixed"/>
      </w:tblPr>
      <w:tblGrid>
        <w:gridCol w:w="4790"/>
        <w:gridCol w:w="4795"/>
      </w:tblGrid>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账龄</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r>
    </w:tbl>
    <w:p>
      <w:pPr>
        <w:spacing w:lineRule="exact" w:line="1"/>
        <w:rPr>
          <w:sz w:val="2"/>
          <w:szCs w:val="2"/>
        </w:rPr>
      </w:pPr>
      <w:r>
        <w:br w:type="page"/>
      </w:r>
    </w:p>
    <w:tbl>
      <w:tblPr>
        <w:tblOverlap w:val="never"/>
        <w:jc w:val="left"/>
        <w:tblLayout w:type="fixed"/>
      </w:tblPr>
      <w:tblGrid>
        <w:gridCol w:w="4790"/>
        <w:gridCol w:w="4795"/>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16,402,384.28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12,361,785.62</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4,263,682.88</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6,756,182.07</w:t>
            </w:r>
          </w:p>
        </w:tc>
      </w:tr>
      <w:tr>
        <w:trPr>
          <w:trHeight w:val="39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1,563,412.85</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2,575,993.09</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2,616,776.13</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39,784,034.85</w:t>
            </w:r>
          </w:p>
        </w:tc>
      </w:tr>
    </w:tbl>
    <w:p>
      <w:pPr>
        <w:widowControl w:val="0"/>
        <w:spacing w:after="299" w:line="1" w:lineRule="exact"/>
      </w:pPr>
    </w:p>
    <w:p>
      <w:pPr>
        <w:pStyle w:val="Style103"/>
        <w:keepNext/>
        <w:keepLines/>
        <w:widowControl w:val="0"/>
        <w:shd w:val="clear" w:color="auto" w:fill="auto"/>
        <w:bidi w:val="0"/>
        <w:spacing w:before="0" w:after="380" w:line="240" w:lineRule="auto"/>
        <w:ind w:left="0" w:right="0" w:firstLine="0"/>
        <w:jc w:val="left"/>
      </w:pPr>
      <w:bookmarkStart w:id="1588" w:name="bookmark1588"/>
      <w:bookmarkStart w:id="1589" w:name="bookmark1589"/>
      <w:bookmarkStart w:id="1590" w:name="bookmark1590"/>
      <w:bookmarkStart w:id="1591" w:name="bookmark1591"/>
      <w:r>
        <w:rPr>
          <w:rFonts w:ascii="Times New Roman" w:eastAsia="Times New Roman" w:hAnsi="Times New Roman" w:cs="Times New Roman"/>
          <w:color w:val="000000"/>
          <w:spacing w:val="0"/>
          <w:w w:val="100"/>
          <w:position w:val="0"/>
        </w:rPr>
        <w:t>3</w:t>
      </w:r>
      <w:bookmarkEnd w:id="1590"/>
      <w:r>
        <w:rPr>
          <w:color w:val="000000"/>
          <w:spacing w:val="0"/>
          <w:w w:val="100"/>
          <w:position w:val="0"/>
        </w:rPr>
        <w:t>）本期计提、收回或转回的坏账准备情况</w:t>
      </w:r>
      <w:bookmarkEnd w:id="1588"/>
      <w:bookmarkEnd w:id="1589"/>
      <w:bookmarkEnd w:id="1591"/>
    </w:p>
    <w:p>
      <w:pPr>
        <w:pStyle w:val="Style35"/>
        <w:keepNext w:val="0"/>
        <w:keepLines w:val="0"/>
        <w:widowControl w:val="0"/>
        <w:shd w:val="clear" w:color="auto" w:fill="auto"/>
        <w:bidi w:val="0"/>
        <w:spacing w:before="0" w:line="240" w:lineRule="auto"/>
        <w:ind w:left="0" w:right="0" w:firstLine="0"/>
        <w:jc w:val="left"/>
      </w:pPr>
      <w:r>
        <w:rPr>
          <w:color w:val="000000"/>
          <w:spacing w:val="0"/>
          <w:w w:val="100"/>
          <w:position w:val="0"/>
        </w:rPr>
        <w:t>本期计提坏账准备情况：</w:t>
      </w:r>
    </w:p>
    <w:p>
      <w:pPr>
        <w:pStyle w:val="Style35"/>
        <w:keepNext w:val="0"/>
        <w:keepLines w:val="0"/>
        <w:widowControl w:val="0"/>
        <w:shd w:val="clear" w:color="auto" w:fill="auto"/>
        <w:bidi w:val="0"/>
        <w:spacing w:before="0" w:after="80" w:line="240" w:lineRule="auto"/>
        <w:ind w:left="0" w:right="1080" w:firstLine="0"/>
        <w:jc w:val="right"/>
      </w:pPr>
      <w:r>
        <w:rPr>
          <w:color w:val="000000"/>
          <w:spacing w:val="0"/>
          <w:w w:val="100"/>
          <w:position w:val="0"/>
        </w:rPr>
        <w:t>单位：元</w:t>
      </w:r>
    </w:p>
    <w:tbl>
      <w:tblPr>
        <w:tblOverlap w:val="never"/>
        <w:jc w:val="left"/>
        <w:tblLayout w:type="fixed"/>
      </w:tblPr>
      <w:tblGrid>
        <w:gridCol w:w="1584"/>
        <w:gridCol w:w="1090"/>
        <w:gridCol w:w="1330"/>
        <w:gridCol w:w="1454"/>
        <w:gridCol w:w="1195"/>
        <w:gridCol w:w="1349"/>
        <w:gridCol w:w="1584"/>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类别</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本期变动金额</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期末余额</w:t>
            </w:r>
          </w:p>
        </w:tc>
      </w:tr>
      <w:tr>
        <w:trPr>
          <w:trHeight w:val="398"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计提</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收回或转回</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核销</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right w:val="single" w:sz="4"/>
            </w:tcBorders>
            <w:shd w:val="clear" w:color="auto" w:fill="D4D4D4"/>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信用风险特征组合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5,675,976.49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319,506.19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5,995,482.68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性质组合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62,972.12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21,427.88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84,400.00</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5,738,948.61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319,506.19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21,427.88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6,079,882.68</w:t>
            </w:r>
          </w:p>
        </w:tc>
      </w:tr>
    </w:tbl>
    <w:p>
      <w:pPr>
        <w:widowControl w:val="0"/>
        <w:spacing w:after="299" w:line="1" w:lineRule="exact"/>
      </w:pPr>
    </w:p>
    <w:p>
      <w:pPr>
        <w:pStyle w:val="Style103"/>
        <w:keepNext/>
        <w:keepLines/>
        <w:widowControl w:val="0"/>
        <w:shd w:val="clear" w:color="auto" w:fill="auto"/>
        <w:bidi w:val="0"/>
        <w:spacing w:before="0" w:after="380" w:line="240" w:lineRule="auto"/>
        <w:ind w:left="0" w:right="0" w:firstLine="0"/>
        <w:jc w:val="left"/>
      </w:pPr>
      <w:bookmarkStart w:id="1592" w:name="bookmark1592"/>
      <w:bookmarkStart w:id="1593" w:name="bookmark1593"/>
      <w:bookmarkStart w:id="1594" w:name="bookmark1594"/>
      <w:bookmarkStart w:id="1595" w:name="bookmark1595"/>
      <w:r>
        <w:rPr>
          <w:rFonts w:ascii="Times New Roman" w:eastAsia="Times New Roman" w:hAnsi="Times New Roman" w:cs="Times New Roman"/>
          <w:color w:val="000000"/>
          <w:spacing w:val="0"/>
          <w:w w:val="100"/>
          <w:position w:val="0"/>
        </w:rPr>
        <w:t>4</w:t>
      </w:r>
      <w:bookmarkEnd w:id="1594"/>
      <w:r>
        <w:rPr>
          <w:color w:val="000000"/>
          <w:spacing w:val="0"/>
          <w:w w:val="100"/>
          <w:position w:val="0"/>
        </w:rPr>
        <w:t>）按欠款方归集的期末余额前五名的其他应收款情况</w:t>
      </w:r>
      <w:bookmarkEnd w:id="1592"/>
      <w:bookmarkEnd w:id="1593"/>
      <w:bookmarkEnd w:id="159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690"/>
        <w:gridCol w:w="1550"/>
        <w:gridCol w:w="1555"/>
        <w:gridCol w:w="1550"/>
        <w:gridCol w:w="1618"/>
        <w:gridCol w:w="1622"/>
      </w:tblGrid>
      <w:tr>
        <w:trPr>
          <w:trHeight w:val="715"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单位名称</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款项的性质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期末余额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账龄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占其他应收款期末 余额合计数的比例</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关联方往来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10,769,400.15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1,785,382.00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89,269.10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关联方往来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1,274,378.25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3.20%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第四名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957,442.50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2.41%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95,744.25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754,836.23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1.90%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37,741.81</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15,541,439.13</w:t>
            </w:r>
          </w:p>
        </w:tc>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222,755.16</w:t>
            </w:r>
          </w:p>
        </w:tc>
      </w:tr>
    </w:tbl>
    <w:p>
      <w:pPr>
        <w:widowControl w:val="0"/>
        <w:spacing w:after="299" w:line="1" w:lineRule="exact"/>
      </w:pPr>
    </w:p>
    <w:p>
      <w:pPr>
        <w:pStyle w:val="Style44"/>
        <w:keepNext/>
        <w:keepLines/>
        <w:widowControl w:val="0"/>
        <w:shd w:val="clear" w:color="auto" w:fill="auto"/>
        <w:bidi w:val="0"/>
        <w:spacing w:before="0" w:after="380" w:line="240" w:lineRule="auto"/>
        <w:ind w:left="0" w:right="0" w:firstLine="0"/>
        <w:jc w:val="left"/>
      </w:pPr>
      <w:bookmarkStart w:id="1596" w:name="bookmark1596"/>
      <w:bookmarkStart w:id="1597" w:name="bookmark1597"/>
      <w:bookmarkStart w:id="1598" w:name="bookmark1598"/>
      <w:bookmarkStart w:id="1599" w:name="bookmark1599"/>
      <w:r>
        <w:rPr>
          <w:rFonts w:ascii="Times New Roman" w:eastAsia="Times New Roman" w:hAnsi="Times New Roman" w:cs="Times New Roman"/>
          <w:color w:val="000000"/>
          <w:spacing w:val="0"/>
          <w:w w:val="100"/>
          <w:position w:val="0"/>
        </w:rPr>
        <w:t>3</w:t>
      </w:r>
      <w:bookmarkEnd w:id="1598"/>
      <w:r>
        <w:rPr>
          <w:color w:val="000000"/>
          <w:spacing w:val="0"/>
          <w:w w:val="100"/>
          <w:position w:val="0"/>
        </w:rPr>
        <w:t>、长期股权投资</w:t>
      </w:r>
      <w:bookmarkEnd w:id="1596"/>
      <w:bookmarkEnd w:id="1597"/>
      <w:bookmarkEnd w:id="1599"/>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373"/>
        <w:gridCol w:w="1368"/>
        <w:gridCol w:w="1368"/>
        <w:gridCol w:w="1368"/>
        <w:gridCol w:w="1368"/>
        <w:gridCol w:w="1363"/>
        <w:gridCol w:w="1378"/>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3"/>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期末余额</w:t>
            </w:r>
          </w:p>
        </w:tc>
        <w:tc>
          <w:tcPr>
            <w:gridSpan w:val="3"/>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期初余额</w:t>
            </w:r>
          </w:p>
        </w:tc>
      </w:tr>
      <w:tr>
        <w:trPr>
          <w:trHeight w:val="398"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减值准备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账面价值</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账面余额</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减值准备</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账面价值</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对子公司投资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67,708,000.00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67,708,000.00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67,708,000.00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67,708,000.00</w:t>
            </w:r>
          </w:p>
        </w:tc>
      </w:tr>
    </w:tbl>
    <w:p>
      <w:pPr>
        <w:sectPr>
          <w:headerReference w:type="default" r:id="rId363"/>
          <w:footerReference w:type="default" r:id="rId364"/>
          <w:headerReference w:type="even" r:id="rId365"/>
          <w:footerReference w:type="even" r:id="rId366"/>
          <w:footnotePr>
            <w:pos w:val="pageBottom"/>
            <w:numFmt w:val="decimal"/>
            <w:numRestart w:val="continuous"/>
          </w:footnotePr>
          <w:pgSz w:w="11900" w:h="16840"/>
          <w:pgMar w:top="1326" w:right="24" w:bottom="1528" w:left="1091" w:header="0" w:footer="3" w:gutter="0"/>
          <w:cols w:space="720"/>
          <w:noEndnote/>
          <w:rtlGutter w:val="0"/>
          <w:docGrid w:linePitch="360"/>
        </w:sectPr>
      </w:pPr>
    </w:p>
    <w:tbl>
      <w:tblPr>
        <w:tblOverlap w:val="never"/>
        <w:jc w:val="left"/>
        <w:tblLayout w:type="fixed"/>
      </w:tblPr>
      <w:tblGrid>
        <w:gridCol w:w="1373"/>
        <w:gridCol w:w="1368"/>
        <w:gridCol w:w="1368"/>
        <w:gridCol w:w="1368"/>
        <w:gridCol w:w="1368"/>
        <w:gridCol w:w="1363"/>
        <w:gridCol w:w="1378"/>
      </w:tblGrid>
      <w:tr>
        <w:trPr>
          <w:trHeight w:val="72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8"/>
                <w:szCs w:val="18"/>
              </w:rPr>
              <w:t>对联营、合营企</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业投资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113,683,562.89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113,683,562.89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107,125,640.14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107,125,640.14</w:t>
            </w: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181,391,562.89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181,391,562.89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174,833,640.14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174,833,640.14</w:t>
            </w:r>
          </w:p>
        </w:tc>
      </w:tr>
    </w:tbl>
    <w:p>
      <w:pPr>
        <w:widowControl w:val="0"/>
        <w:spacing w:after="299" w:line="1" w:lineRule="exact"/>
      </w:pPr>
    </w:p>
    <w:p>
      <w:pPr>
        <w:pStyle w:val="Style60"/>
        <w:keepNext/>
        <w:keepLines/>
        <w:widowControl w:val="0"/>
        <w:shd w:val="clear" w:color="auto" w:fill="auto"/>
        <w:bidi w:val="0"/>
        <w:spacing w:before="0" w:after="380" w:line="240" w:lineRule="auto"/>
        <w:ind w:left="0" w:right="0" w:firstLine="140"/>
        <w:jc w:val="left"/>
      </w:pPr>
      <w:bookmarkStart w:id="1600" w:name="bookmark1600"/>
      <w:bookmarkStart w:id="1601" w:name="bookmark1601"/>
      <w:bookmarkStart w:id="1602" w:name="bookmark1602"/>
      <w:r>
        <w:rPr>
          <w:rFonts w:ascii="Times New Roman" w:eastAsia="Times New Roman" w:hAnsi="Times New Roman" w:cs="Times New Roman"/>
          <w:color w:val="000000"/>
          <w:spacing w:val="0"/>
          <w:w w:val="100"/>
          <w:position w:val="0"/>
        </w:rPr>
        <w:t>（1</w:t>
      </w:r>
      <w:r>
        <w:rPr>
          <w:color w:val="000000"/>
          <w:spacing w:val="0"/>
          <w:w w:val="100"/>
          <w:position w:val="0"/>
        </w:rPr>
        <w:t>）对子公司投资</w:t>
      </w:r>
      <w:bookmarkEnd w:id="1600"/>
      <w:bookmarkEnd w:id="1601"/>
      <w:bookmarkEnd w:id="1602"/>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1272"/>
        <w:gridCol w:w="1166"/>
        <w:gridCol w:w="1166"/>
        <w:gridCol w:w="1166"/>
        <w:gridCol w:w="1166"/>
        <w:gridCol w:w="1214"/>
        <w:gridCol w:w="1214"/>
        <w:gridCol w:w="1219"/>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被投资单位</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期初余额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账 面价值</w:t>
            </w:r>
            <w:r>
              <w:rPr>
                <w:color w:val="000000"/>
                <w:spacing w:val="0"/>
                <w:w w:val="100"/>
                <w:position w:val="0"/>
                <w:sz w:val="18"/>
                <w:szCs w:val="18"/>
              </w:rPr>
              <w:t>）</w:t>
            </w:r>
          </w:p>
        </w:tc>
        <w:tc>
          <w:tcPr>
            <w:gridSpan w:val="4"/>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本期增减变动</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期末余额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账面 价值</w:t>
            </w:r>
            <w:r>
              <w:rPr>
                <w:color w:val="000000"/>
                <w:spacing w:val="0"/>
                <w:w w:val="100"/>
                <w:position w:val="0"/>
                <w:sz w:val="18"/>
                <w:szCs w:val="18"/>
              </w:rPr>
              <w:t>）</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减值准备期末 余额</w:t>
            </w:r>
          </w:p>
        </w:tc>
      </w:tr>
      <w:tr>
        <w:trPr>
          <w:trHeight w:val="403"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追加投资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减少投资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计提减值准备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8"/>
                <w:szCs w:val="18"/>
              </w:rPr>
              <w:t>成都中科石油 工程技术股份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2,708,000.00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2,708,000.00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成都中科信息 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中科院金华信 息技术有限公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67,708,000.00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67,708,000.00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60"/>
        <w:keepNext/>
        <w:keepLines/>
        <w:widowControl w:val="0"/>
        <w:shd w:val="clear" w:color="auto" w:fill="auto"/>
        <w:bidi w:val="0"/>
        <w:spacing w:before="0" w:after="380" w:line="240" w:lineRule="auto"/>
        <w:ind w:left="0" w:right="0" w:firstLine="140"/>
        <w:jc w:val="left"/>
      </w:pPr>
      <w:bookmarkStart w:id="1603" w:name="bookmark1603"/>
      <w:bookmarkStart w:id="1604" w:name="bookmark1604"/>
      <w:bookmarkStart w:id="1605" w:name="bookmark1605"/>
      <w:r>
        <w:rPr>
          <w:rFonts w:ascii="Times New Roman" w:eastAsia="Times New Roman" w:hAnsi="Times New Roman" w:cs="Times New Roman"/>
          <w:color w:val="000000"/>
          <w:spacing w:val="0"/>
          <w:w w:val="100"/>
          <w:position w:val="0"/>
        </w:rPr>
        <w:t>（2</w:t>
      </w:r>
      <w:r>
        <w:rPr>
          <w:color w:val="000000"/>
          <w:spacing w:val="0"/>
          <w:w w:val="100"/>
          <w:position w:val="0"/>
        </w:rPr>
        <w:t>）对联营、合营企业投资</w:t>
      </w:r>
      <w:bookmarkEnd w:id="1603"/>
      <w:bookmarkEnd w:id="1604"/>
      <w:bookmarkEnd w:id="1605"/>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806"/>
        <w:gridCol w:w="792"/>
        <w:gridCol w:w="797"/>
        <w:gridCol w:w="802"/>
        <w:gridCol w:w="797"/>
        <w:gridCol w:w="797"/>
        <w:gridCol w:w="797"/>
        <w:gridCol w:w="797"/>
        <w:gridCol w:w="802"/>
        <w:gridCol w:w="797"/>
        <w:gridCol w:w="802"/>
        <w:gridCol w:w="802"/>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投资单位</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8"/>
                <w:szCs w:val="18"/>
              </w:rPr>
              <w:t>期初余额</w:t>
            </w:r>
          </w:p>
          <w:p>
            <w:pPr>
              <w:pStyle w:val="Style2"/>
              <w:keepNext w:val="0"/>
              <w:keepLines w:val="0"/>
              <w:widowControl w:val="0"/>
              <w:shd w:val="clear" w:color="auto" w:fill="auto"/>
              <w:bidi w:val="0"/>
              <w:spacing w:before="0" w:after="0" w:line="317"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账面价 值</w:t>
            </w:r>
            <w:r>
              <w:rPr>
                <w:color w:val="000000"/>
                <w:spacing w:val="0"/>
                <w:w w:val="100"/>
                <w:position w:val="0"/>
                <w:sz w:val="18"/>
                <w:szCs w:val="18"/>
              </w:rPr>
              <w:t>）</w:t>
            </w:r>
          </w:p>
        </w:tc>
        <w:tc>
          <w:tcPr>
            <w:gridSpan w:val="8"/>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本期增减变动</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right"/>
              <w:rPr>
                <w:sz w:val="18"/>
                <w:szCs w:val="18"/>
              </w:rPr>
            </w:pPr>
            <w:r>
              <w:rPr>
                <w:color w:val="000000"/>
                <w:spacing w:val="0"/>
                <w:w w:val="100"/>
                <w:position w:val="0"/>
                <w:sz w:val="18"/>
                <w:szCs w:val="18"/>
              </w:rPr>
              <w:t>期末余额</w:t>
            </w:r>
          </w:p>
          <w:p>
            <w:pPr>
              <w:pStyle w:val="Style2"/>
              <w:keepNext w:val="0"/>
              <w:keepLines w:val="0"/>
              <w:widowControl w:val="0"/>
              <w:shd w:val="clear" w:color="auto" w:fill="auto"/>
              <w:bidi w:val="0"/>
              <w:spacing w:before="0" w:after="0" w:line="317"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账面价 值</w:t>
            </w:r>
            <w:r>
              <w:rPr>
                <w:color w:val="000000"/>
                <w:spacing w:val="0"/>
                <w:w w:val="100"/>
                <w:position w:val="0"/>
                <w:sz w:val="18"/>
                <w:szCs w:val="18"/>
              </w:rPr>
              <w:t>）</w:t>
            </w:r>
          </w:p>
        </w:tc>
        <w:tc>
          <w:tcPr>
            <w:vMerge w:val="restart"/>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减值准备</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期末余额</w:t>
            </w:r>
          </w:p>
        </w:tc>
      </w:tr>
      <w:tr>
        <w:trPr>
          <w:trHeight w:val="1027"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追加投资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减少投资</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8"/>
                <w:szCs w:val="18"/>
              </w:rPr>
              <w:t>权益法下 确认的投 资损益</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其他综合 收益调整</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8"/>
                <w:szCs w:val="18"/>
              </w:rPr>
              <w:t>其他权益 变动</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9" w:lineRule="exact"/>
              <w:ind w:left="0" w:right="0" w:firstLine="0"/>
              <w:jc w:val="center"/>
              <w:rPr>
                <w:sz w:val="18"/>
                <w:szCs w:val="18"/>
              </w:rPr>
            </w:pPr>
            <w:r>
              <w:rPr>
                <w:color w:val="000000"/>
                <w:spacing w:val="0"/>
                <w:w w:val="100"/>
                <w:position w:val="0"/>
                <w:sz w:val="18"/>
                <w:szCs w:val="18"/>
              </w:rPr>
              <w:t>宣告发放 现金股利 或利润</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rPr>
              <w:t>计提减值</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准备</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tcBorders>
            <w:shd w:val="clear" w:color="auto" w:fill="D4D4D4"/>
            <w:vAlign w:val="center"/>
          </w:tcPr>
          <w:p>
            <w:pPr/>
          </w:p>
        </w:tc>
        <w:tc>
          <w:tcPr>
            <w:vMerge/>
            <w:tcBorders>
              <w:left w:val="single" w:sz="4"/>
              <w:right w:val="single" w:sz="4"/>
            </w:tcBorders>
            <w:shd w:val="clear" w:color="auto" w:fill="D4D4D4"/>
            <w:vAlign w:val="center"/>
          </w:tcPr>
          <w:p>
            <w:pPr/>
          </w:p>
        </w:tc>
      </w:tr>
      <w:tr>
        <w:trPr>
          <w:trHeight w:val="398" w:hRule="exact"/>
        </w:trPr>
        <w:tc>
          <w:tcPr>
            <w:gridSpan w:val="1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一、合营企业</w:t>
            </w:r>
          </w:p>
        </w:tc>
      </w:tr>
      <w:tr>
        <w:trPr>
          <w:trHeight w:val="403" w:hRule="exact"/>
        </w:trPr>
        <w:tc>
          <w:tcPr>
            <w:gridSpan w:val="1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二、联营企业</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8"/>
                <w:szCs w:val="18"/>
              </w:rPr>
            </w:pPr>
            <w:r>
              <w:rPr>
                <w:color w:val="000000"/>
                <w:spacing w:val="0"/>
                <w:w w:val="100"/>
                <w:position w:val="0"/>
                <w:sz w:val="18"/>
                <w:szCs w:val="18"/>
              </w:rPr>
              <w:t>深圳市中 钞科信金 融科技有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10,557,92</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113,683,5</w:t>
            </w:r>
          </w:p>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62.89</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10,557,92</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113,683,5</w:t>
            </w:r>
          </w:p>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62.89</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107,125,6</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10,557,92</w:t>
            </w:r>
          </w:p>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113,683,5</w:t>
            </w:r>
          </w:p>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62.89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44"/>
        <w:keepNext/>
        <w:keepLines/>
        <w:widowControl w:val="0"/>
        <w:shd w:val="clear" w:color="auto" w:fill="auto"/>
        <w:bidi w:val="0"/>
        <w:spacing w:before="0" w:after="380" w:line="240" w:lineRule="auto"/>
        <w:ind w:left="0" w:right="0" w:firstLine="0"/>
        <w:jc w:val="left"/>
      </w:pPr>
      <w:bookmarkStart w:id="1606" w:name="bookmark1606"/>
      <w:bookmarkStart w:id="1607" w:name="bookmark1607"/>
      <w:bookmarkStart w:id="1608" w:name="bookmark1608"/>
      <w:bookmarkStart w:id="1609" w:name="bookmark1609"/>
      <w:r>
        <w:rPr>
          <w:rFonts w:ascii="Times New Roman" w:eastAsia="Times New Roman" w:hAnsi="Times New Roman" w:cs="Times New Roman"/>
          <w:color w:val="000000"/>
          <w:spacing w:val="0"/>
          <w:w w:val="100"/>
          <w:position w:val="0"/>
        </w:rPr>
        <w:t>4</w:t>
      </w:r>
      <w:bookmarkEnd w:id="1608"/>
      <w:r>
        <w:rPr>
          <w:color w:val="000000"/>
          <w:spacing w:val="0"/>
          <w:w w:val="100"/>
          <w:position w:val="0"/>
        </w:rPr>
        <w:t>、营业收入和营业成本</w:t>
      </w:r>
      <w:bookmarkEnd w:id="1606"/>
      <w:bookmarkEnd w:id="1607"/>
      <w:bookmarkEnd w:id="1609"/>
    </w:p>
    <w:p>
      <w:pPr>
        <w:pStyle w:val="Style35"/>
        <w:keepNext w:val="0"/>
        <w:keepLines w:val="0"/>
        <w:widowControl w:val="0"/>
        <w:shd w:val="clear" w:color="auto" w:fill="auto"/>
        <w:bidi w:val="0"/>
        <w:spacing w:before="0" w:after="340" w:line="240" w:lineRule="auto"/>
        <w:ind w:left="0" w:right="1080" w:firstLine="0"/>
        <w:jc w:val="right"/>
      </w:pPr>
      <w:r>
        <w:rPr>
          <w:color w:val="000000"/>
          <w:spacing w:val="0"/>
          <w:w w:val="100"/>
          <w:position w:val="0"/>
        </w:rPr>
        <w:t>单位：元</w:t>
      </w:r>
    </w:p>
    <w:tbl>
      <w:tblPr>
        <w:tblOverlap w:val="never"/>
        <w:jc w:val="left"/>
        <w:tblLayout w:type="fixed"/>
      </w:tblPr>
      <w:tblGrid>
        <w:gridCol w:w="2002"/>
        <w:gridCol w:w="1834"/>
        <w:gridCol w:w="1915"/>
        <w:gridCol w:w="1910"/>
        <w:gridCol w:w="1925"/>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2"/>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收入</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成本</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收入</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成本</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352,486,424.56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285,906,676.06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316,433,135.83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262,852,993.63</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2,908,238.07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52,737.16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3,823,307.16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202,003.08</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355,394,662.63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285,959,413.22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320,256,442.99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263,054,996.71</w:t>
            </w:r>
          </w:p>
        </w:tc>
      </w:tr>
    </w:tbl>
    <w:p>
      <w:pPr>
        <w:pStyle w:val="Style41"/>
        <w:keepNext w:val="0"/>
        <w:keepLines w:val="0"/>
        <w:widowControl w:val="0"/>
        <w:shd w:val="clear" w:color="auto" w:fill="auto"/>
        <w:bidi w:val="0"/>
        <w:spacing w:before="0" w:after="0" w:line="240" w:lineRule="auto"/>
        <w:ind w:left="0" w:right="0" w:firstLine="0"/>
        <w:jc w:val="left"/>
        <w:rPr>
          <w:sz w:val="18"/>
          <w:szCs w:val="18"/>
        </w:rPr>
      </w:pPr>
      <w:r>
        <w:rPr>
          <w:b w:val="0"/>
          <w:bCs w:val="0"/>
          <w:color w:val="000000"/>
          <w:spacing w:val="0"/>
          <w:w w:val="100"/>
          <w:position w:val="0"/>
          <w:sz w:val="18"/>
          <w:szCs w:val="18"/>
        </w:rPr>
        <w:t>与履约义务相关的信息:</w:t>
      </w:r>
    </w:p>
    <w:p>
      <w:pPr>
        <w:pStyle w:val="Style47"/>
        <w:keepNext w:val="0"/>
        <w:keepLines w:val="0"/>
        <w:widowControl w:val="0"/>
        <w:shd w:val="clear" w:color="auto" w:fill="auto"/>
        <w:bidi w:val="0"/>
        <w:spacing w:before="0" w:after="200" w:line="470" w:lineRule="exact"/>
        <w:ind w:left="0" w:right="0" w:firstLine="440"/>
        <w:jc w:val="both"/>
      </w:pPr>
      <w:r>
        <w:rPr>
          <w:color w:val="000000"/>
          <w:spacing w:val="0"/>
          <w:w w:val="100"/>
          <w:position w:val="0"/>
        </w:rPr>
        <w:t>本公司在合同开始日，识别合同中存在的各单项履约义务，并按照各单项履约义务所承诺商品或服务 的单独售价的相对比例，将交易价格分摊至各单项履约义务，在确定交易价格时考虑了可变对价、合同中 存在的重大融资成分、非现金对价、应付客户对价等因素的影响，分别按</w:t>
      </w:r>
      <w:r>
        <w:rPr>
          <w:rFonts w:ascii="Times New Roman" w:eastAsia="Times New Roman" w:hAnsi="Times New Roman" w:cs="Times New Roman"/>
          <w:color w:val="000000"/>
          <w:spacing w:val="0"/>
          <w:w w:val="100"/>
          <w:position w:val="0"/>
        </w:rPr>
        <w:t>“</w:t>
      </w:r>
      <w:r>
        <w:rPr>
          <w:color w:val="000000"/>
          <w:spacing w:val="0"/>
          <w:w w:val="100"/>
          <w:position w:val="0"/>
        </w:rPr>
        <w:t>在某一时段内履行的履约义务</w:t>
      </w:r>
      <w:r>
        <w:rPr>
          <w:color w:val="000000"/>
          <w:spacing w:val="0"/>
          <w:w w:val="100"/>
          <w:position w:val="0"/>
        </w:rPr>
        <w:t xml:space="preserve">'' </w:t>
      </w:r>
      <w:r>
        <w:rPr>
          <w:color w:val="000000"/>
          <w:spacing w:val="0"/>
          <w:w w:val="100"/>
          <w:position w:val="0"/>
        </w:rPr>
        <w:t>或</w:t>
      </w:r>
      <w:r>
        <w:rPr>
          <w:rFonts w:ascii="Times New Roman" w:eastAsia="Times New Roman" w:hAnsi="Times New Roman" w:cs="Times New Roman"/>
          <w:color w:val="000000"/>
          <w:spacing w:val="0"/>
          <w:w w:val="100"/>
          <w:position w:val="0"/>
        </w:rPr>
        <w:t>“</w:t>
      </w:r>
      <w:r>
        <w:rPr>
          <w:color w:val="000000"/>
          <w:spacing w:val="0"/>
          <w:w w:val="100"/>
          <w:position w:val="0"/>
        </w:rPr>
        <w:t>某一时点履行的履约义务</w:t>
      </w:r>
      <w:r>
        <w:rPr>
          <w:color w:val="000000"/>
          <w:spacing w:val="0"/>
          <w:w w:val="100"/>
          <w:position w:val="0"/>
        </w:rPr>
        <w:t>''，</w:t>
      </w:r>
      <w:r>
        <w:rPr>
          <w:color w:val="000000"/>
          <w:spacing w:val="0"/>
          <w:w w:val="100"/>
          <w:position w:val="0"/>
        </w:rPr>
        <w:t>根据分摊至各单项履约义务的交易价格计量收入。</w:t>
      </w:r>
    </w:p>
    <w:p>
      <w:pPr>
        <w:pStyle w:val="Style35"/>
        <w:keepNext w:val="0"/>
        <w:keepLines w:val="0"/>
        <w:widowControl w:val="0"/>
        <w:shd w:val="clear" w:color="auto" w:fill="auto"/>
        <w:bidi w:val="0"/>
        <w:spacing w:before="0" w:after="0" w:line="240" w:lineRule="auto"/>
        <w:ind w:left="0" w:right="0" w:firstLine="0"/>
        <w:jc w:val="left"/>
      </w:pPr>
      <w:r>
        <w:rPr>
          <w:color w:val="000000"/>
          <w:spacing w:val="0"/>
          <w:w w:val="100"/>
          <w:position w:val="0"/>
        </w:rPr>
        <w:t>与分摊至剩余履约义务的交易价格相关的信息：</w:t>
      </w:r>
    </w:p>
    <w:p>
      <w:pPr>
        <w:pStyle w:val="Style47"/>
        <w:keepNext w:val="0"/>
        <w:keepLines w:val="0"/>
        <w:widowControl w:val="0"/>
        <w:shd w:val="clear" w:color="auto" w:fill="auto"/>
        <w:bidi w:val="0"/>
        <w:spacing w:before="0" w:after="200" w:line="463" w:lineRule="exact"/>
        <w:ind w:left="0" w:right="0" w:firstLine="440"/>
        <w:jc w:val="left"/>
      </w:pPr>
      <w:r>
        <w:rPr>
          <w:color w:val="000000"/>
          <w:spacing w:val="0"/>
          <w:w w:val="100"/>
          <w:position w:val="0"/>
        </w:rPr>
        <w:t>本报告期末已签订合同、但尚未履行或尚未履行完毕的履约义务所对应的收入金额为</w:t>
      </w:r>
      <w:r>
        <w:rPr>
          <w:rFonts w:ascii="Times New Roman" w:eastAsia="Times New Roman" w:hAnsi="Times New Roman" w:cs="Times New Roman"/>
          <w:color w:val="000000"/>
          <w:spacing w:val="0"/>
          <w:w w:val="100"/>
          <w:position w:val="0"/>
        </w:rPr>
        <w:t xml:space="preserve">218,569,141.13 </w:t>
      </w:r>
      <w:r>
        <w:rPr>
          <w:color w:val="000000"/>
          <w:spacing w:val="0"/>
          <w:w w:val="100"/>
          <w:position w:val="0"/>
        </w:rPr>
        <w:t>元，其中，</w:t>
      </w:r>
      <w:r>
        <w:rPr>
          <w:rFonts w:ascii="Times New Roman" w:eastAsia="Times New Roman" w:hAnsi="Times New Roman" w:cs="Times New Roman"/>
          <w:color w:val="000000"/>
          <w:spacing w:val="0"/>
          <w:w w:val="100"/>
          <w:position w:val="0"/>
        </w:rPr>
        <w:t>184,917,510.43</w:t>
      </w:r>
      <w:r>
        <w:rPr>
          <w:color w:val="000000"/>
          <w:spacing w:val="0"/>
          <w:w w:val="100"/>
          <w:position w:val="0"/>
        </w:rPr>
        <w:t>元预计将于</w:t>
      </w:r>
      <w:r>
        <w:rPr>
          <w:rFonts w:ascii="Times New Roman" w:eastAsia="Times New Roman" w:hAnsi="Times New Roman" w:cs="Times New Roman"/>
          <w:color w:val="000000"/>
          <w:spacing w:val="0"/>
          <w:w w:val="100"/>
          <w:position w:val="0"/>
        </w:rPr>
        <w:t>2021</w:t>
      </w:r>
      <w:r>
        <w:rPr>
          <w:color w:val="000000"/>
          <w:spacing w:val="0"/>
          <w:w w:val="100"/>
          <w:position w:val="0"/>
        </w:rPr>
        <w:t>年度确认收入，</w:t>
      </w:r>
      <w:r>
        <w:rPr>
          <w:rFonts w:ascii="Times New Roman" w:eastAsia="Times New Roman" w:hAnsi="Times New Roman" w:cs="Times New Roman"/>
          <w:color w:val="000000"/>
          <w:spacing w:val="0"/>
          <w:w w:val="100"/>
          <w:position w:val="0"/>
        </w:rPr>
        <w:t>32,976,159.00</w:t>
      </w:r>
      <w:r>
        <w:rPr>
          <w:color w:val="000000"/>
          <w:spacing w:val="0"/>
          <w:w w:val="100"/>
          <w:position w:val="0"/>
        </w:rPr>
        <w:t>元预计将于</w:t>
      </w:r>
      <w:r>
        <w:rPr>
          <w:rFonts w:ascii="Times New Roman" w:eastAsia="Times New Roman" w:hAnsi="Times New Roman" w:cs="Times New Roman"/>
          <w:color w:val="000000"/>
          <w:spacing w:val="0"/>
          <w:w w:val="100"/>
          <w:position w:val="0"/>
        </w:rPr>
        <w:t>2022</w:t>
      </w:r>
      <w:r>
        <w:rPr>
          <w:color w:val="000000"/>
          <w:spacing w:val="0"/>
          <w:w w:val="100"/>
          <w:position w:val="0"/>
        </w:rPr>
        <w:t xml:space="preserve">年度确认收入， </w:t>
      </w:r>
      <w:r>
        <w:rPr>
          <w:rFonts w:ascii="Times New Roman" w:eastAsia="Times New Roman" w:hAnsi="Times New Roman" w:cs="Times New Roman"/>
          <w:color w:val="000000"/>
          <w:spacing w:val="0"/>
          <w:w w:val="100"/>
          <w:position w:val="0"/>
        </w:rPr>
        <w:t>675,471.70</w:t>
      </w:r>
      <w:r>
        <w:rPr>
          <w:color w:val="000000"/>
          <w:spacing w:val="0"/>
          <w:w w:val="100"/>
          <w:position w:val="0"/>
        </w:rPr>
        <w:t>元预计将于</w:t>
      </w:r>
      <w:r>
        <w:rPr>
          <w:rFonts w:ascii="Times New Roman" w:eastAsia="Times New Roman" w:hAnsi="Times New Roman" w:cs="Times New Roman"/>
          <w:color w:val="000000"/>
          <w:spacing w:val="0"/>
          <w:w w:val="100"/>
          <w:position w:val="0"/>
        </w:rPr>
        <w:t>2023</w:t>
      </w:r>
      <w:r>
        <w:rPr>
          <w:color w:val="000000"/>
          <w:spacing w:val="0"/>
          <w:w w:val="100"/>
          <w:position w:val="0"/>
        </w:rPr>
        <w:t>年度确认收入。</w:t>
      </w:r>
    </w:p>
    <w:p>
      <w:pPr>
        <w:pStyle w:val="Style35"/>
        <w:keepNext w:val="0"/>
        <w:keepLines w:val="0"/>
        <w:widowControl w:val="0"/>
        <w:shd w:val="clear" w:color="auto" w:fill="auto"/>
        <w:bidi w:val="0"/>
        <w:spacing w:before="0" w:after="340" w:line="240" w:lineRule="auto"/>
        <w:ind w:left="0" w:right="0" w:firstLine="0"/>
        <w:jc w:val="left"/>
      </w:pPr>
      <w:r>
        <w:rPr>
          <w:color w:val="000000"/>
          <w:spacing w:val="0"/>
          <w:w w:val="100"/>
          <w:position w:val="0"/>
        </w:rPr>
        <w:t>其他说明：</w:t>
      </w:r>
    </w:p>
    <w:p>
      <w:pPr>
        <w:pStyle w:val="Style44"/>
        <w:keepNext/>
        <w:keepLines/>
        <w:widowControl w:val="0"/>
        <w:shd w:val="clear" w:color="auto" w:fill="auto"/>
        <w:bidi w:val="0"/>
        <w:spacing w:before="0" w:after="120" w:line="492" w:lineRule="auto"/>
        <w:ind w:left="0" w:right="0" w:firstLine="0"/>
        <w:jc w:val="left"/>
      </w:pPr>
      <w:bookmarkStart w:id="1610" w:name="bookmark1610"/>
      <w:bookmarkStart w:id="1611" w:name="bookmark1611"/>
      <w:bookmarkStart w:id="1612" w:name="bookmark1612"/>
      <w:bookmarkStart w:id="1613" w:name="bookmark1613"/>
      <w:r>
        <w:rPr>
          <w:rFonts w:ascii="Times New Roman" w:eastAsia="Times New Roman" w:hAnsi="Times New Roman" w:cs="Times New Roman"/>
          <w:color w:val="000000"/>
          <w:spacing w:val="0"/>
          <w:w w:val="100"/>
          <w:position w:val="0"/>
        </w:rPr>
        <w:t>5</w:t>
      </w:r>
      <w:bookmarkEnd w:id="1612"/>
      <w:r>
        <w:rPr>
          <w:color w:val="000000"/>
          <w:spacing w:val="0"/>
          <w:w w:val="100"/>
          <w:position w:val="0"/>
        </w:rPr>
        <w:t>、投资收益</w:t>
      </w:r>
      <w:bookmarkEnd w:id="1610"/>
      <w:bookmarkEnd w:id="1611"/>
      <w:bookmarkEnd w:id="1613"/>
    </w:p>
    <w:p>
      <w:pPr>
        <w:pStyle w:val="Style41"/>
        <w:keepNext w:val="0"/>
        <w:keepLines w:val="0"/>
        <w:widowControl w:val="0"/>
        <w:shd w:val="clear" w:color="auto" w:fill="auto"/>
        <w:bidi w:val="0"/>
        <w:spacing w:before="0" w:after="0" w:line="240" w:lineRule="auto"/>
        <w:ind w:left="0" w:right="0" w:firstLine="0"/>
        <w:jc w:val="right"/>
        <w:rPr>
          <w:sz w:val="18"/>
          <w:szCs w:val="18"/>
        </w:rPr>
      </w:pPr>
      <w:r>
        <w:rPr>
          <w:b w:val="0"/>
          <w:bCs w:val="0"/>
          <w:color w:val="000000"/>
          <w:spacing w:val="0"/>
          <w:w w:val="100"/>
          <w:position w:val="0"/>
          <w:sz w:val="18"/>
          <w:szCs w:val="18"/>
        </w:rPr>
        <w:t>单位：元</w:t>
      </w:r>
    </w:p>
    <w:tbl>
      <w:tblPr>
        <w:tblOverlap w:val="never"/>
        <w:jc w:val="left"/>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上期发生额</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8,519,447.33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购买银行保本理财产品收益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398,904.11</w:t>
            </w:r>
          </w:p>
        </w:tc>
      </w:tr>
      <w:tr>
        <w:trPr>
          <w:trHeight w:val="408"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10,557,922.75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8,918,351.44</w:t>
            </w:r>
          </w:p>
        </w:tc>
      </w:tr>
    </w:tbl>
    <w:p>
      <w:pPr>
        <w:widowControl w:val="0"/>
        <w:spacing w:after="339" w:line="1" w:lineRule="exact"/>
      </w:pPr>
    </w:p>
    <w:p>
      <w:pPr>
        <w:pStyle w:val="Style33"/>
        <w:keepNext/>
        <w:keepLines/>
        <w:widowControl w:val="0"/>
        <w:shd w:val="clear" w:color="auto" w:fill="auto"/>
        <w:bidi w:val="0"/>
        <w:spacing w:before="0" w:after="340" w:line="240" w:lineRule="auto"/>
        <w:ind w:left="0" w:right="0" w:firstLine="0"/>
        <w:jc w:val="left"/>
      </w:pPr>
      <w:bookmarkStart w:id="1614" w:name="bookmark1614"/>
      <w:bookmarkStart w:id="1615" w:name="bookmark1615"/>
      <w:bookmarkStart w:id="1616" w:name="bookmark1616"/>
      <w:r>
        <w:rPr>
          <w:color w:val="000000"/>
          <w:spacing w:val="0"/>
          <w:w w:val="100"/>
          <w:position w:val="0"/>
          <w:sz w:val="24"/>
          <w:szCs w:val="24"/>
        </w:rPr>
        <w:t>十六、补充资料</w:t>
      </w:r>
      <w:bookmarkEnd w:id="1614"/>
      <w:bookmarkEnd w:id="1615"/>
      <w:bookmarkEnd w:id="1616"/>
    </w:p>
    <w:p>
      <w:pPr>
        <w:pStyle w:val="Style44"/>
        <w:keepNext/>
        <w:keepLines/>
        <w:widowControl w:val="0"/>
        <w:shd w:val="clear" w:color="auto" w:fill="auto"/>
        <w:bidi w:val="0"/>
        <w:spacing w:before="0" w:line="240" w:lineRule="auto"/>
        <w:ind w:left="0" w:right="0" w:firstLine="0"/>
        <w:jc w:val="left"/>
      </w:pPr>
      <w:bookmarkStart w:id="1617" w:name="bookmark1617"/>
      <w:bookmarkStart w:id="1618" w:name="bookmark1618"/>
      <w:bookmarkStart w:id="1619" w:name="bookmark1619"/>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1617"/>
      <w:bookmarkEnd w:id="1618"/>
      <w:bookmarkEnd w:id="1619"/>
    </w:p>
    <w:p>
      <w:pPr>
        <w:pStyle w:val="Style35"/>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rPr>
        <w:t>V</w:t>
      </w:r>
      <w:r>
        <w:rPr>
          <w:color w:val="000000"/>
          <w:spacing w:val="0"/>
          <w:w w:val="100"/>
          <w:position w:val="0"/>
        </w:rPr>
        <w:t>适用</w:t>
      </w:r>
      <w:r>
        <w:rPr>
          <w:color w:val="000000"/>
          <w:spacing w:val="0"/>
          <w:w w:val="100"/>
          <w:position w:val="0"/>
        </w:rPr>
        <w:t>口</w:t>
      </w:r>
      <w:r>
        <w:rPr>
          <w:color w:val="000000"/>
          <w:spacing w:val="0"/>
          <w:w w:val="100"/>
          <w:position w:val="0"/>
        </w:rPr>
        <w:t>不适用</w:t>
      </w:r>
    </w:p>
    <w:p>
      <w:pPr>
        <w:pStyle w:val="Style35"/>
        <w:keepNext w:val="0"/>
        <w:keepLines w:val="0"/>
        <w:widowControl w:val="0"/>
        <w:shd w:val="clear" w:color="auto" w:fill="auto"/>
        <w:bidi w:val="0"/>
        <w:spacing w:before="0" w:line="240" w:lineRule="auto"/>
        <w:ind w:left="0" w:right="1080" w:firstLine="0"/>
        <w:jc w:val="right"/>
      </w:pPr>
      <w:r>
        <w:rPr>
          <w:color w:val="000000"/>
          <w:spacing w:val="0"/>
          <w:w w:val="100"/>
          <w:position w:val="0"/>
        </w:rPr>
        <w:t>单位：元</w:t>
      </w:r>
    </w:p>
    <w:tbl>
      <w:tblPr>
        <w:tblOverlap w:val="never"/>
        <w:jc w:val="left"/>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金额</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说明</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非流动资产处置损益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-17,396.97</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8"/>
                <w:szCs w:val="18"/>
              </w:rPr>
              <w:t>计入当期损益的政府补助（与企业业务密 切相关，按照国家统一标准定额或定量享 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10,462,351.89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除上述各项之外的其他营业外收入和支出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45,697.80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left"/>
        <w:tblLayout w:type="fixed"/>
      </w:tblPr>
      <w:tblGrid>
        <w:gridCol w:w="3331"/>
        <w:gridCol w:w="3062"/>
        <w:gridCol w:w="3192"/>
      </w:tblGrid>
      <w:tr>
        <w:trPr>
          <w:trHeight w:val="408"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1,600,883.97</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8,889,768.75</w:t>
            </w:r>
          </w:p>
        </w:tc>
        <w:tc>
          <w:tcPr>
            <w:tcBorders>
              <w:top w:val="single" w:sz="4"/>
              <w:left w:val="single" w:sz="4"/>
              <w:bottom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5"/>
        <w:keepNext w:val="0"/>
        <w:keepLines w:val="0"/>
        <w:widowControl w:val="0"/>
        <w:shd w:val="clear" w:color="auto" w:fill="auto"/>
        <w:bidi w:val="0"/>
        <w:spacing w:before="0" w:line="307"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w:t>
      </w:r>
      <w:r>
        <w:rPr>
          <w:color w:val="000000"/>
          <w:spacing w:val="0"/>
          <w:w w:val="100"/>
          <w:position w:val="0"/>
        </w:rPr>
        <w:t>一</w:t>
      </w:r>
      <w:r>
        <w:rPr>
          <w:color w:val="000000"/>
          <w:spacing w:val="0"/>
          <w:w w:val="100"/>
          <w:position w:val="0"/>
        </w:rPr>
        <w:t>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rPr>
        <w:t>1</w:t>
      </w:r>
      <w:r>
        <w:rPr>
          <w:color w:val="000000"/>
          <w:spacing w:val="0"/>
          <w:w w:val="100"/>
          <w:position w:val="0"/>
        </w:rPr>
        <w:t>号一非经常性损益》中列举的非经常性损益项目界定为经常性损益的项目，应 说明原因。</w:t>
      </w:r>
    </w:p>
    <w:p>
      <w:pPr>
        <w:pStyle w:val="Style35"/>
        <w:keepNext w:val="0"/>
        <w:keepLines w:val="0"/>
        <w:widowControl w:val="0"/>
        <w:shd w:val="clear" w:color="auto" w:fill="auto"/>
        <w:bidi w:val="0"/>
        <w:spacing w:before="0" w:after="240" w:line="360" w:lineRule="auto"/>
        <w:ind w:left="0" w:right="0" w:firstLine="0"/>
        <w:jc w:val="both"/>
      </w:pPr>
      <w:r>
        <w:rPr>
          <w:rFonts w:ascii="Times New Roman" w:eastAsia="Times New Roman" w:hAnsi="Times New Roman" w:cs="Times New Roman"/>
          <w:color w:val="000000"/>
          <w:spacing w:val="0"/>
          <w:w w:val="100"/>
          <w:position w:val="0"/>
        </w:rPr>
        <w:t>□</w:t>
      </w:r>
      <w:r>
        <w:rPr>
          <w:color w:val="000000"/>
          <w:spacing w:val="0"/>
          <w:w w:val="100"/>
          <w:position w:val="0"/>
        </w:rPr>
        <w:t>适用</w:t>
      </w:r>
      <w:r>
        <w:rPr>
          <w:color w:val="000000"/>
          <w:spacing w:val="0"/>
          <w:w w:val="100"/>
          <w:position w:val="0"/>
        </w:rPr>
        <w:t>寸</w:t>
      </w:r>
      <w:r>
        <w:rPr>
          <w:color w:val="000000"/>
          <w:spacing w:val="0"/>
          <w:w w:val="100"/>
          <w:position w:val="0"/>
        </w:rPr>
        <w:t>不适用</w:t>
      </w:r>
    </w:p>
    <w:p>
      <w:pPr>
        <w:pStyle w:val="Style44"/>
        <w:keepNext/>
        <w:keepLines/>
        <w:widowControl w:val="0"/>
        <w:shd w:val="clear" w:color="auto" w:fill="auto"/>
        <w:bidi w:val="0"/>
        <w:spacing w:before="0" w:after="320" w:line="240" w:lineRule="auto"/>
        <w:ind w:left="0" w:right="0" w:firstLine="0"/>
        <w:jc w:val="both"/>
      </w:pPr>
      <w:bookmarkStart w:id="1620" w:name="bookmark1620"/>
      <w:bookmarkStart w:id="1621" w:name="bookmark1621"/>
      <w:bookmarkStart w:id="1622" w:name="bookmark1622"/>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1620"/>
      <w:bookmarkEnd w:id="1621"/>
      <w:bookmarkEnd w:id="1622"/>
    </w:p>
    <w:tbl>
      <w:tblPr>
        <w:tblOverlap w:val="never"/>
        <w:jc w:val="left"/>
        <w:tblLayout w:type="fixed"/>
      </w:tblPr>
      <w:tblGrid>
        <w:gridCol w:w="2669"/>
        <w:gridCol w:w="3082"/>
        <w:gridCol w:w="1910"/>
        <w:gridCol w:w="1925"/>
      </w:tblGrid>
      <w:tr>
        <w:trPr>
          <w:trHeight w:val="408" w:hRule="exact"/>
        </w:trPr>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报告期利润</w:t>
            </w:r>
          </w:p>
        </w:tc>
        <w:tc>
          <w:tcPr>
            <w:vMerge w:val="restart"/>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加权平均净资产收益率</w:t>
            </w:r>
          </w:p>
        </w:tc>
        <w:tc>
          <w:tcPr>
            <w:gridSpan w:val="2"/>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每股收益</w:t>
            </w:r>
          </w:p>
        </w:tc>
      </w:tr>
      <w:tr>
        <w:trPr>
          <w:trHeight w:val="398" w:hRule="exact"/>
        </w:trPr>
        <w:tc>
          <w:tcPr>
            <w:vMerge/>
            <w:tcBorders>
              <w:left w:val="single" w:sz="4"/>
            </w:tcBorders>
            <w:shd w:val="clear" w:color="auto" w:fill="D4D4D4"/>
            <w:vAlign w:val="center"/>
          </w:tcPr>
          <w:p>
            <w:pPr/>
          </w:p>
        </w:tc>
        <w:tc>
          <w:tcPr>
            <w:vMerge/>
            <w:tcBorders>
              <w:left w:val="single" w:sz="4"/>
            </w:tcBorders>
            <w:shd w:val="clear" w:color="auto" w:fill="D4D4D4"/>
            <w:vAlign w:val="center"/>
          </w:tcPr>
          <w:p>
            <w:pPr/>
          </w:p>
        </w:tc>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基本每股收益（元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股）</w:t>
            </w:r>
          </w:p>
        </w:tc>
        <w:tc>
          <w:tcPr>
            <w:tcBorders>
              <w:top w:val="single" w:sz="4"/>
              <w:left w:val="single" w:sz="4"/>
              <w:righ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稀释每股收益（元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股）</w:t>
            </w:r>
          </w:p>
        </w:tc>
      </w:tr>
      <w:tr>
        <w:trPr>
          <w:trHeight w:val="403" w:hRule="exact"/>
        </w:trPr>
        <w:tc>
          <w:tcPr>
            <w:tcBorders>
              <w:top w:val="single" w:sz="4"/>
              <w:left w:val="single" w:sz="4"/>
            </w:tcBorders>
            <w:shd w:val="clear" w:color="auto" w:fill="D4D4D4"/>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归属于公司普通股股东的净利润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left"/>
              <w:rPr>
                <w:sz w:val="18"/>
                <w:szCs w:val="18"/>
              </w:rPr>
            </w:pPr>
            <w:r>
              <w:rPr>
                <w:rFonts w:ascii="Times New Roman" w:eastAsia="Times New Roman" w:hAnsi="Times New Roman" w:cs="Times New Roman"/>
                <w:color w:val="000000"/>
                <w:spacing w:val="0"/>
                <w:w w:val="100"/>
                <w:position w:val="0"/>
                <w:sz w:val="18"/>
                <w:szCs w:val="18"/>
              </w:rPr>
              <w:t>5.39%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r>
      <w:tr>
        <w:trPr>
          <w:trHeight w:val="725" w:hRule="exact"/>
        </w:trPr>
        <w:tc>
          <w:tcPr>
            <w:tcBorders>
              <w:top w:val="single" w:sz="4"/>
              <w:left w:val="single" w:sz="4"/>
              <w:bottom w:val="single" w:sz="4"/>
            </w:tcBorders>
            <w:shd w:val="clear" w:color="auto" w:fill="D4D4D4"/>
            <w:vAlign w:val="center"/>
          </w:tcPr>
          <w:p>
            <w:pPr>
              <w:pStyle w:val="Style2"/>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扣除非经常性损益后归属于公司 普通股股东的净利润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left"/>
              <w:rPr>
                <w:sz w:val="18"/>
                <w:szCs w:val="18"/>
              </w:rPr>
            </w:pPr>
            <w:r>
              <w:rPr>
                <w:rFonts w:ascii="Times New Roman" w:eastAsia="Times New Roman" w:hAnsi="Times New Roman" w:cs="Times New Roman"/>
                <w:color w:val="000000"/>
                <w:spacing w:val="0"/>
                <w:w w:val="100"/>
                <w:position w:val="0"/>
                <w:sz w:val="18"/>
                <w:szCs w:val="18"/>
              </w:rPr>
              <w:t>3.92%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0.1315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0.1315</w:t>
            </w:r>
          </w:p>
        </w:tc>
      </w:tr>
    </w:tbl>
    <w:p>
      <w:pPr>
        <w:pStyle w:val="Style15"/>
        <w:keepNext/>
        <w:keepLines/>
        <w:widowControl w:val="0"/>
        <w:shd w:val="clear" w:color="auto" w:fill="auto"/>
        <w:bidi w:val="0"/>
        <w:spacing w:before="0" w:after="620" w:line="240" w:lineRule="auto"/>
        <w:ind w:left="3160" w:right="0" w:firstLine="0"/>
        <w:jc w:val="left"/>
      </w:pPr>
      <w:bookmarkStart w:id="1623" w:name="bookmark1623"/>
      <w:bookmarkStart w:id="1624" w:name="bookmark1624"/>
      <w:bookmarkStart w:id="1625" w:name="bookmark1625"/>
      <w:r>
        <w:rPr>
          <w:color w:val="000000"/>
          <w:spacing w:val="0"/>
          <w:w w:val="100"/>
          <w:position w:val="0"/>
        </w:rPr>
        <w:t>第十三节备查文件目录</w:t>
      </w:r>
      <w:bookmarkEnd w:id="1623"/>
      <w:bookmarkEnd w:id="1624"/>
      <w:bookmarkEnd w:id="1625"/>
    </w:p>
    <w:p>
      <w:pPr>
        <w:pStyle w:val="Style47"/>
        <w:keepNext w:val="0"/>
        <w:keepLines w:val="0"/>
        <w:widowControl w:val="0"/>
        <w:shd w:val="clear" w:color="auto" w:fill="auto"/>
        <w:tabs>
          <w:tab w:pos="474" w:val="left"/>
        </w:tabs>
        <w:bidi w:val="0"/>
        <w:spacing w:before="0" w:after="220" w:line="240" w:lineRule="auto"/>
        <w:ind w:left="0" w:right="0" w:firstLine="0"/>
        <w:jc w:val="left"/>
      </w:pPr>
      <w:bookmarkStart w:id="1626" w:name="bookmark1626"/>
      <w:bookmarkStart w:id="1627" w:name="bookmark1627"/>
      <w:r>
        <w:rPr>
          <w:color w:val="000000"/>
          <w:spacing w:val="0"/>
          <w:w w:val="100"/>
          <w:position w:val="0"/>
        </w:rPr>
        <w:t>一</w:t>
      </w:r>
      <w:bookmarkEnd w:id="1627"/>
      <w:r>
        <w:rPr>
          <w:color w:val="000000"/>
          <w:spacing w:val="0"/>
          <w:w w:val="100"/>
          <w:position w:val="0"/>
        </w:rPr>
        <w:t>、</w:t>
        <w:tab/>
        <w:t>载有法定代表人签名的</w:t>
      </w:r>
      <w:r>
        <w:rPr>
          <w:rFonts w:ascii="Times New Roman" w:eastAsia="Times New Roman" w:hAnsi="Times New Roman" w:cs="Times New Roman"/>
          <w:color w:val="000000"/>
          <w:spacing w:val="0"/>
          <w:w w:val="100"/>
          <w:position w:val="0"/>
        </w:rPr>
        <w:t>2020</w:t>
      </w:r>
      <w:r>
        <w:rPr>
          <w:color w:val="000000"/>
          <w:spacing w:val="0"/>
          <w:w w:val="100"/>
          <w:position w:val="0"/>
        </w:rPr>
        <w:t>年度报告文本；</w:t>
      </w:r>
      <w:bookmarkEnd w:id="1626"/>
    </w:p>
    <w:p>
      <w:pPr>
        <w:pStyle w:val="Style47"/>
        <w:keepNext w:val="0"/>
        <w:keepLines w:val="0"/>
        <w:widowControl w:val="0"/>
        <w:shd w:val="clear" w:color="auto" w:fill="auto"/>
        <w:tabs>
          <w:tab w:pos="474" w:val="left"/>
        </w:tabs>
        <w:bidi w:val="0"/>
        <w:spacing w:before="0" w:after="220" w:line="240" w:lineRule="auto"/>
        <w:ind w:left="0" w:right="0" w:firstLine="0"/>
        <w:jc w:val="left"/>
      </w:pPr>
      <w:bookmarkStart w:id="1628" w:name="bookmark1628"/>
      <w:r>
        <w:rPr>
          <w:color w:val="000000"/>
          <w:spacing w:val="0"/>
          <w:w w:val="100"/>
          <w:position w:val="0"/>
        </w:rPr>
        <w:t>二</w:t>
      </w:r>
      <w:bookmarkEnd w:id="1628"/>
      <w:r>
        <w:rPr>
          <w:color w:val="000000"/>
          <w:spacing w:val="0"/>
          <w:w w:val="100"/>
          <w:position w:val="0"/>
        </w:rPr>
        <w:t>、</w:t>
        <w:tab/>
        <w:t>载有法定代表人、主管会计工作负责人、会计机构负责人签名并盖章的财务报表;</w:t>
      </w:r>
    </w:p>
    <w:p>
      <w:pPr>
        <w:pStyle w:val="Style47"/>
        <w:keepNext w:val="0"/>
        <w:keepLines w:val="0"/>
        <w:widowControl w:val="0"/>
        <w:shd w:val="clear" w:color="auto" w:fill="auto"/>
        <w:tabs>
          <w:tab w:pos="478" w:val="left"/>
        </w:tabs>
        <w:bidi w:val="0"/>
        <w:spacing w:before="0" w:after="220" w:line="240" w:lineRule="auto"/>
        <w:ind w:left="0" w:right="0" w:firstLine="0"/>
        <w:jc w:val="left"/>
      </w:pPr>
      <w:bookmarkStart w:id="1629" w:name="bookmark1629"/>
      <w:r>
        <w:rPr>
          <w:color w:val="000000"/>
          <w:spacing w:val="0"/>
          <w:w w:val="100"/>
          <w:position w:val="0"/>
        </w:rPr>
        <w:t>三</w:t>
      </w:r>
      <w:bookmarkEnd w:id="1629"/>
      <w:r>
        <w:rPr>
          <w:color w:val="000000"/>
          <w:spacing w:val="0"/>
          <w:w w:val="100"/>
          <w:position w:val="0"/>
        </w:rPr>
        <w:t>、</w:t>
        <w:tab/>
        <w:t>载有会计师事务所盖章、注册会计师签名并盖章的审计报告原件；</w:t>
      </w:r>
    </w:p>
    <w:p>
      <w:pPr>
        <w:pStyle w:val="Style47"/>
        <w:keepNext w:val="0"/>
        <w:keepLines w:val="0"/>
        <w:widowControl w:val="0"/>
        <w:shd w:val="clear" w:color="auto" w:fill="auto"/>
        <w:tabs>
          <w:tab w:pos="478" w:val="left"/>
        </w:tabs>
        <w:bidi w:val="0"/>
        <w:spacing w:before="0" w:after="220" w:line="240" w:lineRule="auto"/>
        <w:ind w:left="0" w:right="0" w:firstLine="0"/>
        <w:jc w:val="left"/>
      </w:pPr>
      <w:bookmarkStart w:id="1630" w:name="bookmark1630"/>
      <w:r>
        <w:rPr>
          <w:color w:val="000000"/>
          <w:spacing w:val="0"/>
          <w:w w:val="100"/>
          <w:position w:val="0"/>
        </w:rPr>
        <w:t>四</w:t>
      </w:r>
      <w:bookmarkEnd w:id="1630"/>
      <w:r>
        <w:rPr>
          <w:color w:val="000000"/>
          <w:spacing w:val="0"/>
          <w:w w:val="100"/>
          <w:position w:val="0"/>
        </w:rPr>
        <w:t>、</w:t>
        <w:tab/>
        <w:t>报告期内在中国证监会指定网站上公开披露过的所有公司文件的正本及公告原稿;</w:t>
      </w:r>
    </w:p>
    <w:p>
      <w:pPr>
        <w:pStyle w:val="Style47"/>
        <w:keepNext w:val="0"/>
        <w:keepLines w:val="0"/>
        <w:widowControl w:val="0"/>
        <w:shd w:val="clear" w:color="auto" w:fill="auto"/>
        <w:tabs>
          <w:tab w:pos="478" w:val="left"/>
        </w:tabs>
        <w:bidi w:val="0"/>
        <w:spacing w:before="0" w:after="220" w:line="240" w:lineRule="auto"/>
        <w:ind w:left="0" w:right="0" w:firstLine="0"/>
        <w:jc w:val="left"/>
      </w:pPr>
      <w:bookmarkStart w:id="1631" w:name="bookmark1631"/>
      <w:r>
        <w:rPr>
          <w:color w:val="000000"/>
          <w:spacing w:val="0"/>
          <w:w w:val="100"/>
          <w:position w:val="0"/>
        </w:rPr>
        <w:t>五</w:t>
      </w:r>
      <w:bookmarkEnd w:id="1631"/>
      <w:r>
        <w:rPr>
          <w:color w:val="000000"/>
          <w:spacing w:val="0"/>
          <w:w w:val="100"/>
          <w:position w:val="0"/>
        </w:rPr>
        <w:t>、</w:t>
        <w:tab/>
        <w:t>其他有关资料；</w:t>
      </w:r>
    </w:p>
    <w:p>
      <w:pPr>
        <w:pStyle w:val="Style47"/>
        <w:keepNext w:val="0"/>
        <w:keepLines w:val="0"/>
        <w:widowControl w:val="0"/>
        <w:shd w:val="clear" w:color="auto" w:fill="auto"/>
        <w:tabs>
          <w:tab w:pos="478" w:val="left"/>
        </w:tabs>
        <w:bidi w:val="0"/>
        <w:spacing w:before="0" w:after="2580" w:line="240" w:lineRule="auto"/>
        <w:ind w:left="0" w:right="0" w:firstLine="0"/>
        <w:jc w:val="left"/>
      </w:pPr>
      <w:bookmarkStart w:id="1632" w:name="bookmark1632"/>
      <w:r>
        <w:rPr>
          <w:color w:val="000000"/>
          <w:spacing w:val="0"/>
          <w:w w:val="100"/>
          <w:position w:val="0"/>
        </w:rPr>
        <w:t>六</w:t>
      </w:r>
      <w:bookmarkEnd w:id="1632"/>
      <w:r>
        <w:rPr>
          <w:color w:val="000000"/>
          <w:spacing w:val="0"/>
          <w:w w:val="100"/>
          <w:position w:val="0"/>
        </w:rPr>
        <w:t>、</w:t>
        <w:tab/>
        <w:t>以上备查文件的备置地点：公司董事会办公室。</w:t>
      </w:r>
    </w:p>
    <w:p>
      <w:pPr>
        <w:pStyle w:val="Style47"/>
        <w:keepNext w:val="0"/>
        <w:keepLines w:val="0"/>
        <w:widowControl w:val="0"/>
        <w:shd w:val="clear" w:color="auto" w:fill="auto"/>
        <w:bidi w:val="0"/>
        <w:spacing w:before="0" w:after="220" w:line="240" w:lineRule="auto"/>
        <w:ind w:left="4900" w:right="0" w:firstLine="0"/>
        <w:jc w:val="left"/>
      </w:pPr>
      <w:r>
        <w:rPr>
          <w:color w:val="000000"/>
          <w:spacing w:val="0"/>
          <w:w w:val="100"/>
          <w:position w:val="0"/>
        </w:rPr>
        <w:t>中科院成都信息技术股份有限公司</w:t>
      </w:r>
    </w:p>
    <w:p>
      <w:pPr>
        <w:pStyle w:val="Style47"/>
        <w:keepNext w:val="0"/>
        <w:keepLines w:val="0"/>
        <w:widowControl w:val="0"/>
        <w:shd w:val="clear" w:color="auto" w:fill="auto"/>
        <w:bidi w:val="0"/>
        <w:spacing w:before="0" w:after="660" w:line="240" w:lineRule="auto"/>
        <w:ind w:left="4900" w:right="0" w:firstLine="0"/>
        <w:jc w:val="left"/>
      </w:pPr>
      <w:r>
        <w:rPr>
          <w:color w:val="000000"/>
          <w:spacing w:val="0"/>
          <w:w w:val="100"/>
          <w:position w:val="0"/>
        </w:rPr>
        <w:t>法定代表人：史志明</w:t>
      </w:r>
    </w:p>
    <w:p>
      <w:pPr>
        <w:pStyle w:val="Style2"/>
        <w:keepNext w:val="0"/>
        <w:keepLines w:val="0"/>
        <w:widowControl w:val="0"/>
        <w:shd w:val="clear" w:color="auto" w:fill="auto"/>
        <w:bidi w:val="0"/>
        <w:spacing w:before="0" w:after="220" w:line="240" w:lineRule="auto"/>
        <w:ind w:left="0" w:right="0" w:firstLine="0"/>
        <w:jc w:val="center"/>
      </w:pPr>
      <w:r>
        <w:rPr>
          <w:rFonts w:ascii="Times New Roman" w:eastAsia="Times New Roman" w:hAnsi="Times New Roman" w:cs="Times New Roman"/>
          <w:color w:val="000000"/>
          <w:spacing w:val="0"/>
          <w:w w:val="100"/>
          <w:position w:val="0"/>
        </w:rPr>
        <w:t>2021</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w:t>
      </w:r>
      <w:r>
        <w:rPr>
          <w:rFonts w:ascii="Times New Roman" w:eastAsia="Times New Roman" w:hAnsi="Times New Roman" w:cs="Times New Roman"/>
          <w:color w:val="000000"/>
          <w:spacing w:val="0"/>
          <w:w w:val="100"/>
          <w:position w:val="0"/>
        </w:rPr>
        <w:t>29</w:t>
      </w:r>
      <w:r>
        <w:rPr>
          <w:color w:val="000000"/>
          <w:spacing w:val="0"/>
          <w:w w:val="100"/>
          <w:position w:val="0"/>
        </w:rPr>
        <w:t>日</w:t>
      </w:r>
    </w:p>
    <w:sectPr>
      <w:headerReference w:type="default" r:id="rId367"/>
      <w:footerReference w:type="default" r:id="rId368"/>
      <w:headerReference w:type="even" r:id="rId369"/>
      <w:footerReference w:type="even" r:id="rId370"/>
      <w:footnotePr>
        <w:pos w:val="pageBottom"/>
        <w:numFmt w:val="decimal"/>
        <w:numRestart w:val="continuous"/>
      </w:footnotePr>
      <w:pgSz w:w="11900" w:h="16840"/>
      <w:pgMar w:top="1326" w:right="24" w:bottom="1528" w:left="1091"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6730365</wp:posOffset>
              </wp:positionH>
              <wp:positionV relativeFrom="page">
                <wp:posOffset>10059035</wp:posOffset>
              </wp:positionV>
              <wp:extent cx="100330" cy="79375"/>
              <wp:wrapNone/>
              <wp:docPr id="4" name="Shape 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0" type="#_x0000_t202" style="position:absolute;margin-left:529.95000000000005pt;margin-top:792.05000000000007pt;width:7.9000000000000004pt;height:6.25pt;z-index:-1887440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694" behindDoc="1" locked="0" layoutInCell="1" allowOverlap="1">
              <wp:simplePos x="0" y="0"/>
              <wp:positionH relativeFrom="page">
                <wp:posOffset>6901180</wp:posOffset>
              </wp:positionH>
              <wp:positionV relativeFrom="page">
                <wp:posOffset>10363835</wp:posOffset>
              </wp:positionV>
              <wp:extent cx="548640" cy="149225"/>
              <wp:wrapNone/>
              <wp:docPr id="6" name="Shape 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32" type="#_x0000_t202" style="position:absolute;margin-left:543.39999999999998pt;margin-top:816.05000000000007pt;width:43.200000000000003pt;height:11.75pt;z-index:-1887440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696" behindDoc="1" locked="0" layoutInCell="1" allowOverlap="1">
              <wp:simplePos x="0" y="0"/>
              <wp:positionH relativeFrom="page">
                <wp:posOffset>6828155</wp:posOffset>
              </wp:positionH>
              <wp:positionV relativeFrom="page">
                <wp:posOffset>10598785</wp:posOffset>
              </wp:positionV>
              <wp:extent cx="694690" cy="60960"/>
              <wp:wrapNone/>
              <wp:docPr id="8" name="Shape 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34" type="#_x0000_t202" style="position:absolute;margin-left:537.64999999999998pt;margin-top:834.55000000000007pt;width:54.700000000000003pt;height:4.7999999999999998pt;z-index:-1887440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6713855</wp:posOffset>
              </wp:positionH>
              <wp:positionV relativeFrom="page">
                <wp:posOffset>9958070</wp:posOffset>
              </wp:positionV>
              <wp:extent cx="100330" cy="79375"/>
              <wp:wrapNone/>
              <wp:docPr id="77" name="Shape 7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03" type="#_x0000_t202" style="position:absolute;margin-left:528.64999999999998pt;margin-top:784.10000000000002pt;width:7.9000000000000004pt;height:6.25pt;z-index:-1887440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52" behindDoc="1" locked="0" layoutInCell="1" allowOverlap="1">
              <wp:simplePos x="0" y="0"/>
              <wp:positionH relativeFrom="page">
                <wp:posOffset>6884670</wp:posOffset>
              </wp:positionH>
              <wp:positionV relativeFrom="page">
                <wp:posOffset>10262870</wp:posOffset>
              </wp:positionV>
              <wp:extent cx="548640" cy="216535"/>
              <wp:wrapNone/>
              <wp:docPr id="79" name="Shape 7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105" type="#_x0000_t202" style="position:absolute;margin-left:542.10000000000002pt;margin-top:808.10000000000002pt;width:43.200000000000003pt;height:17.050000000000001pt;z-index:-18874400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754" behindDoc="1" locked="0" layoutInCell="1" allowOverlap="1">
              <wp:simplePos x="0" y="0"/>
              <wp:positionH relativeFrom="page">
                <wp:posOffset>6811645</wp:posOffset>
              </wp:positionH>
              <wp:positionV relativeFrom="page">
                <wp:posOffset>10497820</wp:posOffset>
              </wp:positionV>
              <wp:extent cx="694690" cy="60960"/>
              <wp:wrapNone/>
              <wp:docPr id="81" name="Shape 8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07" type="#_x0000_t202" style="position:absolute;margin-left:536.35000000000002pt;margin-top:826.60000000000002pt;width:54.700000000000003pt;height:4.7999999999999998pt;z-index:-18874399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6721475</wp:posOffset>
              </wp:positionH>
              <wp:positionV relativeFrom="page">
                <wp:posOffset>9961245</wp:posOffset>
              </wp:positionV>
              <wp:extent cx="109855" cy="79375"/>
              <wp:wrapNone/>
              <wp:docPr id="803" name="Shape 80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29" type="#_x0000_t202" style="position:absolute;margin-left:529.25pt;margin-top:784.35000000000002pt;width:8.6500000000000004pt;height:6.25pt;z-index:-1887433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72" behindDoc="1" locked="0" layoutInCell="1" allowOverlap="1">
              <wp:simplePos x="0" y="0"/>
              <wp:positionH relativeFrom="page">
                <wp:posOffset>6828155</wp:posOffset>
              </wp:positionH>
              <wp:positionV relativeFrom="page">
                <wp:posOffset>10500995</wp:posOffset>
              </wp:positionV>
              <wp:extent cx="694690" cy="60960"/>
              <wp:wrapNone/>
              <wp:docPr id="805" name="Shape 80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31" type="#_x0000_t202" style="position:absolute;margin-left:537.64999999999998pt;margin-top:826.85000000000002pt;width:54.700000000000003pt;height:4.7999999999999998pt;z-index:-1887433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6668770</wp:posOffset>
              </wp:positionH>
              <wp:positionV relativeFrom="page">
                <wp:posOffset>10002520</wp:posOffset>
              </wp:positionV>
              <wp:extent cx="152400" cy="79375"/>
              <wp:wrapNone/>
              <wp:docPr id="810" name="Shape 81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36" type="#_x0000_t202" style="position:absolute;margin-left:525.10000000000002pt;margin-top:787.60000000000002pt;width:12.pt;height:6.25pt;z-index:-1887433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78" behindDoc="1" locked="0" layoutInCell="1" allowOverlap="1">
              <wp:simplePos x="0" y="0"/>
              <wp:positionH relativeFrom="page">
                <wp:posOffset>6821170</wp:posOffset>
              </wp:positionH>
              <wp:positionV relativeFrom="page">
                <wp:posOffset>10307320</wp:posOffset>
              </wp:positionV>
              <wp:extent cx="692150" cy="298450"/>
              <wp:wrapNone/>
              <wp:docPr id="812" name="Shape 812"/>
              <a:graphic xmlns:a="http://schemas.openxmlformats.org/drawingml/2006/main">
                <a:graphicData uri="http://schemas.microsoft.com/office/word/2010/wordprocessingShape">
                  <wps:wsp>
                    <wps:cNvSpPr txBox="1"/>
                    <wps:spPr>
                      <a:xfrm>
                        <a:ext cx="692150" cy="29845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www.cnlnto.ccm.cn</w:t>
                          </w:r>
                        </w:p>
                      </w:txbxContent>
                    </wps:txbx>
                    <wps:bodyPr wrap="none" lIns="0" tIns="0" rIns="0" bIns="0">
                      <a:spAutoFit/>
                    </wps:bodyPr>
                  </wps:wsp>
                </a:graphicData>
              </a:graphic>
            </wp:anchor>
          </w:drawing>
        </mc:Choice>
        <mc:Fallback>
          <w:pict>
            <v:shape id="_x0000_s1838" type="#_x0000_t202" style="position:absolute;margin-left:537.10000000000002pt;margin-top:811.60000000000002pt;width:54.5pt;height:23.5pt;z-index:-1887433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www.cnlnto.ccm.cn</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6652260</wp:posOffset>
              </wp:positionH>
              <wp:positionV relativeFrom="page">
                <wp:posOffset>9958070</wp:posOffset>
              </wp:positionV>
              <wp:extent cx="161290" cy="79375"/>
              <wp:wrapNone/>
              <wp:docPr id="827" name="Shape 827"/>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53" type="#_x0000_t202" style="position:absolute;margin-left:523.79999999999995pt;margin-top:784.10000000000002pt;width:12.700000000000001pt;height:6.25pt;z-index:-1887433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84" behindDoc="1" locked="0" layoutInCell="1" allowOverlap="1">
              <wp:simplePos x="0" y="0"/>
              <wp:positionH relativeFrom="page">
                <wp:posOffset>6880860</wp:posOffset>
              </wp:positionH>
              <wp:positionV relativeFrom="page">
                <wp:posOffset>10262870</wp:posOffset>
              </wp:positionV>
              <wp:extent cx="548640" cy="216535"/>
              <wp:wrapNone/>
              <wp:docPr id="829" name="Shape 82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55" type="#_x0000_t202" style="position:absolute;margin-left:541.79999999999995pt;margin-top:808.10000000000002pt;width:43.200000000000003pt;height:17.050000000000001pt;z-index:-1887433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86" behindDoc="1" locked="0" layoutInCell="1" allowOverlap="1">
              <wp:simplePos x="0" y="0"/>
              <wp:positionH relativeFrom="page">
                <wp:posOffset>6807835</wp:posOffset>
              </wp:positionH>
              <wp:positionV relativeFrom="page">
                <wp:posOffset>10497820</wp:posOffset>
              </wp:positionV>
              <wp:extent cx="694690" cy="60960"/>
              <wp:wrapNone/>
              <wp:docPr id="831" name="Shape 83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57" type="#_x0000_t202" style="position:absolute;margin-left:536.04999999999995pt;margin-top:826.60000000000002pt;width:54.700000000000003pt;height:4.7999999999999998pt;z-index:-1887433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0" behindDoc="1" locked="0" layoutInCell="1" allowOverlap="1">
              <wp:simplePos x="0" y="0"/>
              <wp:positionH relativeFrom="page">
                <wp:posOffset>6652260</wp:posOffset>
              </wp:positionH>
              <wp:positionV relativeFrom="page">
                <wp:posOffset>9958070</wp:posOffset>
              </wp:positionV>
              <wp:extent cx="161290" cy="79375"/>
              <wp:wrapNone/>
              <wp:docPr id="836" name="Shape 836"/>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62" type="#_x0000_t202" style="position:absolute;margin-left:523.79999999999995pt;margin-top:784.10000000000002pt;width:12.700000000000001pt;height:6.25pt;z-index:-1887433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92" behindDoc="1" locked="0" layoutInCell="1" allowOverlap="1">
              <wp:simplePos x="0" y="0"/>
              <wp:positionH relativeFrom="page">
                <wp:posOffset>6880860</wp:posOffset>
              </wp:positionH>
              <wp:positionV relativeFrom="page">
                <wp:posOffset>10262870</wp:posOffset>
              </wp:positionV>
              <wp:extent cx="548640" cy="216535"/>
              <wp:wrapNone/>
              <wp:docPr id="838" name="Shape 838"/>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64" type="#_x0000_t202" style="position:absolute;margin-left:541.79999999999995pt;margin-top:808.10000000000002pt;width:43.200000000000003pt;height:17.050000000000001pt;z-index:-1887433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94" behindDoc="1" locked="0" layoutInCell="1" allowOverlap="1">
              <wp:simplePos x="0" y="0"/>
              <wp:positionH relativeFrom="page">
                <wp:posOffset>6807835</wp:posOffset>
              </wp:positionH>
              <wp:positionV relativeFrom="page">
                <wp:posOffset>10497820</wp:posOffset>
              </wp:positionV>
              <wp:extent cx="694690" cy="60960"/>
              <wp:wrapNone/>
              <wp:docPr id="840" name="Shape 84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66" type="#_x0000_t202" style="position:absolute;margin-left:536.04999999999995pt;margin-top:826.60000000000002pt;width:54.700000000000003pt;height:4.7999999999999998pt;z-index:-1887433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6697345</wp:posOffset>
              </wp:positionH>
              <wp:positionV relativeFrom="page">
                <wp:posOffset>10002520</wp:posOffset>
              </wp:positionV>
              <wp:extent cx="152400" cy="79375"/>
              <wp:wrapNone/>
              <wp:docPr id="857" name="Shape 8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83" type="#_x0000_t202" style="position:absolute;margin-left:527.35000000000002pt;margin-top:787.60000000000002pt;width:12.pt;height:6.25pt;z-index:-1887433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00" behindDoc="1" locked="0" layoutInCell="1" allowOverlap="1">
              <wp:simplePos x="0" y="0"/>
              <wp:positionH relativeFrom="page">
                <wp:posOffset>6920230</wp:posOffset>
              </wp:positionH>
              <wp:positionV relativeFrom="page">
                <wp:posOffset>10304145</wp:posOffset>
              </wp:positionV>
              <wp:extent cx="548640" cy="219710"/>
              <wp:wrapNone/>
              <wp:docPr id="859" name="Shape 85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85" type="#_x0000_t202" style="position:absolute;margin-left:544.89999999999998pt;margin-top:811.35000000000002pt;width:43.200000000000003pt;height:17.300000000000001pt;z-index:-1887433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02" behindDoc="1" locked="0" layoutInCell="1" allowOverlap="1">
              <wp:simplePos x="0" y="0"/>
              <wp:positionH relativeFrom="page">
                <wp:posOffset>6847205</wp:posOffset>
              </wp:positionH>
              <wp:positionV relativeFrom="page">
                <wp:posOffset>10541635</wp:posOffset>
              </wp:positionV>
              <wp:extent cx="694690" cy="60960"/>
              <wp:wrapNone/>
              <wp:docPr id="861" name="Shape 8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87" type="#_x0000_t202" style="position:absolute;margin-left:539.14999999999998pt;margin-top:830.05000000000007pt;width:54.700000000000003pt;height:4.7999999999999998pt;z-index:-1887433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6697345</wp:posOffset>
              </wp:positionH>
              <wp:positionV relativeFrom="page">
                <wp:posOffset>10002520</wp:posOffset>
              </wp:positionV>
              <wp:extent cx="152400" cy="79375"/>
              <wp:wrapNone/>
              <wp:docPr id="866" name="Shape 86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92" type="#_x0000_t202" style="position:absolute;margin-left:527.35000000000002pt;margin-top:787.60000000000002pt;width:12.pt;height:6.25pt;z-index:-1887433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08" behindDoc="1" locked="0" layoutInCell="1" allowOverlap="1">
              <wp:simplePos x="0" y="0"/>
              <wp:positionH relativeFrom="page">
                <wp:posOffset>6920230</wp:posOffset>
              </wp:positionH>
              <wp:positionV relativeFrom="page">
                <wp:posOffset>10304145</wp:posOffset>
              </wp:positionV>
              <wp:extent cx="548640" cy="219710"/>
              <wp:wrapNone/>
              <wp:docPr id="868" name="Shape 86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94" type="#_x0000_t202" style="position:absolute;margin-left:544.89999999999998pt;margin-top:811.35000000000002pt;width:43.200000000000003pt;height:17.300000000000001pt;z-index:-1887433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10" behindDoc="1" locked="0" layoutInCell="1" allowOverlap="1">
              <wp:simplePos x="0" y="0"/>
              <wp:positionH relativeFrom="page">
                <wp:posOffset>6847205</wp:posOffset>
              </wp:positionH>
              <wp:positionV relativeFrom="page">
                <wp:posOffset>10541635</wp:posOffset>
              </wp:positionV>
              <wp:extent cx="694690" cy="60960"/>
              <wp:wrapNone/>
              <wp:docPr id="870" name="Shape 87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96" type="#_x0000_t202" style="position:absolute;margin-left:539.14999999999998pt;margin-top:830.05000000000007pt;width:54.700000000000003pt;height:4.7999999999999998pt;z-index:-1887433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6724650</wp:posOffset>
              </wp:positionH>
              <wp:positionV relativeFrom="page">
                <wp:posOffset>9958070</wp:posOffset>
              </wp:positionV>
              <wp:extent cx="103505" cy="79375"/>
              <wp:wrapNone/>
              <wp:docPr id="875" name="Shape 87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01" type="#_x0000_t202" style="position:absolute;margin-left:529.5pt;margin-top:784.10000000000002pt;width:8.1500000000000004pt;height:6.25pt;z-index:-1887433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6724650</wp:posOffset>
              </wp:positionH>
              <wp:positionV relativeFrom="page">
                <wp:posOffset>9958070</wp:posOffset>
              </wp:positionV>
              <wp:extent cx="103505" cy="79375"/>
              <wp:wrapNone/>
              <wp:docPr id="880" name="Shape 88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06" type="#_x0000_t202" style="position:absolute;margin-left:529.5pt;margin-top:784.10000000000002pt;width:8.1500000000000004pt;height:6.25pt;z-index:-1887433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6673215</wp:posOffset>
              </wp:positionH>
              <wp:positionV relativeFrom="page">
                <wp:posOffset>9958070</wp:posOffset>
              </wp:positionV>
              <wp:extent cx="158750" cy="79375"/>
              <wp:wrapNone/>
              <wp:docPr id="885" name="Shape 885"/>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11" type="#_x0000_t202" style="position:absolute;margin-left:525.45000000000005pt;margin-top:784.10000000000002pt;width:12.5pt;height:6.25pt;z-index:-1887433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24" behindDoc="1" locked="0" layoutInCell="1" allowOverlap="1">
              <wp:simplePos x="0" y="0"/>
              <wp:positionH relativeFrom="page">
                <wp:posOffset>6901815</wp:posOffset>
              </wp:positionH>
              <wp:positionV relativeFrom="page">
                <wp:posOffset>10262870</wp:posOffset>
              </wp:positionV>
              <wp:extent cx="548640" cy="149225"/>
              <wp:wrapNone/>
              <wp:docPr id="887" name="Shape 88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913" type="#_x0000_t202" style="position:absolute;margin-left:543.45000000000005pt;margin-top:808.10000000000002pt;width:43.200000000000003pt;height:11.75pt;z-index:-1887433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26" behindDoc="1" locked="0" layoutInCell="1" allowOverlap="1">
              <wp:simplePos x="0" y="0"/>
              <wp:positionH relativeFrom="page">
                <wp:posOffset>6828790</wp:posOffset>
              </wp:positionH>
              <wp:positionV relativeFrom="page">
                <wp:posOffset>10497820</wp:posOffset>
              </wp:positionV>
              <wp:extent cx="694690" cy="60960"/>
              <wp:wrapNone/>
              <wp:docPr id="889" name="Shape 88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15" type="#_x0000_t202" style="position:absolute;margin-left:537.70000000000005pt;margin-top:826.60000000000002pt;width:54.700000000000003pt;height:4.7999999999999998pt;z-index:-1887433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6673215</wp:posOffset>
              </wp:positionH>
              <wp:positionV relativeFrom="page">
                <wp:posOffset>9958070</wp:posOffset>
              </wp:positionV>
              <wp:extent cx="158750" cy="79375"/>
              <wp:wrapNone/>
              <wp:docPr id="894" name="Shape 894"/>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20" type="#_x0000_t202" style="position:absolute;margin-left:525.45000000000005pt;margin-top:784.10000000000002pt;width:12.5pt;height:6.25pt;z-index:-1887433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32" behindDoc="1" locked="0" layoutInCell="1" allowOverlap="1">
              <wp:simplePos x="0" y="0"/>
              <wp:positionH relativeFrom="page">
                <wp:posOffset>6901815</wp:posOffset>
              </wp:positionH>
              <wp:positionV relativeFrom="page">
                <wp:posOffset>10262870</wp:posOffset>
              </wp:positionV>
              <wp:extent cx="548640" cy="149225"/>
              <wp:wrapNone/>
              <wp:docPr id="896" name="Shape 89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922" type="#_x0000_t202" style="position:absolute;margin-left:543.45000000000005pt;margin-top:808.10000000000002pt;width:43.200000000000003pt;height:11.75pt;z-index:-1887433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34" behindDoc="1" locked="0" layoutInCell="1" allowOverlap="1">
              <wp:simplePos x="0" y="0"/>
              <wp:positionH relativeFrom="page">
                <wp:posOffset>6828790</wp:posOffset>
              </wp:positionH>
              <wp:positionV relativeFrom="page">
                <wp:posOffset>10497820</wp:posOffset>
              </wp:positionV>
              <wp:extent cx="694690" cy="60960"/>
              <wp:wrapNone/>
              <wp:docPr id="898" name="Shape 89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24" type="#_x0000_t202" style="position:absolute;margin-left:537.70000000000005pt;margin-top:826.60000000000002pt;width:54.700000000000003pt;height:4.7999999999999998pt;z-index:-1887433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6730365</wp:posOffset>
              </wp:positionH>
              <wp:positionV relativeFrom="page">
                <wp:posOffset>9958070</wp:posOffset>
              </wp:positionV>
              <wp:extent cx="100330" cy="79375"/>
              <wp:wrapNone/>
              <wp:docPr id="86" name="Shape 8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2" type="#_x0000_t202" style="position:absolute;margin-left:529.95000000000005pt;margin-top:784.10000000000002pt;width:7.9000000000000004pt;height:6.25pt;z-index:-18874399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6697345</wp:posOffset>
              </wp:positionH>
              <wp:positionV relativeFrom="page">
                <wp:posOffset>10002520</wp:posOffset>
              </wp:positionV>
              <wp:extent cx="152400" cy="79375"/>
              <wp:wrapNone/>
              <wp:docPr id="903" name="Shape 90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29" type="#_x0000_t202" style="position:absolute;margin-left:527.35000000000002pt;margin-top:787.60000000000002pt;width:12.pt;height:6.25pt;z-index:-1887433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40" behindDoc="1" locked="0" layoutInCell="1" allowOverlap="1">
              <wp:simplePos x="0" y="0"/>
              <wp:positionH relativeFrom="page">
                <wp:posOffset>6920230</wp:posOffset>
              </wp:positionH>
              <wp:positionV relativeFrom="page">
                <wp:posOffset>10304145</wp:posOffset>
              </wp:positionV>
              <wp:extent cx="548640" cy="219710"/>
              <wp:wrapNone/>
              <wp:docPr id="905" name="Shape 90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31" type="#_x0000_t202" style="position:absolute;margin-left:544.89999999999998pt;margin-top:811.35000000000002pt;width:43.200000000000003pt;height:17.300000000000001pt;z-index:-1887433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42" behindDoc="1" locked="0" layoutInCell="1" allowOverlap="1">
              <wp:simplePos x="0" y="0"/>
              <wp:positionH relativeFrom="page">
                <wp:posOffset>6847205</wp:posOffset>
              </wp:positionH>
              <wp:positionV relativeFrom="page">
                <wp:posOffset>10541635</wp:posOffset>
              </wp:positionV>
              <wp:extent cx="694690" cy="60960"/>
              <wp:wrapNone/>
              <wp:docPr id="907" name="Shape 90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33" type="#_x0000_t202" style="position:absolute;margin-left:539.14999999999998pt;margin-top:830.05000000000007pt;width:54.700000000000003pt;height:4.7999999999999998pt;z-index:-1887433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6697345</wp:posOffset>
              </wp:positionH>
              <wp:positionV relativeFrom="page">
                <wp:posOffset>10002520</wp:posOffset>
              </wp:positionV>
              <wp:extent cx="152400" cy="79375"/>
              <wp:wrapNone/>
              <wp:docPr id="912" name="Shape 91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38" type="#_x0000_t202" style="position:absolute;margin-left:527.35000000000002pt;margin-top:787.60000000000002pt;width:12.pt;height:6.25pt;z-index:-1887433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48" behindDoc="1" locked="0" layoutInCell="1" allowOverlap="1">
              <wp:simplePos x="0" y="0"/>
              <wp:positionH relativeFrom="page">
                <wp:posOffset>6920230</wp:posOffset>
              </wp:positionH>
              <wp:positionV relativeFrom="page">
                <wp:posOffset>10304145</wp:posOffset>
              </wp:positionV>
              <wp:extent cx="548640" cy="219710"/>
              <wp:wrapNone/>
              <wp:docPr id="914" name="Shape 91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40" type="#_x0000_t202" style="position:absolute;margin-left:544.89999999999998pt;margin-top:811.35000000000002pt;width:43.200000000000003pt;height:17.300000000000001pt;z-index:-1887433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50" behindDoc="1" locked="0" layoutInCell="1" allowOverlap="1">
              <wp:simplePos x="0" y="0"/>
              <wp:positionH relativeFrom="page">
                <wp:posOffset>6847205</wp:posOffset>
              </wp:positionH>
              <wp:positionV relativeFrom="page">
                <wp:posOffset>10541635</wp:posOffset>
              </wp:positionV>
              <wp:extent cx="694690" cy="60960"/>
              <wp:wrapNone/>
              <wp:docPr id="916" name="Shape 91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42" type="#_x0000_t202" style="position:absolute;margin-left:539.14999999999998pt;margin-top:830.05000000000007pt;width:54.700000000000003pt;height:4.7999999999999998pt;z-index:-1887433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6697345</wp:posOffset>
              </wp:positionH>
              <wp:positionV relativeFrom="page">
                <wp:posOffset>10002520</wp:posOffset>
              </wp:positionV>
              <wp:extent cx="152400" cy="79375"/>
              <wp:wrapNone/>
              <wp:docPr id="921" name="Shape 92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47" type="#_x0000_t202" style="position:absolute;margin-left:527.35000000000002pt;margin-top:787.60000000000002pt;width:12.pt;height:6.25pt;z-index:-1887432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56" behindDoc="1" locked="0" layoutInCell="1" allowOverlap="1">
              <wp:simplePos x="0" y="0"/>
              <wp:positionH relativeFrom="page">
                <wp:posOffset>6920230</wp:posOffset>
              </wp:positionH>
              <wp:positionV relativeFrom="page">
                <wp:posOffset>10304145</wp:posOffset>
              </wp:positionV>
              <wp:extent cx="548640" cy="219710"/>
              <wp:wrapNone/>
              <wp:docPr id="923" name="Shape 92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49" type="#_x0000_t202" style="position:absolute;margin-left:544.89999999999998pt;margin-top:811.35000000000002pt;width:43.200000000000003pt;height:17.300000000000001pt;z-index:-1887432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58" behindDoc="1" locked="0" layoutInCell="1" allowOverlap="1">
              <wp:simplePos x="0" y="0"/>
              <wp:positionH relativeFrom="page">
                <wp:posOffset>6847205</wp:posOffset>
              </wp:positionH>
              <wp:positionV relativeFrom="page">
                <wp:posOffset>10541635</wp:posOffset>
              </wp:positionV>
              <wp:extent cx="694690" cy="60960"/>
              <wp:wrapNone/>
              <wp:docPr id="925" name="Shape 92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51" type="#_x0000_t202" style="position:absolute;margin-left:539.14999999999998pt;margin-top:830.05000000000007pt;width:54.700000000000003pt;height:4.7999999999999998pt;z-index:-1887432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6668135</wp:posOffset>
              </wp:positionH>
              <wp:positionV relativeFrom="page">
                <wp:posOffset>9958070</wp:posOffset>
              </wp:positionV>
              <wp:extent cx="158750" cy="79375"/>
              <wp:wrapNone/>
              <wp:docPr id="930" name="Shape 930"/>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56" type="#_x0000_t202" style="position:absolute;margin-left:525.04999999999995pt;margin-top:784.10000000000002pt;width:12.5pt;height:6.25pt;z-index:-1887432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64" behindDoc="1" locked="0" layoutInCell="1" allowOverlap="1">
              <wp:simplePos x="0" y="0"/>
              <wp:positionH relativeFrom="page">
                <wp:posOffset>6823710</wp:posOffset>
              </wp:positionH>
              <wp:positionV relativeFrom="page">
                <wp:posOffset>10262870</wp:posOffset>
              </wp:positionV>
              <wp:extent cx="694690" cy="295910"/>
              <wp:wrapNone/>
              <wp:docPr id="932" name="Shape 932"/>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958" type="#_x0000_t202" style="position:absolute;margin-left:537.29999999999995pt;margin-top:808.10000000000002pt;width:54.700000000000003pt;height:23.300000000000001pt;z-index:-1887432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6668135</wp:posOffset>
              </wp:positionH>
              <wp:positionV relativeFrom="page">
                <wp:posOffset>9958070</wp:posOffset>
              </wp:positionV>
              <wp:extent cx="158750" cy="79375"/>
              <wp:wrapNone/>
              <wp:docPr id="937" name="Shape 937"/>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63" type="#_x0000_t202" style="position:absolute;margin-left:525.04999999999995pt;margin-top:784.10000000000002pt;width:12.5pt;height:6.25pt;z-index:-1887432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70" behindDoc="1" locked="0" layoutInCell="1" allowOverlap="1">
              <wp:simplePos x="0" y="0"/>
              <wp:positionH relativeFrom="page">
                <wp:posOffset>6823710</wp:posOffset>
              </wp:positionH>
              <wp:positionV relativeFrom="page">
                <wp:posOffset>10262870</wp:posOffset>
              </wp:positionV>
              <wp:extent cx="694690" cy="295910"/>
              <wp:wrapNone/>
              <wp:docPr id="939" name="Shape 93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1965" type="#_x0000_t202" style="position:absolute;margin-left:537.29999999999995pt;margin-top:808.10000000000002pt;width:54.700000000000003pt;height:23.300000000000001pt;z-index:-1887432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6673215</wp:posOffset>
              </wp:positionH>
              <wp:positionV relativeFrom="page">
                <wp:posOffset>9958070</wp:posOffset>
              </wp:positionV>
              <wp:extent cx="158750" cy="79375"/>
              <wp:wrapNone/>
              <wp:docPr id="944" name="Shape 944"/>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70" type="#_x0000_t202" style="position:absolute;margin-left:525.45000000000005pt;margin-top:784.10000000000002pt;width:12.5pt;height:6.25pt;z-index:-1887432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76" behindDoc="1" locked="0" layoutInCell="1" allowOverlap="1">
              <wp:simplePos x="0" y="0"/>
              <wp:positionH relativeFrom="page">
                <wp:posOffset>6901815</wp:posOffset>
              </wp:positionH>
              <wp:positionV relativeFrom="page">
                <wp:posOffset>10262870</wp:posOffset>
              </wp:positionV>
              <wp:extent cx="548640" cy="149225"/>
              <wp:wrapNone/>
              <wp:docPr id="946" name="Shape 94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972" type="#_x0000_t202" style="position:absolute;margin-left:543.45000000000005pt;margin-top:808.10000000000002pt;width:43.200000000000003pt;height:11.75pt;z-index:-1887432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478" behindDoc="1" locked="0" layoutInCell="1" allowOverlap="1">
              <wp:simplePos x="0" y="0"/>
              <wp:positionH relativeFrom="page">
                <wp:posOffset>6828790</wp:posOffset>
              </wp:positionH>
              <wp:positionV relativeFrom="page">
                <wp:posOffset>10497820</wp:posOffset>
              </wp:positionV>
              <wp:extent cx="694690" cy="60960"/>
              <wp:wrapNone/>
              <wp:docPr id="948" name="Shape 9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74" type="#_x0000_t202" style="position:absolute;margin-left:537.70000000000005pt;margin-top:826.60000000000002pt;width:54.700000000000003pt;height:4.7999999999999998pt;z-index:-1887432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6697345</wp:posOffset>
              </wp:positionH>
              <wp:positionV relativeFrom="page">
                <wp:posOffset>10002520</wp:posOffset>
              </wp:positionV>
              <wp:extent cx="152400" cy="79375"/>
              <wp:wrapNone/>
              <wp:docPr id="953" name="Shape 95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79" type="#_x0000_t202" style="position:absolute;margin-left:527.35000000000002pt;margin-top:787.60000000000002pt;width:12.pt;height:6.25pt;z-index:-1887432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84" behindDoc="1" locked="0" layoutInCell="1" allowOverlap="1">
              <wp:simplePos x="0" y="0"/>
              <wp:positionH relativeFrom="page">
                <wp:posOffset>6920230</wp:posOffset>
              </wp:positionH>
              <wp:positionV relativeFrom="page">
                <wp:posOffset>10304145</wp:posOffset>
              </wp:positionV>
              <wp:extent cx="548640" cy="219710"/>
              <wp:wrapNone/>
              <wp:docPr id="955" name="Shape 95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81" type="#_x0000_t202" style="position:absolute;margin-left:544.89999999999998pt;margin-top:811.35000000000002pt;width:43.200000000000003pt;height:17.300000000000001pt;z-index:-1887432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86" behindDoc="1" locked="0" layoutInCell="1" allowOverlap="1">
              <wp:simplePos x="0" y="0"/>
              <wp:positionH relativeFrom="page">
                <wp:posOffset>6847205</wp:posOffset>
              </wp:positionH>
              <wp:positionV relativeFrom="page">
                <wp:posOffset>10541635</wp:posOffset>
              </wp:positionV>
              <wp:extent cx="694690" cy="60960"/>
              <wp:wrapNone/>
              <wp:docPr id="957" name="Shape 95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83" type="#_x0000_t202" style="position:absolute;margin-left:539.14999999999998pt;margin-top:830.05000000000007pt;width:54.700000000000003pt;height:4.7999999999999998pt;z-index:-1887432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6671945</wp:posOffset>
              </wp:positionH>
              <wp:positionV relativeFrom="page">
                <wp:posOffset>9958070</wp:posOffset>
              </wp:positionV>
              <wp:extent cx="158750" cy="79375"/>
              <wp:wrapNone/>
              <wp:docPr id="962" name="Shape 962"/>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88" type="#_x0000_t202" style="position:absolute;margin-left:525.35000000000002pt;margin-top:784.10000000000002pt;width:12.5pt;height:6.25pt;z-index:-1887432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92" behindDoc="1" locked="0" layoutInCell="1" allowOverlap="1">
              <wp:simplePos x="0" y="0"/>
              <wp:positionH relativeFrom="page">
                <wp:posOffset>6900545</wp:posOffset>
              </wp:positionH>
              <wp:positionV relativeFrom="page">
                <wp:posOffset>10262870</wp:posOffset>
              </wp:positionV>
              <wp:extent cx="548640" cy="216535"/>
              <wp:wrapNone/>
              <wp:docPr id="964" name="Shape 964"/>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90" type="#_x0000_t202" style="position:absolute;margin-left:543.35000000000002pt;margin-top:808.10000000000002pt;width:43.200000000000003pt;height:17.050000000000001pt;z-index:-1887432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494" behindDoc="1" locked="0" layoutInCell="1" allowOverlap="1">
              <wp:simplePos x="0" y="0"/>
              <wp:positionH relativeFrom="page">
                <wp:posOffset>6827520</wp:posOffset>
              </wp:positionH>
              <wp:positionV relativeFrom="page">
                <wp:posOffset>10497820</wp:posOffset>
              </wp:positionV>
              <wp:extent cx="694690" cy="60960"/>
              <wp:wrapNone/>
              <wp:docPr id="966" name="Shape 96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992" type="#_x0000_t202" style="position:absolute;margin-left:537.60000000000002pt;margin-top:826.60000000000002pt;width:54.700000000000003pt;height:4.7999999999999998pt;z-index:-1887432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6671945</wp:posOffset>
              </wp:positionH>
              <wp:positionV relativeFrom="page">
                <wp:posOffset>9958070</wp:posOffset>
              </wp:positionV>
              <wp:extent cx="158750" cy="79375"/>
              <wp:wrapNone/>
              <wp:docPr id="971" name="Shape 971"/>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97" type="#_x0000_t202" style="position:absolute;margin-left:525.35000000000002pt;margin-top:784.10000000000002pt;width:12.5pt;height:6.25pt;z-index:-1887432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00" behindDoc="1" locked="0" layoutInCell="1" allowOverlap="1">
              <wp:simplePos x="0" y="0"/>
              <wp:positionH relativeFrom="page">
                <wp:posOffset>6900545</wp:posOffset>
              </wp:positionH>
              <wp:positionV relativeFrom="page">
                <wp:posOffset>10262870</wp:posOffset>
              </wp:positionV>
              <wp:extent cx="548640" cy="216535"/>
              <wp:wrapNone/>
              <wp:docPr id="973" name="Shape 973"/>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999" type="#_x0000_t202" style="position:absolute;margin-left:543.35000000000002pt;margin-top:808.10000000000002pt;width:43.200000000000003pt;height:17.050000000000001pt;z-index:-1887432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02" behindDoc="1" locked="0" layoutInCell="1" allowOverlap="1">
              <wp:simplePos x="0" y="0"/>
              <wp:positionH relativeFrom="page">
                <wp:posOffset>6827520</wp:posOffset>
              </wp:positionH>
              <wp:positionV relativeFrom="page">
                <wp:posOffset>10497820</wp:posOffset>
              </wp:positionV>
              <wp:extent cx="694690" cy="60960"/>
              <wp:wrapNone/>
              <wp:docPr id="975" name="Shape 97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01" type="#_x0000_t202" style="position:absolute;margin-left:537.60000000000002pt;margin-top:826.60000000000002pt;width:54.700000000000003pt;height:4.7999999999999998pt;z-index:-1887432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6671945</wp:posOffset>
              </wp:positionH>
              <wp:positionV relativeFrom="page">
                <wp:posOffset>9958070</wp:posOffset>
              </wp:positionV>
              <wp:extent cx="158750" cy="79375"/>
              <wp:wrapNone/>
              <wp:docPr id="980" name="Shape 980"/>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06" type="#_x0000_t202" style="position:absolute;margin-left:525.35000000000002pt;margin-top:784.10000000000002pt;width:12.5pt;height:6.25pt;z-index:-1887432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08" behindDoc="1" locked="0" layoutInCell="1" allowOverlap="1">
              <wp:simplePos x="0" y="0"/>
              <wp:positionH relativeFrom="page">
                <wp:posOffset>6900545</wp:posOffset>
              </wp:positionH>
              <wp:positionV relativeFrom="page">
                <wp:posOffset>10262870</wp:posOffset>
              </wp:positionV>
              <wp:extent cx="548640" cy="216535"/>
              <wp:wrapNone/>
              <wp:docPr id="982" name="Shape 98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08" type="#_x0000_t202" style="position:absolute;margin-left:543.35000000000002pt;margin-top:808.10000000000002pt;width:43.200000000000003pt;height:17.050000000000001pt;z-index:-1887432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10" behindDoc="1" locked="0" layoutInCell="1" allowOverlap="1">
              <wp:simplePos x="0" y="0"/>
              <wp:positionH relativeFrom="page">
                <wp:posOffset>6827520</wp:posOffset>
              </wp:positionH>
              <wp:positionV relativeFrom="page">
                <wp:posOffset>10497820</wp:posOffset>
              </wp:positionV>
              <wp:extent cx="694690" cy="60960"/>
              <wp:wrapNone/>
              <wp:docPr id="984" name="Shape 98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10" type="#_x0000_t202" style="position:absolute;margin-left:537.60000000000002pt;margin-top:826.60000000000002pt;width:54.700000000000003pt;height:4.7999999999999998pt;z-index:-1887432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6730365</wp:posOffset>
              </wp:positionH>
              <wp:positionV relativeFrom="page">
                <wp:posOffset>9958070</wp:posOffset>
              </wp:positionV>
              <wp:extent cx="100330" cy="79375"/>
              <wp:wrapNone/>
              <wp:docPr id="91" name="Shape 91"/>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17" type="#_x0000_t202" style="position:absolute;margin-left:529.95000000000005pt;margin-top:784.10000000000002pt;width:7.9000000000000004pt;height:6.25pt;z-index:-18874399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6697345</wp:posOffset>
              </wp:positionH>
              <wp:positionV relativeFrom="page">
                <wp:posOffset>10002520</wp:posOffset>
              </wp:positionV>
              <wp:extent cx="152400" cy="79375"/>
              <wp:wrapNone/>
              <wp:docPr id="989" name="Shape 98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15" type="#_x0000_t202" style="position:absolute;margin-left:527.35000000000002pt;margin-top:787.60000000000002pt;width:12.pt;height:6.25pt;z-index:-1887432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16" behindDoc="1" locked="0" layoutInCell="1" allowOverlap="1">
              <wp:simplePos x="0" y="0"/>
              <wp:positionH relativeFrom="page">
                <wp:posOffset>6920230</wp:posOffset>
              </wp:positionH>
              <wp:positionV relativeFrom="page">
                <wp:posOffset>10304145</wp:posOffset>
              </wp:positionV>
              <wp:extent cx="548640" cy="219710"/>
              <wp:wrapNone/>
              <wp:docPr id="991" name="Shape 99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17" type="#_x0000_t202" style="position:absolute;margin-left:544.89999999999998pt;margin-top:811.35000000000002pt;width:43.200000000000003pt;height:17.300000000000001pt;z-index:-1887432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18" behindDoc="1" locked="0" layoutInCell="1" allowOverlap="1">
              <wp:simplePos x="0" y="0"/>
              <wp:positionH relativeFrom="page">
                <wp:posOffset>6847205</wp:posOffset>
              </wp:positionH>
              <wp:positionV relativeFrom="page">
                <wp:posOffset>10541635</wp:posOffset>
              </wp:positionV>
              <wp:extent cx="694690" cy="60960"/>
              <wp:wrapNone/>
              <wp:docPr id="993" name="Shape 99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19" type="#_x0000_t202" style="position:absolute;margin-left:539.14999999999998pt;margin-top:830.05000000000007pt;width:54.700000000000003pt;height:4.7999999999999998pt;z-index:-1887432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6697345</wp:posOffset>
              </wp:positionH>
              <wp:positionV relativeFrom="page">
                <wp:posOffset>10002520</wp:posOffset>
              </wp:positionV>
              <wp:extent cx="152400" cy="79375"/>
              <wp:wrapNone/>
              <wp:docPr id="998" name="Shape 99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24" type="#_x0000_t202" style="position:absolute;margin-left:527.35000000000002pt;margin-top:787.60000000000002pt;width:12.pt;height:6.25pt;z-index:-1887432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24" behindDoc="1" locked="0" layoutInCell="1" allowOverlap="1">
              <wp:simplePos x="0" y="0"/>
              <wp:positionH relativeFrom="page">
                <wp:posOffset>6920230</wp:posOffset>
              </wp:positionH>
              <wp:positionV relativeFrom="page">
                <wp:posOffset>10304145</wp:posOffset>
              </wp:positionV>
              <wp:extent cx="548640" cy="219710"/>
              <wp:wrapNone/>
              <wp:docPr id="1000" name="Shape 100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26" type="#_x0000_t202" style="position:absolute;margin-left:544.89999999999998pt;margin-top:811.35000000000002pt;width:43.200000000000003pt;height:17.300000000000001pt;z-index:-1887432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26" behindDoc="1" locked="0" layoutInCell="1" allowOverlap="1">
              <wp:simplePos x="0" y="0"/>
              <wp:positionH relativeFrom="page">
                <wp:posOffset>6847205</wp:posOffset>
              </wp:positionH>
              <wp:positionV relativeFrom="page">
                <wp:posOffset>10541635</wp:posOffset>
              </wp:positionV>
              <wp:extent cx="694690" cy="60960"/>
              <wp:wrapNone/>
              <wp:docPr id="1002" name="Shape 100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28" type="#_x0000_t202" style="position:absolute;margin-left:539.14999999999998pt;margin-top:830.05000000000007pt;width:54.700000000000003pt;height:4.7999999999999998pt;z-index:-1887432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6668135</wp:posOffset>
              </wp:positionH>
              <wp:positionV relativeFrom="page">
                <wp:posOffset>9958070</wp:posOffset>
              </wp:positionV>
              <wp:extent cx="158750" cy="79375"/>
              <wp:wrapNone/>
              <wp:docPr id="1007" name="Shape 1007"/>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33" type="#_x0000_t202" style="position:absolute;margin-left:525.04999999999995pt;margin-top:784.10000000000002pt;width:12.5pt;height:6.25pt;z-index:-1887432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32" behindDoc="1" locked="0" layoutInCell="1" allowOverlap="1">
              <wp:simplePos x="0" y="0"/>
              <wp:positionH relativeFrom="page">
                <wp:posOffset>6823710</wp:posOffset>
              </wp:positionH>
              <wp:positionV relativeFrom="page">
                <wp:posOffset>10262870</wp:posOffset>
              </wp:positionV>
              <wp:extent cx="694690" cy="295910"/>
              <wp:wrapNone/>
              <wp:docPr id="1009" name="Shape 1009"/>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2035" type="#_x0000_t202" style="position:absolute;margin-left:537.29999999999995pt;margin-top:808.10000000000002pt;width:54.700000000000003pt;height:23.300000000000001pt;z-index:-1887432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6724650</wp:posOffset>
              </wp:positionH>
              <wp:positionV relativeFrom="page">
                <wp:posOffset>9958070</wp:posOffset>
              </wp:positionV>
              <wp:extent cx="103505" cy="79375"/>
              <wp:wrapNone/>
              <wp:docPr id="1014" name="Shape 101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40" type="#_x0000_t202" style="position:absolute;margin-left:529.5pt;margin-top:784.10000000000002pt;width:8.1500000000000004pt;height:6.25pt;z-index:-1887432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6724650</wp:posOffset>
              </wp:positionH>
              <wp:positionV relativeFrom="page">
                <wp:posOffset>9958070</wp:posOffset>
              </wp:positionV>
              <wp:extent cx="103505" cy="79375"/>
              <wp:wrapNone/>
              <wp:docPr id="1019" name="Shape 101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45" type="#_x0000_t202" style="position:absolute;margin-left:529.5pt;margin-top:784.10000000000002pt;width:8.1500000000000004pt;height:6.25pt;z-index:-1887432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6674485</wp:posOffset>
              </wp:positionH>
              <wp:positionV relativeFrom="page">
                <wp:posOffset>9958070</wp:posOffset>
              </wp:positionV>
              <wp:extent cx="158750" cy="79375"/>
              <wp:wrapNone/>
              <wp:docPr id="1024" name="Shape 1024"/>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50" type="#_x0000_t202" style="position:absolute;margin-left:525.54999999999995pt;margin-top:784.10000000000002pt;width:12.5pt;height:6.25pt;z-index:-1887432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46" behindDoc="1" locked="0" layoutInCell="1" allowOverlap="1">
              <wp:simplePos x="0" y="0"/>
              <wp:positionH relativeFrom="page">
                <wp:posOffset>6903085</wp:posOffset>
              </wp:positionH>
              <wp:positionV relativeFrom="page">
                <wp:posOffset>10262870</wp:posOffset>
              </wp:positionV>
              <wp:extent cx="548640" cy="149225"/>
              <wp:wrapNone/>
              <wp:docPr id="1026" name="Shape 102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52" type="#_x0000_t202" style="position:absolute;margin-left:543.54999999999995pt;margin-top:808.10000000000002pt;width:43.200000000000003pt;height:11.75pt;z-index:-1887432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48" behindDoc="1" locked="0" layoutInCell="1" allowOverlap="1">
              <wp:simplePos x="0" y="0"/>
              <wp:positionH relativeFrom="page">
                <wp:posOffset>6829425</wp:posOffset>
              </wp:positionH>
              <wp:positionV relativeFrom="page">
                <wp:posOffset>10497820</wp:posOffset>
              </wp:positionV>
              <wp:extent cx="694690" cy="60960"/>
              <wp:wrapNone/>
              <wp:docPr id="1028" name="Shape 10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54" type="#_x0000_t202" style="position:absolute;margin-left:537.75pt;margin-top:826.60000000000002pt;width:54.700000000000003pt;height:4.7999999999999998pt;z-index:-1887432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6674485</wp:posOffset>
              </wp:positionH>
              <wp:positionV relativeFrom="page">
                <wp:posOffset>9958070</wp:posOffset>
              </wp:positionV>
              <wp:extent cx="158750" cy="79375"/>
              <wp:wrapNone/>
              <wp:docPr id="1033" name="Shape 1033"/>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59" type="#_x0000_t202" style="position:absolute;margin-left:525.54999999999995pt;margin-top:784.10000000000002pt;width:12.5pt;height:6.25pt;z-index:-1887432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54" behindDoc="1" locked="0" layoutInCell="1" allowOverlap="1">
              <wp:simplePos x="0" y="0"/>
              <wp:positionH relativeFrom="page">
                <wp:posOffset>6903085</wp:posOffset>
              </wp:positionH>
              <wp:positionV relativeFrom="page">
                <wp:posOffset>10262870</wp:posOffset>
              </wp:positionV>
              <wp:extent cx="548640" cy="149225"/>
              <wp:wrapNone/>
              <wp:docPr id="1035" name="Shape 103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061" type="#_x0000_t202" style="position:absolute;margin-left:543.54999999999995pt;margin-top:808.10000000000002pt;width:43.200000000000003pt;height:11.75pt;z-index:-1887431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56" behindDoc="1" locked="0" layoutInCell="1" allowOverlap="1">
              <wp:simplePos x="0" y="0"/>
              <wp:positionH relativeFrom="page">
                <wp:posOffset>6829425</wp:posOffset>
              </wp:positionH>
              <wp:positionV relativeFrom="page">
                <wp:posOffset>10497820</wp:posOffset>
              </wp:positionV>
              <wp:extent cx="694690" cy="60960"/>
              <wp:wrapNone/>
              <wp:docPr id="1037" name="Shape 103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63" type="#_x0000_t202" style="position:absolute;margin-left:537.75pt;margin-top:826.60000000000002pt;width:54.700000000000003pt;height:4.7999999999999998pt;z-index:-1887431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6668135</wp:posOffset>
              </wp:positionH>
              <wp:positionV relativeFrom="page">
                <wp:posOffset>9958070</wp:posOffset>
              </wp:positionV>
              <wp:extent cx="158750" cy="79375"/>
              <wp:wrapNone/>
              <wp:docPr id="1042" name="Shape 1042"/>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68" type="#_x0000_t202" style="position:absolute;margin-left:525.04999999999995pt;margin-top:784.10000000000002pt;width:12.5pt;height:6.25pt;z-index:-1887431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62" behindDoc="1" locked="0" layoutInCell="1" allowOverlap="1">
              <wp:simplePos x="0" y="0"/>
              <wp:positionH relativeFrom="page">
                <wp:posOffset>6823710</wp:posOffset>
              </wp:positionH>
              <wp:positionV relativeFrom="page">
                <wp:posOffset>10262870</wp:posOffset>
              </wp:positionV>
              <wp:extent cx="694690" cy="295910"/>
              <wp:wrapNone/>
              <wp:docPr id="1044" name="Shape 1044"/>
              <a:graphic xmlns:a="http://schemas.openxmlformats.org/drawingml/2006/main">
                <a:graphicData uri="http://schemas.microsoft.com/office/word/2010/wordprocessingShape">
                  <wps:wsp>
                    <wps:cNvSpPr txBox="1"/>
                    <wps:spPr>
                      <a:xfrm>
                        <a:ext cx="694690" cy="2959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wps:txbx>
                    <wps:bodyPr wrap="none" lIns="0" tIns="0" rIns="0" bIns="0">
                      <a:spAutoFit/>
                    </wps:bodyPr>
                  </wps:wsp>
                </a:graphicData>
              </a:graphic>
            </wp:anchor>
          </w:drawing>
        </mc:Choice>
        <mc:Fallback>
          <w:pict>
            <v:shape id="_x0000_s2070" type="#_x0000_t202" style="position:absolute;margin-left:537.29999999999995pt;margin-top:808.10000000000002pt;width:54.700000000000003pt;height:23.300000000000001pt;z-index:-1887431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A2A2A2"/>
                        <w:spacing w:val="0"/>
                        <w:w w:val="100"/>
                        <w:position w:val="0"/>
                        <w:sz w:val="12"/>
                        <w:szCs w:val="12"/>
                      </w:rPr>
                      <w:t>巨潮遂</w:t>
                    </w:r>
                    <w:r>
                      <w:rPr>
                        <w:rFonts w:ascii="Arial" w:eastAsia="Arial" w:hAnsi="Arial" w:cs="Arial"/>
                        <w:b/>
                        <w:bCs/>
                        <w:color w:val="A2A2A2"/>
                        <w:spacing w:val="0"/>
                        <w:w w:val="100"/>
                        <w:position w:val="0"/>
                        <w:sz w:val="11"/>
                        <w:szCs w:val="11"/>
                      </w:rPr>
                      <w:t>iH</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www.cnlnfo.com.cn</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6674485</wp:posOffset>
              </wp:positionH>
              <wp:positionV relativeFrom="page">
                <wp:posOffset>9958070</wp:posOffset>
              </wp:positionV>
              <wp:extent cx="149225" cy="79375"/>
              <wp:wrapNone/>
              <wp:docPr id="1049" name="Shape 1049"/>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75" type="#_x0000_t202" style="position:absolute;margin-left:525.54999999999995pt;margin-top:784.10000000000002pt;width:11.75pt;height:6.25pt;z-index:-1887431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68" behindDoc="1" locked="0" layoutInCell="1" allowOverlap="1">
              <wp:simplePos x="0" y="0"/>
              <wp:positionH relativeFrom="page">
                <wp:posOffset>6903085</wp:posOffset>
              </wp:positionH>
              <wp:positionV relativeFrom="page">
                <wp:posOffset>10262870</wp:posOffset>
              </wp:positionV>
              <wp:extent cx="548640" cy="216535"/>
              <wp:wrapNone/>
              <wp:docPr id="1051" name="Shape 1051"/>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77" type="#_x0000_t202" style="position:absolute;margin-left:543.54999999999995pt;margin-top:808.10000000000002pt;width:43.200000000000003pt;height:17.050000000000001pt;z-index:-1887431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70" behindDoc="1" locked="0" layoutInCell="1" allowOverlap="1">
              <wp:simplePos x="0" y="0"/>
              <wp:positionH relativeFrom="page">
                <wp:posOffset>6829425</wp:posOffset>
              </wp:positionH>
              <wp:positionV relativeFrom="page">
                <wp:posOffset>10497820</wp:posOffset>
              </wp:positionV>
              <wp:extent cx="694690" cy="60960"/>
              <wp:wrapNone/>
              <wp:docPr id="1053" name="Shape 105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79" type="#_x0000_t202" style="position:absolute;margin-left:537.75pt;margin-top:826.60000000000002pt;width:54.700000000000003pt;height:4.7999999999999998pt;z-index:-1887431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6674485</wp:posOffset>
              </wp:positionH>
              <wp:positionV relativeFrom="page">
                <wp:posOffset>9958070</wp:posOffset>
              </wp:positionV>
              <wp:extent cx="149225" cy="79375"/>
              <wp:wrapNone/>
              <wp:docPr id="1058" name="Shape 105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84" type="#_x0000_t202" style="position:absolute;margin-left:525.54999999999995pt;margin-top:784.10000000000002pt;width:11.75pt;height:6.25pt;z-index:-1887431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76" behindDoc="1" locked="0" layoutInCell="1" allowOverlap="1">
              <wp:simplePos x="0" y="0"/>
              <wp:positionH relativeFrom="page">
                <wp:posOffset>6903085</wp:posOffset>
              </wp:positionH>
              <wp:positionV relativeFrom="page">
                <wp:posOffset>10262870</wp:posOffset>
              </wp:positionV>
              <wp:extent cx="548640" cy="216535"/>
              <wp:wrapNone/>
              <wp:docPr id="1060" name="Shape 1060"/>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086" type="#_x0000_t202" style="position:absolute;margin-left:543.54999999999995pt;margin-top:808.10000000000002pt;width:43.200000000000003pt;height:17.050000000000001pt;z-index:-1887431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578" behindDoc="1" locked="0" layoutInCell="1" allowOverlap="1">
              <wp:simplePos x="0" y="0"/>
              <wp:positionH relativeFrom="page">
                <wp:posOffset>6829425</wp:posOffset>
              </wp:positionH>
              <wp:positionV relativeFrom="page">
                <wp:posOffset>10497820</wp:posOffset>
              </wp:positionV>
              <wp:extent cx="694690" cy="60960"/>
              <wp:wrapNone/>
              <wp:docPr id="1062" name="Shape 106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088" type="#_x0000_t202" style="position:absolute;margin-left:537.75pt;margin-top:826.60000000000002pt;width:54.700000000000003pt;height:4.7999999999999998pt;z-index:-1887431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6730365</wp:posOffset>
              </wp:positionH>
              <wp:positionV relativeFrom="page">
                <wp:posOffset>10059035</wp:posOffset>
              </wp:positionV>
              <wp:extent cx="100330" cy="79375"/>
              <wp:wrapNone/>
              <wp:docPr id="100" name="Shape 10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26" type="#_x0000_t202" style="position:absolute;margin-left:529.95000000000005pt;margin-top:792.05000000000007pt;width:7.9000000000000004pt;height:6.25pt;z-index:-18874398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68" behindDoc="1" locked="0" layoutInCell="1" allowOverlap="1">
              <wp:simplePos x="0" y="0"/>
              <wp:positionH relativeFrom="page">
                <wp:posOffset>6901180</wp:posOffset>
              </wp:positionH>
              <wp:positionV relativeFrom="page">
                <wp:posOffset>10363835</wp:posOffset>
              </wp:positionV>
              <wp:extent cx="548640" cy="149225"/>
              <wp:wrapNone/>
              <wp:docPr id="102" name="Shape 10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28" type="#_x0000_t202" style="position:absolute;margin-left:543.39999999999998pt;margin-top:816.05000000000007pt;width:43.200000000000003pt;height:11.75pt;z-index:-18874398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70" behindDoc="1" locked="0" layoutInCell="1" allowOverlap="1">
              <wp:simplePos x="0" y="0"/>
              <wp:positionH relativeFrom="page">
                <wp:posOffset>6828155</wp:posOffset>
              </wp:positionH>
              <wp:positionV relativeFrom="page">
                <wp:posOffset>10598785</wp:posOffset>
              </wp:positionV>
              <wp:extent cx="694690" cy="60960"/>
              <wp:wrapNone/>
              <wp:docPr id="104" name="Shape 10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30" type="#_x0000_t202" style="position:absolute;margin-left:537.64999999999998pt;margin-top:834.55000000000007pt;width:54.700000000000003pt;height:4.7999999999999998pt;z-index:-18874398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6724650</wp:posOffset>
              </wp:positionH>
              <wp:positionV relativeFrom="page">
                <wp:posOffset>9958070</wp:posOffset>
              </wp:positionV>
              <wp:extent cx="103505" cy="79375"/>
              <wp:wrapNone/>
              <wp:docPr id="1067" name="Shape 106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93" type="#_x0000_t202" style="position:absolute;margin-left:529.5pt;margin-top:784.10000000000002pt;width:8.1500000000000004pt;height:6.25pt;z-index:-1887431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6724650</wp:posOffset>
              </wp:positionH>
              <wp:positionV relativeFrom="page">
                <wp:posOffset>9958070</wp:posOffset>
              </wp:positionV>
              <wp:extent cx="103505" cy="79375"/>
              <wp:wrapNone/>
              <wp:docPr id="1072" name="Shape 107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98" type="#_x0000_t202" style="position:absolute;margin-left:529.5pt;margin-top:784.10000000000002pt;width:8.1500000000000004pt;height:6.25pt;z-index:-1887431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0" behindDoc="1" locked="0" layoutInCell="1" allowOverlap="1">
              <wp:simplePos x="0" y="0"/>
              <wp:positionH relativeFrom="page">
                <wp:posOffset>6674485</wp:posOffset>
              </wp:positionH>
              <wp:positionV relativeFrom="page">
                <wp:posOffset>9958070</wp:posOffset>
              </wp:positionV>
              <wp:extent cx="158750" cy="79375"/>
              <wp:wrapNone/>
              <wp:docPr id="1077" name="Shape 1077"/>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03" type="#_x0000_t202" style="position:absolute;margin-left:525.54999999999995pt;margin-top:784.10000000000002pt;width:12.5pt;height:6.25pt;z-index:-1887431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592" behindDoc="1" locked="0" layoutInCell="1" allowOverlap="1">
              <wp:simplePos x="0" y="0"/>
              <wp:positionH relativeFrom="page">
                <wp:posOffset>6903085</wp:posOffset>
              </wp:positionH>
              <wp:positionV relativeFrom="page">
                <wp:posOffset>10262870</wp:posOffset>
              </wp:positionV>
              <wp:extent cx="548640" cy="149225"/>
              <wp:wrapNone/>
              <wp:docPr id="1079" name="Shape 107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05" type="#_x0000_t202" style="position:absolute;margin-left:543.54999999999995pt;margin-top:808.10000000000002pt;width:43.200000000000003pt;height:11.75pt;z-index:-1887431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594" behindDoc="1" locked="0" layoutInCell="1" allowOverlap="1">
              <wp:simplePos x="0" y="0"/>
              <wp:positionH relativeFrom="page">
                <wp:posOffset>6829425</wp:posOffset>
              </wp:positionH>
              <wp:positionV relativeFrom="page">
                <wp:posOffset>10497820</wp:posOffset>
              </wp:positionV>
              <wp:extent cx="694690" cy="60960"/>
              <wp:wrapNone/>
              <wp:docPr id="1081" name="Shape 108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07" type="#_x0000_t202" style="position:absolute;margin-left:537.75pt;margin-top:826.60000000000002pt;width:54.700000000000003pt;height:4.7999999999999998pt;z-index:-1887431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6674485</wp:posOffset>
              </wp:positionH>
              <wp:positionV relativeFrom="page">
                <wp:posOffset>9958070</wp:posOffset>
              </wp:positionV>
              <wp:extent cx="158750" cy="79375"/>
              <wp:wrapNone/>
              <wp:docPr id="1086" name="Shape 1086"/>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12" type="#_x0000_t202" style="position:absolute;margin-left:525.54999999999995pt;margin-top:784.10000000000002pt;width:12.5pt;height:6.25pt;z-index:-1887431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00" behindDoc="1" locked="0" layoutInCell="1" allowOverlap="1">
              <wp:simplePos x="0" y="0"/>
              <wp:positionH relativeFrom="page">
                <wp:posOffset>6903085</wp:posOffset>
              </wp:positionH>
              <wp:positionV relativeFrom="page">
                <wp:posOffset>10262870</wp:posOffset>
              </wp:positionV>
              <wp:extent cx="548640" cy="149225"/>
              <wp:wrapNone/>
              <wp:docPr id="1088" name="Shape 108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14" type="#_x0000_t202" style="position:absolute;margin-left:543.54999999999995pt;margin-top:808.10000000000002pt;width:43.200000000000003pt;height:11.75pt;z-index:-1887431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02" behindDoc="1" locked="0" layoutInCell="1" allowOverlap="1">
              <wp:simplePos x="0" y="0"/>
              <wp:positionH relativeFrom="page">
                <wp:posOffset>6829425</wp:posOffset>
              </wp:positionH>
              <wp:positionV relativeFrom="page">
                <wp:posOffset>10497820</wp:posOffset>
              </wp:positionV>
              <wp:extent cx="694690" cy="60960"/>
              <wp:wrapNone/>
              <wp:docPr id="1090" name="Shape 109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16" type="#_x0000_t202" style="position:absolute;margin-left:537.75pt;margin-top:826.60000000000002pt;width:54.700000000000003pt;height:4.7999999999999998pt;z-index:-1887431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6" behindDoc="1" locked="0" layoutInCell="1" allowOverlap="1">
              <wp:simplePos x="0" y="0"/>
              <wp:positionH relativeFrom="page">
                <wp:posOffset>6330315</wp:posOffset>
              </wp:positionH>
              <wp:positionV relativeFrom="page">
                <wp:posOffset>9958070</wp:posOffset>
              </wp:positionV>
              <wp:extent cx="161290" cy="79375"/>
              <wp:wrapNone/>
              <wp:docPr id="1095" name="Shape 1095"/>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21" type="#_x0000_t202" style="position:absolute;margin-left:498.44999999999999pt;margin-top:784.10000000000002pt;width:12.700000000000001pt;height:6.25pt;z-index:-1887431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08" behindDoc="1" locked="0" layoutInCell="1" allowOverlap="1">
              <wp:simplePos x="0" y="0"/>
              <wp:positionH relativeFrom="page">
                <wp:posOffset>6558915</wp:posOffset>
              </wp:positionH>
              <wp:positionV relativeFrom="page">
                <wp:posOffset>10260330</wp:posOffset>
              </wp:positionV>
              <wp:extent cx="548640" cy="219710"/>
              <wp:wrapNone/>
              <wp:docPr id="1097" name="Shape 109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23" type="#_x0000_t202" style="position:absolute;margin-left:516.45000000000005pt;margin-top:807.89999999999998pt;width:43.200000000000003pt;height:17.300000000000001pt;z-index:-1887431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10" behindDoc="1" locked="0" layoutInCell="1" allowOverlap="1">
              <wp:simplePos x="0" y="0"/>
              <wp:positionH relativeFrom="page">
                <wp:posOffset>6485890</wp:posOffset>
              </wp:positionH>
              <wp:positionV relativeFrom="page">
                <wp:posOffset>10497820</wp:posOffset>
              </wp:positionV>
              <wp:extent cx="694690" cy="60960"/>
              <wp:wrapNone/>
              <wp:docPr id="1099" name="Shape 109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25" type="#_x0000_t202" style="position:absolute;margin-left:510.69999999999999pt;margin-top:826.60000000000002pt;width:54.700000000000003pt;height:4.7999999999999998pt;z-index:-1887431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4" behindDoc="1" locked="0" layoutInCell="1" allowOverlap="1">
              <wp:simplePos x="0" y="0"/>
              <wp:positionH relativeFrom="page">
                <wp:posOffset>6330315</wp:posOffset>
              </wp:positionH>
              <wp:positionV relativeFrom="page">
                <wp:posOffset>9958070</wp:posOffset>
              </wp:positionV>
              <wp:extent cx="161290" cy="79375"/>
              <wp:wrapNone/>
              <wp:docPr id="1104" name="Shape 1104"/>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30" type="#_x0000_t202" style="position:absolute;margin-left:498.44999999999999pt;margin-top:784.10000000000002pt;width:12.700000000000001pt;height:6.25pt;z-index:-1887431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16" behindDoc="1" locked="0" layoutInCell="1" allowOverlap="1">
              <wp:simplePos x="0" y="0"/>
              <wp:positionH relativeFrom="page">
                <wp:posOffset>6558915</wp:posOffset>
              </wp:positionH>
              <wp:positionV relativeFrom="page">
                <wp:posOffset>10260330</wp:posOffset>
              </wp:positionV>
              <wp:extent cx="548640" cy="219710"/>
              <wp:wrapNone/>
              <wp:docPr id="1106" name="Shape 110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32" type="#_x0000_t202" style="position:absolute;margin-left:516.45000000000005pt;margin-top:807.89999999999998pt;width:43.200000000000003pt;height:17.300000000000001pt;z-index:-1887431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18" behindDoc="1" locked="0" layoutInCell="1" allowOverlap="1">
              <wp:simplePos x="0" y="0"/>
              <wp:positionH relativeFrom="page">
                <wp:posOffset>6485890</wp:posOffset>
              </wp:positionH>
              <wp:positionV relativeFrom="page">
                <wp:posOffset>10497820</wp:posOffset>
              </wp:positionV>
              <wp:extent cx="694690" cy="60960"/>
              <wp:wrapNone/>
              <wp:docPr id="1108" name="Shape 110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34" type="#_x0000_t202" style="position:absolute;margin-left:510.69999999999999pt;margin-top:826.60000000000002pt;width:54.700000000000003pt;height:4.7999999999999998pt;z-index:-1887431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2" behindDoc="1" locked="0" layoutInCell="1" allowOverlap="1">
              <wp:simplePos x="0" y="0"/>
              <wp:positionH relativeFrom="page">
                <wp:posOffset>6330315</wp:posOffset>
              </wp:positionH>
              <wp:positionV relativeFrom="page">
                <wp:posOffset>9958070</wp:posOffset>
              </wp:positionV>
              <wp:extent cx="161290" cy="79375"/>
              <wp:wrapNone/>
              <wp:docPr id="1113" name="Shape 1113"/>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39" type="#_x0000_t202" style="position:absolute;margin-left:498.44999999999999pt;margin-top:784.10000000000002pt;width:12.700000000000001pt;height:6.25pt;z-index:-1887431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24" behindDoc="1" locked="0" layoutInCell="1" allowOverlap="1">
              <wp:simplePos x="0" y="0"/>
              <wp:positionH relativeFrom="page">
                <wp:posOffset>6558915</wp:posOffset>
              </wp:positionH>
              <wp:positionV relativeFrom="page">
                <wp:posOffset>10260330</wp:posOffset>
              </wp:positionV>
              <wp:extent cx="548640" cy="219710"/>
              <wp:wrapNone/>
              <wp:docPr id="1115" name="Shape 111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41" type="#_x0000_t202" style="position:absolute;margin-left:516.45000000000005pt;margin-top:807.89999999999998pt;width:43.200000000000003pt;height:17.300000000000001pt;z-index:-1887431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26" behindDoc="1" locked="0" layoutInCell="1" allowOverlap="1">
              <wp:simplePos x="0" y="0"/>
              <wp:positionH relativeFrom="page">
                <wp:posOffset>6485890</wp:posOffset>
              </wp:positionH>
              <wp:positionV relativeFrom="page">
                <wp:posOffset>10497820</wp:posOffset>
              </wp:positionV>
              <wp:extent cx="694690" cy="60960"/>
              <wp:wrapNone/>
              <wp:docPr id="1117" name="Shape 111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43" type="#_x0000_t202" style="position:absolute;margin-left:510.69999999999999pt;margin-top:826.60000000000002pt;width:54.700000000000003pt;height:4.7999999999999998pt;z-index:-1887431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0" behindDoc="1" locked="0" layoutInCell="1" allowOverlap="1">
              <wp:simplePos x="0" y="0"/>
              <wp:positionH relativeFrom="page">
                <wp:posOffset>6330315</wp:posOffset>
              </wp:positionH>
              <wp:positionV relativeFrom="page">
                <wp:posOffset>9958070</wp:posOffset>
              </wp:positionV>
              <wp:extent cx="161290" cy="79375"/>
              <wp:wrapNone/>
              <wp:docPr id="1122" name="Shape 1122"/>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48" type="#_x0000_t202" style="position:absolute;margin-left:498.44999999999999pt;margin-top:784.10000000000002pt;width:12.700000000000001pt;height:6.25pt;z-index:-1887431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32" behindDoc="1" locked="0" layoutInCell="1" allowOverlap="1">
              <wp:simplePos x="0" y="0"/>
              <wp:positionH relativeFrom="page">
                <wp:posOffset>6558915</wp:posOffset>
              </wp:positionH>
              <wp:positionV relativeFrom="page">
                <wp:posOffset>10260330</wp:posOffset>
              </wp:positionV>
              <wp:extent cx="548640" cy="219710"/>
              <wp:wrapNone/>
              <wp:docPr id="1124" name="Shape 112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150" type="#_x0000_t202" style="position:absolute;margin-left:516.45000000000005pt;margin-top:807.89999999999998pt;width:43.200000000000003pt;height:17.300000000000001pt;z-index:-1887431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634" behindDoc="1" locked="0" layoutInCell="1" allowOverlap="1">
              <wp:simplePos x="0" y="0"/>
              <wp:positionH relativeFrom="page">
                <wp:posOffset>6485890</wp:posOffset>
              </wp:positionH>
              <wp:positionV relativeFrom="page">
                <wp:posOffset>10497820</wp:posOffset>
              </wp:positionV>
              <wp:extent cx="694690" cy="60960"/>
              <wp:wrapNone/>
              <wp:docPr id="1126" name="Shape 112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52" type="#_x0000_t202" style="position:absolute;margin-left:510.69999999999999pt;margin-top:826.60000000000002pt;width:54.700000000000003pt;height:4.7999999999999998pt;z-index:-1887431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8" behindDoc="1" locked="0" layoutInCell="1" allowOverlap="1">
              <wp:simplePos x="0" y="0"/>
              <wp:positionH relativeFrom="page">
                <wp:posOffset>6674485</wp:posOffset>
              </wp:positionH>
              <wp:positionV relativeFrom="page">
                <wp:posOffset>9958070</wp:posOffset>
              </wp:positionV>
              <wp:extent cx="158750" cy="79375"/>
              <wp:wrapNone/>
              <wp:docPr id="1131" name="Shape 1131"/>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57" type="#_x0000_t202" style="position:absolute;margin-left:525.54999999999995pt;margin-top:784.10000000000002pt;width:12.5pt;height:6.25pt;z-index:-1887431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40" behindDoc="1" locked="0" layoutInCell="1" allowOverlap="1">
              <wp:simplePos x="0" y="0"/>
              <wp:positionH relativeFrom="page">
                <wp:posOffset>6903085</wp:posOffset>
              </wp:positionH>
              <wp:positionV relativeFrom="page">
                <wp:posOffset>10262870</wp:posOffset>
              </wp:positionV>
              <wp:extent cx="548640" cy="149225"/>
              <wp:wrapNone/>
              <wp:docPr id="1133" name="Shape 113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59" type="#_x0000_t202" style="position:absolute;margin-left:543.54999999999995pt;margin-top:808.10000000000002pt;width:43.200000000000003pt;height:11.75pt;z-index:-1887431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42" behindDoc="1" locked="0" layoutInCell="1" allowOverlap="1">
              <wp:simplePos x="0" y="0"/>
              <wp:positionH relativeFrom="page">
                <wp:posOffset>6829425</wp:posOffset>
              </wp:positionH>
              <wp:positionV relativeFrom="page">
                <wp:posOffset>10497820</wp:posOffset>
              </wp:positionV>
              <wp:extent cx="694690" cy="60960"/>
              <wp:wrapNone/>
              <wp:docPr id="1135" name="Shape 11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61" type="#_x0000_t202" style="position:absolute;margin-left:537.75pt;margin-top:826.60000000000002pt;width:54.700000000000003pt;height:4.7999999999999998pt;z-index:-1887431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6" behindDoc="1" locked="0" layoutInCell="1" allowOverlap="1">
              <wp:simplePos x="0" y="0"/>
              <wp:positionH relativeFrom="page">
                <wp:posOffset>6674485</wp:posOffset>
              </wp:positionH>
              <wp:positionV relativeFrom="page">
                <wp:posOffset>9958070</wp:posOffset>
              </wp:positionV>
              <wp:extent cx="158750" cy="79375"/>
              <wp:wrapNone/>
              <wp:docPr id="1140" name="Shape 1140"/>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66" type="#_x0000_t202" style="position:absolute;margin-left:525.54999999999995pt;margin-top:784.10000000000002pt;width:12.5pt;height:6.25pt;z-index:-1887431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48" behindDoc="1" locked="0" layoutInCell="1" allowOverlap="1">
              <wp:simplePos x="0" y="0"/>
              <wp:positionH relativeFrom="page">
                <wp:posOffset>6903085</wp:posOffset>
              </wp:positionH>
              <wp:positionV relativeFrom="page">
                <wp:posOffset>10262870</wp:posOffset>
              </wp:positionV>
              <wp:extent cx="548640" cy="149225"/>
              <wp:wrapNone/>
              <wp:docPr id="1142" name="Shape 114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68" type="#_x0000_t202" style="position:absolute;margin-left:543.54999999999995pt;margin-top:808.10000000000002pt;width:43.200000000000003pt;height:11.75pt;z-index:-1887431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50" behindDoc="1" locked="0" layoutInCell="1" allowOverlap="1">
              <wp:simplePos x="0" y="0"/>
              <wp:positionH relativeFrom="page">
                <wp:posOffset>6829425</wp:posOffset>
              </wp:positionH>
              <wp:positionV relativeFrom="page">
                <wp:posOffset>10497820</wp:posOffset>
              </wp:positionV>
              <wp:extent cx="694690" cy="60960"/>
              <wp:wrapNone/>
              <wp:docPr id="1144" name="Shape 114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70" type="#_x0000_t202" style="position:absolute;margin-left:537.75pt;margin-top:826.60000000000002pt;width:54.700000000000003pt;height:4.7999999999999998pt;z-index:-1887431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6713855</wp:posOffset>
              </wp:positionH>
              <wp:positionV relativeFrom="page">
                <wp:posOffset>9958070</wp:posOffset>
              </wp:positionV>
              <wp:extent cx="100330" cy="79375"/>
              <wp:wrapNone/>
              <wp:docPr id="109" name="Shape 10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35" type="#_x0000_t202" style="position:absolute;margin-left:528.64999999999998pt;margin-top:784.10000000000002pt;width:7.9000000000000004pt;height:6.25pt;z-index:-1887439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6" behindDoc="1" locked="0" layoutInCell="1" allowOverlap="1">
              <wp:simplePos x="0" y="0"/>
              <wp:positionH relativeFrom="page">
                <wp:posOffset>6884670</wp:posOffset>
              </wp:positionH>
              <wp:positionV relativeFrom="page">
                <wp:posOffset>10262870</wp:posOffset>
              </wp:positionV>
              <wp:extent cx="548640" cy="216535"/>
              <wp:wrapNone/>
              <wp:docPr id="111" name="Shape 111"/>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137" type="#_x0000_t202" style="position:absolute;margin-left:542.10000000000002pt;margin-top:808.10000000000002pt;width:43.200000000000003pt;height:17.050000000000001pt;z-index:-18874397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778" behindDoc="1" locked="0" layoutInCell="1" allowOverlap="1">
              <wp:simplePos x="0" y="0"/>
              <wp:positionH relativeFrom="page">
                <wp:posOffset>6811645</wp:posOffset>
              </wp:positionH>
              <wp:positionV relativeFrom="page">
                <wp:posOffset>10497820</wp:posOffset>
              </wp:positionV>
              <wp:extent cx="694690" cy="60960"/>
              <wp:wrapNone/>
              <wp:docPr id="113" name="Shape 11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39" type="#_x0000_t202" style="position:absolute;margin-left:536.35000000000002pt;margin-top:826.60000000000002pt;width:54.700000000000003pt;height:4.7999999999999998pt;z-index:-18874397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4" behindDoc="1" locked="0" layoutInCell="1" allowOverlap="1">
              <wp:simplePos x="0" y="0"/>
              <wp:positionH relativeFrom="page">
                <wp:posOffset>6674485</wp:posOffset>
              </wp:positionH>
              <wp:positionV relativeFrom="page">
                <wp:posOffset>9958070</wp:posOffset>
              </wp:positionV>
              <wp:extent cx="158750" cy="79375"/>
              <wp:wrapNone/>
              <wp:docPr id="1149" name="Shape 1149"/>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75" type="#_x0000_t202" style="position:absolute;margin-left:525.54999999999995pt;margin-top:784.10000000000002pt;width:12.5pt;height:6.25pt;z-index:-1887430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56" behindDoc="1" locked="0" layoutInCell="1" allowOverlap="1">
              <wp:simplePos x="0" y="0"/>
              <wp:positionH relativeFrom="page">
                <wp:posOffset>6903085</wp:posOffset>
              </wp:positionH>
              <wp:positionV relativeFrom="page">
                <wp:posOffset>10262870</wp:posOffset>
              </wp:positionV>
              <wp:extent cx="548640" cy="149225"/>
              <wp:wrapNone/>
              <wp:docPr id="1151" name="Shape 115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77" type="#_x0000_t202" style="position:absolute;margin-left:543.54999999999995pt;margin-top:808.10000000000002pt;width:43.200000000000003pt;height:11.75pt;z-index:-1887430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58" behindDoc="1" locked="0" layoutInCell="1" allowOverlap="1">
              <wp:simplePos x="0" y="0"/>
              <wp:positionH relativeFrom="page">
                <wp:posOffset>6829425</wp:posOffset>
              </wp:positionH>
              <wp:positionV relativeFrom="page">
                <wp:posOffset>10497820</wp:posOffset>
              </wp:positionV>
              <wp:extent cx="694690" cy="60960"/>
              <wp:wrapNone/>
              <wp:docPr id="1153" name="Shape 115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79" type="#_x0000_t202" style="position:absolute;margin-left:537.75pt;margin-top:826.60000000000002pt;width:54.700000000000003pt;height:4.7999999999999998pt;z-index:-1887430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2" behindDoc="1" locked="0" layoutInCell="1" allowOverlap="1">
              <wp:simplePos x="0" y="0"/>
              <wp:positionH relativeFrom="page">
                <wp:posOffset>6724650</wp:posOffset>
              </wp:positionH>
              <wp:positionV relativeFrom="page">
                <wp:posOffset>9958070</wp:posOffset>
              </wp:positionV>
              <wp:extent cx="103505" cy="79375"/>
              <wp:wrapNone/>
              <wp:docPr id="1158" name="Shape 115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84" type="#_x0000_t202" style="position:absolute;margin-left:529.5pt;margin-top:784.10000000000002pt;width:8.1500000000000004pt;height:6.25pt;z-index:-1887430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6" behindDoc="1" locked="0" layoutInCell="1" allowOverlap="1">
              <wp:simplePos x="0" y="0"/>
              <wp:positionH relativeFrom="page">
                <wp:posOffset>6724650</wp:posOffset>
              </wp:positionH>
              <wp:positionV relativeFrom="page">
                <wp:posOffset>9958070</wp:posOffset>
              </wp:positionV>
              <wp:extent cx="103505" cy="79375"/>
              <wp:wrapNone/>
              <wp:docPr id="1163" name="Shape 116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89" type="#_x0000_t202" style="position:absolute;margin-left:529.5pt;margin-top:784.10000000000002pt;width:8.1500000000000004pt;height:6.25pt;z-index:-1887430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0" behindDoc="1" locked="0" layoutInCell="1" allowOverlap="1">
              <wp:simplePos x="0" y="0"/>
              <wp:positionH relativeFrom="page">
                <wp:posOffset>6674485</wp:posOffset>
              </wp:positionH>
              <wp:positionV relativeFrom="page">
                <wp:posOffset>9958070</wp:posOffset>
              </wp:positionV>
              <wp:extent cx="158750" cy="79375"/>
              <wp:wrapNone/>
              <wp:docPr id="1169" name="Shape 1169"/>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95" type="#_x0000_t202" style="position:absolute;margin-left:525.54999999999995pt;margin-top:784.10000000000002pt;width:12.5pt;height:6.25pt;z-index:-1887430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72" behindDoc="1" locked="0" layoutInCell="1" allowOverlap="1">
              <wp:simplePos x="0" y="0"/>
              <wp:positionH relativeFrom="page">
                <wp:posOffset>6903085</wp:posOffset>
              </wp:positionH>
              <wp:positionV relativeFrom="page">
                <wp:posOffset>10262870</wp:posOffset>
              </wp:positionV>
              <wp:extent cx="548640" cy="149225"/>
              <wp:wrapNone/>
              <wp:docPr id="1171" name="Shape 117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197" type="#_x0000_t202" style="position:absolute;margin-left:543.54999999999995pt;margin-top:808.10000000000002pt;width:43.200000000000003pt;height:11.75pt;z-index:-1887430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74" behindDoc="1" locked="0" layoutInCell="1" allowOverlap="1">
              <wp:simplePos x="0" y="0"/>
              <wp:positionH relativeFrom="page">
                <wp:posOffset>6829425</wp:posOffset>
              </wp:positionH>
              <wp:positionV relativeFrom="page">
                <wp:posOffset>10497820</wp:posOffset>
              </wp:positionV>
              <wp:extent cx="694690" cy="60960"/>
              <wp:wrapNone/>
              <wp:docPr id="1173" name="Shape 117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199" type="#_x0000_t202" style="position:absolute;margin-left:537.75pt;margin-top:826.60000000000002pt;width:54.700000000000003pt;height:4.7999999999999998pt;z-index:-1887430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8" behindDoc="1" locked="0" layoutInCell="1" allowOverlap="1">
              <wp:simplePos x="0" y="0"/>
              <wp:positionH relativeFrom="page">
                <wp:posOffset>6674485</wp:posOffset>
              </wp:positionH>
              <wp:positionV relativeFrom="page">
                <wp:posOffset>9958070</wp:posOffset>
              </wp:positionV>
              <wp:extent cx="158750" cy="79375"/>
              <wp:wrapNone/>
              <wp:docPr id="1178" name="Shape 1178"/>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04" type="#_x0000_t202" style="position:absolute;margin-left:525.54999999999995pt;margin-top:784.10000000000002pt;width:12.5pt;height:6.25pt;z-index:-1887430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80" behindDoc="1" locked="0" layoutInCell="1" allowOverlap="1">
              <wp:simplePos x="0" y="0"/>
              <wp:positionH relativeFrom="page">
                <wp:posOffset>6903085</wp:posOffset>
              </wp:positionH>
              <wp:positionV relativeFrom="page">
                <wp:posOffset>10262870</wp:posOffset>
              </wp:positionV>
              <wp:extent cx="548640" cy="149225"/>
              <wp:wrapNone/>
              <wp:docPr id="1180" name="Shape 118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06" type="#_x0000_t202" style="position:absolute;margin-left:543.54999999999995pt;margin-top:808.10000000000002pt;width:43.200000000000003pt;height:11.75pt;z-index:-1887430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82" behindDoc="1" locked="0" layoutInCell="1" allowOverlap="1">
              <wp:simplePos x="0" y="0"/>
              <wp:positionH relativeFrom="page">
                <wp:posOffset>6829425</wp:posOffset>
              </wp:positionH>
              <wp:positionV relativeFrom="page">
                <wp:posOffset>10497820</wp:posOffset>
              </wp:positionV>
              <wp:extent cx="694690" cy="60960"/>
              <wp:wrapNone/>
              <wp:docPr id="1182" name="Shape 118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08" type="#_x0000_t202" style="position:absolute;margin-left:537.75pt;margin-top:826.60000000000002pt;width:54.700000000000003pt;height:4.7999999999999998pt;z-index:-1887430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6" behindDoc="1" locked="0" layoutInCell="1" allowOverlap="1">
              <wp:simplePos x="0" y="0"/>
              <wp:positionH relativeFrom="page">
                <wp:posOffset>6674485</wp:posOffset>
              </wp:positionH>
              <wp:positionV relativeFrom="page">
                <wp:posOffset>9958070</wp:posOffset>
              </wp:positionV>
              <wp:extent cx="158750" cy="79375"/>
              <wp:wrapNone/>
              <wp:docPr id="1187" name="Shape 1187"/>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13" type="#_x0000_t202" style="position:absolute;margin-left:525.54999999999995pt;margin-top:784.10000000000002pt;width:12.5pt;height:6.25pt;z-index:-1887430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88" behindDoc="1" locked="0" layoutInCell="1" allowOverlap="1">
              <wp:simplePos x="0" y="0"/>
              <wp:positionH relativeFrom="page">
                <wp:posOffset>6903085</wp:posOffset>
              </wp:positionH>
              <wp:positionV relativeFrom="page">
                <wp:posOffset>10262870</wp:posOffset>
              </wp:positionV>
              <wp:extent cx="548640" cy="149225"/>
              <wp:wrapNone/>
              <wp:docPr id="1189" name="Shape 118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15" type="#_x0000_t202" style="position:absolute;margin-left:543.54999999999995pt;margin-top:808.10000000000002pt;width:43.200000000000003pt;height:11.75pt;z-index:-1887430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90" behindDoc="1" locked="0" layoutInCell="1" allowOverlap="1">
              <wp:simplePos x="0" y="0"/>
              <wp:positionH relativeFrom="page">
                <wp:posOffset>6829425</wp:posOffset>
              </wp:positionH>
              <wp:positionV relativeFrom="page">
                <wp:posOffset>10497820</wp:posOffset>
              </wp:positionV>
              <wp:extent cx="694690" cy="60960"/>
              <wp:wrapNone/>
              <wp:docPr id="1191" name="Shape 119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17" type="#_x0000_t202" style="position:absolute;margin-left:537.75pt;margin-top:826.60000000000002pt;width:54.700000000000003pt;height:4.7999999999999998pt;z-index:-1887430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4" behindDoc="1" locked="0" layoutInCell="1" allowOverlap="1">
              <wp:simplePos x="0" y="0"/>
              <wp:positionH relativeFrom="page">
                <wp:posOffset>6674485</wp:posOffset>
              </wp:positionH>
              <wp:positionV relativeFrom="page">
                <wp:posOffset>9958070</wp:posOffset>
              </wp:positionV>
              <wp:extent cx="158750" cy="79375"/>
              <wp:wrapNone/>
              <wp:docPr id="1196" name="Shape 1196"/>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22" type="#_x0000_t202" style="position:absolute;margin-left:525.54999999999995pt;margin-top:784.10000000000002pt;width:12.5pt;height:6.25pt;z-index:-1887430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696" behindDoc="1" locked="0" layoutInCell="1" allowOverlap="1">
              <wp:simplePos x="0" y="0"/>
              <wp:positionH relativeFrom="page">
                <wp:posOffset>6903085</wp:posOffset>
              </wp:positionH>
              <wp:positionV relativeFrom="page">
                <wp:posOffset>10262870</wp:posOffset>
              </wp:positionV>
              <wp:extent cx="548640" cy="149225"/>
              <wp:wrapNone/>
              <wp:docPr id="1198" name="Shape 119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24" type="#_x0000_t202" style="position:absolute;margin-left:543.54999999999995pt;margin-top:808.10000000000002pt;width:43.200000000000003pt;height:11.75pt;z-index:-1887430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698" behindDoc="1" locked="0" layoutInCell="1" allowOverlap="1">
              <wp:simplePos x="0" y="0"/>
              <wp:positionH relativeFrom="page">
                <wp:posOffset>6829425</wp:posOffset>
              </wp:positionH>
              <wp:positionV relativeFrom="page">
                <wp:posOffset>10497820</wp:posOffset>
              </wp:positionV>
              <wp:extent cx="694690" cy="60960"/>
              <wp:wrapNone/>
              <wp:docPr id="1200" name="Shape 120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26" type="#_x0000_t202" style="position:absolute;margin-left:537.75pt;margin-top:826.60000000000002pt;width:54.700000000000003pt;height:4.7999999999999998pt;z-index:-1887430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2" behindDoc="1" locked="0" layoutInCell="1" allowOverlap="1">
              <wp:simplePos x="0" y="0"/>
              <wp:positionH relativeFrom="page">
                <wp:posOffset>6692265</wp:posOffset>
              </wp:positionH>
              <wp:positionV relativeFrom="page">
                <wp:posOffset>9958070</wp:posOffset>
              </wp:positionV>
              <wp:extent cx="149225" cy="79375"/>
              <wp:wrapNone/>
              <wp:docPr id="1205" name="Shape 1205"/>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31" type="#_x0000_t202" style="position:absolute;margin-left:526.95000000000005pt;margin-top:784.10000000000002pt;width:11.75pt;height:6.25pt;z-index:-1887430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04" behindDoc="1" locked="0" layoutInCell="1" allowOverlap="1">
              <wp:simplePos x="0" y="0"/>
              <wp:positionH relativeFrom="page">
                <wp:posOffset>6920865</wp:posOffset>
              </wp:positionH>
              <wp:positionV relativeFrom="page">
                <wp:posOffset>10260330</wp:posOffset>
              </wp:positionV>
              <wp:extent cx="548640" cy="219710"/>
              <wp:wrapNone/>
              <wp:docPr id="1207" name="Shape 120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33" type="#_x0000_t202" style="position:absolute;margin-left:544.95000000000005pt;margin-top:807.89999999999998pt;width:43.200000000000003pt;height:17.300000000000001pt;z-index:-1887430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06" behindDoc="1" locked="0" layoutInCell="1" allowOverlap="1">
              <wp:simplePos x="0" y="0"/>
              <wp:positionH relativeFrom="page">
                <wp:posOffset>6847205</wp:posOffset>
              </wp:positionH>
              <wp:positionV relativeFrom="page">
                <wp:posOffset>10497820</wp:posOffset>
              </wp:positionV>
              <wp:extent cx="694690" cy="60960"/>
              <wp:wrapNone/>
              <wp:docPr id="1209" name="Shape 120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35" type="#_x0000_t202" style="position:absolute;margin-left:539.14999999999998pt;margin-top:826.60000000000002pt;width:54.700000000000003pt;height:4.7999999999999998pt;z-index:-1887430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0" behindDoc="1" locked="0" layoutInCell="1" allowOverlap="1">
              <wp:simplePos x="0" y="0"/>
              <wp:positionH relativeFrom="page">
                <wp:posOffset>6692265</wp:posOffset>
              </wp:positionH>
              <wp:positionV relativeFrom="page">
                <wp:posOffset>9958070</wp:posOffset>
              </wp:positionV>
              <wp:extent cx="149225" cy="79375"/>
              <wp:wrapNone/>
              <wp:docPr id="1214" name="Shape 1214"/>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40" type="#_x0000_t202" style="position:absolute;margin-left:526.95000000000005pt;margin-top:784.10000000000002pt;width:11.75pt;height:6.25pt;z-index:-1887430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12" behindDoc="1" locked="0" layoutInCell="1" allowOverlap="1">
              <wp:simplePos x="0" y="0"/>
              <wp:positionH relativeFrom="page">
                <wp:posOffset>6920865</wp:posOffset>
              </wp:positionH>
              <wp:positionV relativeFrom="page">
                <wp:posOffset>10260330</wp:posOffset>
              </wp:positionV>
              <wp:extent cx="548640" cy="219710"/>
              <wp:wrapNone/>
              <wp:docPr id="1216" name="Shape 121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42" type="#_x0000_t202" style="position:absolute;margin-left:544.95000000000005pt;margin-top:807.89999999999998pt;width:43.200000000000003pt;height:17.300000000000001pt;z-index:-1887430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14" behindDoc="1" locked="0" layoutInCell="1" allowOverlap="1">
              <wp:simplePos x="0" y="0"/>
              <wp:positionH relativeFrom="page">
                <wp:posOffset>6847205</wp:posOffset>
              </wp:positionH>
              <wp:positionV relativeFrom="page">
                <wp:posOffset>10497820</wp:posOffset>
              </wp:positionV>
              <wp:extent cx="694690" cy="60960"/>
              <wp:wrapNone/>
              <wp:docPr id="1218" name="Shape 121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44" type="#_x0000_t202" style="position:absolute;margin-left:539.14999999999998pt;margin-top:826.60000000000002pt;width:54.700000000000003pt;height:4.7999999999999998pt;z-index:-1887430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8" behindDoc="1" locked="0" layoutInCell="1" allowOverlap="1">
              <wp:simplePos x="0" y="0"/>
              <wp:positionH relativeFrom="page">
                <wp:posOffset>6692265</wp:posOffset>
              </wp:positionH>
              <wp:positionV relativeFrom="page">
                <wp:posOffset>9958070</wp:posOffset>
              </wp:positionV>
              <wp:extent cx="149225" cy="79375"/>
              <wp:wrapNone/>
              <wp:docPr id="1223" name="Shape 1223"/>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49" type="#_x0000_t202" style="position:absolute;margin-left:526.95000000000005pt;margin-top:784.10000000000002pt;width:11.75pt;height:6.25pt;z-index:-1887430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20" behindDoc="1" locked="0" layoutInCell="1" allowOverlap="1">
              <wp:simplePos x="0" y="0"/>
              <wp:positionH relativeFrom="page">
                <wp:posOffset>6920865</wp:posOffset>
              </wp:positionH>
              <wp:positionV relativeFrom="page">
                <wp:posOffset>10260330</wp:posOffset>
              </wp:positionV>
              <wp:extent cx="548640" cy="219710"/>
              <wp:wrapNone/>
              <wp:docPr id="1225" name="Shape 122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51" type="#_x0000_t202" style="position:absolute;margin-left:544.95000000000005pt;margin-top:807.89999999999998pt;width:43.200000000000003pt;height:17.300000000000001pt;z-index:-1887430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22" behindDoc="1" locked="0" layoutInCell="1" allowOverlap="1">
              <wp:simplePos x="0" y="0"/>
              <wp:positionH relativeFrom="page">
                <wp:posOffset>6847205</wp:posOffset>
              </wp:positionH>
              <wp:positionV relativeFrom="page">
                <wp:posOffset>10497820</wp:posOffset>
              </wp:positionV>
              <wp:extent cx="694690" cy="60960"/>
              <wp:wrapNone/>
              <wp:docPr id="1227" name="Shape 122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53" type="#_x0000_t202" style="position:absolute;margin-left:539.14999999999998pt;margin-top:826.60000000000002pt;width:54.700000000000003pt;height:4.7999999999999998pt;z-index:-1887430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6730365</wp:posOffset>
              </wp:positionH>
              <wp:positionV relativeFrom="page">
                <wp:posOffset>9958070</wp:posOffset>
              </wp:positionV>
              <wp:extent cx="100330" cy="79375"/>
              <wp:wrapNone/>
              <wp:docPr id="118" name="Shape 11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4" type="#_x0000_t202" style="position:absolute;margin-left:529.95000000000005pt;margin-top:784.10000000000002pt;width:7.9000000000000004pt;height:6.25pt;z-index:-18874397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6" behindDoc="1" locked="0" layoutInCell="1" allowOverlap="1">
              <wp:simplePos x="0" y="0"/>
              <wp:positionH relativeFrom="page">
                <wp:posOffset>6674485</wp:posOffset>
              </wp:positionH>
              <wp:positionV relativeFrom="page">
                <wp:posOffset>9958070</wp:posOffset>
              </wp:positionV>
              <wp:extent cx="158750" cy="79375"/>
              <wp:wrapNone/>
              <wp:docPr id="1232" name="Shape 1232"/>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58" type="#_x0000_t202" style="position:absolute;margin-left:525.54999999999995pt;margin-top:784.10000000000002pt;width:12.5pt;height:6.25pt;z-index:-1887430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28" behindDoc="1" locked="0" layoutInCell="1" allowOverlap="1">
              <wp:simplePos x="0" y="0"/>
              <wp:positionH relativeFrom="page">
                <wp:posOffset>6903085</wp:posOffset>
              </wp:positionH>
              <wp:positionV relativeFrom="page">
                <wp:posOffset>10262870</wp:posOffset>
              </wp:positionV>
              <wp:extent cx="548640" cy="149225"/>
              <wp:wrapNone/>
              <wp:docPr id="1234" name="Shape 123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60" type="#_x0000_t202" style="position:absolute;margin-left:543.54999999999995pt;margin-top:808.10000000000002pt;width:43.200000000000003pt;height:11.75pt;z-index:-1887430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30" behindDoc="1" locked="0" layoutInCell="1" allowOverlap="1">
              <wp:simplePos x="0" y="0"/>
              <wp:positionH relativeFrom="page">
                <wp:posOffset>6829425</wp:posOffset>
              </wp:positionH>
              <wp:positionV relativeFrom="page">
                <wp:posOffset>10497820</wp:posOffset>
              </wp:positionV>
              <wp:extent cx="694690" cy="60960"/>
              <wp:wrapNone/>
              <wp:docPr id="1236" name="Shape 123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62" type="#_x0000_t202" style="position:absolute;margin-left:537.75pt;margin-top:826.60000000000002pt;width:54.700000000000003pt;height:4.7999999999999998pt;z-index:-1887430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4" behindDoc="1" locked="0" layoutInCell="1" allowOverlap="1">
              <wp:simplePos x="0" y="0"/>
              <wp:positionH relativeFrom="page">
                <wp:posOffset>6674485</wp:posOffset>
              </wp:positionH>
              <wp:positionV relativeFrom="page">
                <wp:posOffset>9958070</wp:posOffset>
              </wp:positionV>
              <wp:extent cx="158750" cy="79375"/>
              <wp:wrapNone/>
              <wp:docPr id="1241" name="Shape 1241"/>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67" type="#_x0000_t202" style="position:absolute;margin-left:525.54999999999995pt;margin-top:784.10000000000002pt;width:12.5pt;height:6.25pt;z-index:-1887430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36" behindDoc="1" locked="0" layoutInCell="1" allowOverlap="1">
              <wp:simplePos x="0" y="0"/>
              <wp:positionH relativeFrom="page">
                <wp:posOffset>6903085</wp:posOffset>
              </wp:positionH>
              <wp:positionV relativeFrom="page">
                <wp:posOffset>10262870</wp:posOffset>
              </wp:positionV>
              <wp:extent cx="548640" cy="149225"/>
              <wp:wrapNone/>
              <wp:docPr id="1243" name="Shape 124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69" type="#_x0000_t202" style="position:absolute;margin-left:543.54999999999995pt;margin-top:808.10000000000002pt;width:43.200000000000003pt;height:11.75pt;z-index:-1887430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38" behindDoc="1" locked="0" layoutInCell="1" allowOverlap="1">
              <wp:simplePos x="0" y="0"/>
              <wp:positionH relativeFrom="page">
                <wp:posOffset>6829425</wp:posOffset>
              </wp:positionH>
              <wp:positionV relativeFrom="page">
                <wp:posOffset>10497820</wp:posOffset>
              </wp:positionV>
              <wp:extent cx="694690" cy="60960"/>
              <wp:wrapNone/>
              <wp:docPr id="1245" name="Shape 124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71" type="#_x0000_t202" style="position:absolute;margin-left:537.75pt;margin-top:826.60000000000002pt;width:54.700000000000003pt;height:4.7999999999999998pt;z-index:-1887430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2" behindDoc="1" locked="0" layoutInCell="1" allowOverlap="1">
              <wp:simplePos x="0" y="0"/>
              <wp:positionH relativeFrom="page">
                <wp:posOffset>6674485</wp:posOffset>
              </wp:positionH>
              <wp:positionV relativeFrom="page">
                <wp:posOffset>9958070</wp:posOffset>
              </wp:positionV>
              <wp:extent cx="158750" cy="79375"/>
              <wp:wrapNone/>
              <wp:docPr id="1250" name="Shape 1250"/>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76" type="#_x0000_t202" style="position:absolute;margin-left:525.54999999999995pt;margin-top:784.10000000000002pt;width:12.5pt;height:6.25pt;z-index:-1887430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44" behindDoc="1" locked="0" layoutInCell="1" allowOverlap="1">
              <wp:simplePos x="0" y="0"/>
              <wp:positionH relativeFrom="page">
                <wp:posOffset>6903085</wp:posOffset>
              </wp:positionH>
              <wp:positionV relativeFrom="page">
                <wp:posOffset>10262870</wp:posOffset>
              </wp:positionV>
              <wp:extent cx="548640" cy="149225"/>
              <wp:wrapNone/>
              <wp:docPr id="1252" name="Shape 125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278" type="#_x0000_t202" style="position:absolute;margin-left:543.54999999999995pt;margin-top:808.10000000000002pt;width:43.200000000000003pt;height:11.75pt;z-index:-1887430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46" behindDoc="1" locked="0" layoutInCell="1" allowOverlap="1">
              <wp:simplePos x="0" y="0"/>
              <wp:positionH relativeFrom="page">
                <wp:posOffset>6829425</wp:posOffset>
              </wp:positionH>
              <wp:positionV relativeFrom="page">
                <wp:posOffset>10497820</wp:posOffset>
              </wp:positionV>
              <wp:extent cx="694690" cy="60960"/>
              <wp:wrapNone/>
              <wp:docPr id="1254" name="Shape 12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80" type="#_x0000_t202" style="position:absolute;margin-left:537.75pt;margin-top:826.60000000000002pt;width:54.700000000000003pt;height:4.7999999999999998pt;z-index:-1887430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0" behindDoc="1" locked="0" layoutInCell="1" allowOverlap="1">
              <wp:simplePos x="0" y="0"/>
              <wp:positionH relativeFrom="page">
                <wp:posOffset>6692265</wp:posOffset>
              </wp:positionH>
              <wp:positionV relativeFrom="page">
                <wp:posOffset>9958070</wp:posOffset>
              </wp:positionV>
              <wp:extent cx="149225" cy="79375"/>
              <wp:wrapNone/>
              <wp:docPr id="1259" name="Shape 1259"/>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85" type="#_x0000_t202" style="position:absolute;margin-left:526.95000000000005pt;margin-top:784.10000000000002pt;width:11.75pt;height:6.25pt;z-index:-1887430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52" behindDoc="1" locked="0" layoutInCell="1" allowOverlap="1">
              <wp:simplePos x="0" y="0"/>
              <wp:positionH relativeFrom="page">
                <wp:posOffset>6920865</wp:posOffset>
              </wp:positionH>
              <wp:positionV relativeFrom="page">
                <wp:posOffset>10260330</wp:posOffset>
              </wp:positionV>
              <wp:extent cx="548640" cy="219710"/>
              <wp:wrapNone/>
              <wp:docPr id="1261" name="Shape 126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87" type="#_x0000_t202" style="position:absolute;margin-left:544.95000000000005pt;margin-top:807.89999999999998pt;width:43.200000000000003pt;height:17.300000000000001pt;z-index:-1887430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54" behindDoc="1" locked="0" layoutInCell="1" allowOverlap="1">
              <wp:simplePos x="0" y="0"/>
              <wp:positionH relativeFrom="page">
                <wp:posOffset>6847205</wp:posOffset>
              </wp:positionH>
              <wp:positionV relativeFrom="page">
                <wp:posOffset>10497820</wp:posOffset>
              </wp:positionV>
              <wp:extent cx="694690" cy="60960"/>
              <wp:wrapNone/>
              <wp:docPr id="1263" name="Shape 126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89" type="#_x0000_t202" style="position:absolute;margin-left:539.14999999999998pt;margin-top:826.60000000000002pt;width:54.700000000000003pt;height:4.7999999999999998pt;z-index:-1887429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8" behindDoc="1" locked="0" layoutInCell="1" allowOverlap="1">
              <wp:simplePos x="0" y="0"/>
              <wp:positionH relativeFrom="page">
                <wp:posOffset>6692265</wp:posOffset>
              </wp:positionH>
              <wp:positionV relativeFrom="page">
                <wp:posOffset>9958070</wp:posOffset>
              </wp:positionV>
              <wp:extent cx="149225" cy="79375"/>
              <wp:wrapNone/>
              <wp:docPr id="1268" name="Shape 126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94" type="#_x0000_t202" style="position:absolute;margin-left:526.95000000000005pt;margin-top:784.10000000000002pt;width:11.75pt;height:6.25pt;z-index:-1887429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60" behindDoc="1" locked="0" layoutInCell="1" allowOverlap="1">
              <wp:simplePos x="0" y="0"/>
              <wp:positionH relativeFrom="page">
                <wp:posOffset>6920865</wp:posOffset>
              </wp:positionH>
              <wp:positionV relativeFrom="page">
                <wp:posOffset>10260330</wp:posOffset>
              </wp:positionV>
              <wp:extent cx="548640" cy="219710"/>
              <wp:wrapNone/>
              <wp:docPr id="1270" name="Shape 127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296" type="#_x0000_t202" style="position:absolute;margin-left:544.95000000000005pt;margin-top:807.89999999999998pt;width:43.200000000000003pt;height:17.300000000000001pt;z-index:-1887429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62" behindDoc="1" locked="0" layoutInCell="1" allowOverlap="1">
              <wp:simplePos x="0" y="0"/>
              <wp:positionH relativeFrom="page">
                <wp:posOffset>6847205</wp:posOffset>
              </wp:positionH>
              <wp:positionV relativeFrom="page">
                <wp:posOffset>10497820</wp:posOffset>
              </wp:positionV>
              <wp:extent cx="694690" cy="60960"/>
              <wp:wrapNone/>
              <wp:docPr id="1272" name="Shape 12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298" type="#_x0000_t202" style="position:absolute;margin-left:539.14999999999998pt;margin-top:826.60000000000002pt;width:54.700000000000003pt;height:4.7999999999999998pt;z-index:-1887429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6" behindDoc="1" locked="0" layoutInCell="1" allowOverlap="1">
              <wp:simplePos x="0" y="0"/>
              <wp:positionH relativeFrom="page">
                <wp:posOffset>6692265</wp:posOffset>
              </wp:positionH>
              <wp:positionV relativeFrom="page">
                <wp:posOffset>9958070</wp:posOffset>
              </wp:positionV>
              <wp:extent cx="149225" cy="79375"/>
              <wp:wrapNone/>
              <wp:docPr id="1277" name="Shape 1277"/>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03" type="#_x0000_t202" style="position:absolute;margin-left:526.95000000000005pt;margin-top:784.10000000000002pt;width:11.75pt;height:6.25pt;z-index:-1887429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68" behindDoc="1" locked="0" layoutInCell="1" allowOverlap="1">
              <wp:simplePos x="0" y="0"/>
              <wp:positionH relativeFrom="page">
                <wp:posOffset>6920865</wp:posOffset>
              </wp:positionH>
              <wp:positionV relativeFrom="page">
                <wp:posOffset>10260330</wp:posOffset>
              </wp:positionV>
              <wp:extent cx="548640" cy="219710"/>
              <wp:wrapNone/>
              <wp:docPr id="1279" name="Shape 127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05" type="#_x0000_t202" style="position:absolute;margin-left:544.95000000000005pt;margin-top:807.89999999999998pt;width:43.200000000000003pt;height:17.300000000000001pt;z-index:-1887429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70" behindDoc="1" locked="0" layoutInCell="1" allowOverlap="1">
              <wp:simplePos x="0" y="0"/>
              <wp:positionH relativeFrom="page">
                <wp:posOffset>6847205</wp:posOffset>
              </wp:positionH>
              <wp:positionV relativeFrom="page">
                <wp:posOffset>10497820</wp:posOffset>
              </wp:positionV>
              <wp:extent cx="694690" cy="60960"/>
              <wp:wrapNone/>
              <wp:docPr id="1281" name="Shape 128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07" type="#_x0000_t202" style="position:absolute;margin-left:539.14999999999998pt;margin-top:826.60000000000002pt;width:54.700000000000003pt;height:4.7999999999999998pt;z-index:-1887429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4" behindDoc="1" locked="0" layoutInCell="1" allowOverlap="1">
              <wp:simplePos x="0" y="0"/>
              <wp:positionH relativeFrom="page">
                <wp:posOffset>6674485</wp:posOffset>
              </wp:positionH>
              <wp:positionV relativeFrom="page">
                <wp:posOffset>9958070</wp:posOffset>
              </wp:positionV>
              <wp:extent cx="158750" cy="79375"/>
              <wp:wrapNone/>
              <wp:docPr id="1286" name="Shape 1286"/>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12" type="#_x0000_t202" style="position:absolute;margin-left:525.54999999999995pt;margin-top:784.10000000000002pt;width:12.5pt;height:6.25pt;z-index:-1887429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76" behindDoc="1" locked="0" layoutInCell="1" allowOverlap="1">
              <wp:simplePos x="0" y="0"/>
              <wp:positionH relativeFrom="page">
                <wp:posOffset>6903085</wp:posOffset>
              </wp:positionH>
              <wp:positionV relativeFrom="page">
                <wp:posOffset>10262870</wp:posOffset>
              </wp:positionV>
              <wp:extent cx="548640" cy="149225"/>
              <wp:wrapNone/>
              <wp:docPr id="1288" name="Shape 128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14" type="#_x0000_t202" style="position:absolute;margin-left:543.54999999999995pt;margin-top:808.10000000000002pt;width:43.200000000000003pt;height:11.75pt;z-index:-1887429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78" behindDoc="1" locked="0" layoutInCell="1" allowOverlap="1">
              <wp:simplePos x="0" y="0"/>
              <wp:positionH relativeFrom="page">
                <wp:posOffset>6829425</wp:posOffset>
              </wp:positionH>
              <wp:positionV relativeFrom="page">
                <wp:posOffset>10497820</wp:posOffset>
              </wp:positionV>
              <wp:extent cx="694690" cy="60960"/>
              <wp:wrapNone/>
              <wp:docPr id="1290" name="Shape 129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16" type="#_x0000_t202" style="position:absolute;margin-left:537.75pt;margin-top:826.60000000000002pt;width:54.700000000000003pt;height:4.7999999999999998pt;z-index:-1887429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2" behindDoc="1" locked="0" layoutInCell="1" allowOverlap="1">
              <wp:simplePos x="0" y="0"/>
              <wp:positionH relativeFrom="page">
                <wp:posOffset>6674485</wp:posOffset>
              </wp:positionH>
              <wp:positionV relativeFrom="page">
                <wp:posOffset>9958070</wp:posOffset>
              </wp:positionV>
              <wp:extent cx="158750" cy="79375"/>
              <wp:wrapNone/>
              <wp:docPr id="1295" name="Shape 1295"/>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21" type="#_x0000_t202" style="position:absolute;margin-left:525.54999999999995pt;margin-top:784.10000000000002pt;width:12.5pt;height:6.25pt;z-index:-1887429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84" behindDoc="1" locked="0" layoutInCell="1" allowOverlap="1">
              <wp:simplePos x="0" y="0"/>
              <wp:positionH relativeFrom="page">
                <wp:posOffset>6903085</wp:posOffset>
              </wp:positionH>
              <wp:positionV relativeFrom="page">
                <wp:posOffset>10262870</wp:posOffset>
              </wp:positionV>
              <wp:extent cx="548640" cy="149225"/>
              <wp:wrapNone/>
              <wp:docPr id="1297" name="Shape 129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23" type="#_x0000_t202" style="position:absolute;margin-left:543.54999999999995pt;margin-top:808.10000000000002pt;width:43.200000000000003pt;height:11.75pt;z-index:-1887429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786" behindDoc="1" locked="0" layoutInCell="1" allowOverlap="1">
              <wp:simplePos x="0" y="0"/>
              <wp:positionH relativeFrom="page">
                <wp:posOffset>6829425</wp:posOffset>
              </wp:positionH>
              <wp:positionV relativeFrom="page">
                <wp:posOffset>10497820</wp:posOffset>
              </wp:positionV>
              <wp:extent cx="694690" cy="60960"/>
              <wp:wrapNone/>
              <wp:docPr id="1299" name="Shape 129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25" type="#_x0000_t202" style="position:absolute;margin-left:537.75pt;margin-top:826.60000000000002pt;width:54.700000000000003pt;height:4.7999999999999998pt;z-index:-1887429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0" behindDoc="1" locked="0" layoutInCell="1" allowOverlap="1">
              <wp:simplePos x="0" y="0"/>
              <wp:positionH relativeFrom="page">
                <wp:posOffset>6692265</wp:posOffset>
              </wp:positionH>
              <wp:positionV relativeFrom="page">
                <wp:posOffset>9958070</wp:posOffset>
              </wp:positionV>
              <wp:extent cx="149225" cy="79375"/>
              <wp:wrapNone/>
              <wp:docPr id="1304" name="Shape 1304"/>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30" type="#_x0000_t202" style="position:absolute;margin-left:526.95000000000005pt;margin-top:784.10000000000002pt;width:11.75pt;height:6.25pt;z-index:-1887429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792" behindDoc="1" locked="0" layoutInCell="1" allowOverlap="1">
              <wp:simplePos x="0" y="0"/>
              <wp:positionH relativeFrom="page">
                <wp:posOffset>6920865</wp:posOffset>
              </wp:positionH>
              <wp:positionV relativeFrom="page">
                <wp:posOffset>10260330</wp:posOffset>
              </wp:positionV>
              <wp:extent cx="548640" cy="219710"/>
              <wp:wrapNone/>
              <wp:docPr id="1306" name="Shape 130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32" type="#_x0000_t202" style="position:absolute;margin-left:544.95000000000005pt;margin-top:807.89999999999998pt;width:43.200000000000003pt;height:17.300000000000001pt;z-index:-1887429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794" behindDoc="1" locked="0" layoutInCell="1" allowOverlap="1">
              <wp:simplePos x="0" y="0"/>
              <wp:positionH relativeFrom="page">
                <wp:posOffset>6847205</wp:posOffset>
              </wp:positionH>
              <wp:positionV relativeFrom="page">
                <wp:posOffset>10497820</wp:posOffset>
              </wp:positionV>
              <wp:extent cx="694690" cy="60960"/>
              <wp:wrapNone/>
              <wp:docPr id="1308" name="Shape 130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34" type="#_x0000_t202" style="position:absolute;margin-left:539.14999999999998pt;margin-top:826.60000000000002pt;width:54.700000000000003pt;height:4.7999999999999998pt;z-index:-1887429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8" behindDoc="1" locked="0" layoutInCell="1" allowOverlap="1">
              <wp:simplePos x="0" y="0"/>
              <wp:positionH relativeFrom="page">
                <wp:posOffset>6692265</wp:posOffset>
              </wp:positionH>
              <wp:positionV relativeFrom="page">
                <wp:posOffset>9958070</wp:posOffset>
              </wp:positionV>
              <wp:extent cx="149225" cy="79375"/>
              <wp:wrapNone/>
              <wp:docPr id="1313" name="Shape 1313"/>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39" type="#_x0000_t202" style="position:absolute;margin-left:526.95000000000005pt;margin-top:784.10000000000002pt;width:11.75pt;height:6.25pt;z-index:-1887429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00" behindDoc="1" locked="0" layoutInCell="1" allowOverlap="1">
              <wp:simplePos x="0" y="0"/>
              <wp:positionH relativeFrom="page">
                <wp:posOffset>6920865</wp:posOffset>
              </wp:positionH>
              <wp:positionV relativeFrom="page">
                <wp:posOffset>10260330</wp:posOffset>
              </wp:positionV>
              <wp:extent cx="548640" cy="219710"/>
              <wp:wrapNone/>
              <wp:docPr id="1315" name="Shape 131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41" type="#_x0000_t202" style="position:absolute;margin-left:544.95000000000005pt;margin-top:807.89999999999998pt;width:43.200000000000003pt;height:17.300000000000001pt;z-index:-1887429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02" behindDoc="1" locked="0" layoutInCell="1" allowOverlap="1">
              <wp:simplePos x="0" y="0"/>
              <wp:positionH relativeFrom="page">
                <wp:posOffset>6847205</wp:posOffset>
              </wp:positionH>
              <wp:positionV relativeFrom="page">
                <wp:posOffset>10497820</wp:posOffset>
              </wp:positionV>
              <wp:extent cx="694690" cy="60960"/>
              <wp:wrapNone/>
              <wp:docPr id="1317" name="Shape 131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43" type="#_x0000_t202" style="position:absolute;margin-left:539.14999999999998pt;margin-top:826.60000000000002pt;width:54.700000000000003pt;height:4.7999999999999998pt;z-index:-1887429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6730365</wp:posOffset>
              </wp:positionH>
              <wp:positionV relativeFrom="page">
                <wp:posOffset>9958070</wp:posOffset>
              </wp:positionV>
              <wp:extent cx="100330" cy="79375"/>
              <wp:wrapNone/>
              <wp:docPr id="123" name="Shape 123"/>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49" type="#_x0000_t202" style="position:absolute;margin-left:529.95000000000005pt;margin-top:784.10000000000002pt;width:7.9000000000000004pt;height:6.25pt;z-index:-1887439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6" behindDoc="1" locked="0" layoutInCell="1" allowOverlap="1">
              <wp:simplePos x="0" y="0"/>
              <wp:positionH relativeFrom="page">
                <wp:posOffset>6674485</wp:posOffset>
              </wp:positionH>
              <wp:positionV relativeFrom="page">
                <wp:posOffset>9958070</wp:posOffset>
              </wp:positionV>
              <wp:extent cx="158750" cy="79375"/>
              <wp:wrapNone/>
              <wp:docPr id="1322" name="Shape 1322"/>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48" type="#_x0000_t202" style="position:absolute;margin-left:525.54999999999995pt;margin-top:784.10000000000002pt;width:12.5pt;height:6.25pt;z-index:-1887429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08" behindDoc="1" locked="0" layoutInCell="1" allowOverlap="1">
              <wp:simplePos x="0" y="0"/>
              <wp:positionH relativeFrom="page">
                <wp:posOffset>6903085</wp:posOffset>
              </wp:positionH>
              <wp:positionV relativeFrom="page">
                <wp:posOffset>10262870</wp:posOffset>
              </wp:positionV>
              <wp:extent cx="548640" cy="149225"/>
              <wp:wrapNone/>
              <wp:docPr id="1324" name="Shape 132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50" type="#_x0000_t202" style="position:absolute;margin-left:543.54999999999995pt;margin-top:808.10000000000002pt;width:43.200000000000003pt;height:11.75pt;z-index:-1887429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10" behindDoc="1" locked="0" layoutInCell="1" allowOverlap="1">
              <wp:simplePos x="0" y="0"/>
              <wp:positionH relativeFrom="page">
                <wp:posOffset>6829425</wp:posOffset>
              </wp:positionH>
              <wp:positionV relativeFrom="page">
                <wp:posOffset>10497820</wp:posOffset>
              </wp:positionV>
              <wp:extent cx="694690" cy="60960"/>
              <wp:wrapNone/>
              <wp:docPr id="1326" name="Shape 132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52" type="#_x0000_t202" style="position:absolute;margin-left:537.75pt;margin-top:826.60000000000002pt;width:54.700000000000003pt;height:4.7999999999999998pt;z-index:-1887429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4" behindDoc="1" locked="0" layoutInCell="1" allowOverlap="1">
              <wp:simplePos x="0" y="0"/>
              <wp:positionH relativeFrom="page">
                <wp:posOffset>6674485</wp:posOffset>
              </wp:positionH>
              <wp:positionV relativeFrom="page">
                <wp:posOffset>9958070</wp:posOffset>
              </wp:positionV>
              <wp:extent cx="158750" cy="79375"/>
              <wp:wrapNone/>
              <wp:docPr id="1331" name="Shape 1331"/>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57" type="#_x0000_t202" style="position:absolute;margin-left:525.54999999999995pt;margin-top:784.10000000000002pt;width:12.5pt;height:6.25pt;z-index:-1887429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16" behindDoc="1" locked="0" layoutInCell="1" allowOverlap="1">
              <wp:simplePos x="0" y="0"/>
              <wp:positionH relativeFrom="page">
                <wp:posOffset>6903085</wp:posOffset>
              </wp:positionH>
              <wp:positionV relativeFrom="page">
                <wp:posOffset>10262870</wp:posOffset>
              </wp:positionV>
              <wp:extent cx="548640" cy="149225"/>
              <wp:wrapNone/>
              <wp:docPr id="1333" name="Shape 133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59" type="#_x0000_t202" style="position:absolute;margin-left:543.54999999999995pt;margin-top:808.10000000000002pt;width:43.200000000000003pt;height:11.75pt;z-index:-1887429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18" behindDoc="1" locked="0" layoutInCell="1" allowOverlap="1">
              <wp:simplePos x="0" y="0"/>
              <wp:positionH relativeFrom="page">
                <wp:posOffset>6829425</wp:posOffset>
              </wp:positionH>
              <wp:positionV relativeFrom="page">
                <wp:posOffset>10497820</wp:posOffset>
              </wp:positionV>
              <wp:extent cx="694690" cy="60960"/>
              <wp:wrapNone/>
              <wp:docPr id="1335" name="Shape 13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61" type="#_x0000_t202" style="position:absolute;margin-left:537.75pt;margin-top:826.60000000000002pt;width:54.700000000000003pt;height:4.7999999999999998pt;z-index:-1887429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2" behindDoc="1" locked="0" layoutInCell="1" allowOverlap="1">
              <wp:simplePos x="0" y="0"/>
              <wp:positionH relativeFrom="page">
                <wp:posOffset>6724650</wp:posOffset>
              </wp:positionH>
              <wp:positionV relativeFrom="page">
                <wp:posOffset>9958070</wp:posOffset>
              </wp:positionV>
              <wp:extent cx="103505" cy="79375"/>
              <wp:wrapNone/>
              <wp:docPr id="1340" name="Shape 134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66" type="#_x0000_t202" style="position:absolute;margin-left:529.5pt;margin-top:784.10000000000002pt;width:8.1500000000000004pt;height:6.25pt;z-index:-1887429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6" behindDoc="1" locked="0" layoutInCell="1" allowOverlap="1">
              <wp:simplePos x="0" y="0"/>
              <wp:positionH relativeFrom="page">
                <wp:posOffset>6724650</wp:posOffset>
              </wp:positionH>
              <wp:positionV relativeFrom="page">
                <wp:posOffset>9958070</wp:posOffset>
              </wp:positionV>
              <wp:extent cx="103505" cy="79375"/>
              <wp:wrapNone/>
              <wp:docPr id="1345" name="Shape 134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71" type="#_x0000_t202" style="position:absolute;margin-left:529.5pt;margin-top:784.10000000000002pt;width:8.1500000000000004pt;height:6.25pt;z-index:-1887429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0" behindDoc="1" locked="0" layoutInCell="1" allowOverlap="1">
              <wp:simplePos x="0" y="0"/>
              <wp:positionH relativeFrom="page">
                <wp:posOffset>6692265</wp:posOffset>
              </wp:positionH>
              <wp:positionV relativeFrom="page">
                <wp:posOffset>9958070</wp:posOffset>
              </wp:positionV>
              <wp:extent cx="149225" cy="79375"/>
              <wp:wrapNone/>
              <wp:docPr id="1350" name="Shape 1350"/>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76" type="#_x0000_t202" style="position:absolute;margin-left:526.95000000000005pt;margin-top:784.10000000000002pt;width:11.75pt;height:6.25pt;z-index:-1887429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32" behindDoc="1" locked="0" layoutInCell="1" allowOverlap="1">
              <wp:simplePos x="0" y="0"/>
              <wp:positionH relativeFrom="page">
                <wp:posOffset>6920865</wp:posOffset>
              </wp:positionH>
              <wp:positionV relativeFrom="page">
                <wp:posOffset>10260330</wp:posOffset>
              </wp:positionV>
              <wp:extent cx="548640" cy="219710"/>
              <wp:wrapNone/>
              <wp:docPr id="1352" name="Shape 135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78" type="#_x0000_t202" style="position:absolute;margin-left:544.95000000000005pt;margin-top:807.89999999999998pt;width:43.200000000000003pt;height:17.300000000000001pt;z-index:-1887429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34" behindDoc="1" locked="0" layoutInCell="1" allowOverlap="1">
              <wp:simplePos x="0" y="0"/>
              <wp:positionH relativeFrom="page">
                <wp:posOffset>6847205</wp:posOffset>
              </wp:positionH>
              <wp:positionV relativeFrom="page">
                <wp:posOffset>10497820</wp:posOffset>
              </wp:positionV>
              <wp:extent cx="694690" cy="60960"/>
              <wp:wrapNone/>
              <wp:docPr id="1354" name="Shape 13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80" type="#_x0000_t202" style="position:absolute;margin-left:539.14999999999998pt;margin-top:826.60000000000002pt;width:54.700000000000003pt;height:4.7999999999999998pt;z-index:-1887429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8" behindDoc="1" locked="0" layoutInCell="1" allowOverlap="1">
              <wp:simplePos x="0" y="0"/>
              <wp:positionH relativeFrom="page">
                <wp:posOffset>6692265</wp:posOffset>
              </wp:positionH>
              <wp:positionV relativeFrom="page">
                <wp:posOffset>9958070</wp:posOffset>
              </wp:positionV>
              <wp:extent cx="149225" cy="79375"/>
              <wp:wrapNone/>
              <wp:docPr id="1359" name="Shape 1359"/>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85" type="#_x0000_t202" style="position:absolute;margin-left:526.95000000000005pt;margin-top:784.10000000000002pt;width:11.75pt;height:6.25pt;z-index:-1887429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40" behindDoc="1" locked="0" layoutInCell="1" allowOverlap="1">
              <wp:simplePos x="0" y="0"/>
              <wp:positionH relativeFrom="page">
                <wp:posOffset>6920865</wp:posOffset>
              </wp:positionH>
              <wp:positionV relativeFrom="page">
                <wp:posOffset>10260330</wp:posOffset>
              </wp:positionV>
              <wp:extent cx="548640" cy="219710"/>
              <wp:wrapNone/>
              <wp:docPr id="1361" name="Shape 136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387" type="#_x0000_t202" style="position:absolute;margin-left:544.95000000000005pt;margin-top:807.89999999999998pt;width:43.200000000000003pt;height:17.300000000000001pt;z-index:-1887429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42" behindDoc="1" locked="0" layoutInCell="1" allowOverlap="1">
              <wp:simplePos x="0" y="0"/>
              <wp:positionH relativeFrom="page">
                <wp:posOffset>6847205</wp:posOffset>
              </wp:positionH>
              <wp:positionV relativeFrom="page">
                <wp:posOffset>10497820</wp:posOffset>
              </wp:positionV>
              <wp:extent cx="694690" cy="60960"/>
              <wp:wrapNone/>
              <wp:docPr id="1363" name="Shape 136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89" type="#_x0000_t202" style="position:absolute;margin-left:539.14999999999998pt;margin-top:826.60000000000002pt;width:54.700000000000003pt;height:4.7999999999999998pt;z-index:-1887429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6" behindDoc="1" locked="0" layoutInCell="1" allowOverlap="1">
              <wp:simplePos x="0" y="0"/>
              <wp:positionH relativeFrom="page">
                <wp:posOffset>6674485</wp:posOffset>
              </wp:positionH>
              <wp:positionV relativeFrom="page">
                <wp:posOffset>9958070</wp:posOffset>
              </wp:positionV>
              <wp:extent cx="158750" cy="79375"/>
              <wp:wrapNone/>
              <wp:docPr id="1368" name="Shape 1368"/>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94" type="#_x0000_t202" style="position:absolute;margin-left:525.54999999999995pt;margin-top:784.10000000000002pt;width:12.5pt;height:6.25pt;z-index:-1887429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48" behindDoc="1" locked="0" layoutInCell="1" allowOverlap="1">
              <wp:simplePos x="0" y="0"/>
              <wp:positionH relativeFrom="page">
                <wp:posOffset>6903085</wp:posOffset>
              </wp:positionH>
              <wp:positionV relativeFrom="page">
                <wp:posOffset>10262870</wp:posOffset>
              </wp:positionV>
              <wp:extent cx="548640" cy="149225"/>
              <wp:wrapNone/>
              <wp:docPr id="1370" name="Shape 137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396" type="#_x0000_t202" style="position:absolute;margin-left:543.54999999999995pt;margin-top:808.10000000000002pt;width:43.200000000000003pt;height:11.75pt;z-index:-1887429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50" behindDoc="1" locked="0" layoutInCell="1" allowOverlap="1">
              <wp:simplePos x="0" y="0"/>
              <wp:positionH relativeFrom="page">
                <wp:posOffset>6829425</wp:posOffset>
              </wp:positionH>
              <wp:positionV relativeFrom="page">
                <wp:posOffset>10497820</wp:posOffset>
              </wp:positionV>
              <wp:extent cx="694690" cy="60960"/>
              <wp:wrapNone/>
              <wp:docPr id="1372" name="Shape 13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398" type="#_x0000_t202" style="position:absolute;margin-left:537.75pt;margin-top:826.60000000000002pt;width:54.700000000000003pt;height:4.7999999999999998pt;z-index:-1887429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4" behindDoc="1" locked="0" layoutInCell="1" allowOverlap="1">
              <wp:simplePos x="0" y="0"/>
              <wp:positionH relativeFrom="page">
                <wp:posOffset>6724650</wp:posOffset>
              </wp:positionH>
              <wp:positionV relativeFrom="page">
                <wp:posOffset>9958070</wp:posOffset>
              </wp:positionV>
              <wp:extent cx="103505" cy="79375"/>
              <wp:wrapNone/>
              <wp:docPr id="1379" name="Shape 137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05" type="#_x0000_t202" style="position:absolute;margin-left:529.5pt;margin-top:784.10000000000002pt;width:8.1500000000000004pt;height:6.25pt;z-index:-1887428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8" behindDoc="1" locked="0" layoutInCell="1" allowOverlap="1">
              <wp:simplePos x="0" y="0"/>
              <wp:positionH relativeFrom="page">
                <wp:posOffset>6724650</wp:posOffset>
              </wp:positionH>
              <wp:positionV relativeFrom="page">
                <wp:posOffset>9958070</wp:posOffset>
              </wp:positionV>
              <wp:extent cx="103505" cy="79375"/>
              <wp:wrapNone/>
              <wp:docPr id="1384" name="Shape 138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10" type="#_x0000_t202" style="position:absolute;margin-left:529.5pt;margin-top:784.10000000000002pt;width:8.1500000000000004pt;height:6.25pt;z-index:-1887428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2" behindDoc="1" locked="0" layoutInCell="1" allowOverlap="1">
              <wp:simplePos x="0" y="0"/>
              <wp:positionH relativeFrom="page">
                <wp:posOffset>6692265</wp:posOffset>
              </wp:positionH>
              <wp:positionV relativeFrom="page">
                <wp:posOffset>9958070</wp:posOffset>
              </wp:positionV>
              <wp:extent cx="149225" cy="79375"/>
              <wp:wrapNone/>
              <wp:docPr id="1389" name="Shape 1389"/>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15" type="#_x0000_t202" style="position:absolute;margin-left:526.95000000000005pt;margin-top:784.10000000000002pt;width:11.75pt;height:6.25pt;z-index:-1887428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64" behindDoc="1" locked="0" layoutInCell="1" allowOverlap="1">
              <wp:simplePos x="0" y="0"/>
              <wp:positionH relativeFrom="page">
                <wp:posOffset>6920865</wp:posOffset>
              </wp:positionH>
              <wp:positionV relativeFrom="page">
                <wp:posOffset>10260330</wp:posOffset>
              </wp:positionV>
              <wp:extent cx="548640" cy="219710"/>
              <wp:wrapNone/>
              <wp:docPr id="1391" name="Shape 139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17" type="#_x0000_t202" style="position:absolute;margin-left:544.95000000000005pt;margin-top:807.89999999999998pt;width:43.200000000000003pt;height:17.300000000000001pt;z-index:-1887428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66" behindDoc="1" locked="0" layoutInCell="1" allowOverlap="1">
              <wp:simplePos x="0" y="0"/>
              <wp:positionH relativeFrom="page">
                <wp:posOffset>6847205</wp:posOffset>
              </wp:positionH>
              <wp:positionV relativeFrom="page">
                <wp:posOffset>10497820</wp:posOffset>
              </wp:positionV>
              <wp:extent cx="694690" cy="60960"/>
              <wp:wrapNone/>
              <wp:docPr id="1393" name="Shape 139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19" type="#_x0000_t202" style="position:absolute;margin-left:539.14999999999998pt;margin-top:826.60000000000002pt;width:54.700000000000003pt;height:4.7999999999999998pt;z-index:-1887428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6713855</wp:posOffset>
              </wp:positionH>
              <wp:positionV relativeFrom="page">
                <wp:posOffset>9958070</wp:posOffset>
              </wp:positionV>
              <wp:extent cx="100330" cy="79375"/>
              <wp:wrapNone/>
              <wp:docPr id="128" name="Shape 12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54" type="#_x0000_t202" style="position:absolute;margin-left:528.64999999999998pt;margin-top:784.10000000000002pt;width:7.9000000000000004pt;height:6.25pt;z-index:-1887439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2" behindDoc="1" locked="0" layoutInCell="1" allowOverlap="1">
              <wp:simplePos x="0" y="0"/>
              <wp:positionH relativeFrom="page">
                <wp:posOffset>6884670</wp:posOffset>
              </wp:positionH>
              <wp:positionV relativeFrom="page">
                <wp:posOffset>10262870</wp:posOffset>
              </wp:positionV>
              <wp:extent cx="548640" cy="216535"/>
              <wp:wrapNone/>
              <wp:docPr id="130" name="Shape 130"/>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156" type="#_x0000_t202" style="position:absolute;margin-left:542.10000000000002pt;margin-top:808.10000000000002pt;width:43.200000000000003pt;height:17.050000000000001pt;z-index:-1887439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794" behindDoc="1" locked="0" layoutInCell="1" allowOverlap="1">
              <wp:simplePos x="0" y="0"/>
              <wp:positionH relativeFrom="page">
                <wp:posOffset>6811645</wp:posOffset>
              </wp:positionH>
              <wp:positionV relativeFrom="page">
                <wp:posOffset>10497820</wp:posOffset>
              </wp:positionV>
              <wp:extent cx="694690" cy="60960"/>
              <wp:wrapNone/>
              <wp:docPr id="132" name="Shape 13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58" type="#_x0000_t202" style="position:absolute;margin-left:536.35000000000002pt;margin-top:826.60000000000002pt;width:54.700000000000003pt;height:4.7999999999999998pt;z-index:-1887439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0" behindDoc="1" locked="0" layoutInCell="1" allowOverlap="1">
              <wp:simplePos x="0" y="0"/>
              <wp:positionH relativeFrom="page">
                <wp:posOffset>6692265</wp:posOffset>
              </wp:positionH>
              <wp:positionV relativeFrom="page">
                <wp:posOffset>9958070</wp:posOffset>
              </wp:positionV>
              <wp:extent cx="149225" cy="79375"/>
              <wp:wrapNone/>
              <wp:docPr id="1398" name="Shape 139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24" type="#_x0000_t202" style="position:absolute;margin-left:526.95000000000005pt;margin-top:784.10000000000002pt;width:11.75pt;height:6.25pt;z-index:-1887428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72" behindDoc="1" locked="0" layoutInCell="1" allowOverlap="1">
              <wp:simplePos x="0" y="0"/>
              <wp:positionH relativeFrom="page">
                <wp:posOffset>6920865</wp:posOffset>
              </wp:positionH>
              <wp:positionV relativeFrom="page">
                <wp:posOffset>10260330</wp:posOffset>
              </wp:positionV>
              <wp:extent cx="548640" cy="219710"/>
              <wp:wrapNone/>
              <wp:docPr id="1400" name="Shape 1400"/>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26" type="#_x0000_t202" style="position:absolute;margin-left:544.95000000000005pt;margin-top:807.89999999999998pt;width:43.200000000000003pt;height:17.300000000000001pt;z-index:-1887428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74" behindDoc="1" locked="0" layoutInCell="1" allowOverlap="1">
              <wp:simplePos x="0" y="0"/>
              <wp:positionH relativeFrom="page">
                <wp:posOffset>6847205</wp:posOffset>
              </wp:positionH>
              <wp:positionV relativeFrom="page">
                <wp:posOffset>10497820</wp:posOffset>
              </wp:positionV>
              <wp:extent cx="694690" cy="60960"/>
              <wp:wrapNone/>
              <wp:docPr id="1402" name="Shape 140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28" type="#_x0000_t202" style="position:absolute;margin-left:539.14999999999998pt;margin-top:826.60000000000002pt;width:54.700000000000003pt;height:4.7999999999999998pt;z-index:-1887428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8" behindDoc="1" locked="0" layoutInCell="1" allowOverlap="1">
              <wp:simplePos x="0" y="0"/>
              <wp:positionH relativeFrom="page">
                <wp:posOffset>6674485</wp:posOffset>
              </wp:positionH>
              <wp:positionV relativeFrom="page">
                <wp:posOffset>9958070</wp:posOffset>
              </wp:positionV>
              <wp:extent cx="158750" cy="79375"/>
              <wp:wrapNone/>
              <wp:docPr id="1407" name="Shape 1407"/>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33" type="#_x0000_t202" style="position:absolute;margin-left:525.54999999999995pt;margin-top:784.10000000000002pt;width:12.5pt;height:6.25pt;z-index:-1887428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80" behindDoc="1" locked="0" layoutInCell="1" allowOverlap="1">
              <wp:simplePos x="0" y="0"/>
              <wp:positionH relativeFrom="page">
                <wp:posOffset>6903085</wp:posOffset>
              </wp:positionH>
              <wp:positionV relativeFrom="page">
                <wp:posOffset>10262870</wp:posOffset>
              </wp:positionV>
              <wp:extent cx="548640" cy="149225"/>
              <wp:wrapNone/>
              <wp:docPr id="1409" name="Shape 140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435" type="#_x0000_t202" style="position:absolute;margin-left:543.54999999999995pt;margin-top:808.10000000000002pt;width:43.200000000000003pt;height:11.75pt;z-index:-1887428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82" behindDoc="1" locked="0" layoutInCell="1" allowOverlap="1">
              <wp:simplePos x="0" y="0"/>
              <wp:positionH relativeFrom="page">
                <wp:posOffset>6829425</wp:posOffset>
              </wp:positionH>
              <wp:positionV relativeFrom="page">
                <wp:posOffset>10497820</wp:posOffset>
              </wp:positionV>
              <wp:extent cx="694690" cy="60960"/>
              <wp:wrapNone/>
              <wp:docPr id="1411" name="Shape 141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37" type="#_x0000_t202" style="position:absolute;margin-left:537.75pt;margin-top:826.60000000000002pt;width:54.700000000000003pt;height:4.7999999999999998pt;z-index:-1887428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6" behindDoc="1" locked="0" layoutInCell="1" allowOverlap="1">
              <wp:simplePos x="0" y="0"/>
              <wp:positionH relativeFrom="page">
                <wp:posOffset>6674485</wp:posOffset>
              </wp:positionH>
              <wp:positionV relativeFrom="page">
                <wp:posOffset>9958070</wp:posOffset>
              </wp:positionV>
              <wp:extent cx="158750" cy="79375"/>
              <wp:wrapNone/>
              <wp:docPr id="1416" name="Shape 1416"/>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42" type="#_x0000_t202" style="position:absolute;margin-left:525.54999999999995pt;margin-top:784.10000000000002pt;width:12.5pt;height:6.25pt;z-index:-1887428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88" behindDoc="1" locked="0" layoutInCell="1" allowOverlap="1">
              <wp:simplePos x="0" y="0"/>
              <wp:positionH relativeFrom="page">
                <wp:posOffset>6903085</wp:posOffset>
              </wp:positionH>
              <wp:positionV relativeFrom="page">
                <wp:posOffset>10262870</wp:posOffset>
              </wp:positionV>
              <wp:extent cx="548640" cy="149225"/>
              <wp:wrapNone/>
              <wp:docPr id="1418" name="Shape 141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444" type="#_x0000_t202" style="position:absolute;margin-left:543.54999999999995pt;margin-top:808.10000000000002pt;width:43.200000000000003pt;height:11.75pt;z-index:-1887428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890" behindDoc="1" locked="0" layoutInCell="1" allowOverlap="1">
              <wp:simplePos x="0" y="0"/>
              <wp:positionH relativeFrom="page">
                <wp:posOffset>6829425</wp:posOffset>
              </wp:positionH>
              <wp:positionV relativeFrom="page">
                <wp:posOffset>10497820</wp:posOffset>
              </wp:positionV>
              <wp:extent cx="694690" cy="60960"/>
              <wp:wrapNone/>
              <wp:docPr id="1420" name="Shape 142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46" type="#_x0000_t202" style="position:absolute;margin-left:537.75pt;margin-top:826.60000000000002pt;width:54.700000000000003pt;height:4.7999999999999998pt;z-index:-1887428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4" behindDoc="1" locked="0" layoutInCell="1" allowOverlap="1">
              <wp:simplePos x="0" y="0"/>
              <wp:positionH relativeFrom="page">
                <wp:posOffset>6692265</wp:posOffset>
              </wp:positionH>
              <wp:positionV relativeFrom="page">
                <wp:posOffset>9958070</wp:posOffset>
              </wp:positionV>
              <wp:extent cx="149225" cy="79375"/>
              <wp:wrapNone/>
              <wp:docPr id="1426" name="Shape 1426"/>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52" type="#_x0000_t202" style="position:absolute;margin-left:526.95000000000005pt;margin-top:784.10000000000002pt;width:11.75pt;height:6.25pt;z-index:-1887428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896" behindDoc="1" locked="0" layoutInCell="1" allowOverlap="1">
              <wp:simplePos x="0" y="0"/>
              <wp:positionH relativeFrom="page">
                <wp:posOffset>6920865</wp:posOffset>
              </wp:positionH>
              <wp:positionV relativeFrom="page">
                <wp:posOffset>10260330</wp:posOffset>
              </wp:positionV>
              <wp:extent cx="548640" cy="219710"/>
              <wp:wrapNone/>
              <wp:docPr id="1428" name="Shape 142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54" type="#_x0000_t202" style="position:absolute;margin-left:544.95000000000005pt;margin-top:807.89999999999998pt;width:43.200000000000003pt;height:17.300000000000001pt;z-index:-1887428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898" behindDoc="1" locked="0" layoutInCell="1" allowOverlap="1">
              <wp:simplePos x="0" y="0"/>
              <wp:positionH relativeFrom="page">
                <wp:posOffset>6847205</wp:posOffset>
              </wp:positionH>
              <wp:positionV relativeFrom="page">
                <wp:posOffset>10497820</wp:posOffset>
              </wp:positionV>
              <wp:extent cx="694690" cy="60960"/>
              <wp:wrapNone/>
              <wp:docPr id="1430" name="Shape 143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56" type="#_x0000_t202" style="position:absolute;margin-left:539.14999999999998pt;margin-top:826.60000000000002pt;width:54.700000000000003pt;height:4.7999999999999998pt;z-index:-1887428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2" behindDoc="1" locked="0" layoutInCell="1" allowOverlap="1">
              <wp:simplePos x="0" y="0"/>
              <wp:positionH relativeFrom="page">
                <wp:posOffset>6674485</wp:posOffset>
              </wp:positionH>
              <wp:positionV relativeFrom="page">
                <wp:posOffset>9958070</wp:posOffset>
              </wp:positionV>
              <wp:extent cx="158750" cy="79375"/>
              <wp:wrapNone/>
              <wp:docPr id="1435" name="Shape 1435"/>
              <a:graphic xmlns:a="http://schemas.openxmlformats.org/drawingml/2006/main">
                <a:graphicData uri="http://schemas.microsoft.com/office/word/2010/wordprocessingShape">
                  <wps:wsp>
                    <wps:cNvSpPr txBox="1"/>
                    <wps:spPr>
                      <a:xfrm>
                        <a:ext cx="15875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61" type="#_x0000_t202" style="position:absolute;margin-left:525.54999999999995pt;margin-top:784.10000000000002pt;width:12.5pt;height:6.25pt;z-index:-1887428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904" behindDoc="1" locked="0" layoutInCell="1" allowOverlap="1">
              <wp:simplePos x="0" y="0"/>
              <wp:positionH relativeFrom="page">
                <wp:posOffset>6903085</wp:posOffset>
              </wp:positionH>
              <wp:positionV relativeFrom="page">
                <wp:posOffset>10262870</wp:posOffset>
              </wp:positionV>
              <wp:extent cx="548640" cy="149225"/>
              <wp:wrapNone/>
              <wp:docPr id="1437" name="Shape 143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wps:txbx>
                    <wps:bodyPr wrap="none" lIns="0" tIns="0" rIns="0" bIns="0">
                      <a:spAutoFit/>
                    </wps:bodyPr>
                  </wps:wsp>
                </a:graphicData>
              </a:graphic>
            </wp:anchor>
          </w:drawing>
        </mc:Choice>
        <mc:Fallback>
          <w:pict>
            <v:shape id="_x0000_s2463" type="#_x0000_t202" style="position:absolute;margin-left:543.54999999999995pt;margin-top:808.10000000000002pt;width:43.200000000000003pt;height:11.75pt;z-index:-1887428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906" behindDoc="1" locked="0" layoutInCell="1" allowOverlap="1">
              <wp:simplePos x="0" y="0"/>
              <wp:positionH relativeFrom="page">
                <wp:posOffset>6829425</wp:posOffset>
              </wp:positionH>
              <wp:positionV relativeFrom="page">
                <wp:posOffset>10497820</wp:posOffset>
              </wp:positionV>
              <wp:extent cx="694690" cy="60960"/>
              <wp:wrapNone/>
              <wp:docPr id="1439" name="Shape 143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65" type="#_x0000_t202" style="position:absolute;margin-left:537.75pt;margin-top:826.60000000000002pt;width:54.700000000000003pt;height:4.7999999999999998pt;z-index:-1887428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0" behindDoc="1" locked="0" layoutInCell="1" allowOverlap="1">
              <wp:simplePos x="0" y="0"/>
              <wp:positionH relativeFrom="page">
                <wp:posOffset>6692265</wp:posOffset>
              </wp:positionH>
              <wp:positionV relativeFrom="page">
                <wp:posOffset>9958070</wp:posOffset>
              </wp:positionV>
              <wp:extent cx="149225" cy="79375"/>
              <wp:wrapNone/>
              <wp:docPr id="1444" name="Shape 1444"/>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70" type="#_x0000_t202" style="position:absolute;margin-left:526.95000000000005pt;margin-top:784.10000000000002pt;width:11.75pt;height:6.25pt;z-index:-1887428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912" behindDoc="1" locked="0" layoutInCell="1" allowOverlap="1">
              <wp:simplePos x="0" y="0"/>
              <wp:positionH relativeFrom="page">
                <wp:posOffset>6920865</wp:posOffset>
              </wp:positionH>
              <wp:positionV relativeFrom="page">
                <wp:posOffset>10260330</wp:posOffset>
              </wp:positionV>
              <wp:extent cx="548640" cy="219710"/>
              <wp:wrapNone/>
              <wp:docPr id="1446" name="Shape 144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72" type="#_x0000_t202" style="position:absolute;margin-left:544.95000000000005pt;margin-top:807.89999999999998pt;width:43.200000000000003pt;height:17.300000000000001pt;z-index:-1887428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914" behindDoc="1" locked="0" layoutInCell="1" allowOverlap="1">
              <wp:simplePos x="0" y="0"/>
              <wp:positionH relativeFrom="page">
                <wp:posOffset>6847205</wp:posOffset>
              </wp:positionH>
              <wp:positionV relativeFrom="page">
                <wp:posOffset>10497820</wp:posOffset>
              </wp:positionV>
              <wp:extent cx="694690" cy="60960"/>
              <wp:wrapNone/>
              <wp:docPr id="1448" name="Shape 14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74" type="#_x0000_t202" style="position:absolute;margin-left:539.14999999999998pt;margin-top:826.60000000000002pt;width:54.700000000000003pt;height:4.7999999999999998pt;z-index:-1887428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8" behindDoc="1" locked="0" layoutInCell="1" allowOverlap="1">
              <wp:simplePos x="0" y="0"/>
              <wp:positionH relativeFrom="page">
                <wp:posOffset>6692265</wp:posOffset>
              </wp:positionH>
              <wp:positionV relativeFrom="page">
                <wp:posOffset>9958070</wp:posOffset>
              </wp:positionV>
              <wp:extent cx="149225" cy="79375"/>
              <wp:wrapNone/>
              <wp:docPr id="1453" name="Shape 1453"/>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479" type="#_x0000_t202" style="position:absolute;margin-left:526.95000000000005pt;margin-top:784.10000000000002pt;width:11.75pt;height:6.25pt;z-index:-1887428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920" behindDoc="1" locked="0" layoutInCell="1" allowOverlap="1">
              <wp:simplePos x="0" y="0"/>
              <wp:positionH relativeFrom="page">
                <wp:posOffset>6920865</wp:posOffset>
              </wp:positionH>
              <wp:positionV relativeFrom="page">
                <wp:posOffset>10260330</wp:posOffset>
              </wp:positionV>
              <wp:extent cx="548640" cy="219710"/>
              <wp:wrapNone/>
              <wp:docPr id="1455" name="Shape 145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2481" type="#_x0000_t202" style="position:absolute;margin-left:544.95000000000005pt;margin-top:807.89999999999998pt;width:43.200000000000003pt;height:17.300000000000001pt;z-index:-1887428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922" behindDoc="1" locked="0" layoutInCell="1" allowOverlap="1">
              <wp:simplePos x="0" y="0"/>
              <wp:positionH relativeFrom="page">
                <wp:posOffset>6847205</wp:posOffset>
              </wp:positionH>
              <wp:positionV relativeFrom="page">
                <wp:posOffset>10497820</wp:posOffset>
              </wp:positionV>
              <wp:extent cx="694690" cy="60960"/>
              <wp:wrapNone/>
              <wp:docPr id="1457" name="Shape 145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2483" type="#_x0000_t202" style="position:absolute;margin-left:539.14999999999998pt;margin-top:826.60000000000002pt;width:54.700000000000003pt;height:4.7999999999999998pt;z-index:-1887428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6713855</wp:posOffset>
              </wp:positionH>
              <wp:positionV relativeFrom="page">
                <wp:posOffset>9958070</wp:posOffset>
              </wp:positionV>
              <wp:extent cx="100330" cy="79375"/>
              <wp:wrapNone/>
              <wp:docPr id="137" name="Shape 13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63" type="#_x0000_t202" style="position:absolute;margin-left:528.64999999999998pt;margin-top:784.10000000000002pt;width:7.9000000000000004pt;height:6.25pt;z-index:-1887439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0" behindDoc="1" locked="0" layoutInCell="1" allowOverlap="1">
              <wp:simplePos x="0" y="0"/>
              <wp:positionH relativeFrom="page">
                <wp:posOffset>6884670</wp:posOffset>
              </wp:positionH>
              <wp:positionV relativeFrom="page">
                <wp:posOffset>10262870</wp:posOffset>
              </wp:positionV>
              <wp:extent cx="548640" cy="216535"/>
              <wp:wrapNone/>
              <wp:docPr id="139" name="Shape 13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165" type="#_x0000_t202" style="position:absolute;margin-left:542.10000000000002pt;margin-top:808.10000000000002pt;width:43.200000000000003pt;height:17.050000000000001pt;z-index:-1887439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802" behindDoc="1" locked="0" layoutInCell="1" allowOverlap="1">
              <wp:simplePos x="0" y="0"/>
              <wp:positionH relativeFrom="page">
                <wp:posOffset>6811645</wp:posOffset>
              </wp:positionH>
              <wp:positionV relativeFrom="page">
                <wp:posOffset>10497820</wp:posOffset>
              </wp:positionV>
              <wp:extent cx="694690" cy="60960"/>
              <wp:wrapNone/>
              <wp:docPr id="141" name="Shape 14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67" type="#_x0000_t202" style="position:absolute;margin-left:536.35000000000002pt;margin-top:826.60000000000002pt;width:54.700000000000003pt;height:4.7999999999999998pt;z-index:-1887439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6730365</wp:posOffset>
              </wp:positionH>
              <wp:positionV relativeFrom="page">
                <wp:posOffset>10059035</wp:posOffset>
              </wp:positionV>
              <wp:extent cx="100330" cy="79375"/>
              <wp:wrapNone/>
              <wp:docPr id="146" name="Shape 14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2" type="#_x0000_t202" style="position:absolute;margin-left:529.95000000000005pt;margin-top:792.05000000000007pt;width:7.9000000000000004pt;height:6.25pt;z-index:-1887439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8" behindDoc="1" locked="0" layoutInCell="1" allowOverlap="1">
              <wp:simplePos x="0" y="0"/>
              <wp:positionH relativeFrom="page">
                <wp:posOffset>6901180</wp:posOffset>
              </wp:positionH>
              <wp:positionV relativeFrom="page">
                <wp:posOffset>10363835</wp:posOffset>
              </wp:positionV>
              <wp:extent cx="548640" cy="149225"/>
              <wp:wrapNone/>
              <wp:docPr id="148" name="Shape 148"/>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74" type="#_x0000_t202" style="position:absolute;margin-left:543.39999999999998pt;margin-top:816.05000000000007pt;width:43.200000000000003pt;height:11.75pt;z-index:-1887439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10" behindDoc="1" locked="0" layoutInCell="1" allowOverlap="1">
              <wp:simplePos x="0" y="0"/>
              <wp:positionH relativeFrom="page">
                <wp:posOffset>6828155</wp:posOffset>
              </wp:positionH>
              <wp:positionV relativeFrom="page">
                <wp:posOffset>10598785</wp:posOffset>
              </wp:positionV>
              <wp:extent cx="694690" cy="60960"/>
              <wp:wrapNone/>
              <wp:docPr id="150" name="Shape 15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76" type="#_x0000_t202" style="position:absolute;margin-left:537.64999999999998pt;margin-top:834.55000000000007pt;width:54.700000000000003pt;height:4.7999999999999998pt;z-index:-1887439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6769735</wp:posOffset>
              </wp:positionH>
              <wp:positionV relativeFrom="page">
                <wp:posOffset>9961245</wp:posOffset>
              </wp:positionV>
              <wp:extent cx="52070" cy="79375"/>
              <wp:wrapNone/>
              <wp:docPr id="13" name="Shape 13"/>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9" type="#_x0000_t202" style="position:absolute;margin-left:533.04999999999995pt;margin-top:784.35000000000002pt;width:4.0999999999999996pt;height:6.25pt;z-index:-1887440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2" behindDoc="1" locked="0" layoutInCell="1" allowOverlap="1">
              <wp:simplePos x="0" y="0"/>
              <wp:positionH relativeFrom="page">
                <wp:posOffset>6821170</wp:posOffset>
              </wp:positionH>
              <wp:positionV relativeFrom="page">
                <wp:posOffset>10497820</wp:posOffset>
              </wp:positionV>
              <wp:extent cx="694690" cy="60960"/>
              <wp:wrapNone/>
              <wp:docPr id="15" name="Shape 1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41" type="#_x0000_t202" style="position:absolute;margin-left:537.10000000000002pt;margin-top:826.60000000000002pt;width:54.700000000000003pt;height:4.7999999999999998pt;z-index:-1887440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6730365</wp:posOffset>
              </wp:positionH>
              <wp:positionV relativeFrom="page">
                <wp:posOffset>9958070</wp:posOffset>
              </wp:positionV>
              <wp:extent cx="100330" cy="79375"/>
              <wp:wrapNone/>
              <wp:docPr id="155" name="Shape 15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1" type="#_x0000_t202" style="position:absolute;margin-left:529.95000000000005pt;margin-top:784.10000000000002pt;width:7.9000000000000004pt;height:6.25pt;z-index:-18874393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6730365</wp:posOffset>
              </wp:positionH>
              <wp:positionV relativeFrom="page">
                <wp:posOffset>9958070</wp:posOffset>
              </wp:positionV>
              <wp:extent cx="100330" cy="79375"/>
              <wp:wrapNone/>
              <wp:docPr id="160" name="Shape 16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6" type="#_x0000_t202" style="position:absolute;margin-left:529.95000000000005pt;margin-top:784.10000000000002pt;width:7.9000000000000004pt;height:6.25pt;z-index:-18874393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6730365</wp:posOffset>
              </wp:positionH>
              <wp:positionV relativeFrom="page">
                <wp:posOffset>10059035</wp:posOffset>
              </wp:positionV>
              <wp:extent cx="100330" cy="79375"/>
              <wp:wrapNone/>
              <wp:docPr id="165" name="Shape 16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1" type="#_x0000_t202" style="position:absolute;margin-left:529.95000000000005pt;margin-top:792.05000000000007pt;width:7.9000000000000004pt;height:6.25pt;z-index:-18874393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24" behindDoc="1" locked="0" layoutInCell="1" allowOverlap="1">
              <wp:simplePos x="0" y="0"/>
              <wp:positionH relativeFrom="page">
                <wp:posOffset>6901180</wp:posOffset>
              </wp:positionH>
              <wp:positionV relativeFrom="page">
                <wp:posOffset>10363835</wp:posOffset>
              </wp:positionV>
              <wp:extent cx="548640" cy="149225"/>
              <wp:wrapNone/>
              <wp:docPr id="167" name="Shape 16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193" type="#_x0000_t202" style="position:absolute;margin-left:543.39999999999998pt;margin-top:816.05000000000007pt;width:43.200000000000003pt;height:11.75pt;z-index:-18874392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26" behindDoc="1" locked="0" layoutInCell="1" allowOverlap="1">
              <wp:simplePos x="0" y="0"/>
              <wp:positionH relativeFrom="page">
                <wp:posOffset>6828155</wp:posOffset>
              </wp:positionH>
              <wp:positionV relativeFrom="page">
                <wp:posOffset>10598785</wp:posOffset>
              </wp:positionV>
              <wp:extent cx="694690" cy="60960"/>
              <wp:wrapNone/>
              <wp:docPr id="169" name="Shape 16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195" type="#_x0000_t202" style="position:absolute;margin-left:537.64999999999998pt;margin-top:834.55000000000007pt;width:54.700000000000003pt;height:4.7999999999999998pt;z-index:-1887439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6730365</wp:posOffset>
              </wp:positionH>
              <wp:positionV relativeFrom="page">
                <wp:posOffset>10059035</wp:posOffset>
              </wp:positionV>
              <wp:extent cx="100330" cy="79375"/>
              <wp:wrapNone/>
              <wp:docPr id="174" name="Shape 17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0" type="#_x0000_t202" style="position:absolute;margin-left:529.95000000000005pt;margin-top:792.05000000000007pt;width:7.9000000000000004pt;height:6.25pt;z-index:-18874392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32" behindDoc="1" locked="0" layoutInCell="1" allowOverlap="1">
              <wp:simplePos x="0" y="0"/>
              <wp:positionH relativeFrom="page">
                <wp:posOffset>6901180</wp:posOffset>
              </wp:positionH>
              <wp:positionV relativeFrom="page">
                <wp:posOffset>10363835</wp:posOffset>
              </wp:positionV>
              <wp:extent cx="548640" cy="149225"/>
              <wp:wrapNone/>
              <wp:docPr id="176" name="Shape 17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02" type="#_x0000_t202" style="position:absolute;margin-left:543.39999999999998pt;margin-top:816.05000000000007pt;width:43.200000000000003pt;height:11.75pt;z-index:-18874392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34" behindDoc="1" locked="0" layoutInCell="1" allowOverlap="1">
              <wp:simplePos x="0" y="0"/>
              <wp:positionH relativeFrom="page">
                <wp:posOffset>6828155</wp:posOffset>
              </wp:positionH>
              <wp:positionV relativeFrom="page">
                <wp:posOffset>10598785</wp:posOffset>
              </wp:positionV>
              <wp:extent cx="694690" cy="60960"/>
              <wp:wrapNone/>
              <wp:docPr id="178" name="Shape 17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04" type="#_x0000_t202" style="position:absolute;margin-left:537.64999999999998pt;margin-top:834.55000000000007pt;width:54.700000000000003pt;height:4.7999999999999998pt;z-index:-18874391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6400800</wp:posOffset>
              </wp:positionH>
              <wp:positionV relativeFrom="page">
                <wp:posOffset>9958070</wp:posOffset>
              </wp:positionV>
              <wp:extent cx="113030" cy="79375"/>
              <wp:wrapNone/>
              <wp:docPr id="183" name="Shape 183"/>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9" type="#_x0000_t202" style="position:absolute;margin-left:504.pt;margin-top:784.10000000000002pt;width:8.9000000000000004pt;height:6.25pt;z-index:-1887439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0" behindDoc="1" locked="0" layoutInCell="1" allowOverlap="1">
              <wp:simplePos x="0" y="0"/>
              <wp:positionH relativeFrom="page">
                <wp:posOffset>6583680</wp:posOffset>
              </wp:positionH>
              <wp:positionV relativeFrom="page">
                <wp:posOffset>10260330</wp:posOffset>
              </wp:positionV>
              <wp:extent cx="548640" cy="219710"/>
              <wp:wrapNone/>
              <wp:docPr id="185" name="Shape 18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sz w:val="20"/>
                              <w:szCs w:val="20"/>
                            </w:rPr>
                            <w:t>cninf^</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211" type="#_x0000_t202" style="position:absolute;margin-left:518.39999999999998pt;margin-top:807.89999999999998pt;width:43.200000000000003pt;height:17.300000000000001pt;z-index:-18874391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sz w:val="20"/>
                        <w:szCs w:val="20"/>
                      </w:rPr>
                      <w:t>cninf^</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842" behindDoc="1" locked="0" layoutInCell="1" allowOverlap="1">
              <wp:simplePos x="0" y="0"/>
              <wp:positionH relativeFrom="page">
                <wp:posOffset>6510020</wp:posOffset>
              </wp:positionH>
              <wp:positionV relativeFrom="page">
                <wp:posOffset>10497820</wp:posOffset>
              </wp:positionV>
              <wp:extent cx="694690" cy="60960"/>
              <wp:wrapNone/>
              <wp:docPr id="187" name="Shape 18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13" type="#_x0000_t202" style="position:absolute;margin-left:512.60000000000002pt;margin-top:826.60000000000002pt;width:54.700000000000003pt;height:4.7999999999999998pt;z-index:-18874391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6400800</wp:posOffset>
              </wp:positionH>
              <wp:positionV relativeFrom="page">
                <wp:posOffset>9958070</wp:posOffset>
              </wp:positionV>
              <wp:extent cx="113030" cy="79375"/>
              <wp:wrapNone/>
              <wp:docPr id="192" name="Shape 192"/>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18" type="#_x0000_t202" style="position:absolute;margin-left:504.pt;margin-top:784.10000000000002pt;width:8.9000000000000004pt;height:6.25pt;z-index:-18874390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48" behindDoc="1" locked="0" layoutInCell="1" allowOverlap="1">
              <wp:simplePos x="0" y="0"/>
              <wp:positionH relativeFrom="page">
                <wp:posOffset>6583680</wp:posOffset>
              </wp:positionH>
              <wp:positionV relativeFrom="page">
                <wp:posOffset>10260330</wp:posOffset>
              </wp:positionV>
              <wp:extent cx="548640" cy="219710"/>
              <wp:wrapNone/>
              <wp:docPr id="194" name="Shape 19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sz w:val="20"/>
                              <w:szCs w:val="20"/>
                            </w:rPr>
                            <w:t>cninf^</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220" type="#_x0000_t202" style="position:absolute;margin-left:518.39999999999998pt;margin-top:807.89999999999998pt;width:43.200000000000003pt;height:17.300000000000001pt;z-index:-1887439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A2A2A2"/>
                        <w:spacing w:val="0"/>
                        <w:w w:val="100"/>
                        <w:position w:val="0"/>
                        <w:sz w:val="20"/>
                        <w:szCs w:val="20"/>
                      </w:rPr>
                      <w:t>cninf^</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850" behindDoc="1" locked="0" layoutInCell="1" allowOverlap="1">
              <wp:simplePos x="0" y="0"/>
              <wp:positionH relativeFrom="page">
                <wp:posOffset>6510020</wp:posOffset>
              </wp:positionH>
              <wp:positionV relativeFrom="page">
                <wp:posOffset>10497820</wp:posOffset>
              </wp:positionV>
              <wp:extent cx="694690" cy="60960"/>
              <wp:wrapNone/>
              <wp:docPr id="196" name="Shape 19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22" type="#_x0000_t202" style="position:absolute;margin-left:512.60000000000002pt;margin-top:826.60000000000002pt;width:54.700000000000003pt;height:4.7999999999999998pt;z-index:-1887439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6400800</wp:posOffset>
              </wp:positionH>
              <wp:positionV relativeFrom="page">
                <wp:posOffset>9958070</wp:posOffset>
              </wp:positionV>
              <wp:extent cx="115570" cy="79375"/>
              <wp:wrapNone/>
              <wp:docPr id="201" name="Shape 201"/>
              <a:graphic xmlns:a="http://schemas.openxmlformats.org/drawingml/2006/main">
                <a:graphicData uri="http://schemas.microsoft.com/office/word/2010/wordprocessingShape">
                  <wps:wsp>
                    <wps:cNvSpPr txBox="1"/>
                    <wps:spPr>
                      <a:xfrm>
                        <a:ext cx="11557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27" type="#_x0000_t202" style="position:absolute;margin-left:504.pt;margin-top:784.10000000000002pt;width:9.0999999999999996pt;height:6.25pt;z-index:-18874389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56" behindDoc="1" locked="0" layoutInCell="1" allowOverlap="1">
              <wp:simplePos x="0" y="0"/>
              <wp:positionH relativeFrom="page">
                <wp:posOffset>6510020</wp:posOffset>
              </wp:positionH>
              <wp:positionV relativeFrom="page">
                <wp:posOffset>10497820</wp:posOffset>
              </wp:positionV>
              <wp:extent cx="694690" cy="60960"/>
              <wp:wrapNone/>
              <wp:docPr id="203" name="Shape 2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229" type="#_x0000_t202" style="position:absolute;margin-left:512.60000000000002pt;margin-top:826.60000000000002pt;width:54.700000000000003pt;height:4.7999999999999998pt;z-index:-18874389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6730365</wp:posOffset>
              </wp:positionH>
              <wp:positionV relativeFrom="page">
                <wp:posOffset>10059035</wp:posOffset>
              </wp:positionV>
              <wp:extent cx="100330" cy="79375"/>
              <wp:wrapNone/>
              <wp:docPr id="208" name="Shape 20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34" type="#_x0000_t202" style="position:absolute;margin-left:529.95000000000005pt;margin-top:792.05000000000007pt;width:7.9000000000000004pt;height:6.25pt;z-index:-18874389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62" behindDoc="1" locked="0" layoutInCell="1" allowOverlap="1">
              <wp:simplePos x="0" y="0"/>
              <wp:positionH relativeFrom="page">
                <wp:posOffset>6901180</wp:posOffset>
              </wp:positionH>
              <wp:positionV relativeFrom="page">
                <wp:posOffset>10363835</wp:posOffset>
              </wp:positionV>
              <wp:extent cx="548640" cy="149225"/>
              <wp:wrapNone/>
              <wp:docPr id="210" name="Shape 21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36" type="#_x0000_t202" style="position:absolute;margin-left:543.39999999999998pt;margin-top:816.05000000000007pt;width:43.200000000000003pt;height:11.75pt;z-index:-18874389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64" behindDoc="1" locked="0" layoutInCell="1" allowOverlap="1">
              <wp:simplePos x="0" y="0"/>
              <wp:positionH relativeFrom="page">
                <wp:posOffset>6828155</wp:posOffset>
              </wp:positionH>
              <wp:positionV relativeFrom="page">
                <wp:posOffset>10598785</wp:posOffset>
              </wp:positionV>
              <wp:extent cx="694690" cy="60960"/>
              <wp:wrapNone/>
              <wp:docPr id="212" name="Shape 21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38" type="#_x0000_t202" style="position:absolute;margin-left:537.64999999999998pt;margin-top:834.55000000000007pt;width:54.700000000000003pt;height:4.7999999999999998pt;z-index:-18874388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6730365</wp:posOffset>
              </wp:positionH>
              <wp:positionV relativeFrom="page">
                <wp:posOffset>10059035</wp:posOffset>
              </wp:positionV>
              <wp:extent cx="100330" cy="79375"/>
              <wp:wrapNone/>
              <wp:docPr id="217" name="Shape 21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3" type="#_x0000_t202" style="position:absolute;margin-left:529.95000000000005pt;margin-top:792.05000000000007pt;width:7.9000000000000004pt;height:6.25pt;z-index:-18874388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0" behindDoc="1" locked="0" layoutInCell="1" allowOverlap="1">
              <wp:simplePos x="0" y="0"/>
              <wp:positionH relativeFrom="page">
                <wp:posOffset>6901180</wp:posOffset>
              </wp:positionH>
              <wp:positionV relativeFrom="page">
                <wp:posOffset>10363835</wp:posOffset>
              </wp:positionV>
              <wp:extent cx="548640" cy="149225"/>
              <wp:wrapNone/>
              <wp:docPr id="219" name="Shape 21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45" type="#_x0000_t202" style="position:absolute;margin-left:543.39999999999998pt;margin-top:816.05000000000007pt;width:43.200000000000003pt;height:11.75pt;z-index:-18874388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72" behindDoc="1" locked="0" layoutInCell="1" allowOverlap="1">
              <wp:simplePos x="0" y="0"/>
              <wp:positionH relativeFrom="page">
                <wp:posOffset>6828155</wp:posOffset>
              </wp:positionH>
              <wp:positionV relativeFrom="page">
                <wp:posOffset>10598785</wp:posOffset>
              </wp:positionV>
              <wp:extent cx="694690" cy="60960"/>
              <wp:wrapNone/>
              <wp:docPr id="221" name="Shape 2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47" type="#_x0000_t202" style="position:absolute;margin-left:537.64999999999998pt;margin-top:834.55000000000007pt;width:54.700000000000003pt;height:4.7999999999999998pt;z-index:-1887438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6769735</wp:posOffset>
              </wp:positionH>
              <wp:positionV relativeFrom="page">
                <wp:posOffset>9961245</wp:posOffset>
              </wp:positionV>
              <wp:extent cx="52070" cy="79375"/>
              <wp:wrapNone/>
              <wp:docPr id="226" name="Shape 226"/>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2" type="#_x0000_t202" style="position:absolute;margin-left:533.04999999999995pt;margin-top:784.35000000000002pt;width:4.0999999999999996pt;height:6.25pt;z-index:-18874387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8" behindDoc="1" locked="0" layoutInCell="1" allowOverlap="1">
              <wp:simplePos x="0" y="0"/>
              <wp:positionH relativeFrom="page">
                <wp:posOffset>6821170</wp:posOffset>
              </wp:positionH>
              <wp:positionV relativeFrom="page">
                <wp:posOffset>10497820</wp:posOffset>
              </wp:positionV>
              <wp:extent cx="694690" cy="60960"/>
              <wp:wrapNone/>
              <wp:docPr id="228" name="Shape 2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54" type="#_x0000_t202" style="position:absolute;margin-left:537.10000000000002pt;margin-top:826.60000000000002pt;width:54.700000000000003pt;height:4.7999999999999998pt;z-index:-18874387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6769735</wp:posOffset>
              </wp:positionH>
              <wp:positionV relativeFrom="page">
                <wp:posOffset>9961245</wp:posOffset>
              </wp:positionV>
              <wp:extent cx="52070" cy="79375"/>
              <wp:wrapNone/>
              <wp:docPr id="233" name="Shape 233"/>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9" type="#_x0000_t202" style="position:absolute;margin-left:533.04999999999995pt;margin-top:784.35000000000002pt;width:4.0999999999999996pt;height:6.25pt;z-index:-18874387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4" behindDoc="1" locked="0" layoutInCell="1" allowOverlap="1">
              <wp:simplePos x="0" y="0"/>
              <wp:positionH relativeFrom="page">
                <wp:posOffset>6821170</wp:posOffset>
              </wp:positionH>
              <wp:positionV relativeFrom="page">
                <wp:posOffset>10497820</wp:posOffset>
              </wp:positionV>
              <wp:extent cx="694690" cy="60960"/>
              <wp:wrapNone/>
              <wp:docPr id="235" name="Shape 2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61" type="#_x0000_t202" style="position:absolute;margin-left:537.10000000000002pt;margin-top:826.60000000000002pt;width:54.700000000000003pt;height:4.7999999999999998pt;z-index:-18874386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6730365</wp:posOffset>
              </wp:positionH>
              <wp:positionV relativeFrom="page">
                <wp:posOffset>10059035</wp:posOffset>
              </wp:positionV>
              <wp:extent cx="100330" cy="79375"/>
              <wp:wrapNone/>
              <wp:docPr id="240" name="Shape 24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6" type="#_x0000_t202" style="position:absolute;margin-left:529.95000000000005pt;margin-top:792.05000000000007pt;width:7.9000000000000004pt;height:6.25pt;z-index:-18874386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0" behindDoc="1" locked="0" layoutInCell="1" allowOverlap="1">
              <wp:simplePos x="0" y="0"/>
              <wp:positionH relativeFrom="page">
                <wp:posOffset>6901180</wp:posOffset>
              </wp:positionH>
              <wp:positionV relativeFrom="page">
                <wp:posOffset>10363835</wp:posOffset>
              </wp:positionV>
              <wp:extent cx="548640" cy="149225"/>
              <wp:wrapNone/>
              <wp:docPr id="242" name="Shape 24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68" type="#_x0000_t202" style="position:absolute;margin-left:543.39999999999998pt;margin-top:816.05000000000007pt;width:43.200000000000003pt;height:11.75pt;z-index:-1887438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892" behindDoc="1" locked="0" layoutInCell="1" allowOverlap="1">
              <wp:simplePos x="0" y="0"/>
              <wp:positionH relativeFrom="page">
                <wp:posOffset>6828155</wp:posOffset>
              </wp:positionH>
              <wp:positionV relativeFrom="page">
                <wp:posOffset>10598785</wp:posOffset>
              </wp:positionV>
              <wp:extent cx="694690" cy="60960"/>
              <wp:wrapNone/>
              <wp:docPr id="244" name="Shape 24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70" type="#_x0000_t202" style="position:absolute;margin-left:537.64999999999998pt;margin-top:834.55000000000007pt;width:54.700000000000003pt;height:4.7999999999999998pt;z-index:-1887438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6730365</wp:posOffset>
              </wp:positionH>
              <wp:positionV relativeFrom="page">
                <wp:posOffset>10059035</wp:posOffset>
              </wp:positionV>
              <wp:extent cx="100330" cy="79375"/>
              <wp:wrapNone/>
              <wp:docPr id="249" name="Shape 24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75" type="#_x0000_t202" style="position:absolute;margin-left:529.95000000000005pt;margin-top:792.05000000000007pt;width:7.9000000000000004pt;height:6.25pt;z-index:-1887438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8" behindDoc="1" locked="0" layoutInCell="1" allowOverlap="1">
              <wp:simplePos x="0" y="0"/>
              <wp:positionH relativeFrom="page">
                <wp:posOffset>6901180</wp:posOffset>
              </wp:positionH>
              <wp:positionV relativeFrom="page">
                <wp:posOffset>10363835</wp:posOffset>
              </wp:positionV>
              <wp:extent cx="548640" cy="149225"/>
              <wp:wrapNone/>
              <wp:docPr id="251" name="Shape 25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77" type="#_x0000_t202" style="position:absolute;margin-left:543.39999999999998pt;margin-top:816.05000000000007pt;width:43.200000000000003pt;height:11.75pt;z-index:-1887438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00" behindDoc="1" locked="0" layoutInCell="1" allowOverlap="1">
              <wp:simplePos x="0" y="0"/>
              <wp:positionH relativeFrom="page">
                <wp:posOffset>6828155</wp:posOffset>
              </wp:positionH>
              <wp:positionV relativeFrom="page">
                <wp:posOffset>10598785</wp:posOffset>
              </wp:positionV>
              <wp:extent cx="694690" cy="60960"/>
              <wp:wrapNone/>
              <wp:docPr id="253" name="Shape 25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79" type="#_x0000_t202" style="position:absolute;margin-left:537.64999999999998pt;margin-top:834.55000000000007pt;width:54.700000000000003pt;height:4.7999999999999998pt;z-index:-1887438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6730365</wp:posOffset>
              </wp:positionH>
              <wp:positionV relativeFrom="page">
                <wp:posOffset>10059035</wp:posOffset>
              </wp:positionV>
              <wp:extent cx="100330" cy="79375"/>
              <wp:wrapNone/>
              <wp:docPr id="258" name="Shape 25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84" type="#_x0000_t202" style="position:absolute;margin-left:529.95000000000005pt;margin-top:792.05000000000007pt;width:7.9000000000000004pt;height:6.25pt;z-index:-1887438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06" behindDoc="1" locked="0" layoutInCell="1" allowOverlap="1">
              <wp:simplePos x="0" y="0"/>
              <wp:positionH relativeFrom="page">
                <wp:posOffset>6901180</wp:posOffset>
              </wp:positionH>
              <wp:positionV relativeFrom="page">
                <wp:posOffset>10363835</wp:posOffset>
              </wp:positionV>
              <wp:extent cx="548640" cy="149225"/>
              <wp:wrapNone/>
              <wp:docPr id="260" name="Shape 26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86" type="#_x0000_t202" style="position:absolute;margin-left:543.39999999999998pt;margin-top:816.05000000000007pt;width:43.200000000000003pt;height:11.75pt;z-index:-1887438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08" behindDoc="1" locked="0" layoutInCell="1" allowOverlap="1">
              <wp:simplePos x="0" y="0"/>
              <wp:positionH relativeFrom="page">
                <wp:posOffset>6828155</wp:posOffset>
              </wp:positionH>
              <wp:positionV relativeFrom="page">
                <wp:posOffset>10598785</wp:posOffset>
              </wp:positionV>
              <wp:extent cx="694690" cy="60960"/>
              <wp:wrapNone/>
              <wp:docPr id="262" name="Shape 26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88" type="#_x0000_t202" style="position:absolute;margin-left:537.64999999999998pt;margin-top:834.55000000000007pt;width:54.700000000000003pt;height:4.7999999999999998pt;z-index:-1887438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6730365</wp:posOffset>
              </wp:positionH>
              <wp:positionV relativeFrom="page">
                <wp:posOffset>10059035</wp:posOffset>
              </wp:positionV>
              <wp:extent cx="100330" cy="79375"/>
              <wp:wrapNone/>
              <wp:docPr id="267" name="Shape 26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93" type="#_x0000_t202" style="position:absolute;margin-left:529.95000000000005pt;margin-top:792.05000000000007pt;width:7.9000000000000004pt;height:6.25pt;z-index:-1887438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4" behindDoc="1" locked="0" layoutInCell="1" allowOverlap="1">
              <wp:simplePos x="0" y="0"/>
              <wp:positionH relativeFrom="page">
                <wp:posOffset>6901180</wp:posOffset>
              </wp:positionH>
              <wp:positionV relativeFrom="page">
                <wp:posOffset>10363835</wp:posOffset>
              </wp:positionV>
              <wp:extent cx="548640" cy="149225"/>
              <wp:wrapNone/>
              <wp:docPr id="269" name="Shape 26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295" type="#_x0000_t202" style="position:absolute;margin-left:543.39999999999998pt;margin-top:816.05000000000007pt;width:43.200000000000003pt;height:11.75pt;z-index:-18874383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16" behindDoc="1" locked="0" layoutInCell="1" allowOverlap="1">
              <wp:simplePos x="0" y="0"/>
              <wp:positionH relativeFrom="page">
                <wp:posOffset>6828155</wp:posOffset>
              </wp:positionH>
              <wp:positionV relativeFrom="page">
                <wp:posOffset>10598785</wp:posOffset>
              </wp:positionV>
              <wp:extent cx="694690" cy="60960"/>
              <wp:wrapNone/>
              <wp:docPr id="271" name="Shape 27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297" type="#_x0000_t202" style="position:absolute;margin-left:537.64999999999998pt;margin-top:834.55000000000007pt;width:54.700000000000003pt;height:4.7999999999999998pt;z-index:-1887438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6714490</wp:posOffset>
              </wp:positionH>
              <wp:positionV relativeFrom="page">
                <wp:posOffset>9958070</wp:posOffset>
              </wp:positionV>
              <wp:extent cx="113030" cy="79375"/>
              <wp:wrapNone/>
              <wp:docPr id="276" name="Shape 276"/>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02" type="#_x0000_t202" style="position:absolute;margin-left:528.70000000000005pt;margin-top:784.10000000000002pt;width:8.9000000000000004pt;height:6.25pt;z-index:-1887438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22" behindDoc="1" locked="0" layoutInCell="1" allowOverlap="1">
              <wp:simplePos x="0" y="0"/>
              <wp:positionH relativeFrom="page">
                <wp:posOffset>6826885</wp:posOffset>
              </wp:positionH>
              <wp:positionV relativeFrom="page">
                <wp:posOffset>10262870</wp:posOffset>
              </wp:positionV>
              <wp:extent cx="692150" cy="298450"/>
              <wp:wrapNone/>
              <wp:docPr id="278" name="Shape 278"/>
              <a:graphic xmlns:a="http://schemas.openxmlformats.org/drawingml/2006/main">
                <a:graphicData uri="http://schemas.microsoft.com/office/word/2010/wordprocessingShape">
                  <wps:wsp>
                    <wps:cNvSpPr txBox="1"/>
                    <wps:spPr>
                      <a:xfrm>
                        <a:ext cx="692150" cy="29845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www.cnlnto.ccm.cn</w:t>
                          </w:r>
                        </w:p>
                      </w:txbxContent>
                    </wps:txbx>
                    <wps:bodyPr wrap="none" lIns="0" tIns="0" rIns="0" bIns="0">
                      <a:spAutoFit/>
                    </wps:bodyPr>
                  </wps:wsp>
                </a:graphicData>
              </a:graphic>
            </wp:anchor>
          </w:drawing>
        </mc:Choice>
        <mc:Fallback>
          <w:pict>
            <v:shape id="_x0000_s1304" type="#_x0000_t202" style="position:absolute;margin-left:537.54999999999995pt;margin-top:808.10000000000002pt;width:54.5pt;height:23.5pt;z-index:-1887438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www.cnlnto.ccm.cn</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6741795</wp:posOffset>
              </wp:positionH>
              <wp:positionV relativeFrom="page">
                <wp:posOffset>9958070</wp:posOffset>
              </wp:positionV>
              <wp:extent cx="109855" cy="79375"/>
              <wp:wrapNone/>
              <wp:docPr id="283" name="Shape 28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09" type="#_x0000_t202" style="position:absolute;margin-left:530.85000000000002pt;margin-top:784.10000000000002pt;width:8.6500000000000004pt;height:6.25pt;z-index:-1887438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28" behindDoc="1" locked="0" layoutInCell="1" allowOverlap="1">
              <wp:simplePos x="0" y="0"/>
              <wp:positionH relativeFrom="page">
                <wp:posOffset>6924675</wp:posOffset>
              </wp:positionH>
              <wp:positionV relativeFrom="page">
                <wp:posOffset>10260330</wp:posOffset>
              </wp:positionV>
              <wp:extent cx="548640" cy="219710"/>
              <wp:wrapNone/>
              <wp:docPr id="285" name="Shape 28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311" type="#_x0000_t202" style="position:absolute;margin-left:545.25pt;margin-top:807.89999999999998pt;width:43.200000000000003pt;height:17.300000000000001pt;z-index:-1887438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930" behindDoc="1" locked="0" layoutInCell="1" allowOverlap="1">
              <wp:simplePos x="0" y="0"/>
              <wp:positionH relativeFrom="page">
                <wp:posOffset>6851650</wp:posOffset>
              </wp:positionH>
              <wp:positionV relativeFrom="page">
                <wp:posOffset>10497820</wp:posOffset>
              </wp:positionV>
              <wp:extent cx="694690" cy="60960"/>
              <wp:wrapNone/>
              <wp:docPr id="287" name="Shape 28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13" type="#_x0000_t202" style="position:absolute;margin-left:539.5pt;margin-top:826.60000000000002pt;width:54.700000000000003pt;height:4.7999999999999998pt;z-index:-1887438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6714490</wp:posOffset>
              </wp:positionH>
              <wp:positionV relativeFrom="page">
                <wp:posOffset>9958070</wp:posOffset>
              </wp:positionV>
              <wp:extent cx="113030" cy="79375"/>
              <wp:wrapNone/>
              <wp:docPr id="292" name="Shape 292"/>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18" type="#_x0000_t202" style="position:absolute;margin-left:528.70000000000005pt;margin-top:784.10000000000002pt;width:8.9000000000000004pt;height:6.25pt;z-index:-1887438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36" behindDoc="1" locked="0" layoutInCell="1" allowOverlap="1">
              <wp:simplePos x="0" y="0"/>
              <wp:positionH relativeFrom="page">
                <wp:posOffset>6824345</wp:posOffset>
              </wp:positionH>
              <wp:positionV relativeFrom="page">
                <wp:posOffset>10497820</wp:posOffset>
              </wp:positionV>
              <wp:extent cx="694690" cy="60960"/>
              <wp:wrapNone/>
              <wp:docPr id="294" name="Shape 29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wps:txbx>
                    <wps:bodyPr wrap="none" lIns="0" tIns="0" rIns="0" bIns="0">
                      <a:spAutoFit/>
                    </wps:bodyPr>
                  </wps:wsp>
                </a:graphicData>
              </a:graphic>
            </wp:anchor>
          </w:drawing>
        </mc:Choice>
        <mc:Fallback>
          <w:pict>
            <v:shape id="_x0000_s1320" type="#_x0000_t202" style="position:absolute;margin-left:537.35000000000002pt;margin-top:826.60000000000002pt;width:54.700000000000003pt;height:4.7999999999999998pt;z-index:-1887438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ww.cnlnTo.com.cn</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6708140</wp:posOffset>
              </wp:positionH>
              <wp:positionV relativeFrom="page">
                <wp:posOffset>9958070</wp:posOffset>
              </wp:positionV>
              <wp:extent cx="113030" cy="79375"/>
              <wp:wrapNone/>
              <wp:docPr id="299" name="Shape 299"/>
              <a:graphic xmlns:a="http://schemas.openxmlformats.org/drawingml/2006/main">
                <a:graphicData uri="http://schemas.microsoft.com/office/word/2010/wordprocessingShape">
                  <wps:wsp>
                    <wps:cNvSpPr txBox="1"/>
                    <wps:spPr>
                      <a:xfrm>
                        <a:ext cx="11303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25" type="#_x0000_t202" style="position:absolute;margin-left:528.20000000000005pt;margin-top:784.10000000000002pt;width:8.9000000000000004pt;height:6.25pt;z-index:-1887438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42" behindDoc="1" locked="0" layoutInCell="1" allowOverlap="1">
              <wp:simplePos x="0" y="0"/>
              <wp:positionH relativeFrom="page">
                <wp:posOffset>6891020</wp:posOffset>
              </wp:positionH>
              <wp:positionV relativeFrom="page">
                <wp:posOffset>10262870</wp:posOffset>
              </wp:positionV>
              <wp:extent cx="548640" cy="216535"/>
              <wp:wrapNone/>
              <wp:docPr id="301" name="Shape 301"/>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327" type="#_x0000_t202" style="position:absolute;margin-left:542.60000000000002pt;margin-top:808.10000000000002pt;width:43.200000000000003pt;height:17.050000000000001pt;z-index:-1887438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944" behindDoc="1" locked="0" layoutInCell="1" allowOverlap="1">
              <wp:simplePos x="0" y="0"/>
              <wp:positionH relativeFrom="page">
                <wp:posOffset>6817995</wp:posOffset>
              </wp:positionH>
              <wp:positionV relativeFrom="page">
                <wp:posOffset>10497820</wp:posOffset>
              </wp:positionV>
              <wp:extent cx="694690" cy="60960"/>
              <wp:wrapNone/>
              <wp:docPr id="303" name="Shape 3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29" type="#_x0000_t202" style="position:absolute;margin-left:536.85000000000002pt;margin-top:826.60000000000002pt;width:54.700000000000003pt;height:4.7999999999999998pt;z-index:-1887438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6730365</wp:posOffset>
              </wp:positionH>
              <wp:positionV relativeFrom="page">
                <wp:posOffset>10059035</wp:posOffset>
              </wp:positionV>
              <wp:extent cx="100330" cy="79375"/>
              <wp:wrapNone/>
              <wp:docPr id="308" name="Shape 30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4" type="#_x0000_t202" style="position:absolute;margin-left:529.95000000000005pt;margin-top:792.05000000000007pt;width:7.9000000000000004pt;height:6.25pt;z-index:-1887438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0" behindDoc="1" locked="0" layoutInCell="1" allowOverlap="1">
              <wp:simplePos x="0" y="0"/>
              <wp:positionH relativeFrom="page">
                <wp:posOffset>6901180</wp:posOffset>
              </wp:positionH>
              <wp:positionV relativeFrom="page">
                <wp:posOffset>10363835</wp:posOffset>
              </wp:positionV>
              <wp:extent cx="548640" cy="149225"/>
              <wp:wrapNone/>
              <wp:docPr id="310" name="Shape 31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36" type="#_x0000_t202" style="position:absolute;margin-left:543.39999999999998pt;margin-top:816.05000000000007pt;width:43.200000000000003pt;height:11.75pt;z-index:-1887438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52" behindDoc="1" locked="0" layoutInCell="1" allowOverlap="1">
              <wp:simplePos x="0" y="0"/>
              <wp:positionH relativeFrom="page">
                <wp:posOffset>6828155</wp:posOffset>
              </wp:positionH>
              <wp:positionV relativeFrom="page">
                <wp:posOffset>10598785</wp:posOffset>
              </wp:positionV>
              <wp:extent cx="694690" cy="60960"/>
              <wp:wrapNone/>
              <wp:docPr id="312" name="Shape 31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38" type="#_x0000_t202" style="position:absolute;margin-left:537.64999999999998pt;margin-top:834.55000000000007pt;width:54.700000000000003pt;height:4.7999999999999998pt;z-index:-18874380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6769735</wp:posOffset>
              </wp:positionH>
              <wp:positionV relativeFrom="page">
                <wp:posOffset>9961245</wp:posOffset>
              </wp:positionV>
              <wp:extent cx="52070" cy="79375"/>
              <wp:wrapNone/>
              <wp:docPr id="26" name="Shape 26"/>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2" type="#_x0000_t202" style="position:absolute;margin-left:533.04999999999995pt;margin-top:784.35000000000002pt;width:4.0999999999999996pt;height:6.25pt;z-index:-1887440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8" behindDoc="1" locked="0" layoutInCell="1" allowOverlap="1">
              <wp:simplePos x="0" y="0"/>
              <wp:positionH relativeFrom="page">
                <wp:posOffset>6821170</wp:posOffset>
              </wp:positionH>
              <wp:positionV relativeFrom="page">
                <wp:posOffset>10497820</wp:posOffset>
              </wp:positionV>
              <wp:extent cx="694690" cy="60960"/>
              <wp:wrapNone/>
              <wp:docPr id="28" name="Shape 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54" type="#_x0000_t202" style="position:absolute;margin-left:537.10000000000002pt;margin-top:826.60000000000002pt;width:54.700000000000003pt;height:4.7999999999999998pt;z-index:-1887440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6730365</wp:posOffset>
              </wp:positionH>
              <wp:positionV relativeFrom="page">
                <wp:posOffset>10059035</wp:posOffset>
              </wp:positionV>
              <wp:extent cx="100330" cy="79375"/>
              <wp:wrapNone/>
              <wp:docPr id="317" name="Shape 31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3" type="#_x0000_t202" style="position:absolute;margin-left:529.95000000000005pt;margin-top:792.05000000000007pt;width:7.9000000000000004pt;height:6.25pt;z-index:-18874379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8" behindDoc="1" locked="0" layoutInCell="1" allowOverlap="1">
              <wp:simplePos x="0" y="0"/>
              <wp:positionH relativeFrom="page">
                <wp:posOffset>6901180</wp:posOffset>
              </wp:positionH>
              <wp:positionV relativeFrom="page">
                <wp:posOffset>10363835</wp:posOffset>
              </wp:positionV>
              <wp:extent cx="548640" cy="149225"/>
              <wp:wrapNone/>
              <wp:docPr id="319" name="Shape 319"/>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45" type="#_x0000_t202" style="position:absolute;margin-left:543.39999999999998pt;margin-top:816.05000000000007pt;width:43.200000000000003pt;height:11.75pt;z-index:-18874379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60" behindDoc="1" locked="0" layoutInCell="1" allowOverlap="1">
              <wp:simplePos x="0" y="0"/>
              <wp:positionH relativeFrom="page">
                <wp:posOffset>6828155</wp:posOffset>
              </wp:positionH>
              <wp:positionV relativeFrom="page">
                <wp:posOffset>10598785</wp:posOffset>
              </wp:positionV>
              <wp:extent cx="694690" cy="60960"/>
              <wp:wrapNone/>
              <wp:docPr id="321" name="Shape 3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47" type="#_x0000_t202" style="position:absolute;margin-left:537.64999999999998pt;margin-top:834.55000000000007pt;width:54.700000000000003pt;height:4.7999999999999998pt;z-index:-18874379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6741795</wp:posOffset>
              </wp:positionH>
              <wp:positionV relativeFrom="page">
                <wp:posOffset>9958070</wp:posOffset>
              </wp:positionV>
              <wp:extent cx="109855" cy="79375"/>
              <wp:wrapNone/>
              <wp:docPr id="326" name="Shape 32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52" type="#_x0000_t202" style="position:absolute;margin-left:530.85000000000002pt;margin-top:784.10000000000002pt;width:8.6500000000000004pt;height:6.25pt;z-index:-1887437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66" behindDoc="1" locked="0" layoutInCell="1" allowOverlap="1">
              <wp:simplePos x="0" y="0"/>
              <wp:positionH relativeFrom="page">
                <wp:posOffset>6924675</wp:posOffset>
              </wp:positionH>
              <wp:positionV relativeFrom="page">
                <wp:posOffset>10260330</wp:posOffset>
              </wp:positionV>
              <wp:extent cx="548640" cy="219710"/>
              <wp:wrapNone/>
              <wp:docPr id="328" name="Shape 32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354" type="#_x0000_t202" style="position:absolute;margin-left:545.25pt;margin-top:807.89999999999998pt;width:43.200000000000003pt;height:17.300000000000001pt;z-index:-1887437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4968" behindDoc="1" locked="0" layoutInCell="1" allowOverlap="1">
              <wp:simplePos x="0" y="0"/>
              <wp:positionH relativeFrom="page">
                <wp:posOffset>6851650</wp:posOffset>
              </wp:positionH>
              <wp:positionV relativeFrom="page">
                <wp:posOffset>10497820</wp:posOffset>
              </wp:positionV>
              <wp:extent cx="694690" cy="60960"/>
              <wp:wrapNone/>
              <wp:docPr id="330" name="Shape 33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56" type="#_x0000_t202" style="position:absolute;margin-left:539.5pt;margin-top:826.60000000000002pt;width:54.700000000000003pt;height:4.7999999999999998pt;z-index:-1887437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6730365</wp:posOffset>
              </wp:positionH>
              <wp:positionV relativeFrom="page">
                <wp:posOffset>9958070</wp:posOffset>
              </wp:positionV>
              <wp:extent cx="100330" cy="79375"/>
              <wp:wrapNone/>
              <wp:docPr id="335" name="Shape 33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1" type="#_x0000_t202" style="position:absolute;margin-left:529.95000000000005pt;margin-top:784.10000000000002pt;width:7.9000000000000004pt;height:6.25pt;z-index:-1887437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6730365</wp:posOffset>
              </wp:positionH>
              <wp:positionV relativeFrom="page">
                <wp:posOffset>9958070</wp:posOffset>
              </wp:positionV>
              <wp:extent cx="100330" cy="79375"/>
              <wp:wrapNone/>
              <wp:docPr id="340" name="Shape 34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6" type="#_x0000_t202" style="position:absolute;margin-left:529.95000000000005pt;margin-top:784.10000000000002pt;width:7.9000000000000004pt;height:6.25pt;z-index:-18874377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6730365</wp:posOffset>
              </wp:positionH>
              <wp:positionV relativeFrom="page">
                <wp:posOffset>10059035</wp:posOffset>
              </wp:positionV>
              <wp:extent cx="100330" cy="79375"/>
              <wp:wrapNone/>
              <wp:docPr id="345" name="Shape 34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1" type="#_x0000_t202" style="position:absolute;margin-left:529.95000000000005pt;margin-top:792.05000000000007pt;width:7.9000000000000004pt;height:6.25pt;z-index:-18874377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82" behindDoc="1" locked="0" layoutInCell="1" allowOverlap="1">
              <wp:simplePos x="0" y="0"/>
              <wp:positionH relativeFrom="page">
                <wp:posOffset>6901180</wp:posOffset>
              </wp:positionH>
              <wp:positionV relativeFrom="page">
                <wp:posOffset>10363835</wp:posOffset>
              </wp:positionV>
              <wp:extent cx="548640" cy="149225"/>
              <wp:wrapNone/>
              <wp:docPr id="347" name="Shape 347"/>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73" type="#_x0000_t202" style="position:absolute;margin-left:543.39999999999998pt;margin-top:816.05000000000007pt;width:43.200000000000003pt;height:11.75pt;z-index:-18874377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84" behindDoc="1" locked="0" layoutInCell="1" allowOverlap="1">
              <wp:simplePos x="0" y="0"/>
              <wp:positionH relativeFrom="page">
                <wp:posOffset>6828155</wp:posOffset>
              </wp:positionH>
              <wp:positionV relativeFrom="page">
                <wp:posOffset>10598785</wp:posOffset>
              </wp:positionV>
              <wp:extent cx="694690" cy="60960"/>
              <wp:wrapNone/>
              <wp:docPr id="349" name="Shape 34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75" type="#_x0000_t202" style="position:absolute;margin-left:537.64999999999998pt;margin-top:834.55000000000007pt;width:54.700000000000003pt;height:4.7999999999999998pt;z-index:-18874376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6730365</wp:posOffset>
              </wp:positionH>
              <wp:positionV relativeFrom="page">
                <wp:posOffset>10059035</wp:posOffset>
              </wp:positionV>
              <wp:extent cx="100330" cy="79375"/>
              <wp:wrapNone/>
              <wp:docPr id="354" name="Shape 35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0" type="#_x0000_t202" style="position:absolute;margin-left:529.95000000000005pt;margin-top:792.05000000000007pt;width:7.9000000000000004pt;height:6.25pt;z-index:-18874376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0" behindDoc="1" locked="0" layoutInCell="1" allowOverlap="1">
              <wp:simplePos x="0" y="0"/>
              <wp:positionH relativeFrom="page">
                <wp:posOffset>6901180</wp:posOffset>
              </wp:positionH>
              <wp:positionV relativeFrom="page">
                <wp:posOffset>10363835</wp:posOffset>
              </wp:positionV>
              <wp:extent cx="548640" cy="149225"/>
              <wp:wrapNone/>
              <wp:docPr id="356" name="Shape 35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82" type="#_x0000_t202" style="position:absolute;margin-left:543.39999999999998pt;margin-top:816.05000000000007pt;width:43.200000000000003pt;height:11.75pt;z-index:-1887437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992" behindDoc="1" locked="0" layoutInCell="1" allowOverlap="1">
              <wp:simplePos x="0" y="0"/>
              <wp:positionH relativeFrom="page">
                <wp:posOffset>6828155</wp:posOffset>
              </wp:positionH>
              <wp:positionV relativeFrom="page">
                <wp:posOffset>10598785</wp:posOffset>
              </wp:positionV>
              <wp:extent cx="694690" cy="60960"/>
              <wp:wrapNone/>
              <wp:docPr id="358" name="Shape 35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84" type="#_x0000_t202" style="position:absolute;margin-left:537.64999999999998pt;margin-top:834.55000000000007pt;width:54.700000000000003pt;height:4.7999999999999998pt;z-index:-1887437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6730365</wp:posOffset>
              </wp:positionH>
              <wp:positionV relativeFrom="page">
                <wp:posOffset>10059035</wp:posOffset>
              </wp:positionV>
              <wp:extent cx="100330" cy="79375"/>
              <wp:wrapNone/>
              <wp:docPr id="363" name="Shape 363"/>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89" type="#_x0000_t202" style="position:absolute;margin-left:529.95000000000005pt;margin-top:792.05000000000007pt;width:7.9000000000000004pt;height:6.25pt;z-index:-1887437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98" behindDoc="1" locked="0" layoutInCell="1" allowOverlap="1">
              <wp:simplePos x="0" y="0"/>
              <wp:positionH relativeFrom="page">
                <wp:posOffset>6901180</wp:posOffset>
              </wp:positionH>
              <wp:positionV relativeFrom="page">
                <wp:posOffset>10363835</wp:posOffset>
              </wp:positionV>
              <wp:extent cx="548640" cy="149225"/>
              <wp:wrapNone/>
              <wp:docPr id="365" name="Shape 365"/>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391" type="#_x0000_t202" style="position:absolute;margin-left:543.39999999999998pt;margin-top:816.05000000000007pt;width:43.200000000000003pt;height:11.75pt;z-index:-1887437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00" behindDoc="1" locked="0" layoutInCell="1" allowOverlap="1">
              <wp:simplePos x="0" y="0"/>
              <wp:positionH relativeFrom="page">
                <wp:posOffset>6828155</wp:posOffset>
              </wp:positionH>
              <wp:positionV relativeFrom="page">
                <wp:posOffset>10598785</wp:posOffset>
              </wp:positionV>
              <wp:extent cx="694690" cy="60960"/>
              <wp:wrapNone/>
              <wp:docPr id="367" name="Shape 36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393" type="#_x0000_t202" style="position:absolute;margin-left:537.64999999999998pt;margin-top:834.55000000000007pt;width:54.700000000000003pt;height:4.7999999999999998pt;z-index:-1887437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6730365</wp:posOffset>
              </wp:positionH>
              <wp:positionV relativeFrom="page">
                <wp:posOffset>10059035</wp:posOffset>
              </wp:positionV>
              <wp:extent cx="100330" cy="79375"/>
              <wp:wrapNone/>
              <wp:docPr id="372" name="Shape 372"/>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98" type="#_x0000_t202" style="position:absolute;margin-left:529.95000000000005pt;margin-top:792.05000000000007pt;width:7.9000000000000004pt;height:6.25pt;z-index:-1887437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06" behindDoc="1" locked="0" layoutInCell="1" allowOverlap="1">
              <wp:simplePos x="0" y="0"/>
              <wp:positionH relativeFrom="page">
                <wp:posOffset>6901180</wp:posOffset>
              </wp:positionH>
              <wp:positionV relativeFrom="page">
                <wp:posOffset>10363835</wp:posOffset>
              </wp:positionV>
              <wp:extent cx="548640" cy="149225"/>
              <wp:wrapNone/>
              <wp:docPr id="374" name="Shape 374"/>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00" type="#_x0000_t202" style="position:absolute;margin-left:543.39999999999998pt;margin-top:816.05000000000007pt;width:43.200000000000003pt;height:11.75pt;z-index:-1887437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08" behindDoc="1" locked="0" layoutInCell="1" allowOverlap="1">
              <wp:simplePos x="0" y="0"/>
              <wp:positionH relativeFrom="page">
                <wp:posOffset>6828155</wp:posOffset>
              </wp:positionH>
              <wp:positionV relativeFrom="page">
                <wp:posOffset>10598785</wp:posOffset>
              </wp:positionV>
              <wp:extent cx="694690" cy="60960"/>
              <wp:wrapNone/>
              <wp:docPr id="376" name="Shape 37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02" type="#_x0000_t202" style="position:absolute;margin-left:537.64999999999998pt;margin-top:834.55000000000007pt;width:54.700000000000003pt;height:4.7999999999999998pt;z-index:-1887437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6724650</wp:posOffset>
              </wp:positionH>
              <wp:positionV relativeFrom="page">
                <wp:posOffset>9958070</wp:posOffset>
              </wp:positionV>
              <wp:extent cx="106680" cy="79375"/>
              <wp:wrapNone/>
              <wp:docPr id="381" name="Shape 38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07" type="#_x0000_t202" style="position:absolute;margin-left:529.5pt;margin-top:784.10000000000002pt;width:8.4000000000000004pt;height:6.25pt;z-index:-1887437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14" behindDoc="1" locked="0" layoutInCell="1" allowOverlap="1">
              <wp:simplePos x="0" y="0"/>
              <wp:positionH relativeFrom="page">
                <wp:posOffset>6901180</wp:posOffset>
              </wp:positionH>
              <wp:positionV relativeFrom="page">
                <wp:posOffset>10262870</wp:posOffset>
              </wp:positionV>
              <wp:extent cx="548640" cy="216535"/>
              <wp:wrapNone/>
              <wp:docPr id="383" name="Shape 383"/>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09" type="#_x0000_t202" style="position:absolute;margin-left:543.39999999999998pt;margin-top:808.10000000000002pt;width:43.200000000000003pt;height:17.050000000000001pt;z-index:-1887437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16" behindDoc="1" locked="0" layoutInCell="1" allowOverlap="1">
              <wp:simplePos x="0" y="0"/>
              <wp:positionH relativeFrom="page">
                <wp:posOffset>6828155</wp:posOffset>
              </wp:positionH>
              <wp:positionV relativeFrom="page">
                <wp:posOffset>10497820</wp:posOffset>
              </wp:positionV>
              <wp:extent cx="694690" cy="60960"/>
              <wp:wrapNone/>
              <wp:docPr id="385" name="Shape 38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11" type="#_x0000_t202" style="position:absolute;margin-left:537.64999999999998pt;margin-top:826.60000000000002pt;width:54.700000000000003pt;height:4.7999999999999998pt;z-index:-1887437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6724650</wp:posOffset>
              </wp:positionH>
              <wp:positionV relativeFrom="page">
                <wp:posOffset>9958070</wp:posOffset>
              </wp:positionV>
              <wp:extent cx="106680" cy="79375"/>
              <wp:wrapNone/>
              <wp:docPr id="390" name="Shape 390"/>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16" type="#_x0000_t202" style="position:absolute;margin-left:529.5pt;margin-top:784.10000000000002pt;width:8.4000000000000004pt;height:6.25pt;z-index:-1887437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22" behindDoc="1" locked="0" layoutInCell="1" allowOverlap="1">
              <wp:simplePos x="0" y="0"/>
              <wp:positionH relativeFrom="page">
                <wp:posOffset>6901180</wp:posOffset>
              </wp:positionH>
              <wp:positionV relativeFrom="page">
                <wp:posOffset>10262870</wp:posOffset>
              </wp:positionV>
              <wp:extent cx="548640" cy="216535"/>
              <wp:wrapNone/>
              <wp:docPr id="392" name="Shape 39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18" type="#_x0000_t202" style="position:absolute;margin-left:543.39999999999998pt;margin-top:808.10000000000002pt;width:43.200000000000003pt;height:17.050000000000001pt;z-index:-1887437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24" behindDoc="1" locked="0" layoutInCell="1" allowOverlap="1">
              <wp:simplePos x="0" y="0"/>
              <wp:positionH relativeFrom="page">
                <wp:posOffset>6828155</wp:posOffset>
              </wp:positionH>
              <wp:positionV relativeFrom="page">
                <wp:posOffset>10497820</wp:posOffset>
              </wp:positionV>
              <wp:extent cx="694690" cy="60960"/>
              <wp:wrapNone/>
              <wp:docPr id="394" name="Shape 39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20" type="#_x0000_t202" style="position:absolute;margin-left:537.64999999999998pt;margin-top:826.60000000000002pt;width:54.700000000000003pt;height:4.7999999999999998pt;z-index:-1887437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6769735</wp:posOffset>
              </wp:positionH>
              <wp:positionV relativeFrom="page">
                <wp:posOffset>9961245</wp:posOffset>
              </wp:positionV>
              <wp:extent cx="52070" cy="79375"/>
              <wp:wrapNone/>
              <wp:docPr id="33" name="Shape 33"/>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9" type="#_x0000_t202" style="position:absolute;margin-left:533.04999999999995pt;margin-top:784.35000000000002pt;width:4.0999999999999996pt;height:6.25pt;z-index:-1887440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14" behindDoc="1" locked="0" layoutInCell="1" allowOverlap="1">
              <wp:simplePos x="0" y="0"/>
              <wp:positionH relativeFrom="page">
                <wp:posOffset>6821170</wp:posOffset>
              </wp:positionH>
              <wp:positionV relativeFrom="page">
                <wp:posOffset>10497820</wp:posOffset>
              </wp:positionV>
              <wp:extent cx="694690" cy="60960"/>
              <wp:wrapNone/>
              <wp:docPr id="35" name="Shape 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61" type="#_x0000_t202" style="position:absolute;margin-left:537.10000000000002pt;margin-top:826.60000000000002pt;width:54.700000000000003pt;height:4.7999999999999998pt;z-index:-18874403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6730365</wp:posOffset>
              </wp:positionH>
              <wp:positionV relativeFrom="page">
                <wp:posOffset>10059035</wp:posOffset>
              </wp:positionV>
              <wp:extent cx="100330" cy="79375"/>
              <wp:wrapNone/>
              <wp:docPr id="399" name="Shape 39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5" type="#_x0000_t202" style="position:absolute;margin-left:529.95000000000005pt;margin-top:792.05000000000007pt;width:7.9000000000000004pt;height:6.25pt;z-index:-1887437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30" behindDoc="1" locked="0" layoutInCell="1" allowOverlap="1">
              <wp:simplePos x="0" y="0"/>
              <wp:positionH relativeFrom="page">
                <wp:posOffset>6901180</wp:posOffset>
              </wp:positionH>
              <wp:positionV relativeFrom="page">
                <wp:posOffset>10363835</wp:posOffset>
              </wp:positionV>
              <wp:extent cx="548640" cy="149225"/>
              <wp:wrapNone/>
              <wp:docPr id="401" name="Shape 40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27" type="#_x0000_t202" style="position:absolute;margin-left:543.39999999999998pt;margin-top:816.05000000000007pt;width:43.200000000000003pt;height:11.75pt;z-index:-18874372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32" behindDoc="1" locked="0" layoutInCell="1" allowOverlap="1">
              <wp:simplePos x="0" y="0"/>
              <wp:positionH relativeFrom="page">
                <wp:posOffset>6828155</wp:posOffset>
              </wp:positionH>
              <wp:positionV relativeFrom="page">
                <wp:posOffset>10598785</wp:posOffset>
              </wp:positionV>
              <wp:extent cx="694690" cy="60960"/>
              <wp:wrapNone/>
              <wp:docPr id="403" name="Shape 4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29" type="#_x0000_t202" style="position:absolute;margin-left:537.64999999999998pt;margin-top:834.55000000000007pt;width:54.700000000000003pt;height:4.7999999999999998pt;z-index:-18874372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6724650</wp:posOffset>
              </wp:positionH>
              <wp:positionV relativeFrom="page">
                <wp:posOffset>9958070</wp:posOffset>
              </wp:positionV>
              <wp:extent cx="106680" cy="79375"/>
              <wp:wrapNone/>
              <wp:docPr id="408" name="Shape 40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34" type="#_x0000_t202" style="position:absolute;margin-left:529.5pt;margin-top:784.10000000000002pt;width:8.4000000000000004pt;height:6.25pt;z-index:-1887437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38" behindDoc="1" locked="0" layoutInCell="1" allowOverlap="1">
              <wp:simplePos x="0" y="0"/>
              <wp:positionH relativeFrom="page">
                <wp:posOffset>6901180</wp:posOffset>
              </wp:positionH>
              <wp:positionV relativeFrom="page">
                <wp:posOffset>10262870</wp:posOffset>
              </wp:positionV>
              <wp:extent cx="548640" cy="216535"/>
              <wp:wrapNone/>
              <wp:docPr id="410" name="Shape 410"/>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36" type="#_x0000_t202" style="position:absolute;margin-left:543.39999999999998pt;margin-top:808.10000000000002pt;width:43.200000000000003pt;height:17.050000000000001pt;z-index:-1887437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40" behindDoc="1" locked="0" layoutInCell="1" allowOverlap="1">
              <wp:simplePos x="0" y="0"/>
              <wp:positionH relativeFrom="page">
                <wp:posOffset>6828155</wp:posOffset>
              </wp:positionH>
              <wp:positionV relativeFrom="page">
                <wp:posOffset>10497820</wp:posOffset>
              </wp:positionV>
              <wp:extent cx="694690" cy="60960"/>
              <wp:wrapNone/>
              <wp:docPr id="412" name="Shape 41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38" type="#_x0000_t202" style="position:absolute;margin-left:537.64999999999998pt;margin-top:826.60000000000002pt;width:54.700000000000003pt;height:4.7999999999999998pt;z-index:-1887437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6724650</wp:posOffset>
              </wp:positionH>
              <wp:positionV relativeFrom="page">
                <wp:posOffset>9958070</wp:posOffset>
              </wp:positionV>
              <wp:extent cx="106680" cy="79375"/>
              <wp:wrapNone/>
              <wp:docPr id="417" name="Shape 417"/>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43" type="#_x0000_t202" style="position:absolute;margin-left:529.5pt;margin-top:784.10000000000002pt;width:8.4000000000000004pt;height:6.25pt;z-index:-1887437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46" behindDoc="1" locked="0" layoutInCell="1" allowOverlap="1">
              <wp:simplePos x="0" y="0"/>
              <wp:positionH relativeFrom="page">
                <wp:posOffset>6901180</wp:posOffset>
              </wp:positionH>
              <wp:positionV relativeFrom="page">
                <wp:posOffset>10262870</wp:posOffset>
              </wp:positionV>
              <wp:extent cx="548640" cy="216535"/>
              <wp:wrapNone/>
              <wp:docPr id="419" name="Shape 419"/>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45" type="#_x0000_t202" style="position:absolute;margin-left:543.39999999999998pt;margin-top:808.10000000000002pt;width:43.200000000000003pt;height:17.050000000000001pt;z-index:-1887437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48" behindDoc="1" locked="0" layoutInCell="1" allowOverlap="1">
              <wp:simplePos x="0" y="0"/>
              <wp:positionH relativeFrom="page">
                <wp:posOffset>6828155</wp:posOffset>
              </wp:positionH>
              <wp:positionV relativeFrom="page">
                <wp:posOffset>10497820</wp:posOffset>
              </wp:positionV>
              <wp:extent cx="694690" cy="60960"/>
              <wp:wrapNone/>
              <wp:docPr id="421" name="Shape 42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47" type="#_x0000_t202" style="position:absolute;margin-left:537.64999999999998pt;margin-top:826.60000000000002pt;width:54.700000000000003pt;height:4.7999999999999998pt;z-index:-1887437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6721475</wp:posOffset>
              </wp:positionH>
              <wp:positionV relativeFrom="page">
                <wp:posOffset>9958070</wp:posOffset>
              </wp:positionV>
              <wp:extent cx="100330" cy="79375"/>
              <wp:wrapNone/>
              <wp:docPr id="426" name="Shape 42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52" type="#_x0000_t202" style="position:absolute;margin-left:529.25pt;margin-top:784.10000000000002pt;width:7.9000000000000004pt;height:6.25pt;z-index:-1887437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54" behindDoc="1" locked="0" layoutInCell="1" allowOverlap="1">
              <wp:simplePos x="0" y="0"/>
              <wp:positionH relativeFrom="page">
                <wp:posOffset>6901180</wp:posOffset>
              </wp:positionH>
              <wp:positionV relativeFrom="page">
                <wp:posOffset>10260330</wp:posOffset>
              </wp:positionV>
              <wp:extent cx="548640" cy="219710"/>
              <wp:wrapNone/>
              <wp:docPr id="428" name="Shape 42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54" type="#_x0000_t202" style="position:absolute;margin-left:543.39999999999998pt;margin-top:807.89999999999998pt;width:43.200000000000003pt;height:17.300000000000001pt;z-index:-1887436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56" behindDoc="1" locked="0" layoutInCell="1" allowOverlap="1">
              <wp:simplePos x="0" y="0"/>
              <wp:positionH relativeFrom="page">
                <wp:posOffset>6828155</wp:posOffset>
              </wp:positionH>
              <wp:positionV relativeFrom="page">
                <wp:posOffset>10497820</wp:posOffset>
              </wp:positionV>
              <wp:extent cx="694690" cy="60960"/>
              <wp:wrapNone/>
              <wp:docPr id="430" name="Shape 43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56" type="#_x0000_t202" style="position:absolute;margin-left:537.64999999999998pt;margin-top:826.60000000000002pt;width:54.700000000000003pt;height:4.7999999999999998pt;z-index:-1887436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6721475</wp:posOffset>
              </wp:positionH>
              <wp:positionV relativeFrom="page">
                <wp:posOffset>9958070</wp:posOffset>
              </wp:positionV>
              <wp:extent cx="100330" cy="79375"/>
              <wp:wrapNone/>
              <wp:docPr id="435" name="Shape 43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61" type="#_x0000_t202" style="position:absolute;margin-left:529.25pt;margin-top:784.10000000000002pt;width:7.9000000000000004pt;height:6.25pt;z-index:-1887436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62" behindDoc="1" locked="0" layoutInCell="1" allowOverlap="1">
              <wp:simplePos x="0" y="0"/>
              <wp:positionH relativeFrom="page">
                <wp:posOffset>6901180</wp:posOffset>
              </wp:positionH>
              <wp:positionV relativeFrom="page">
                <wp:posOffset>10260330</wp:posOffset>
              </wp:positionV>
              <wp:extent cx="548640" cy="219710"/>
              <wp:wrapNone/>
              <wp:docPr id="437" name="Shape 437"/>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463" type="#_x0000_t202" style="position:absolute;margin-left:543.39999999999998pt;margin-top:807.89999999999998pt;width:43.200000000000003pt;height:17.300000000000001pt;z-index:-1887436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064" behindDoc="1" locked="0" layoutInCell="1" allowOverlap="1">
              <wp:simplePos x="0" y="0"/>
              <wp:positionH relativeFrom="page">
                <wp:posOffset>6828155</wp:posOffset>
              </wp:positionH>
              <wp:positionV relativeFrom="page">
                <wp:posOffset>10497820</wp:posOffset>
              </wp:positionV>
              <wp:extent cx="694690" cy="60960"/>
              <wp:wrapNone/>
              <wp:docPr id="439" name="Shape 43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65" type="#_x0000_t202" style="position:absolute;margin-left:537.64999999999998pt;margin-top:826.60000000000002pt;width:54.700000000000003pt;height:4.7999999999999998pt;z-index:-1887436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6730365</wp:posOffset>
              </wp:positionH>
              <wp:positionV relativeFrom="page">
                <wp:posOffset>10059035</wp:posOffset>
              </wp:positionV>
              <wp:extent cx="100330" cy="79375"/>
              <wp:wrapNone/>
              <wp:docPr id="444" name="Shape 44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70" type="#_x0000_t202" style="position:absolute;margin-left:529.95000000000005pt;margin-top:792.05000000000007pt;width:7.9000000000000004pt;height:6.25pt;z-index:-18874368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70" behindDoc="1" locked="0" layoutInCell="1" allowOverlap="1">
              <wp:simplePos x="0" y="0"/>
              <wp:positionH relativeFrom="page">
                <wp:posOffset>6901180</wp:posOffset>
              </wp:positionH>
              <wp:positionV relativeFrom="page">
                <wp:posOffset>10363835</wp:posOffset>
              </wp:positionV>
              <wp:extent cx="548640" cy="149225"/>
              <wp:wrapNone/>
              <wp:docPr id="446" name="Shape 446"/>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472" type="#_x0000_t202" style="position:absolute;margin-left:543.39999999999998pt;margin-top:816.05000000000007pt;width:43.200000000000003pt;height:11.75pt;z-index:-18874368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5072" behindDoc="1" locked="0" layoutInCell="1" allowOverlap="1">
              <wp:simplePos x="0" y="0"/>
              <wp:positionH relativeFrom="page">
                <wp:posOffset>6828155</wp:posOffset>
              </wp:positionH>
              <wp:positionV relativeFrom="page">
                <wp:posOffset>10598785</wp:posOffset>
              </wp:positionV>
              <wp:extent cx="694690" cy="60960"/>
              <wp:wrapNone/>
              <wp:docPr id="448" name="Shape 44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74" type="#_x0000_t202" style="position:absolute;margin-left:537.64999999999998pt;margin-top:834.55000000000007pt;width:54.700000000000003pt;height:4.7999999999999998pt;z-index:-1887436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9665970</wp:posOffset>
              </wp:positionH>
              <wp:positionV relativeFrom="page">
                <wp:posOffset>6822440</wp:posOffset>
              </wp:positionV>
              <wp:extent cx="109855" cy="79375"/>
              <wp:wrapNone/>
              <wp:docPr id="453" name="Shape 45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9" type="#_x0000_t202" style="position:absolute;margin-left:761.10000000000002pt;margin-top:537.20000000000005pt;width:8.6500000000000004pt;height:6.25pt;z-index:-1887436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9665970</wp:posOffset>
              </wp:positionH>
              <wp:positionV relativeFrom="page">
                <wp:posOffset>6822440</wp:posOffset>
              </wp:positionV>
              <wp:extent cx="109855" cy="79375"/>
              <wp:wrapNone/>
              <wp:docPr id="458" name="Shape 458"/>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84" type="#_x0000_t202" style="position:absolute;margin-left:761.10000000000002pt;margin-top:537.20000000000005pt;width:8.6500000000000004pt;height:6.25pt;z-index:-1887436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6721475</wp:posOffset>
              </wp:positionH>
              <wp:positionV relativeFrom="page">
                <wp:posOffset>9961245</wp:posOffset>
              </wp:positionV>
              <wp:extent cx="109855" cy="79375"/>
              <wp:wrapNone/>
              <wp:docPr id="463" name="Shape 46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89" type="#_x0000_t202" style="position:absolute;margin-left:529.25pt;margin-top:784.35000000000002pt;width:8.6500000000000004pt;height:6.25pt;z-index:-1887436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86" behindDoc="1" locked="0" layoutInCell="1" allowOverlap="1">
              <wp:simplePos x="0" y="0"/>
              <wp:positionH relativeFrom="page">
                <wp:posOffset>6828155</wp:posOffset>
              </wp:positionH>
              <wp:positionV relativeFrom="page">
                <wp:posOffset>10500995</wp:posOffset>
              </wp:positionV>
              <wp:extent cx="694690" cy="60960"/>
              <wp:wrapNone/>
              <wp:docPr id="465" name="Shape 46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91" type="#_x0000_t202" style="position:absolute;margin-left:537.64999999999998pt;margin-top:826.85000000000002pt;width:54.700000000000003pt;height:4.7999999999999998pt;z-index:-1887436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6721475</wp:posOffset>
              </wp:positionH>
              <wp:positionV relativeFrom="page">
                <wp:posOffset>9961245</wp:posOffset>
              </wp:positionV>
              <wp:extent cx="109855" cy="79375"/>
              <wp:wrapNone/>
              <wp:docPr id="470" name="Shape 470"/>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96" type="#_x0000_t202" style="position:absolute;margin-left:529.25pt;margin-top:784.35000000000002pt;width:8.6500000000000004pt;height:6.25pt;z-index:-1887436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92" behindDoc="1" locked="0" layoutInCell="1" allowOverlap="1">
              <wp:simplePos x="0" y="0"/>
              <wp:positionH relativeFrom="page">
                <wp:posOffset>6828155</wp:posOffset>
              </wp:positionH>
              <wp:positionV relativeFrom="page">
                <wp:posOffset>10500995</wp:posOffset>
              </wp:positionV>
              <wp:extent cx="694690" cy="60960"/>
              <wp:wrapNone/>
              <wp:docPr id="472" name="Shape 4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498" type="#_x0000_t202" style="position:absolute;margin-left:537.64999999999998pt;margin-top:826.85000000000002pt;width:54.700000000000003pt;height:4.7999999999999998pt;z-index:-1887436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6730365</wp:posOffset>
              </wp:positionH>
              <wp:positionV relativeFrom="page">
                <wp:posOffset>10059035</wp:posOffset>
              </wp:positionV>
              <wp:extent cx="100330" cy="79375"/>
              <wp:wrapNone/>
              <wp:docPr id="41" name="Shape 41"/>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7" type="#_x0000_t202" style="position:absolute;margin-left:529.95000000000005pt;margin-top:792.05000000000007pt;width:7.9000000000000004pt;height:6.25pt;z-index:-18874403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20" behindDoc="1" locked="0" layoutInCell="1" allowOverlap="1">
              <wp:simplePos x="0" y="0"/>
              <wp:positionH relativeFrom="page">
                <wp:posOffset>6901180</wp:posOffset>
              </wp:positionH>
              <wp:positionV relativeFrom="page">
                <wp:posOffset>10363835</wp:posOffset>
              </wp:positionV>
              <wp:extent cx="548640" cy="149225"/>
              <wp:wrapNone/>
              <wp:docPr id="43" name="Shape 43"/>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69" type="#_x0000_t202" style="position:absolute;margin-left:543.39999999999998pt;margin-top:816.05000000000007pt;width:43.200000000000003pt;height:11.75pt;z-index:-18874403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22" behindDoc="1" locked="0" layoutInCell="1" allowOverlap="1">
              <wp:simplePos x="0" y="0"/>
              <wp:positionH relativeFrom="page">
                <wp:posOffset>6828155</wp:posOffset>
              </wp:positionH>
              <wp:positionV relativeFrom="page">
                <wp:posOffset>10598785</wp:posOffset>
              </wp:positionV>
              <wp:extent cx="694690" cy="60960"/>
              <wp:wrapNone/>
              <wp:docPr id="45" name="Shape 4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71" type="#_x0000_t202" style="position:absolute;margin-left:537.64999999999998pt;margin-top:834.55000000000007pt;width:54.700000000000003pt;height:4.7999999999999998pt;z-index:-18874403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6718300</wp:posOffset>
              </wp:positionH>
              <wp:positionV relativeFrom="page">
                <wp:posOffset>10003155</wp:posOffset>
              </wp:positionV>
              <wp:extent cx="109855" cy="79375"/>
              <wp:wrapNone/>
              <wp:docPr id="477" name="Shape 477"/>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03" type="#_x0000_t202" style="position:absolute;margin-left:529.pt;margin-top:787.64999999999998pt;width:8.6500000000000004pt;height:6.25pt;z-index:-1887436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98" behindDoc="1" locked="0" layoutInCell="1" allowOverlap="1">
              <wp:simplePos x="0" y="0"/>
              <wp:positionH relativeFrom="page">
                <wp:posOffset>6898640</wp:posOffset>
              </wp:positionH>
              <wp:positionV relativeFrom="page">
                <wp:posOffset>10304780</wp:posOffset>
              </wp:positionV>
              <wp:extent cx="548640" cy="219710"/>
              <wp:wrapNone/>
              <wp:docPr id="479" name="Shape 479"/>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05" type="#_x0000_t202" style="position:absolute;margin-left:543.20000000000005pt;margin-top:811.39999999999998pt;width:43.200000000000003pt;height:17.300000000000001pt;z-index:-1887436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00" behindDoc="1" locked="0" layoutInCell="1" allowOverlap="1">
              <wp:simplePos x="0" y="0"/>
              <wp:positionH relativeFrom="page">
                <wp:posOffset>6824980</wp:posOffset>
              </wp:positionH>
              <wp:positionV relativeFrom="page">
                <wp:posOffset>10542905</wp:posOffset>
              </wp:positionV>
              <wp:extent cx="694690" cy="60960"/>
              <wp:wrapNone/>
              <wp:docPr id="481" name="Shape 48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07" type="#_x0000_t202" style="position:absolute;margin-left:537.39999999999998pt;margin-top:830.14999999999998pt;width:54.700000000000003pt;height:4.7999999999999998pt;z-index:-1887436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6718300</wp:posOffset>
              </wp:positionH>
              <wp:positionV relativeFrom="page">
                <wp:posOffset>10003155</wp:posOffset>
              </wp:positionV>
              <wp:extent cx="109855" cy="79375"/>
              <wp:wrapNone/>
              <wp:docPr id="486" name="Shape 48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2" type="#_x0000_t202" style="position:absolute;margin-left:529.pt;margin-top:787.64999999999998pt;width:8.6500000000000004pt;height:6.25pt;z-index:-1887436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06" behindDoc="1" locked="0" layoutInCell="1" allowOverlap="1">
              <wp:simplePos x="0" y="0"/>
              <wp:positionH relativeFrom="page">
                <wp:posOffset>6898640</wp:posOffset>
              </wp:positionH>
              <wp:positionV relativeFrom="page">
                <wp:posOffset>10304780</wp:posOffset>
              </wp:positionV>
              <wp:extent cx="548640" cy="219710"/>
              <wp:wrapNone/>
              <wp:docPr id="488" name="Shape 488"/>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14" type="#_x0000_t202" style="position:absolute;margin-left:543.20000000000005pt;margin-top:811.39999999999998pt;width:43.200000000000003pt;height:17.300000000000001pt;z-index:-1887436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08" behindDoc="1" locked="0" layoutInCell="1" allowOverlap="1">
              <wp:simplePos x="0" y="0"/>
              <wp:positionH relativeFrom="page">
                <wp:posOffset>6824980</wp:posOffset>
              </wp:positionH>
              <wp:positionV relativeFrom="page">
                <wp:posOffset>10542905</wp:posOffset>
              </wp:positionV>
              <wp:extent cx="694690" cy="60960"/>
              <wp:wrapNone/>
              <wp:docPr id="490" name="Shape 49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16" type="#_x0000_t202" style="position:absolute;margin-left:537.39999999999998pt;margin-top:830.14999999999998pt;width:54.700000000000003pt;height:4.7999999999999998pt;z-index:-1887436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6724650</wp:posOffset>
              </wp:positionH>
              <wp:positionV relativeFrom="page">
                <wp:posOffset>10003155</wp:posOffset>
              </wp:positionV>
              <wp:extent cx="109855" cy="79375"/>
              <wp:wrapNone/>
              <wp:docPr id="495" name="Shape 495"/>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21" type="#_x0000_t202" style="position:absolute;margin-left:529.5pt;margin-top:787.64999999999998pt;width:8.6500000000000004pt;height:6.25pt;z-index:-1887436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14" behindDoc="1" locked="0" layoutInCell="1" allowOverlap="1">
              <wp:simplePos x="0" y="0"/>
              <wp:positionH relativeFrom="page">
                <wp:posOffset>6904355</wp:posOffset>
              </wp:positionH>
              <wp:positionV relativeFrom="page">
                <wp:posOffset>10307955</wp:posOffset>
              </wp:positionV>
              <wp:extent cx="548640" cy="216535"/>
              <wp:wrapNone/>
              <wp:docPr id="497" name="Shape 497"/>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23" type="#_x0000_t202" style="position:absolute;margin-left:543.64999999999998pt;margin-top:811.64999999999998pt;width:43.200000000000003pt;height:17.050000000000001pt;z-index:-1887436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16" behindDoc="1" locked="0" layoutInCell="1" allowOverlap="1">
              <wp:simplePos x="0" y="0"/>
              <wp:positionH relativeFrom="page">
                <wp:posOffset>6831330</wp:posOffset>
              </wp:positionH>
              <wp:positionV relativeFrom="page">
                <wp:posOffset>10542905</wp:posOffset>
              </wp:positionV>
              <wp:extent cx="694690" cy="60960"/>
              <wp:wrapNone/>
              <wp:docPr id="499" name="Shape 49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25" type="#_x0000_t202" style="position:absolute;margin-left:537.89999999999998pt;margin-top:830.14999999999998pt;width:54.700000000000003pt;height:4.7999999999999998pt;z-index:-1887436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6721475</wp:posOffset>
              </wp:positionH>
              <wp:positionV relativeFrom="page">
                <wp:posOffset>9961245</wp:posOffset>
              </wp:positionV>
              <wp:extent cx="109855" cy="79375"/>
              <wp:wrapNone/>
              <wp:docPr id="504" name="Shape 504"/>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30" type="#_x0000_t202" style="position:absolute;margin-left:529.25pt;margin-top:784.35000000000002pt;width:8.6500000000000004pt;height:6.25pt;z-index:-1887436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22" behindDoc="1" locked="0" layoutInCell="1" allowOverlap="1">
              <wp:simplePos x="0" y="0"/>
              <wp:positionH relativeFrom="page">
                <wp:posOffset>6828155</wp:posOffset>
              </wp:positionH>
              <wp:positionV relativeFrom="page">
                <wp:posOffset>10500995</wp:posOffset>
              </wp:positionV>
              <wp:extent cx="694690" cy="60960"/>
              <wp:wrapNone/>
              <wp:docPr id="506" name="Shape 50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32" type="#_x0000_t202" style="position:absolute;margin-left:537.64999999999998pt;margin-top:826.85000000000002pt;width:54.700000000000003pt;height:4.7999999999999998pt;z-index:-1887436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6721475</wp:posOffset>
              </wp:positionH>
              <wp:positionV relativeFrom="page">
                <wp:posOffset>9961245</wp:posOffset>
              </wp:positionV>
              <wp:extent cx="109855" cy="79375"/>
              <wp:wrapNone/>
              <wp:docPr id="511" name="Shape 511"/>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37" type="#_x0000_t202" style="position:absolute;margin-left:529.25pt;margin-top:784.35000000000002pt;width:8.6500000000000004pt;height:6.25pt;z-index:-1887436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28" behindDoc="1" locked="0" layoutInCell="1" allowOverlap="1">
              <wp:simplePos x="0" y="0"/>
              <wp:positionH relativeFrom="page">
                <wp:posOffset>6828155</wp:posOffset>
              </wp:positionH>
              <wp:positionV relativeFrom="page">
                <wp:posOffset>10500995</wp:posOffset>
              </wp:positionV>
              <wp:extent cx="694690" cy="60960"/>
              <wp:wrapNone/>
              <wp:docPr id="513" name="Shape 51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39" type="#_x0000_t202" style="position:absolute;margin-left:537.64999999999998pt;margin-top:826.85000000000002pt;width:54.700000000000003pt;height:4.7999999999999998pt;z-index:-1887436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6724650</wp:posOffset>
              </wp:positionH>
              <wp:positionV relativeFrom="page">
                <wp:posOffset>9958070</wp:posOffset>
              </wp:positionV>
              <wp:extent cx="103505" cy="79375"/>
              <wp:wrapNone/>
              <wp:docPr id="518" name="Shape 51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4" type="#_x0000_t202" style="position:absolute;margin-left:529.5pt;margin-top:784.10000000000002pt;width:8.1500000000000004pt;height:6.25pt;z-index:-1887436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6718300</wp:posOffset>
              </wp:positionH>
              <wp:positionV relativeFrom="page">
                <wp:posOffset>10003155</wp:posOffset>
              </wp:positionV>
              <wp:extent cx="109855" cy="79375"/>
              <wp:wrapNone/>
              <wp:docPr id="523" name="Shape 52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9" type="#_x0000_t202" style="position:absolute;margin-left:529.pt;margin-top:787.64999999999998pt;width:8.6500000000000004pt;height:6.25pt;z-index:-1887436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38" behindDoc="1" locked="0" layoutInCell="1" allowOverlap="1">
              <wp:simplePos x="0" y="0"/>
              <wp:positionH relativeFrom="page">
                <wp:posOffset>6898640</wp:posOffset>
              </wp:positionH>
              <wp:positionV relativeFrom="page">
                <wp:posOffset>10304780</wp:posOffset>
              </wp:positionV>
              <wp:extent cx="548640" cy="219710"/>
              <wp:wrapNone/>
              <wp:docPr id="525" name="Shape 52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51" type="#_x0000_t202" style="position:absolute;margin-left:543.20000000000005pt;margin-top:811.39999999999998pt;width:43.200000000000003pt;height:17.300000000000001pt;z-index:-1887436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40" behindDoc="1" locked="0" layoutInCell="1" allowOverlap="1">
              <wp:simplePos x="0" y="0"/>
              <wp:positionH relativeFrom="page">
                <wp:posOffset>6824980</wp:posOffset>
              </wp:positionH>
              <wp:positionV relativeFrom="page">
                <wp:posOffset>10542905</wp:posOffset>
              </wp:positionV>
              <wp:extent cx="694690" cy="60960"/>
              <wp:wrapNone/>
              <wp:docPr id="527" name="Shape 52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53" type="#_x0000_t202" style="position:absolute;margin-left:537.39999999999998pt;margin-top:830.14999999999998pt;width:54.700000000000003pt;height:4.7999999999999998pt;z-index:-1887436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6724650</wp:posOffset>
              </wp:positionH>
              <wp:positionV relativeFrom="page">
                <wp:posOffset>10003155</wp:posOffset>
              </wp:positionV>
              <wp:extent cx="109855" cy="79375"/>
              <wp:wrapNone/>
              <wp:docPr id="532" name="Shape 532"/>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8" type="#_x0000_t202" style="position:absolute;margin-left:529.5pt;margin-top:787.64999999999998pt;width:8.6500000000000004pt;height:6.25pt;z-index:-1887436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46" behindDoc="1" locked="0" layoutInCell="1" allowOverlap="1">
              <wp:simplePos x="0" y="0"/>
              <wp:positionH relativeFrom="page">
                <wp:posOffset>6904355</wp:posOffset>
              </wp:positionH>
              <wp:positionV relativeFrom="page">
                <wp:posOffset>10307955</wp:posOffset>
              </wp:positionV>
              <wp:extent cx="548640" cy="216535"/>
              <wp:wrapNone/>
              <wp:docPr id="534" name="Shape 534"/>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60" type="#_x0000_t202" style="position:absolute;margin-left:543.64999999999998pt;margin-top:811.64999999999998pt;width:43.200000000000003pt;height:17.050000000000001pt;z-index:-1887436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48" behindDoc="1" locked="0" layoutInCell="1" allowOverlap="1">
              <wp:simplePos x="0" y="0"/>
              <wp:positionH relativeFrom="page">
                <wp:posOffset>6831330</wp:posOffset>
              </wp:positionH>
              <wp:positionV relativeFrom="page">
                <wp:posOffset>10542905</wp:posOffset>
              </wp:positionV>
              <wp:extent cx="694690" cy="60960"/>
              <wp:wrapNone/>
              <wp:docPr id="536" name="Shape 53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62" type="#_x0000_t202" style="position:absolute;margin-left:537.89999999999998pt;margin-top:830.14999999999998pt;width:54.700000000000003pt;height:4.7999999999999998pt;z-index:-1887436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6724650</wp:posOffset>
              </wp:positionH>
              <wp:positionV relativeFrom="page">
                <wp:posOffset>10003155</wp:posOffset>
              </wp:positionV>
              <wp:extent cx="109855" cy="79375"/>
              <wp:wrapNone/>
              <wp:docPr id="541" name="Shape 541"/>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67" type="#_x0000_t202" style="position:absolute;margin-left:529.5pt;margin-top:787.64999999999998pt;width:8.6500000000000004pt;height:6.25pt;z-index:-1887436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54" behindDoc="1" locked="0" layoutInCell="1" allowOverlap="1">
              <wp:simplePos x="0" y="0"/>
              <wp:positionH relativeFrom="page">
                <wp:posOffset>6904355</wp:posOffset>
              </wp:positionH>
              <wp:positionV relativeFrom="page">
                <wp:posOffset>10307955</wp:posOffset>
              </wp:positionV>
              <wp:extent cx="548640" cy="216535"/>
              <wp:wrapNone/>
              <wp:docPr id="543" name="Shape 543"/>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69" type="#_x0000_t202" style="position:absolute;margin-left:543.64999999999998pt;margin-top:811.64999999999998pt;width:43.200000000000003pt;height:17.050000000000001pt;z-index:-1887435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56" behindDoc="1" locked="0" layoutInCell="1" allowOverlap="1">
              <wp:simplePos x="0" y="0"/>
              <wp:positionH relativeFrom="page">
                <wp:posOffset>6831330</wp:posOffset>
              </wp:positionH>
              <wp:positionV relativeFrom="page">
                <wp:posOffset>10542905</wp:posOffset>
              </wp:positionV>
              <wp:extent cx="694690" cy="60960"/>
              <wp:wrapNone/>
              <wp:docPr id="545" name="Shape 54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71" type="#_x0000_t202" style="position:absolute;margin-left:537.89999999999998pt;margin-top:830.14999999999998pt;width:54.700000000000003pt;height:4.7999999999999998pt;z-index:-1887435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6724650</wp:posOffset>
              </wp:positionH>
              <wp:positionV relativeFrom="page">
                <wp:posOffset>10003155</wp:posOffset>
              </wp:positionV>
              <wp:extent cx="109855" cy="79375"/>
              <wp:wrapNone/>
              <wp:docPr id="550" name="Shape 550"/>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6" type="#_x0000_t202" style="position:absolute;margin-left:529.5pt;margin-top:787.64999999999998pt;width:8.6500000000000004pt;height:6.25pt;z-index:-1887435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62" behindDoc="1" locked="0" layoutInCell="1" allowOverlap="1">
              <wp:simplePos x="0" y="0"/>
              <wp:positionH relativeFrom="page">
                <wp:posOffset>6904355</wp:posOffset>
              </wp:positionH>
              <wp:positionV relativeFrom="page">
                <wp:posOffset>10307955</wp:posOffset>
              </wp:positionV>
              <wp:extent cx="548640" cy="216535"/>
              <wp:wrapNone/>
              <wp:docPr id="552" name="Shape 55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578" type="#_x0000_t202" style="position:absolute;margin-left:543.64999999999998pt;margin-top:811.64999999999998pt;width:43.200000000000003pt;height:17.050000000000001pt;z-index:-1887435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64" behindDoc="1" locked="0" layoutInCell="1" allowOverlap="1">
              <wp:simplePos x="0" y="0"/>
              <wp:positionH relativeFrom="page">
                <wp:posOffset>6831330</wp:posOffset>
              </wp:positionH>
              <wp:positionV relativeFrom="page">
                <wp:posOffset>10542905</wp:posOffset>
              </wp:positionV>
              <wp:extent cx="694690" cy="60960"/>
              <wp:wrapNone/>
              <wp:docPr id="554" name="Shape 5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80" type="#_x0000_t202" style="position:absolute;margin-left:537.89999999999998pt;margin-top:830.14999999999998pt;width:54.700000000000003pt;height:4.7999999999999998pt;z-index:-1887435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6730365</wp:posOffset>
              </wp:positionH>
              <wp:positionV relativeFrom="page">
                <wp:posOffset>10059035</wp:posOffset>
              </wp:positionV>
              <wp:extent cx="100330" cy="79375"/>
              <wp:wrapNone/>
              <wp:docPr id="50" name="Shape 5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6" type="#_x0000_t202" style="position:absolute;margin-left:529.95000000000005pt;margin-top:792.05000000000007pt;width:7.9000000000000004pt;height:6.25pt;z-index:-1887440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28" behindDoc="1" locked="0" layoutInCell="1" allowOverlap="1">
              <wp:simplePos x="0" y="0"/>
              <wp:positionH relativeFrom="page">
                <wp:posOffset>6901180</wp:posOffset>
              </wp:positionH>
              <wp:positionV relativeFrom="page">
                <wp:posOffset>10363835</wp:posOffset>
              </wp:positionV>
              <wp:extent cx="548640" cy="149225"/>
              <wp:wrapNone/>
              <wp:docPr id="52" name="Shape 52"/>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78" type="#_x0000_t202" style="position:absolute;margin-left:543.39999999999998pt;margin-top:816.05000000000007pt;width:43.200000000000003pt;height:11.75pt;z-index:-1887440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30" behindDoc="1" locked="0" layoutInCell="1" allowOverlap="1">
              <wp:simplePos x="0" y="0"/>
              <wp:positionH relativeFrom="page">
                <wp:posOffset>6828155</wp:posOffset>
              </wp:positionH>
              <wp:positionV relativeFrom="page">
                <wp:posOffset>10598785</wp:posOffset>
              </wp:positionV>
              <wp:extent cx="694690" cy="60960"/>
              <wp:wrapNone/>
              <wp:docPr id="54" name="Shape 5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80" type="#_x0000_t202" style="position:absolute;margin-left:537.64999999999998pt;margin-top:834.55000000000007pt;width:54.700000000000003pt;height:4.7999999999999998pt;z-index:-18874402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6721475</wp:posOffset>
              </wp:positionH>
              <wp:positionV relativeFrom="page">
                <wp:posOffset>9961245</wp:posOffset>
              </wp:positionV>
              <wp:extent cx="109855" cy="79375"/>
              <wp:wrapNone/>
              <wp:docPr id="559" name="Shape 559"/>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85" type="#_x0000_t202" style="position:absolute;margin-left:529.25pt;margin-top:784.35000000000002pt;width:8.6500000000000004pt;height:6.25pt;z-index:-1887435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70" behindDoc="1" locked="0" layoutInCell="1" allowOverlap="1">
              <wp:simplePos x="0" y="0"/>
              <wp:positionH relativeFrom="page">
                <wp:posOffset>6828155</wp:posOffset>
              </wp:positionH>
              <wp:positionV relativeFrom="page">
                <wp:posOffset>10500995</wp:posOffset>
              </wp:positionV>
              <wp:extent cx="694690" cy="60960"/>
              <wp:wrapNone/>
              <wp:docPr id="561" name="Shape 56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87" type="#_x0000_t202" style="position:absolute;margin-left:537.64999999999998pt;margin-top:826.85000000000002pt;width:54.700000000000003pt;height:4.7999999999999998pt;z-index:-1887435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6721475</wp:posOffset>
              </wp:positionH>
              <wp:positionV relativeFrom="page">
                <wp:posOffset>9961245</wp:posOffset>
              </wp:positionV>
              <wp:extent cx="109855" cy="79375"/>
              <wp:wrapNone/>
              <wp:docPr id="566" name="Shape 56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92" type="#_x0000_t202" style="position:absolute;margin-left:529.25pt;margin-top:784.35000000000002pt;width:8.6500000000000004pt;height:6.25pt;z-index:-1887435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76" behindDoc="1" locked="0" layoutInCell="1" allowOverlap="1">
              <wp:simplePos x="0" y="0"/>
              <wp:positionH relativeFrom="page">
                <wp:posOffset>6828155</wp:posOffset>
              </wp:positionH>
              <wp:positionV relativeFrom="page">
                <wp:posOffset>10500995</wp:posOffset>
              </wp:positionV>
              <wp:extent cx="694690" cy="60960"/>
              <wp:wrapNone/>
              <wp:docPr id="568" name="Shape 56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594" type="#_x0000_t202" style="position:absolute;margin-left:537.64999999999998pt;margin-top:826.85000000000002pt;width:54.700000000000003pt;height:4.7999999999999998pt;z-index:-1887435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6721475</wp:posOffset>
              </wp:positionH>
              <wp:positionV relativeFrom="page">
                <wp:posOffset>9961245</wp:posOffset>
              </wp:positionV>
              <wp:extent cx="109855" cy="79375"/>
              <wp:wrapNone/>
              <wp:docPr id="573" name="Shape 57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99" type="#_x0000_t202" style="position:absolute;margin-left:529.25pt;margin-top:784.35000000000002pt;width:8.6500000000000004pt;height:6.25pt;z-index:-1887435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82" behindDoc="1" locked="0" layoutInCell="1" allowOverlap="1">
              <wp:simplePos x="0" y="0"/>
              <wp:positionH relativeFrom="page">
                <wp:posOffset>6828155</wp:posOffset>
              </wp:positionH>
              <wp:positionV relativeFrom="page">
                <wp:posOffset>10500995</wp:posOffset>
              </wp:positionV>
              <wp:extent cx="694690" cy="60960"/>
              <wp:wrapNone/>
              <wp:docPr id="575" name="Shape 57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01" type="#_x0000_t202" style="position:absolute;margin-left:537.64999999999998pt;margin-top:826.85000000000002pt;width:54.700000000000003pt;height:4.7999999999999998pt;z-index:-1887435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6724650</wp:posOffset>
              </wp:positionH>
              <wp:positionV relativeFrom="page">
                <wp:posOffset>9958070</wp:posOffset>
              </wp:positionV>
              <wp:extent cx="97790" cy="79375"/>
              <wp:wrapNone/>
              <wp:docPr id="584" name="Shape 58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10" type="#_x0000_t202" style="position:absolute;margin-left:529.5pt;margin-top:784.10000000000002pt;width:7.7000000000000002pt;height:6.25pt;z-index:-1887435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88" behindDoc="1" locked="0" layoutInCell="1" allowOverlap="1">
              <wp:simplePos x="0" y="0"/>
              <wp:positionH relativeFrom="page">
                <wp:posOffset>6901180</wp:posOffset>
              </wp:positionH>
              <wp:positionV relativeFrom="page">
                <wp:posOffset>10260330</wp:posOffset>
              </wp:positionV>
              <wp:extent cx="548640" cy="219710"/>
              <wp:wrapNone/>
              <wp:docPr id="586" name="Shape 586"/>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12" type="#_x0000_t202" style="position:absolute;margin-left:543.39999999999998pt;margin-top:807.89999999999998pt;width:43.200000000000003pt;height:17.300000000000001pt;z-index:-1887435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90" behindDoc="1" locked="0" layoutInCell="1" allowOverlap="1">
              <wp:simplePos x="0" y="0"/>
              <wp:positionH relativeFrom="page">
                <wp:posOffset>6828155</wp:posOffset>
              </wp:positionH>
              <wp:positionV relativeFrom="page">
                <wp:posOffset>10497820</wp:posOffset>
              </wp:positionV>
              <wp:extent cx="694690" cy="60960"/>
              <wp:wrapNone/>
              <wp:docPr id="588" name="Shape 58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14" type="#_x0000_t202" style="position:absolute;margin-left:537.64999999999998pt;margin-top:826.60000000000002pt;width:54.700000000000003pt;height:4.7999999999999998pt;z-index:-1887435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6724650</wp:posOffset>
              </wp:positionH>
              <wp:positionV relativeFrom="page">
                <wp:posOffset>9958070</wp:posOffset>
              </wp:positionV>
              <wp:extent cx="97790" cy="79375"/>
              <wp:wrapNone/>
              <wp:docPr id="593" name="Shape 59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19" type="#_x0000_t202" style="position:absolute;margin-left:529.5pt;margin-top:784.10000000000002pt;width:7.7000000000000002pt;height:6.25pt;z-index:-1887435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96" behindDoc="1" locked="0" layoutInCell="1" allowOverlap="1">
              <wp:simplePos x="0" y="0"/>
              <wp:positionH relativeFrom="page">
                <wp:posOffset>6901180</wp:posOffset>
              </wp:positionH>
              <wp:positionV relativeFrom="page">
                <wp:posOffset>10260330</wp:posOffset>
              </wp:positionV>
              <wp:extent cx="548640" cy="219710"/>
              <wp:wrapNone/>
              <wp:docPr id="595" name="Shape 595"/>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21" type="#_x0000_t202" style="position:absolute;margin-left:543.39999999999998pt;margin-top:807.89999999999998pt;width:43.200000000000003pt;height:17.300000000000001pt;z-index:-1887435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198" behindDoc="1" locked="0" layoutInCell="1" allowOverlap="1">
              <wp:simplePos x="0" y="0"/>
              <wp:positionH relativeFrom="page">
                <wp:posOffset>6828155</wp:posOffset>
              </wp:positionH>
              <wp:positionV relativeFrom="page">
                <wp:posOffset>10497820</wp:posOffset>
              </wp:positionV>
              <wp:extent cx="694690" cy="60960"/>
              <wp:wrapNone/>
              <wp:docPr id="597" name="Shape 59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23" type="#_x0000_t202" style="position:absolute;margin-left:537.64999999999998pt;margin-top:826.60000000000002pt;width:54.700000000000003pt;height:4.7999999999999998pt;z-index:-1887435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6721475</wp:posOffset>
              </wp:positionH>
              <wp:positionV relativeFrom="page">
                <wp:posOffset>9961245</wp:posOffset>
              </wp:positionV>
              <wp:extent cx="109855" cy="79375"/>
              <wp:wrapNone/>
              <wp:docPr id="602" name="Shape 602"/>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28" type="#_x0000_t202" style="position:absolute;margin-left:529.25pt;margin-top:784.35000000000002pt;width:8.6500000000000004pt;height:6.25pt;z-index:-1887435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04" behindDoc="1" locked="0" layoutInCell="1" allowOverlap="1">
              <wp:simplePos x="0" y="0"/>
              <wp:positionH relativeFrom="page">
                <wp:posOffset>6828155</wp:posOffset>
              </wp:positionH>
              <wp:positionV relativeFrom="page">
                <wp:posOffset>10500995</wp:posOffset>
              </wp:positionV>
              <wp:extent cx="694690" cy="60960"/>
              <wp:wrapNone/>
              <wp:docPr id="604" name="Shape 60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30" type="#_x0000_t202" style="position:absolute;margin-left:537.64999999999998pt;margin-top:826.85000000000002pt;width:54.700000000000003pt;height:4.7999999999999998pt;z-index:-1887435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6721475</wp:posOffset>
              </wp:positionH>
              <wp:positionV relativeFrom="page">
                <wp:posOffset>9961245</wp:posOffset>
              </wp:positionV>
              <wp:extent cx="109855" cy="79375"/>
              <wp:wrapNone/>
              <wp:docPr id="609" name="Shape 609"/>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35" type="#_x0000_t202" style="position:absolute;margin-left:529.25pt;margin-top:784.35000000000002pt;width:8.6500000000000004pt;height:6.25pt;z-index:-1887435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10" behindDoc="1" locked="0" layoutInCell="1" allowOverlap="1">
              <wp:simplePos x="0" y="0"/>
              <wp:positionH relativeFrom="page">
                <wp:posOffset>6828155</wp:posOffset>
              </wp:positionH>
              <wp:positionV relativeFrom="page">
                <wp:posOffset>10500995</wp:posOffset>
              </wp:positionV>
              <wp:extent cx="694690" cy="60960"/>
              <wp:wrapNone/>
              <wp:docPr id="611" name="Shape 611"/>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37" type="#_x0000_t202" style="position:absolute;margin-left:537.64999999999998pt;margin-top:826.85000000000002pt;width:54.700000000000003pt;height:4.7999999999999998pt;z-index:-1887435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6724650</wp:posOffset>
              </wp:positionH>
              <wp:positionV relativeFrom="page">
                <wp:posOffset>9958070</wp:posOffset>
              </wp:positionV>
              <wp:extent cx="103505" cy="79375"/>
              <wp:wrapNone/>
              <wp:docPr id="616" name="Shape 61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2" type="#_x0000_t202" style="position:absolute;margin-left:529.5pt;margin-top:784.10000000000002pt;width:8.1500000000000004pt;height:6.25pt;z-index:-1887435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6724650</wp:posOffset>
              </wp:positionH>
              <wp:positionV relativeFrom="page">
                <wp:posOffset>9958070</wp:posOffset>
              </wp:positionV>
              <wp:extent cx="103505" cy="79375"/>
              <wp:wrapNone/>
              <wp:docPr id="621" name="Shape 62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7" type="#_x0000_t202" style="position:absolute;margin-left:529.5pt;margin-top:784.10000000000002pt;width:8.1500000000000004pt;height:6.25pt;z-index:-1887435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6721475</wp:posOffset>
              </wp:positionH>
              <wp:positionV relativeFrom="page">
                <wp:posOffset>9961245</wp:posOffset>
              </wp:positionV>
              <wp:extent cx="109855" cy="79375"/>
              <wp:wrapNone/>
              <wp:docPr id="626" name="Shape 62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2" type="#_x0000_t202" style="position:absolute;margin-left:529.25pt;margin-top:784.35000000000002pt;width:8.6500000000000004pt;height:6.25pt;z-index:-1887435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24" behindDoc="1" locked="0" layoutInCell="1" allowOverlap="1">
              <wp:simplePos x="0" y="0"/>
              <wp:positionH relativeFrom="page">
                <wp:posOffset>6828155</wp:posOffset>
              </wp:positionH>
              <wp:positionV relativeFrom="page">
                <wp:posOffset>10500995</wp:posOffset>
              </wp:positionV>
              <wp:extent cx="694690" cy="60960"/>
              <wp:wrapNone/>
              <wp:docPr id="628" name="Shape 62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54" type="#_x0000_t202" style="position:absolute;margin-left:537.64999999999998pt;margin-top:826.85000000000002pt;width:54.700000000000003pt;height:4.7999999999999998pt;z-index:-1887435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6730365</wp:posOffset>
              </wp:positionH>
              <wp:positionV relativeFrom="page">
                <wp:posOffset>10059035</wp:posOffset>
              </wp:positionV>
              <wp:extent cx="100330" cy="79375"/>
              <wp:wrapNone/>
              <wp:docPr id="59" name="Shape 5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85" type="#_x0000_t202" style="position:absolute;margin-left:529.95000000000005pt;margin-top:792.05000000000007pt;width:7.9000000000000004pt;height:6.25pt;z-index:-18874401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6" behindDoc="1" locked="0" layoutInCell="1" allowOverlap="1">
              <wp:simplePos x="0" y="0"/>
              <wp:positionH relativeFrom="page">
                <wp:posOffset>6901180</wp:posOffset>
              </wp:positionH>
              <wp:positionV relativeFrom="page">
                <wp:posOffset>10363835</wp:posOffset>
              </wp:positionV>
              <wp:extent cx="548640" cy="149225"/>
              <wp:wrapNone/>
              <wp:docPr id="61" name="Shape 61"/>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87" type="#_x0000_t202" style="position:absolute;margin-left:543.39999999999998pt;margin-top:816.05000000000007pt;width:43.200000000000003pt;height:11.75pt;z-index:-18874401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38" behindDoc="1" locked="0" layoutInCell="1" allowOverlap="1">
              <wp:simplePos x="0" y="0"/>
              <wp:positionH relativeFrom="page">
                <wp:posOffset>6828155</wp:posOffset>
              </wp:positionH>
              <wp:positionV relativeFrom="page">
                <wp:posOffset>10598785</wp:posOffset>
              </wp:positionV>
              <wp:extent cx="694690" cy="60960"/>
              <wp:wrapNone/>
              <wp:docPr id="63" name="Shape 6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89" type="#_x0000_t202" style="position:absolute;margin-left:537.64999999999998pt;margin-top:834.55000000000007pt;width:54.700000000000003pt;height:4.7999999999999998pt;z-index:-1887440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6721475</wp:posOffset>
              </wp:positionH>
              <wp:positionV relativeFrom="page">
                <wp:posOffset>9961245</wp:posOffset>
              </wp:positionV>
              <wp:extent cx="109855" cy="79375"/>
              <wp:wrapNone/>
              <wp:docPr id="633" name="Shape 633"/>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9" type="#_x0000_t202" style="position:absolute;margin-left:529.25pt;margin-top:784.35000000000002pt;width:8.6500000000000004pt;height:6.25pt;z-index:-1887435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30" behindDoc="1" locked="0" layoutInCell="1" allowOverlap="1">
              <wp:simplePos x="0" y="0"/>
              <wp:positionH relativeFrom="page">
                <wp:posOffset>6828155</wp:posOffset>
              </wp:positionH>
              <wp:positionV relativeFrom="page">
                <wp:posOffset>10500995</wp:posOffset>
              </wp:positionV>
              <wp:extent cx="694690" cy="60960"/>
              <wp:wrapNone/>
              <wp:docPr id="635" name="Shape 6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61" type="#_x0000_t202" style="position:absolute;margin-left:537.64999999999998pt;margin-top:826.85000000000002pt;width:54.700000000000003pt;height:4.7999999999999998pt;z-index:-1887435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6724650</wp:posOffset>
              </wp:positionH>
              <wp:positionV relativeFrom="page">
                <wp:posOffset>9958070</wp:posOffset>
              </wp:positionV>
              <wp:extent cx="97790" cy="79375"/>
              <wp:wrapNone/>
              <wp:docPr id="640" name="Shape 64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66" type="#_x0000_t202" style="position:absolute;margin-left:529.5pt;margin-top:784.10000000000002pt;width:7.7000000000000002pt;height:6.25pt;z-index:-1887435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36" behindDoc="1" locked="0" layoutInCell="1" allowOverlap="1">
              <wp:simplePos x="0" y="0"/>
              <wp:positionH relativeFrom="page">
                <wp:posOffset>6901180</wp:posOffset>
              </wp:positionH>
              <wp:positionV relativeFrom="page">
                <wp:posOffset>10260330</wp:posOffset>
              </wp:positionV>
              <wp:extent cx="548640" cy="219710"/>
              <wp:wrapNone/>
              <wp:docPr id="642" name="Shape 642"/>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68" type="#_x0000_t202" style="position:absolute;margin-left:543.39999999999998pt;margin-top:807.89999999999998pt;width:43.200000000000003pt;height:17.300000000000001pt;z-index:-1887435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38" behindDoc="1" locked="0" layoutInCell="1" allowOverlap="1">
              <wp:simplePos x="0" y="0"/>
              <wp:positionH relativeFrom="page">
                <wp:posOffset>6828155</wp:posOffset>
              </wp:positionH>
              <wp:positionV relativeFrom="page">
                <wp:posOffset>10497820</wp:posOffset>
              </wp:positionV>
              <wp:extent cx="694690" cy="60960"/>
              <wp:wrapNone/>
              <wp:docPr id="644" name="Shape 64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70" type="#_x0000_t202" style="position:absolute;margin-left:537.64999999999998pt;margin-top:826.60000000000002pt;width:54.700000000000003pt;height:4.7999999999999998pt;z-index:-1887435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6724650</wp:posOffset>
              </wp:positionH>
              <wp:positionV relativeFrom="page">
                <wp:posOffset>9958070</wp:posOffset>
              </wp:positionV>
              <wp:extent cx="97790" cy="79375"/>
              <wp:wrapNone/>
              <wp:docPr id="649" name="Shape 64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75" type="#_x0000_t202" style="position:absolute;margin-left:529.5pt;margin-top:784.10000000000002pt;width:7.7000000000000002pt;height:6.25pt;z-index:-1887435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44" behindDoc="1" locked="0" layoutInCell="1" allowOverlap="1">
              <wp:simplePos x="0" y="0"/>
              <wp:positionH relativeFrom="page">
                <wp:posOffset>6901180</wp:posOffset>
              </wp:positionH>
              <wp:positionV relativeFrom="page">
                <wp:posOffset>10260330</wp:posOffset>
              </wp:positionV>
              <wp:extent cx="548640" cy="219710"/>
              <wp:wrapNone/>
              <wp:docPr id="651" name="Shape 65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677" type="#_x0000_t202" style="position:absolute;margin-left:543.39999999999998pt;margin-top:807.89999999999998pt;width:43.200000000000003pt;height:17.300000000000001pt;z-index:-1887435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46" behindDoc="1" locked="0" layoutInCell="1" allowOverlap="1">
              <wp:simplePos x="0" y="0"/>
              <wp:positionH relativeFrom="page">
                <wp:posOffset>6828155</wp:posOffset>
              </wp:positionH>
              <wp:positionV relativeFrom="page">
                <wp:posOffset>10497820</wp:posOffset>
              </wp:positionV>
              <wp:extent cx="694690" cy="60960"/>
              <wp:wrapNone/>
              <wp:docPr id="653" name="Shape 65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79" type="#_x0000_t202" style="position:absolute;margin-left:537.64999999999998pt;margin-top:826.60000000000002pt;width:54.700000000000003pt;height:4.7999999999999998pt;z-index:-1887435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6721475</wp:posOffset>
              </wp:positionH>
              <wp:positionV relativeFrom="page">
                <wp:posOffset>9961245</wp:posOffset>
              </wp:positionV>
              <wp:extent cx="109855" cy="79375"/>
              <wp:wrapNone/>
              <wp:docPr id="658" name="Shape 658"/>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84" type="#_x0000_t202" style="position:absolute;margin-left:529.25pt;margin-top:784.35000000000002pt;width:8.6500000000000004pt;height:6.25pt;z-index:-1887435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52" behindDoc="1" locked="0" layoutInCell="1" allowOverlap="1">
              <wp:simplePos x="0" y="0"/>
              <wp:positionH relativeFrom="page">
                <wp:posOffset>6828155</wp:posOffset>
              </wp:positionH>
              <wp:positionV relativeFrom="page">
                <wp:posOffset>10500995</wp:posOffset>
              </wp:positionV>
              <wp:extent cx="694690" cy="60960"/>
              <wp:wrapNone/>
              <wp:docPr id="660" name="Shape 66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86" type="#_x0000_t202" style="position:absolute;margin-left:537.64999999999998pt;margin-top:826.85000000000002pt;width:54.700000000000003pt;height:4.7999999999999998pt;z-index:-1887435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6721475</wp:posOffset>
              </wp:positionH>
              <wp:positionV relativeFrom="page">
                <wp:posOffset>9961245</wp:posOffset>
              </wp:positionV>
              <wp:extent cx="109855" cy="79375"/>
              <wp:wrapNone/>
              <wp:docPr id="665" name="Shape 665"/>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91" type="#_x0000_t202" style="position:absolute;margin-left:529.25pt;margin-top:784.35000000000002pt;width:8.6500000000000004pt;height:6.25pt;z-index:-1887434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58" behindDoc="1" locked="0" layoutInCell="1" allowOverlap="1">
              <wp:simplePos x="0" y="0"/>
              <wp:positionH relativeFrom="page">
                <wp:posOffset>6828155</wp:posOffset>
              </wp:positionH>
              <wp:positionV relativeFrom="page">
                <wp:posOffset>10500995</wp:posOffset>
              </wp:positionV>
              <wp:extent cx="694690" cy="60960"/>
              <wp:wrapNone/>
              <wp:docPr id="667" name="Shape 66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693" type="#_x0000_t202" style="position:absolute;margin-left:537.64999999999998pt;margin-top:826.85000000000002pt;width:54.700000000000003pt;height:4.7999999999999998pt;z-index:-1887434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6724650</wp:posOffset>
              </wp:positionH>
              <wp:positionV relativeFrom="page">
                <wp:posOffset>9958070</wp:posOffset>
              </wp:positionV>
              <wp:extent cx="97790" cy="79375"/>
              <wp:wrapNone/>
              <wp:docPr id="672" name="Shape 67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98" type="#_x0000_t202" style="position:absolute;margin-left:529.5pt;margin-top:784.10000000000002pt;width:7.7000000000000002pt;height:6.25pt;z-index:-1887434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64" behindDoc="1" locked="0" layoutInCell="1" allowOverlap="1">
              <wp:simplePos x="0" y="0"/>
              <wp:positionH relativeFrom="page">
                <wp:posOffset>6901180</wp:posOffset>
              </wp:positionH>
              <wp:positionV relativeFrom="page">
                <wp:posOffset>10260330</wp:posOffset>
              </wp:positionV>
              <wp:extent cx="548640" cy="219710"/>
              <wp:wrapNone/>
              <wp:docPr id="674" name="Shape 674"/>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00" type="#_x0000_t202" style="position:absolute;margin-left:543.39999999999998pt;margin-top:807.89999999999998pt;width:43.200000000000003pt;height:17.300000000000001pt;z-index:-1887434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66" behindDoc="1" locked="0" layoutInCell="1" allowOverlap="1">
              <wp:simplePos x="0" y="0"/>
              <wp:positionH relativeFrom="page">
                <wp:posOffset>6828155</wp:posOffset>
              </wp:positionH>
              <wp:positionV relativeFrom="page">
                <wp:posOffset>10497820</wp:posOffset>
              </wp:positionV>
              <wp:extent cx="694690" cy="60960"/>
              <wp:wrapNone/>
              <wp:docPr id="676" name="Shape 67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02" type="#_x0000_t202" style="position:absolute;margin-left:537.64999999999998pt;margin-top:826.60000000000002pt;width:54.700000000000003pt;height:4.7999999999999998pt;z-index:-1887434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6724650</wp:posOffset>
              </wp:positionH>
              <wp:positionV relativeFrom="page">
                <wp:posOffset>9958070</wp:posOffset>
              </wp:positionV>
              <wp:extent cx="97790" cy="79375"/>
              <wp:wrapNone/>
              <wp:docPr id="681" name="Shape 68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07" type="#_x0000_t202" style="position:absolute;margin-left:529.5pt;margin-top:784.10000000000002pt;width:7.7000000000000002pt;height:6.25pt;z-index:-18874348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72" behindDoc="1" locked="0" layoutInCell="1" allowOverlap="1">
              <wp:simplePos x="0" y="0"/>
              <wp:positionH relativeFrom="page">
                <wp:posOffset>6901180</wp:posOffset>
              </wp:positionH>
              <wp:positionV relativeFrom="page">
                <wp:posOffset>10260330</wp:posOffset>
              </wp:positionV>
              <wp:extent cx="548640" cy="219710"/>
              <wp:wrapNone/>
              <wp:docPr id="683" name="Shape 683"/>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09" type="#_x0000_t202" style="position:absolute;margin-left:543.39999999999998pt;margin-top:807.89999999999998pt;width:43.200000000000003pt;height:17.300000000000001pt;z-index:-1887434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74" behindDoc="1" locked="0" layoutInCell="1" allowOverlap="1">
              <wp:simplePos x="0" y="0"/>
              <wp:positionH relativeFrom="page">
                <wp:posOffset>6828155</wp:posOffset>
              </wp:positionH>
              <wp:positionV relativeFrom="page">
                <wp:posOffset>10497820</wp:posOffset>
              </wp:positionV>
              <wp:extent cx="694690" cy="60960"/>
              <wp:wrapNone/>
              <wp:docPr id="685" name="Shape 68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11" type="#_x0000_t202" style="position:absolute;margin-left:537.64999999999998pt;margin-top:826.60000000000002pt;width:54.700000000000003pt;height:4.7999999999999998pt;z-index:-1887434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6652260</wp:posOffset>
              </wp:positionH>
              <wp:positionV relativeFrom="page">
                <wp:posOffset>9958070</wp:posOffset>
              </wp:positionV>
              <wp:extent cx="161290" cy="79375"/>
              <wp:wrapNone/>
              <wp:docPr id="690" name="Shape 690"/>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16" type="#_x0000_t202" style="position:absolute;margin-left:523.79999999999995pt;margin-top:784.10000000000002pt;width:12.700000000000001pt;height:6.25pt;z-index:-1887434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80" behindDoc="1" locked="0" layoutInCell="1" allowOverlap="1">
              <wp:simplePos x="0" y="0"/>
              <wp:positionH relativeFrom="page">
                <wp:posOffset>6880860</wp:posOffset>
              </wp:positionH>
              <wp:positionV relativeFrom="page">
                <wp:posOffset>10262870</wp:posOffset>
              </wp:positionV>
              <wp:extent cx="548640" cy="216535"/>
              <wp:wrapNone/>
              <wp:docPr id="692" name="Shape 692"/>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18" type="#_x0000_t202" style="position:absolute;margin-left:541.79999999999995pt;margin-top:808.10000000000002pt;width:43.200000000000003pt;height:17.050000000000001pt;z-index:-1887434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82" behindDoc="1" locked="0" layoutInCell="1" allowOverlap="1">
              <wp:simplePos x="0" y="0"/>
              <wp:positionH relativeFrom="page">
                <wp:posOffset>6807835</wp:posOffset>
              </wp:positionH>
              <wp:positionV relativeFrom="page">
                <wp:posOffset>10497820</wp:posOffset>
              </wp:positionV>
              <wp:extent cx="694690" cy="60960"/>
              <wp:wrapNone/>
              <wp:docPr id="694" name="Shape 69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20" type="#_x0000_t202" style="position:absolute;margin-left:536.04999999999995pt;margin-top:826.60000000000002pt;width:54.700000000000003pt;height:4.7999999999999998pt;z-index:-1887434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6652260</wp:posOffset>
              </wp:positionH>
              <wp:positionV relativeFrom="page">
                <wp:posOffset>9958070</wp:posOffset>
              </wp:positionV>
              <wp:extent cx="161290" cy="79375"/>
              <wp:wrapNone/>
              <wp:docPr id="699" name="Shape 699"/>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25" type="#_x0000_t202" style="position:absolute;margin-left:523.79999999999995pt;margin-top:784.10000000000002pt;width:12.700000000000001pt;height:6.25pt;z-index:-18874346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88" behindDoc="1" locked="0" layoutInCell="1" allowOverlap="1">
              <wp:simplePos x="0" y="0"/>
              <wp:positionH relativeFrom="page">
                <wp:posOffset>6880860</wp:posOffset>
              </wp:positionH>
              <wp:positionV relativeFrom="page">
                <wp:posOffset>10262870</wp:posOffset>
              </wp:positionV>
              <wp:extent cx="548640" cy="216535"/>
              <wp:wrapNone/>
              <wp:docPr id="701" name="Shape 701"/>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27" type="#_x0000_t202" style="position:absolute;margin-left:541.79999999999995pt;margin-top:808.10000000000002pt;width:43.200000000000003pt;height:17.050000000000001pt;z-index:-1887434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290" behindDoc="1" locked="0" layoutInCell="1" allowOverlap="1">
              <wp:simplePos x="0" y="0"/>
              <wp:positionH relativeFrom="page">
                <wp:posOffset>6807835</wp:posOffset>
              </wp:positionH>
              <wp:positionV relativeFrom="page">
                <wp:posOffset>10497820</wp:posOffset>
              </wp:positionV>
              <wp:extent cx="694690" cy="60960"/>
              <wp:wrapNone/>
              <wp:docPr id="703" name="Shape 70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29" type="#_x0000_t202" style="position:absolute;margin-left:536.04999999999995pt;margin-top:826.60000000000002pt;width:54.700000000000003pt;height:4.7999999999999998pt;z-index:-18874346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6721475</wp:posOffset>
              </wp:positionH>
              <wp:positionV relativeFrom="page">
                <wp:posOffset>9961245</wp:posOffset>
              </wp:positionV>
              <wp:extent cx="109855" cy="79375"/>
              <wp:wrapNone/>
              <wp:docPr id="708" name="Shape 708"/>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34" type="#_x0000_t202" style="position:absolute;margin-left:529.25pt;margin-top:784.35000000000002pt;width:8.6500000000000004pt;height:6.25pt;z-index:-1887434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96" behindDoc="1" locked="0" layoutInCell="1" allowOverlap="1">
              <wp:simplePos x="0" y="0"/>
              <wp:positionH relativeFrom="page">
                <wp:posOffset>6828155</wp:posOffset>
              </wp:positionH>
              <wp:positionV relativeFrom="page">
                <wp:posOffset>10500995</wp:posOffset>
              </wp:positionV>
              <wp:extent cx="694690" cy="60960"/>
              <wp:wrapNone/>
              <wp:docPr id="710" name="Shape 710"/>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36" type="#_x0000_t202" style="position:absolute;margin-left:537.64999999999998pt;margin-top:826.85000000000002pt;width:54.700000000000003pt;height:4.7999999999999998pt;z-index:-1887434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6730365</wp:posOffset>
              </wp:positionH>
              <wp:positionV relativeFrom="page">
                <wp:posOffset>10059035</wp:posOffset>
              </wp:positionV>
              <wp:extent cx="100330" cy="79375"/>
              <wp:wrapNone/>
              <wp:docPr id="68" name="Shape 68"/>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94" type="#_x0000_t202" style="position:absolute;margin-left:529.95000000000005pt;margin-top:792.05000000000007pt;width:7.9000000000000004pt;height:6.25pt;z-index:-18874401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4" behindDoc="1" locked="0" layoutInCell="1" allowOverlap="1">
              <wp:simplePos x="0" y="0"/>
              <wp:positionH relativeFrom="page">
                <wp:posOffset>6901180</wp:posOffset>
              </wp:positionH>
              <wp:positionV relativeFrom="page">
                <wp:posOffset>10363835</wp:posOffset>
              </wp:positionV>
              <wp:extent cx="548640" cy="149225"/>
              <wp:wrapNone/>
              <wp:docPr id="70" name="Shape 70"/>
              <a:graphic xmlns:a="http://schemas.openxmlformats.org/drawingml/2006/main">
                <a:graphicData uri="http://schemas.microsoft.com/office/word/2010/wordprocessingShape">
                  <wps:wsp>
                    <wps:cNvSpPr txBox="1"/>
                    <wps:spPr>
                      <a:xfrm>
                        <a:ext cx="548640" cy="1492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wps:txbx>
                    <wps:bodyPr wrap="none" lIns="0" tIns="0" rIns="0" bIns="0">
                      <a:spAutoFit/>
                    </wps:bodyPr>
                  </wps:wsp>
                </a:graphicData>
              </a:graphic>
            </wp:anchor>
          </w:drawing>
        </mc:Choice>
        <mc:Fallback>
          <w:pict>
            <v:shape id="_x0000_s1096" type="#_x0000_t202" style="position:absolute;margin-left:543.39999999999998pt;margin-top:816.05000000000007pt;width:43.200000000000003pt;height:11.75pt;z-index:-18874400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rFonts w:ascii="SimSun" w:eastAsia="SimSun" w:hAnsi="SimSun" w:cs="SimSun"/>
                        <w:color w:val="A2A2A2"/>
                        <w:spacing w:val="0"/>
                        <w:w w:val="100"/>
                        <w:position w:val="0"/>
                        <w:sz w:val="26"/>
                        <w:szCs w:val="26"/>
                      </w:rPr>
                      <w:t>多</w:t>
                    </w:r>
                  </w:p>
                </w:txbxContent>
              </v:textbox>
              <w10:wrap anchorx="page" anchory="page"/>
            </v:shape>
          </w:pict>
        </mc:Fallback>
      </mc:AlternateContent>
    </w:r>
    <w:r>
      <mc:AlternateContent>
        <mc:Choice Requires="wps">
          <w:drawing>
            <wp:anchor distT="0" distB="0" distL="0" distR="0" simplePos="0" relativeHeight="62914746" behindDoc="1" locked="0" layoutInCell="1" allowOverlap="1">
              <wp:simplePos x="0" y="0"/>
              <wp:positionH relativeFrom="page">
                <wp:posOffset>6828155</wp:posOffset>
              </wp:positionH>
              <wp:positionV relativeFrom="page">
                <wp:posOffset>10598785</wp:posOffset>
              </wp:positionV>
              <wp:extent cx="694690" cy="60960"/>
              <wp:wrapNone/>
              <wp:docPr id="72" name="Shape 7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098" type="#_x0000_t202" style="position:absolute;margin-left:537.64999999999998pt;margin-top:834.55000000000007pt;width:54.700000000000003pt;height:4.7999999999999998pt;z-index:-18874400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6721475</wp:posOffset>
              </wp:positionH>
              <wp:positionV relativeFrom="page">
                <wp:posOffset>9961245</wp:posOffset>
              </wp:positionV>
              <wp:extent cx="109855" cy="79375"/>
              <wp:wrapNone/>
              <wp:docPr id="715" name="Shape 715"/>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1" type="#_x0000_t202" style="position:absolute;margin-left:529.25pt;margin-top:784.35000000000002pt;width:8.6500000000000004pt;height:6.25pt;z-index:-1887434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02" behindDoc="1" locked="0" layoutInCell="1" allowOverlap="1">
              <wp:simplePos x="0" y="0"/>
              <wp:positionH relativeFrom="page">
                <wp:posOffset>6828155</wp:posOffset>
              </wp:positionH>
              <wp:positionV relativeFrom="page">
                <wp:posOffset>10500995</wp:posOffset>
              </wp:positionV>
              <wp:extent cx="694690" cy="60960"/>
              <wp:wrapNone/>
              <wp:docPr id="717" name="Shape 71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43" type="#_x0000_t202" style="position:absolute;margin-left:537.64999999999998pt;margin-top:826.85000000000002pt;width:54.700000000000003pt;height:4.7999999999999998pt;z-index:-1887434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6652260</wp:posOffset>
              </wp:positionH>
              <wp:positionV relativeFrom="page">
                <wp:posOffset>9958070</wp:posOffset>
              </wp:positionV>
              <wp:extent cx="161290" cy="79375"/>
              <wp:wrapNone/>
              <wp:docPr id="722" name="Shape 722"/>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48" type="#_x0000_t202" style="position:absolute;margin-left:523.79999999999995pt;margin-top:784.10000000000002pt;width:12.700000000000001pt;height:6.25pt;z-index:-1887434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08" behindDoc="1" locked="0" layoutInCell="1" allowOverlap="1">
              <wp:simplePos x="0" y="0"/>
              <wp:positionH relativeFrom="page">
                <wp:posOffset>6880860</wp:posOffset>
              </wp:positionH>
              <wp:positionV relativeFrom="page">
                <wp:posOffset>10262870</wp:posOffset>
              </wp:positionV>
              <wp:extent cx="548640" cy="216535"/>
              <wp:wrapNone/>
              <wp:docPr id="724" name="Shape 724"/>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50" type="#_x0000_t202" style="position:absolute;margin-left:541.79999999999995pt;margin-top:808.10000000000002pt;width:43.200000000000003pt;height:17.050000000000001pt;z-index:-1887434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10" behindDoc="1" locked="0" layoutInCell="1" allowOverlap="1">
              <wp:simplePos x="0" y="0"/>
              <wp:positionH relativeFrom="page">
                <wp:posOffset>6807835</wp:posOffset>
              </wp:positionH>
              <wp:positionV relativeFrom="page">
                <wp:posOffset>10497820</wp:posOffset>
              </wp:positionV>
              <wp:extent cx="694690" cy="60960"/>
              <wp:wrapNone/>
              <wp:docPr id="726" name="Shape 726"/>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52" type="#_x0000_t202" style="position:absolute;margin-left:536.04999999999995pt;margin-top:826.60000000000002pt;width:54.700000000000003pt;height:4.7999999999999998pt;z-index:-1887434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6652260</wp:posOffset>
              </wp:positionH>
              <wp:positionV relativeFrom="page">
                <wp:posOffset>9958070</wp:posOffset>
              </wp:positionV>
              <wp:extent cx="161290" cy="79375"/>
              <wp:wrapNone/>
              <wp:docPr id="731" name="Shape 731"/>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57" type="#_x0000_t202" style="position:absolute;margin-left:523.79999999999995pt;margin-top:784.10000000000002pt;width:12.700000000000001pt;height:6.25pt;z-index:-18874343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16" behindDoc="1" locked="0" layoutInCell="1" allowOverlap="1">
              <wp:simplePos x="0" y="0"/>
              <wp:positionH relativeFrom="page">
                <wp:posOffset>6880860</wp:posOffset>
              </wp:positionH>
              <wp:positionV relativeFrom="page">
                <wp:posOffset>10262870</wp:posOffset>
              </wp:positionV>
              <wp:extent cx="548640" cy="216535"/>
              <wp:wrapNone/>
              <wp:docPr id="733" name="Shape 733"/>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59" type="#_x0000_t202" style="position:absolute;margin-left:541.79999999999995pt;margin-top:808.10000000000002pt;width:43.200000000000003pt;height:17.050000000000001pt;z-index:-1887434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18" behindDoc="1" locked="0" layoutInCell="1" allowOverlap="1">
              <wp:simplePos x="0" y="0"/>
              <wp:positionH relativeFrom="page">
                <wp:posOffset>6807835</wp:posOffset>
              </wp:positionH>
              <wp:positionV relativeFrom="page">
                <wp:posOffset>10497820</wp:posOffset>
              </wp:positionV>
              <wp:extent cx="694690" cy="60960"/>
              <wp:wrapNone/>
              <wp:docPr id="735" name="Shape 735"/>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61" type="#_x0000_t202" style="position:absolute;margin-left:536.04999999999995pt;margin-top:826.60000000000002pt;width:54.700000000000003pt;height:4.7999999999999998pt;z-index:-1887434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6721475</wp:posOffset>
              </wp:positionH>
              <wp:positionV relativeFrom="page">
                <wp:posOffset>9961245</wp:posOffset>
              </wp:positionV>
              <wp:extent cx="109855" cy="79375"/>
              <wp:wrapNone/>
              <wp:docPr id="740" name="Shape 740"/>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66" type="#_x0000_t202" style="position:absolute;margin-left:529.25pt;margin-top:784.35000000000002pt;width:8.6500000000000004pt;height:6.25pt;z-index:-18874343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24" behindDoc="1" locked="0" layoutInCell="1" allowOverlap="1">
              <wp:simplePos x="0" y="0"/>
              <wp:positionH relativeFrom="page">
                <wp:posOffset>6828155</wp:posOffset>
              </wp:positionH>
              <wp:positionV relativeFrom="page">
                <wp:posOffset>10500995</wp:posOffset>
              </wp:positionV>
              <wp:extent cx="694690" cy="60960"/>
              <wp:wrapNone/>
              <wp:docPr id="742" name="Shape 742"/>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68" type="#_x0000_t202" style="position:absolute;margin-left:537.64999999999998pt;margin-top:826.85000000000002pt;width:54.700000000000003pt;height:4.7999999999999998pt;z-index:-1887434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6721475</wp:posOffset>
              </wp:positionH>
              <wp:positionV relativeFrom="page">
                <wp:posOffset>9961245</wp:posOffset>
              </wp:positionV>
              <wp:extent cx="109855" cy="79375"/>
              <wp:wrapNone/>
              <wp:docPr id="747" name="Shape 747"/>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73" type="#_x0000_t202" style="position:absolute;margin-left:529.25pt;margin-top:784.35000000000002pt;width:8.6500000000000004pt;height:6.25pt;z-index:-1887434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30" behindDoc="1" locked="0" layoutInCell="1" allowOverlap="1">
              <wp:simplePos x="0" y="0"/>
              <wp:positionH relativeFrom="page">
                <wp:posOffset>6828155</wp:posOffset>
              </wp:positionH>
              <wp:positionV relativeFrom="page">
                <wp:posOffset>10500995</wp:posOffset>
              </wp:positionV>
              <wp:extent cx="694690" cy="60960"/>
              <wp:wrapNone/>
              <wp:docPr id="749" name="Shape 749"/>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75" type="#_x0000_t202" style="position:absolute;margin-left:537.64999999999998pt;margin-top:826.85000000000002pt;width:54.700000000000003pt;height:4.7999999999999998pt;z-index:-1887434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6652260</wp:posOffset>
              </wp:positionH>
              <wp:positionV relativeFrom="page">
                <wp:posOffset>9958070</wp:posOffset>
              </wp:positionV>
              <wp:extent cx="161290" cy="79375"/>
              <wp:wrapNone/>
              <wp:docPr id="754" name="Shape 754"/>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80" type="#_x0000_t202" style="position:absolute;margin-left:523.79999999999995pt;margin-top:784.10000000000002pt;width:12.700000000000001pt;height:6.25pt;z-index:-1887434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36" behindDoc="1" locked="0" layoutInCell="1" allowOverlap="1">
              <wp:simplePos x="0" y="0"/>
              <wp:positionH relativeFrom="page">
                <wp:posOffset>6880860</wp:posOffset>
              </wp:positionH>
              <wp:positionV relativeFrom="page">
                <wp:posOffset>10262870</wp:posOffset>
              </wp:positionV>
              <wp:extent cx="548640" cy="216535"/>
              <wp:wrapNone/>
              <wp:docPr id="756" name="Shape 756"/>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82" type="#_x0000_t202" style="position:absolute;margin-left:541.79999999999995pt;margin-top:808.10000000000002pt;width:43.200000000000003pt;height:17.050000000000001pt;z-index:-1887434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38" behindDoc="1" locked="0" layoutInCell="1" allowOverlap="1">
              <wp:simplePos x="0" y="0"/>
              <wp:positionH relativeFrom="page">
                <wp:posOffset>6807835</wp:posOffset>
              </wp:positionH>
              <wp:positionV relativeFrom="page">
                <wp:posOffset>10497820</wp:posOffset>
              </wp:positionV>
              <wp:extent cx="694690" cy="60960"/>
              <wp:wrapNone/>
              <wp:docPr id="758" name="Shape 75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84" type="#_x0000_t202" style="position:absolute;margin-left:536.04999999999995pt;margin-top:826.60000000000002pt;width:54.700000000000003pt;height:4.7999999999999998pt;z-index:-1887434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6652260</wp:posOffset>
              </wp:positionH>
              <wp:positionV relativeFrom="page">
                <wp:posOffset>9958070</wp:posOffset>
              </wp:positionV>
              <wp:extent cx="161290" cy="79375"/>
              <wp:wrapNone/>
              <wp:docPr id="763" name="Shape 763"/>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89" type="#_x0000_t202" style="position:absolute;margin-left:523.79999999999995pt;margin-top:784.10000000000002pt;width:12.700000000000001pt;height:6.25pt;z-index:-1887434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44" behindDoc="1" locked="0" layoutInCell="1" allowOverlap="1">
              <wp:simplePos x="0" y="0"/>
              <wp:positionH relativeFrom="page">
                <wp:posOffset>6880860</wp:posOffset>
              </wp:positionH>
              <wp:positionV relativeFrom="page">
                <wp:posOffset>10262870</wp:posOffset>
              </wp:positionV>
              <wp:extent cx="548640" cy="216535"/>
              <wp:wrapNone/>
              <wp:docPr id="765" name="Shape 765"/>
              <a:graphic xmlns:a="http://schemas.openxmlformats.org/drawingml/2006/main">
                <a:graphicData uri="http://schemas.microsoft.com/office/word/2010/wordprocessingShape">
                  <wps:wsp>
                    <wps:cNvSpPr txBox="1"/>
                    <wps:spPr>
                      <a:xfrm>
                        <a:ext cx="548640" cy="21653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791" type="#_x0000_t202" style="position:absolute;margin-left:541.79999999999995pt;margin-top:808.10000000000002pt;width:43.200000000000003pt;height:17.050000000000001pt;z-index:-1887434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A2A2A2"/>
                        <w:spacing w:val="0"/>
                        <w:w w:val="100"/>
                        <w:position w:val="0"/>
                        <w:sz w:val="20"/>
                        <w:szCs w:val="20"/>
                      </w:rPr>
                      <w:t xml:space="preserve">cninf </w:t>
                    </w:r>
                    <w:r>
                      <w:rPr>
                        <w:color w:val="A2A2A2"/>
                        <w:spacing w:val="0"/>
                        <w:w w:val="100"/>
                        <w:position w:val="0"/>
                        <w:sz w:val="26"/>
                        <w:szCs w:val="26"/>
                      </w:rPr>
                      <w:t>多</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46" behindDoc="1" locked="0" layoutInCell="1" allowOverlap="1">
              <wp:simplePos x="0" y="0"/>
              <wp:positionH relativeFrom="page">
                <wp:posOffset>6807835</wp:posOffset>
              </wp:positionH>
              <wp:positionV relativeFrom="page">
                <wp:posOffset>10497820</wp:posOffset>
              </wp:positionV>
              <wp:extent cx="694690" cy="60960"/>
              <wp:wrapNone/>
              <wp:docPr id="767" name="Shape 767"/>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793" type="#_x0000_t202" style="position:absolute;margin-left:536.04999999999995pt;margin-top:826.60000000000002pt;width:54.700000000000003pt;height:4.7999999999999998pt;z-index:-18874340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6721475</wp:posOffset>
              </wp:positionH>
              <wp:positionV relativeFrom="page">
                <wp:posOffset>9961245</wp:posOffset>
              </wp:positionV>
              <wp:extent cx="109855" cy="79375"/>
              <wp:wrapNone/>
              <wp:docPr id="772" name="Shape 772"/>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98" type="#_x0000_t202" style="position:absolute;margin-left:529.25pt;margin-top:784.35000000000002pt;width:8.6500000000000004pt;height:6.25pt;z-index:-1887434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52" behindDoc="1" locked="0" layoutInCell="1" allowOverlap="1">
              <wp:simplePos x="0" y="0"/>
              <wp:positionH relativeFrom="page">
                <wp:posOffset>6828155</wp:posOffset>
              </wp:positionH>
              <wp:positionV relativeFrom="page">
                <wp:posOffset>10500995</wp:posOffset>
              </wp:positionV>
              <wp:extent cx="694690" cy="60960"/>
              <wp:wrapNone/>
              <wp:docPr id="774" name="Shape 774"/>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00" type="#_x0000_t202" style="position:absolute;margin-left:537.64999999999998pt;margin-top:826.85000000000002pt;width:54.700000000000003pt;height:4.7999999999999998pt;z-index:-1887434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6697345</wp:posOffset>
              </wp:positionH>
              <wp:positionV relativeFrom="page">
                <wp:posOffset>10002520</wp:posOffset>
              </wp:positionV>
              <wp:extent cx="152400" cy="79375"/>
              <wp:wrapNone/>
              <wp:docPr id="779" name="Shape 77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5" type="#_x0000_t202" style="position:absolute;margin-left:527.35000000000002pt;margin-top:787.60000000000002pt;width:12.pt;height:6.25pt;z-index:-1887433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58" behindDoc="1" locked="0" layoutInCell="1" allowOverlap="1">
              <wp:simplePos x="0" y="0"/>
              <wp:positionH relativeFrom="page">
                <wp:posOffset>6920230</wp:posOffset>
              </wp:positionH>
              <wp:positionV relativeFrom="page">
                <wp:posOffset>10304145</wp:posOffset>
              </wp:positionV>
              <wp:extent cx="548640" cy="219710"/>
              <wp:wrapNone/>
              <wp:docPr id="781" name="Shape 781"/>
              <a:graphic xmlns:a="http://schemas.openxmlformats.org/drawingml/2006/main">
                <a:graphicData uri="http://schemas.microsoft.com/office/word/2010/wordprocessingShape">
                  <wps:wsp>
                    <wps:cNvSpPr txBox="1"/>
                    <wps:spPr>
                      <a:xfrm>
                        <a:ext cx="548640" cy="21971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wps:txbx>
                    <wps:bodyPr wrap="none" lIns="0" tIns="0" rIns="0" bIns="0">
                      <a:spAutoFit/>
                    </wps:bodyPr>
                  </wps:wsp>
                </a:graphicData>
              </a:graphic>
            </wp:anchor>
          </w:drawing>
        </mc:Choice>
        <mc:Fallback>
          <w:pict>
            <v:shape id="_x0000_s1807" type="#_x0000_t202" style="position:absolute;margin-left:544.89999999999998pt;margin-top:811.35000000000002pt;width:43.200000000000003pt;height:17.300000000000001pt;z-index:-1887433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A2A2A2"/>
                        <w:spacing w:val="0"/>
                        <w:w w:val="100"/>
                        <w:position w:val="0"/>
                        <w:sz w:val="20"/>
                        <w:szCs w:val="20"/>
                      </w:rPr>
                      <w:t>cninf^</w:t>
                    </w:r>
                  </w:p>
                  <w:p>
                    <w:pPr>
                      <w:pStyle w:val="Style64"/>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A2A2A2"/>
                        <w:spacing w:val="0"/>
                        <w:w w:val="100"/>
                        <w:position w:val="0"/>
                        <w:sz w:val="12"/>
                        <w:szCs w:val="12"/>
                      </w:rPr>
                      <w:t>巨潮资职</w:t>
                    </w:r>
                  </w:p>
                </w:txbxContent>
              </v:textbox>
              <w10:wrap anchorx="page" anchory="page"/>
            </v:shape>
          </w:pict>
        </mc:Fallback>
      </mc:AlternateContent>
    </w:r>
    <w:r>
      <mc:AlternateContent>
        <mc:Choice Requires="wps">
          <w:drawing>
            <wp:anchor distT="0" distB="0" distL="0" distR="0" simplePos="0" relativeHeight="62915360" behindDoc="1" locked="0" layoutInCell="1" allowOverlap="1">
              <wp:simplePos x="0" y="0"/>
              <wp:positionH relativeFrom="page">
                <wp:posOffset>6847205</wp:posOffset>
              </wp:positionH>
              <wp:positionV relativeFrom="page">
                <wp:posOffset>10541635</wp:posOffset>
              </wp:positionV>
              <wp:extent cx="694690" cy="60960"/>
              <wp:wrapNone/>
              <wp:docPr id="783" name="Shape 783"/>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09" type="#_x0000_t202" style="position:absolute;margin-left:539.14999999999998pt;margin-top:830.05000000000007pt;width:54.700000000000003pt;height:4.7999999999999998pt;z-index:-1887433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6721475</wp:posOffset>
              </wp:positionH>
              <wp:positionV relativeFrom="page">
                <wp:posOffset>9961245</wp:posOffset>
              </wp:positionV>
              <wp:extent cx="109855" cy="79375"/>
              <wp:wrapNone/>
              <wp:docPr id="796" name="Shape 79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22" type="#_x0000_t202" style="position:absolute;margin-left:529.25pt;margin-top:784.35000000000002pt;width:8.6500000000000004pt;height:6.25pt;z-index:-1887433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66" behindDoc="1" locked="0" layoutInCell="1" allowOverlap="1">
              <wp:simplePos x="0" y="0"/>
              <wp:positionH relativeFrom="page">
                <wp:posOffset>6828155</wp:posOffset>
              </wp:positionH>
              <wp:positionV relativeFrom="page">
                <wp:posOffset>10500995</wp:posOffset>
              </wp:positionV>
              <wp:extent cx="694690" cy="60960"/>
              <wp:wrapNone/>
              <wp:docPr id="798" name="Shape 798"/>
              <a:graphic xmlns:a="http://schemas.openxmlformats.org/drawingml/2006/main">
                <a:graphicData uri="http://schemas.microsoft.com/office/word/2010/wordprocessingShape">
                  <wps:wsp>
                    <wps:cNvSpPr txBox="1"/>
                    <wps:spPr>
                      <a:xfrm>
                        <a:ext cx="694690" cy="6096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wps:txbx>
                    <wps:bodyPr wrap="none" lIns="0" tIns="0" rIns="0" bIns="0">
                      <a:spAutoFit/>
                    </wps:bodyPr>
                  </wps:wsp>
                </a:graphicData>
              </a:graphic>
            </wp:anchor>
          </w:drawing>
        </mc:Choice>
        <mc:Fallback>
          <w:pict>
            <v:shape id="_x0000_s1824" type="#_x0000_t202" style="position:absolute;margin-left:537.64999999999998pt;margin-top:826.85000000000002pt;width:54.700000000000003pt;height:4.7999999999999998pt;z-index:-1887433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A2A2A2"/>
                        <w:spacing w:val="0"/>
                        <w:w w:val="100"/>
                        <w:position w:val="0"/>
                        <w:sz w:val="11"/>
                        <w:szCs w:val="11"/>
                      </w:rPr>
                      <w:t>www.cninfo.com.cn</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4046220</wp:posOffset>
              </wp:positionH>
              <wp:positionV relativeFrom="page">
                <wp:posOffset>564515</wp:posOffset>
              </wp:positionV>
              <wp:extent cx="2780030" cy="106680"/>
              <wp:wrapNone/>
              <wp:docPr id="1" name="Shape 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18.60000000000002pt;margin-top:44.450000000000003pt;width:218.90000000000001pt;height:8.4000000000000004pt;z-index:-1887440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 name="Shape 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4031615</wp:posOffset>
              </wp:positionH>
              <wp:positionV relativeFrom="page">
                <wp:posOffset>564515</wp:posOffset>
              </wp:positionV>
              <wp:extent cx="2780030" cy="106680"/>
              <wp:wrapNone/>
              <wp:docPr id="74" name="Shape 7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00" type="#_x0000_t202" style="position:absolute;margin-left:317.44999999999999pt;margin-top:44.450000000000003pt;width:218.90000000000001pt;height:8.4000000000000004pt;z-index:-1887440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675640</wp:posOffset>
              </wp:positionH>
              <wp:positionV relativeFrom="page">
                <wp:posOffset>706120</wp:posOffset>
              </wp:positionV>
              <wp:extent cx="6160135" cy="0"/>
              <wp:wrapNone/>
              <wp:docPr id="76" name="Shape 7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3.200000000000003pt;margin-top:55.600000000000001pt;width:485.05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8" behindDoc="1" locked="0" layoutInCell="1" allowOverlap="1">
              <wp:simplePos x="0" y="0"/>
              <wp:positionH relativeFrom="page">
                <wp:posOffset>4048760</wp:posOffset>
              </wp:positionH>
              <wp:positionV relativeFrom="page">
                <wp:posOffset>83820</wp:posOffset>
              </wp:positionV>
              <wp:extent cx="2780030" cy="106680"/>
              <wp:wrapNone/>
              <wp:docPr id="800" name="Shape 80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26" type="#_x0000_t202" style="position:absolute;margin-left:318.80000000000001pt;margin-top:6.6000000000000005pt;width:218.90000000000001pt;height:8.4000000000000004pt;z-index:-1887433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802" name="Shape 8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4" behindDoc="1" locked="0" layoutInCell="1" allowOverlap="1">
              <wp:simplePos x="0" y="0"/>
              <wp:positionH relativeFrom="page">
                <wp:posOffset>4037965</wp:posOffset>
              </wp:positionH>
              <wp:positionV relativeFrom="page">
                <wp:posOffset>608330</wp:posOffset>
              </wp:positionV>
              <wp:extent cx="2780030" cy="106680"/>
              <wp:wrapNone/>
              <wp:docPr id="807" name="Shape 80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33" type="#_x0000_t202" style="position:absolute;margin-left:317.94999999999999pt;margin-top:47.899999999999999pt;width:218.90000000000001pt;height:8.4000000000000004pt;z-index:-1887433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682625</wp:posOffset>
              </wp:positionH>
              <wp:positionV relativeFrom="page">
                <wp:posOffset>749935</wp:posOffset>
              </wp:positionV>
              <wp:extent cx="6160135" cy="0"/>
              <wp:wrapNone/>
              <wp:docPr id="809" name="Shape 80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3.75pt;margin-top:59.050000000000004pt;width:485.05000000000001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0" behindDoc="1" locked="0" layoutInCell="1" allowOverlap="1">
              <wp:simplePos x="0" y="0"/>
              <wp:positionH relativeFrom="page">
                <wp:posOffset>4027805</wp:posOffset>
              </wp:positionH>
              <wp:positionV relativeFrom="page">
                <wp:posOffset>564515</wp:posOffset>
              </wp:positionV>
              <wp:extent cx="2780030" cy="106680"/>
              <wp:wrapNone/>
              <wp:docPr id="824" name="Shape 82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50" type="#_x0000_t202" style="position:absolute;margin-left:317.15000000000003pt;margin-top:44.450000000000003pt;width:218.90000000000001pt;height:8.4000000000000004pt;z-index:-1887433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826" name="Shape 82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4027805</wp:posOffset>
              </wp:positionH>
              <wp:positionV relativeFrom="page">
                <wp:posOffset>564515</wp:posOffset>
              </wp:positionV>
              <wp:extent cx="2780030" cy="106680"/>
              <wp:wrapNone/>
              <wp:docPr id="833" name="Shape 83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59" type="#_x0000_t202" style="position:absolute;margin-left:317.15000000000003pt;margin-top:44.450000000000003pt;width:218.90000000000001pt;height:8.4000000000000004pt;z-index:-1887433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835" name="Shape 83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4067175</wp:posOffset>
              </wp:positionH>
              <wp:positionV relativeFrom="page">
                <wp:posOffset>564515</wp:posOffset>
              </wp:positionV>
              <wp:extent cx="2780030" cy="106680"/>
              <wp:wrapNone/>
              <wp:docPr id="854" name="Shape 85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0" type="#_x0000_t202" style="position:absolute;margin-left:320.25pt;margin-top:44.450000000000003pt;width:218.90000000000001pt;height:8.4000000000000004pt;z-index:-1887433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856" name="Shape 85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4067175</wp:posOffset>
              </wp:positionH>
              <wp:positionV relativeFrom="page">
                <wp:posOffset>564515</wp:posOffset>
              </wp:positionV>
              <wp:extent cx="2780030" cy="106680"/>
              <wp:wrapNone/>
              <wp:docPr id="863" name="Shape 86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9" type="#_x0000_t202" style="position:absolute;margin-left:320.25pt;margin-top:44.450000000000003pt;width:218.90000000000001pt;height:8.4000000000000004pt;z-index:-1887433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865" name="Shape 86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4048125</wp:posOffset>
              </wp:positionH>
              <wp:positionV relativeFrom="page">
                <wp:posOffset>564515</wp:posOffset>
              </wp:positionV>
              <wp:extent cx="2780030" cy="106680"/>
              <wp:wrapNone/>
              <wp:docPr id="872" name="Shape 87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98" type="#_x0000_t202" style="position:absolute;margin-left:318.75pt;margin-top:44.450000000000003pt;width:218.90000000000001pt;height:8.4000000000000004pt;z-index:-1887433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874" name="Shape 8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4048125</wp:posOffset>
              </wp:positionH>
              <wp:positionV relativeFrom="page">
                <wp:posOffset>564515</wp:posOffset>
              </wp:positionV>
              <wp:extent cx="2780030" cy="106680"/>
              <wp:wrapNone/>
              <wp:docPr id="877" name="Shape 87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03" type="#_x0000_t202" style="position:absolute;margin-left:318.75pt;margin-top:44.450000000000003pt;width:218.90000000000001pt;height:8.4000000000000004pt;z-index:-1887433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879" name="Shape 8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4049395</wp:posOffset>
              </wp:positionH>
              <wp:positionV relativeFrom="page">
                <wp:posOffset>564515</wp:posOffset>
              </wp:positionV>
              <wp:extent cx="2780030" cy="106680"/>
              <wp:wrapNone/>
              <wp:docPr id="882" name="Shape 88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08" type="#_x0000_t202" style="position:absolute;margin-left:318.85000000000002pt;margin-top:44.450000000000003pt;width:218.90000000000001pt;height:8.4000000000000004pt;z-index:-1887433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0135" cy="0"/>
              <wp:wrapNone/>
              <wp:docPr id="884" name="Shape 88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05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4049395</wp:posOffset>
              </wp:positionH>
              <wp:positionV relativeFrom="page">
                <wp:posOffset>564515</wp:posOffset>
              </wp:positionV>
              <wp:extent cx="2780030" cy="106680"/>
              <wp:wrapNone/>
              <wp:docPr id="891" name="Shape 89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7" type="#_x0000_t202" style="position:absolute;margin-left:318.85000000000002pt;margin-top:44.450000000000003pt;width:218.90000000000001pt;height:8.4000000000000004pt;z-index:-1887433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0135" cy="0"/>
              <wp:wrapNone/>
              <wp:docPr id="893" name="Shape 89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05000000000001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4048125</wp:posOffset>
              </wp:positionH>
              <wp:positionV relativeFrom="page">
                <wp:posOffset>564515</wp:posOffset>
              </wp:positionV>
              <wp:extent cx="2780030" cy="106680"/>
              <wp:wrapNone/>
              <wp:docPr id="83" name="Shape 8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09" type="#_x0000_t202" style="position:absolute;margin-left:318.75pt;margin-top:44.450000000000003pt;width:218.90000000000001pt;height:8.4000000000000004pt;z-index:-18874399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85" name="Shape 8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4067175</wp:posOffset>
              </wp:positionH>
              <wp:positionV relativeFrom="page">
                <wp:posOffset>564515</wp:posOffset>
              </wp:positionV>
              <wp:extent cx="2780030" cy="106680"/>
              <wp:wrapNone/>
              <wp:docPr id="900" name="Shape 90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26" type="#_x0000_t202" style="position:absolute;margin-left:320.25pt;margin-top:44.450000000000003pt;width:218.90000000000001pt;height:8.4000000000000004pt;z-index:-1887433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902" name="Shape 9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4067175</wp:posOffset>
              </wp:positionH>
              <wp:positionV relativeFrom="page">
                <wp:posOffset>564515</wp:posOffset>
              </wp:positionV>
              <wp:extent cx="2780030" cy="106680"/>
              <wp:wrapNone/>
              <wp:docPr id="909" name="Shape 90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5" type="#_x0000_t202" style="position:absolute;margin-left:320.25pt;margin-top:44.450000000000003pt;width:218.90000000000001pt;height:8.4000000000000004pt;z-index:-1887433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911" name="Shape 91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4067175</wp:posOffset>
              </wp:positionH>
              <wp:positionV relativeFrom="page">
                <wp:posOffset>564515</wp:posOffset>
              </wp:positionV>
              <wp:extent cx="2780030" cy="106680"/>
              <wp:wrapNone/>
              <wp:docPr id="918" name="Shape 91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44" type="#_x0000_t202" style="position:absolute;margin-left:320.25pt;margin-top:44.450000000000003pt;width:218.90000000000001pt;height:8.4000000000000004pt;z-index:-1887433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920" name="Shape 9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4043680</wp:posOffset>
              </wp:positionH>
              <wp:positionV relativeFrom="page">
                <wp:posOffset>564515</wp:posOffset>
              </wp:positionV>
              <wp:extent cx="2780030" cy="106680"/>
              <wp:wrapNone/>
              <wp:docPr id="927" name="Shape 92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53" type="#_x0000_t202" style="position:absolute;margin-left:318.40000000000003pt;margin-top:44.450000000000003pt;width:218.90000000000001pt;height:8.4000000000000004pt;z-index:-1887432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706120</wp:posOffset>
              </wp:positionV>
              <wp:extent cx="6160135" cy="0"/>
              <wp:wrapNone/>
              <wp:docPr id="929" name="Shape 92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149999999999999pt;margin-top:55.600000000000001pt;width:485.05000000000001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4043680</wp:posOffset>
              </wp:positionH>
              <wp:positionV relativeFrom="page">
                <wp:posOffset>564515</wp:posOffset>
              </wp:positionV>
              <wp:extent cx="2780030" cy="106680"/>
              <wp:wrapNone/>
              <wp:docPr id="934" name="Shape 93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0" type="#_x0000_t202" style="position:absolute;margin-left:318.40000000000003pt;margin-top:44.450000000000003pt;width:218.90000000000001pt;height:8.4000000000000004pt;z-index:-1887432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706120</wp:posOffset>
              </wp:positionV>
              <wp:extent cx="6160135" cy="0"/>
              <wp:wrapNone/>
              <wp:docPr id="936" name="Shape 93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149999999999999pt;margin-top:55.600000000000001pt;width:485.05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4049395</wp:posOffset>
              </wp:positionH>
              <wp:positionV relativeFrom="page">
                <wp:posOffset>564515</wp:posOffset>
              </wp:positionV>
              <wp:extent cx="2780030" cy="106680"/>
              <wp:wrapNone/>
              <wp:docPr id="941" name="Shape 94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7" type="#_x0000_t202" style="position:absolute;margin-left:318.85000000000002pt;margin-top:44.450000000000003pt;width:218.90000000000001pt;height:8.4000000000000004pt;z-index:-1887432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0135" cy="0"/>
              <wp:wrapNone/>
              <wp:docPr id="943" name="Shape 9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05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4067175</wp:posOffset>
              </wp:positionH>
              <wp:positionV relativeFrom="page">
                <wp:posOffset>564515</wp:posOffset>
              </wp:positionV>
              <wp:extent cx="2780030" cy="106680"/>
              <wp:wrapNone/>
              <wp:docPr id="950" name="Shape 95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76" type="#_x0000_t202" style="position:absolute;margin-left:320.25pt;margin-top:44.450000000000003pt;width:218.90000000000001pt;height:8.4000000000000004pt;z-index:-1887432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952" name="Shape 9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4047490</wp:posOffset>
              </wp:positionH>
              <wp:positionV relativeFrom="page">
                <wp:posOffset>564515</wp:posOffset>
              </wp:positionV>
              <wp:extent cx="2780030" cy="106680"/>
              <wp:wrapNone/>
              <wp:docPr id="959" name="Shape 95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85" type="#_x0000_t202" style="position:absolute;margin-left:318.69999999999999pt;margin-top:44.450000000000003pt;width:218.90000000000001pt;height:8.4000000000000004pt;z-index:-1887432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0135" cy="0"/>
              <wp:wrapNone/>
              <wp:docPr id="961" name="Shape 96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05000000000001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4047490</wp:posOffset>
              </wp:positionH>
              <wp:positionV relativeFrom="page">
                <wp:posOffset>564515</wp:posOffset>
              </wp:positionV>
              <wp:extent cx="2780030" cy="106680"/>
              <wp:wrapNone/>
              <wp:docPr id="968" name="Shape 96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4" type="#_x0000_t202" style="position:absolute;margin-left:318.69999999999999pt;margin-top:44.450000000000003pt;width:218.90000000000001pt;height:8.4000000000000004pt;z-index:-1887432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0135" cy="0"/>
              <wp:wrapNone/>
              <wp:docPr id="970" name="Shape 97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05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4047490</wp:posOffset>
              </wp:positionH>
              <wp:positionV relativeFrom="page">
                <wp:posOffset>564515</wp:posOffset>
              </wp:positionV>
              <wp:extent cx="2780030" cy="106680"/>
              <wp:wrapNone/>
              <wp:docPr id="977" name="Shape 97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03" type="#_x0000_t202" style="position:absolute;margin-left:318.69999999999999pt;margin-top:44.450000000000003pt;width:218.90000000000001pt;height:8.4000000000000004pt;z-index:-1887432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691515</wp:posOffset>
              </wp:positionH>
              <wp:positionV relativeFrom="page">
                <wp:posOffset>706120</wp:posOffset>
              </wp:positionV>
              <wp:extent cx="6160135" cy="0"/>
              <wp:wrapNone/>
              <wp:docPr id="979" name="Shape 9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450000000000003pt;margin-top:55.600000000000001pt;width:485.05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4048125</wp:posOffset>
              </wp:positionH>
              <wp:positionV relativeFrom="page">
                <wp:posOffset>564515</wp:posOffset>
              </wp:positionV>
              <wp:extent cx="2780030" cy="106680"/>
              <wp:wrapNone/>
              <wp:docPr id="88" name="Shape 8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14" type="#_x0000_t202" style="position:absolute;margin-left:318.75pt;margin-top:44.450000000000003pt;width:218.90000000000001pt;height:8.4000000000000004pt;z-index:-18874399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90" name="Shape 9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4067175</wp:posOffset>
              </wp:positionH>
              <wp:positionV relativeFrom="page">
                <wp:posOffset>564515</wp:posOffset>
              </wp:positionV>
              <wp:extent cx="2780030" cy="106680"/>
              <wp:wrapNone/>
              <wp:docPr id="986" name="Shape 98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12" type="#_x0000_t202" style="position:absolute;margin-left:320.25pt;margin-top:44.450000000000003pt;width:218.90000000000001pt;height:8.4000000000000004pt;z-index:-1887432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988" name="Shape 9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4067175</wp:posOffset>
              </wp:positionH>
              <wp:positionV relativeFrom="page">
                <wp:posOffset>564515</wp:posOffset>
              </wp:positionV>
              <wp:extent cx="2780030" cy="106680"/>
              <wp:wrapNone/>
              <wp:docPr id="995" name="Shape 99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21" type="#_x0000_t202" style="position:absolute;margin-left:320.25pt;margin-top:44.450000000000003pt;width:218.90000000000001pt;height:8.4000000000000004pt;z-index:-1887432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997" name="Shape 99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4043680</wp:posOffset>
              </wp:positionH>
              <wp:positionV relativeFrom="page">
                <wp:posOffset>564515</wp:posOffset>
              </wp:positionV>
              <wp:extent cx="2780030" cy="106680"/>
              <wp:wrapNone/>
              <wp:docPr id="1004" name="Shape 100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0" type="#_x0000_t202" style="position:absolute;margin-left:318.40000000000003pt;margin-top:44.450000000000003pt;width:218.90000000000001pt;height:8.4000000000000004pt;z-index:-1887432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706120</wp:posOffset>
              </wp:positionV>
              <wp:extent cx="6160135" cy="0"/>
              <wp:wrapNone/>
              <wp:docPr id="1006" name="Shape 100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149999999999999pt;margin-top:55.600000000000001pt;width:485.05000000000001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4048125</wp:posOffset>
              </wp:positionH>
              <wp:positionV relativeFrom="page">
                <wp:posOffset>564515</wp:posOffset>
              </wp:positionV>
              <wp:extent cx="2780030" cy="106680"/>
              <wp:wrapNone/>
              <wp:docPr id="1011" name="Shape 101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7" type="#_x0000_t202" style="position:absolute;margin-left:318.75pt;margin-top:44.450000000000003pt;width:218.90000000000001pt;height:8.4000000000000004pt;z-index:-1887432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013" name="Shape 101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4048125</wp:posOffset>
              </wp:positionH>
              <wp:positionV relativeFrom="page">
                <wp:posOffset>564515</wp:posOffset>
              </wp:positionV>
              <wp:extent cx="2780030" cy="106680"/>
              <wp:wrapNone/>
              <wp:docPr id="1016" name="Shape 101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42" type="#_x0000_t202" style="position:absolute;margin-left:318.75pt;margin-top:44.450000000000003pt;width:218.90000000000001pt;height:8.4000000000000004pt;z-index:-1887432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018" name="Shape 101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4050030</wp:posOffset>
              </wp:positionH>
              <wp:positionV relativeFrom="page">
                <wp:posOffset>564515</wp:posOffset>
              </wp:positionV>
              <wp:extent cx="2780030" cy="106680"/>
              <wp:wrapNone/>
              <wp:docPr id="1021" name="Shape 102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47" type="#_x0000_t202" style="position:absolute;margin-left:318.90000000000003pt;margin-top:44.450000000000003pt;width:218.90000000000001pt;height:8.4000000000000004pt;z-index:-1887432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023" name="Shape 102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4050030</wp:posOffset>
              </wp:positionH>
              <wp:positionV relativeFrom="page">
                <wp:posOffset>564515</wp:posOffset>
              </wp:positionV>
              <wp:extent cx="2780030" cy="106680"/>
              <wp:wrapNone/>
              <wp:docPr id="1030" name="Shape 103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56" type="#_x0000_t202" style="position:absolute;margin-left:318.90000000000003pt;margin-top:44.450000000000003pt;width:218.90000000000001pt;height:8.4000000000000004pt;z-index:-1887432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032" name="Shape 103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4043680</wp:posOffset>
              </wp:positionH>
              <wp:positionV relativeFrom="page">
                <wp:posOffset>564515</wp:posOffset>
              </wp:positionV>
              <wp:extent cx="2780030" cy="106680"/>
              <wp:wrapNone/>
              <wp:docPr id="1039" name="Shape 103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5" type="#_x0000_t202" style="position:absolute;margin-left:318.40000000000003pt;margin-top:44.450000000000003pt;width:218.90000000000001pt;height:8.4000000000000004pt;z-index:-1887431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706120</wp:posOffset>
              </wp:positionV>
              <wp:extent cx="6160135" cy="0"/>
              <wp:wrapNone/>
              <wp:docPr id="1041" name="Shape 104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149999999999999pt;margin-top:55.600000000000001pt;width:485.05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4050030</wp:posOffset>
              </wp:positionH>
              <wp:positionV relativeFrom="page">
                <wp:posOffset>564515</wp:posOffset>
              </wp:positionV>
              <wp:extent cx="2780030" cy="106680"/>
              <wp:wrapNone/>
              <wp:docPr id="1046" name="Shape 104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2" type="#_x0000_t202" style="position:absolute;margin-left:318.90000000000003pt;margin-top:44.450000000000003pt;width:218.90000000000001pt;height:8.4000000000000004pt;z-index:-1887431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048" name="Shape 104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4050030</wp:posOffset>
              </wp:positionH>
              <wp:positionV relativeFrom="page">
                <wp:posOffset>564515</wp:posOffset>
              </wp:positionV>
              <wp:extent cx="2780030" cy="106680"/>
              <wp:wrapNone/>
              <wp:docPr id="1055" name="Shape 105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1" type="#_x0000_t202" style="position:absolute;margin-left:318.90000000000003pt;margin-top:44.450000000000003pt;width:218.90000000000001pt;height:8.4000000000000004pt;z-index:-1887431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057" name="Shape 105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4046220</wp:posOffset>
              </wp:positionH>
              <wp:positionV relativeFrom="page">
                <wp:posOffset>564515</wp:posOffset>
              </wp:positionV>
              <wp:extent cx="2780030" cy="106680"/>
              <wp:wrapNone/>
              <wp:docPr id="97" name="Shape 9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23" type="#_x0000_t202" style="position:absolute;margin-left:318.60000000000002pt;margin-top:44.450000000000003pt;width:218.90000000000001pt;height:8.4000000000000004pt;z-index:-18874398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99" name="Shape 9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4048125</wp:posOffset>
              </wp:positionH>
              <wp:positionV relativeFrom="page">
                <wp:posOffset>564515</wp:posOffset>
              </wp:positionV>
              <wp:extent cx="2780030" cy="106680"/>
              <wp:wrapNone/>
              <wp:docPr id="1064" name="Shape 106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90" type="#_x0000_t202" style="position:absolute;margin-left:318.75pt;margin-top:44.450000000000003pt;width:218.90000000000001pt;height:8.4000000000000004pt;z-index:-1887431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066" name="Shape 106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4048125</wp:posOffset>
              </wp:positionH>
              <wp:positionV relativeFrom="page">
                <wp:posOffset>564515</wp:posOffset>
              </wp:positionV>
              <wp:extent cx="2780030" cy="106680"/>
              <wp:wrapNone/>
              <wp:docPr id="1069" name="Shape 106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95" type="#_x0000_t202" style="position:absolute;margin-left:318.75pt;margin-top:44.450000000000003pt;width:218.90000000000001pt;height:8.4000000000000004pt;z-index:-1887431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071" name="Shape 10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4050030</wp:posOffset>
              </wp:positionH>
              <wp:positionV relativeFrom="page">
                <wp:posOffset>564515</wp:posOffset>
              </wp:positionV>
              <wp:extent cx="2780030" cy="106680"/>
              <wp:wrapNone/>
              <wp:docPr id="1074" name="Shape 107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0" type="#_x0000_t202" style="position:absolute;margin-left:318.90000000000003pt;margin-top:44.450000000000003pt;width:218.90000000000001pt;height:8.4000000000000004pt;z-index:-1887431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076" name="Shape 107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4050030</wp:posOffset>
              </wp:positionH>
              <wp:positionV relativeFrom="page">
                <wp:posOffset>564515</wp:posOffset>
              </wp:positionV>
              <wp:extent cx="2780030" cy="106680"/>
              <wp:wrapNone/>
              <wp:docPr id="1083" name="Shape 108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9" type="#_x0000_t202" style="position:absolute;margin-left:318.90000000000003pt;margin-top:44.450000000000003pt;width:218.90000000000001pt;height:8.4000000000000004pt;z-index:-1887431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085" name="Shape 108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3705860</wp:posOffset>
              </wp:positionH>
              <wp:positionV relativeFrom="page">
                <wp:posOffset>564515</wp:posOffset>
              </wp:positionV>
              <wp:extent cx="2780030" cy="106680"/>
              <wp:wrapNone/>
              <wp:docPr id="1092" name="Shape 109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18" type="#_x0000_t202" style="position:absolute;margin-left:291.80000000000001pt;margin-top:44.450000000000003pt;width:218.90000000000001pt;height:8.4000000000000004pt;z-index:-1887431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350520</wp:posOffset>
              </wp:positionH>
              <wp:positionV relativeFrom="page">
                <wp:posOffset>706120</wp:posOffset>
              </wp:positionV>
              <wp:extent cx="6160135" cy="0"/>
              <wp:wrapNone/>
              <wp:docPr id="1094" name="Shape 109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00000000000001pt;margin-top:55.600000000000001pt;width:485.05000000000001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2" behindDoc="1" locked="0" layoutInCell="1" allowOverlap="1">
              <wp:simplePos x="0" y="0"/>
              <wp:positionH relativeFrom="page">
                <wp:posOffset>3705860</wp:posOffset>
              </wp:positionH>
              <wp:positionV relativeFrom="page">
                <wp:posOffset>564515</wp:posOffset>
              </wp:positionV>
              <wp:extent cx="2780030" cy="106680"/>
              <wp:wrapNone/>
              <wp:docPr id="1101" name="Shape 110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7" type="#_x0000_t202" style="position:absolute;margin-left:291.80000000000001pt;margin-top:44.450000000000003pt;width:218.90000000000001pt;height:8.4000000000000004pt;z-index:-1887431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350520</wp:posOffset>
              </wp:positionH>
              <wp:positionV relativeFrom="page">
                <wp:posOffset>706120</wp:posOffset>
              </wp:positionV>
              <wp:extent cx="6160135" cy="0"/>
              <wp:wrapNone/>
              <wp:docPr id="1103" name="Shape 110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00000000000001pt;margin-top:55.600000000000001pt;width:485.05000000000001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0" behindDoc="1" locked="0" layoutInCell="1" allowOverlap="1">
              <wp:simplePos x="0" y="0"/>
              <wp:positionH relativeFrom="page">
                <wp:posOffset>3705860</wp:posOffset>
              </wp:positionH>
              <wp:positionV relativeFrom="page">
                <wp:posOffset>564515</wp:posOffset>
              </wp:positionV>
              <wp:extent cx="2780030" cy="106680"/>
              <wp:wrapNone/>
              <wp:docPr id="1110" name="Shape 111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36" type="#_x0000_t202" style="position:absolute;margin-left:291.80000000000001pt;margin-top:44.450000000000003pt;width:218.90000000000001pt;height:8.4000000000000004pt;z-index:-1887431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350520</wp:posOffset>
              </wp:positionH>
              <wp:positionV relativeFrom="page">
                <wp:posOffset>706120</wp:posOffset>
              </wp:positionV>
              <wp:extent cx="6160135" cy="0"/>
              <wp:wrapNone/>
              <wp:docPr id="1112" name="Shape 111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00000000000001pt;margin-top:55.600000000000001pt;width:485.05000000000001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8" behindDoc="1" locked="0" layoutInCell="1" allowOverlap="1">
              <wp:simplePos x="0" y="0"/>
              <wp:positionH relativeFrom="page">
                <wp:posOffset>3705860</wp:posOffset>
              </wp:positionH>
              <wp:positionV relativeFrom="page">
                <wp:posOffset>564515</wp:posOffset>
              </wp:positionV>
              <wp:extent cx="2780030" cy="106680"/>
              <wp:wrapNone/>
              <wp:docPr id="1119" name="Shape 111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5" type="#_x0000_t202" style="position:absolute;margin-left:291.80000000000001pt;margin-top:44.450000000000003pt;width:218.90000000000001pt;height:8.4000000000000004pt;z-index:-1887431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350520</wp:posOffset>
              </wp:positionH>
              <wp:positionV relativeFrom="page">
                <wp:posOffset>706120</wp:posOffset>
              </wp:positionV>
              <wp:extent cx="6160135" cy="0"/>
              <wp:wrapNone/>
              <wp:docPr id="1121" name="Shape 112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7.600000000000001pt;margin-top:55.600000000000001pt;width:485.05000000000001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6" behindDoc="1" locked="0" layoutInCell="1" allowOverlap="1">
              <wp:simplePos x="0" y="0"/>
              <wp:positionH relativeFrom="page">
                <wp:posOffset>4050030</wp:posOffset>
              </wp:positionH>
              <wp:positionV relativeFrom="page">
                <wp:posOffset>564515</wp:posOffset>
              </wp:positionV>
              <wp:extent cx="2780030" cy="106680"/>
              <wp:wrapNone/>
              <wp:docPr id="1128" name="Shape 112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4" type="#_x0000_t202" style="position:absolute;margin-left:318.90000000000003pt;margin-top:44.450000000000003pt;width:218.90000000000001pt;height:8.4000000000000004pt;z-index:-1887431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30" name="Shape 113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4" behindDoc="1" locked="0" layoutInCell="1" allowOverlap="1">
              <wp:simplePos x="0" y="0"/>
              <wp:positionH relativeFrom="page">
                <wp:posOffset>4050030</wp:posOffset>
              </wp:positionH>
              <wp:positionV relativeFrom="page">
                <wp:posOffset>564515</wp:posOffset>
              </wp:positionV>
              <wp:extent cx="2780030" cy="106680"/>
              <wp:wrapNone/>
              <wp:docPr id="1137" name="Shape 113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63" type="#_x0000_t202" style="position:absolute;margin-left:318.90000000000003pt;margin-top:44.450000000000003pt;width:218.90000000000001pt;height:8.4000000000000004pt;z-index:-1887431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39" name="Shape 11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4031615</wp:posOffset>
              </wp:positionH>
              <wp:positionV relativeFrom="page">
                <wp:posOffset>564515</wp:posOffset>
              </wp:positionV>
              <wp:extent cx="2780030" cy="106680"/>
              <wp:wrapNone/>
              <wp:docPr id="106" name="Shape 10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32" type="#_x0000_t202" style="position:absolute;margin-left:317.44999999999999pt;margin-top:44.450000000000003pt;width:218.90000000000001pt;height:8.4000000000000004pt;z-index:-1887439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675640</wp:posOffset>
              </wp:positionH>
              <wp:positionV relativeFrom="page">
                <wp:posOffset>706120</wp:posOffset>
              </wp:positionV>
              <wp:extent cx="6160135" cy="0"/>
              <wp:wrapNone/>
              <wp:docPr id="108" name="Shape 10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3.200000000000003pt;margin-top:55.600000000000001pt;width:485.05000000000001pt;height:0;z-index:-251658240;mso-position-horizontal-relative:page;mso-position-vertical-relative:page">
              <v:stroke weight="1.pt"/>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2" behindDoc="1" locked="0" layoutInCell="1" allowOverlap="1">
              <wp:simplePos x="0" y="0"/>
              <wp:positionH relativeFrom="page">
                <wp:posOffset>4050030</wp:posOffset>
              </wp:positionH>
              <wp:positionV relativeFrom="page">
                <wp:posOffset>564515</wp:posOffset>
              </wp:positionV>
              <wp:extent cx="2780030" cy="106680"/>
              <wp:wrapNone/>
              <wp:docPr id="1146" name="Shape 114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72" type="#_x0000_t202" style="position:absolute;margin-left:318.90000000000003pt;margin-top:44.450000000000003pt;width:218.90000000000001pt;height:8.4000000000000004pt;z-index:-1887431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48" name="Shape 114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0" behindDoc="1" locked="0" layoutInCell="1" allowOverlap="1">
              <wp:simplePos x="0" y="0"/>
              <wp:positionH relativeFrom="page">
                <wp:posOffset>4048125</wp:posOffset>
              </wp:positionH>
              <wp:positionV relativeFrom="page">
                <wp:posOffset>564515</wp:posOffset>
              </wp:positionV>
              <wp:extent cx="2780030" cy="106680"/>
              <wp:wrapNone/>
              <wp:docPr id="1155" name="Shape 115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1" type="#_x0000_t202" style="position:absolute;margin-left:318.75pt;margin-top:44.450000000000003pt;width:218.90000000000001pt;height:8.4000000000000004pt;z-index:-1887430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157" name="Shape 115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4" behindDoc="1" locked="0" layoutInCell="1" allowOverlap="1">
              <wp:simplePos x="0" y="0"/>
              <wp:positionH relativeFrom="page">
                <wp:posOffset>4048125</wp:posOffset>
              </wp:positionH>
              <wp:positionV relativeFrom="page">
                <wp:posOffset>564515</wp:posOffset>
              </wp:positionV>
              <wp:extent cx="2780030" cy="106680"/>
              <wp:wrapNone/>
              <wp:docPr id="1160" name="Shape 116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6" type="#_x0000_t202" style="position:absolute;margin-left:318.75pt;margin-top:44.450000000000003pt;width:218.90000000000001pt;height:8.4000000000000004pt;z-index:-1887430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162" name="Shape 11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8" behindDoc="1" locked="0" layoutInCell="1" allowOverlap="1">
              <wp:simplePos x="0" y="0"/>
              <wp:positionH relativeFrom="page">
                <wp:posOffset>4050030</wp:posOffset>
              </wp:positionH>
              <wp:positionV relativeFrom="page">
                <wp:posOffset>564515</wp:posOffset>
              </wp:positionV>
              <wp:extent cx="2780030" cy="106680"/>
              <wp:wrapNone/>
              <wp:docPr id="1166" name="Shape 116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2" type="#_x0000_t202" style="position:absolute;margin-left:318.90000000000003pt;margin-top:44.450000000000003pt;width:218.90000000000001pt;height:8.4000000000000004pt;z-index:-1887430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68" name="Shape 116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6" behindDoc="1" locked="0" layoutInCell="1" allowOverlap="1">
              <wp:simplePos x="0" y="0"/>
              <wp:positionH relativeFrom="page">
                <wp:posOffset>4050030</wp:posOffset>
              </wp:positionH>
              <wp:positionV relativeFrom="page">
                <wp:posOffset>564515</wp:posOffset>
              </wp:positionV>
              <wp:extent cx="2780030" cy="106680"/>
              <wp:wrapNone/>
              <wp:docPr id="1175" name="Shape 117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01" type="#_x0000_t202" style="position:absolute;margin-left:318.90000000000003pt;margin-top:44.450000000000003pt;width:218.90000000000001pt;height:8.4000000000000004pt;z-index:-1887430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77" name="Shape 117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4" behindDoc="1" locked="0" layoutInCell="1" allowOverlap="1">
              <wp:simplePos x="0" y="0"/>
              <wp:positionH relativeFrom="page">
                <wp:posOffset>4050030</wp:posOffset>
              </wp:positionH>
              <wp:positionV relativeFrom="page">
                <wp:posOffset>564515</wp:posOffset>
              </wp:positionV>
              <wp:extent cx="2780030" cy="106680"/>
              <wp:wrapNone/>
              <wp:docPr id="1184" name="Shape 118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0" type="#_x0000_t202" style="position:absolute;margin-left:318.90000000000003pt;margin-top:44.450000000000003pt;width:218.90000000000001pt;height:8.4000000000000004pt;z-index:-1887430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86" name="Shape 118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2" behindDoc="1" locked="0" layoutInCell="1" allowOverlap="1">
              <wp:simplePos x="0" y="0"/>
              <wp:positionH relativeFrom="page">
                <wp:posOffset>4050030</wp:posOffset>
              </wp:positionH>
              <wp:positionV relativeFrom="page">
                <wp:posOffset>564515</wp:posOffset>
              </wp:positionV>
              <wp:extent cx="2780030" cy="106680"/>
              <wp:wrapNone/>
              <wp:docPr id="1193" name="Shape 119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9" type="#_x0000_t202" style="position:absolute;margin-left:318.90000000000003pt;margin-top:44.450000000000003pt;width:218.90000000000001pt;height:8.4000000000000004pt;z-index:-1887430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195" name="Shape 119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0" behindDoc="1" locked="0" layoutInCell="1" allowOverlap="1">
              <wp:simplePos x="0" y="0"/>
              <wp:positionH relativeFrom="page">
                <wp:posOffset>4067810</wp:posOffset>
              </wp:positionH>
              <wp:positionV relativeFrom="page">
                <wp:posOffset>564515</wp:posOffset>
              </wp:positionV>
              <wp:extent cx="2780030" cy="106680"/>
              <wp:wrapNone/>
              <wp:docPr id="1202" name="Shape 120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8" type="#_x0000_t202" style="position:absolute;margin-left:320.30000000000001pt;margin-top:44.450000000000003pt;width:218.90000000000001pt;height:8.4000000000000004pt;z-index:-1887430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204" name="Shape 120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8" behindDoc="1" locked="0" layoutInCell="1" allowOverlap="1">
              <wp:simplePos x="0" y="0"/>
              <wp:positionH relativeFrom="page">
                <wp:posOffset>4067810</wp:posOffset>
              </wp:positionH>
              <wp:positionV relativeFrom="page">
                <wp:posOffset>564515</wp:posOffset>
              </wp:positionV>
              <wp:extent cx="2780030" cy="106680"/>
              <wp:wrapNone/>
              <wp:docPr id="1211" name="Shape 121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37" type="#_x0000_t202" style="position:absolute;margin-left:320.30000000000001pt;margin-top:44.450000000000003pt;width:218.90000000000001pt;height:8.4000000000000004pt;z-index:-1887430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213" name="Shape 121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6" behindDoc="1" locked="0" layoutInCell="1" allowOverlap="1">
              <wp:simplePos x="0" y="0"/>
              <wp:positionH relativeFrom="page">
                <wp:posOffset>4067810</wp:posOffset>
              </wp:positionH>
              <wp:positionV relativeFrom="page">
                <wp:posOffset>564515</wp:posOffset>
              </wp:positionV>
              <wp:extent cx="2780030" cy="106680"/>
              <wp:wrapNone/>
              <wp:docPr id="1220" name="Shape 122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6" type="#_x0000_t202" style="position:absolute;margin-left:320.30000000000001pt;margin-top:44.450000000000003pt;width:218.90000000000001pt;height:8.4000000000000004pt;z-index:-1887430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222" name="Shape 122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4048125</wp:posOffset>
              </wp:positionH>
              <wp:positionV relativeFrom="page">
                <wp:posOffset>564515</wp:posOffset>
              </wp:positionV>
              <wp:extent cx="2780030" cy="106680"/>
              <wp:wrapNone/>
              <wp:docPr id="115" name="Shape 11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41" type="#_x0000_t202" style="position:absolute;margin-left:318.75pt;margin-top:44.450000000000003pt;width:218.90000000000001pt;height:8.4000000000000004pt;z-index:-18874397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17" name="Shape 11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4" behindDoc="1" locked="0" layoutInCell="1" allowOverlap="1">
              <wp:simplePos x="0" y="0"/>
              <wp:positionH relativeFrom="page">
                <wp:posOffset>4050030</wp:posOffset>
              </wp:positionH>
              <wp:positionV relativeFrom="page">
                <wp:posOffset>564515</wp:posOffset>
              </wp:positionV>
              <wp:extent cx="2780030" cy="106680"/>
              <wp:wrapNone/>
              <wp:docPr id="1229" name="Shape 122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55" type="#_x0000_t202" style="position:absolute;margin-left:318.90000000000003pt;margin-top:44.450000000000003pt;width:218.90000000000001pt;height:8.4000000000000004pt;z-index:-1887430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231" name="Shape 123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2" behindDoc="1" locked="0" layoutInCell="1" allowOverlap="1">
              <wp:simplePos x="0" y="0"/>
              <wp:positionH relativeFrom="page">
                <wp:posOffset>4050030</wp:posOffset>
              </wp:positionH>
              <wp:positionV relativeFrom="page">
                <wp:posOffset>564515</wp:posOffset>
              </wp:positionV>
              <wp:extent cx="2780030" cy="106680"/>
              <wp:wrapNone/>
              <wp:docPr id="1238" name="Shape 123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4" type="#_x0000_t202" style="position:absolute;margin-left:318.90000000000003pt;margin-top:44.450000000000003pt;width:218.90000000000001pt;height:8.4000000000000004pt;z-index:-1887430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240" name="Shape 124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0" behindDoc="1" locked="0" layoutInCell="1" allowOverlap="1">
              <wp:simplePos x="0" y="0"/>
              <wp:positionH relativeFrom="page">
                <wp:posOffset>4050030</wp:posOffset>
              </wp:positionH>
              <wp:positionV relativeFrom="page">
                <wp:posOffset>564515</wp:posOffset>
              </wp:positionV>
              <wp:extent cx="2780030" cy="106680"/>
              <wp:wrapNone/>
              <wp:docPr id="1247" name="Shape 124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73" type="#_x0000_t202" style="position:absolute;margin-left:318.90000000000003pt;margin-top:44.450000000000003pt;width:218.90000000000001pt;height:8.4000000000000004pt;z-index:-1887430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249" name="Shape 12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8" behindDoc="1" locked="0" layoutInCell="1" allowOverlap="1">
              <wp:simplePos x="0" y="0"/>
              <wp:positionH relativeFrom="page">
                <wp:posOffset>4067810</wp:posOffset>
              </wp:positionH>
              <wp:positionV relativeFrom="page">
                <wp:posOffset>564515</wp:posOffset>
              </wp:positionV>
              <wp:extent cx="2780030" cy="106680"/>
              <wp:wrapNone/>
              <wp:docPr id="1256" name="Shape 125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82" type="#_x0000_t202" style="position:absolute;margin-left:320.30000000000001pt;margin-top:44.450000000000003pt;width:218.90000000000001pt;height:8.4000000000000004pt;z-index:-1887430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258" name="Shape 12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6" behindDoc="1" locked="0" layoutInCell="1" allowOverlap="1">
              <wp:simplePos x="0" y="0"/>
              <wp:positionH relativeFrom="page">
                <wp:posOffset>4067810</wp:posOffset>
              </wp:positionH>
              <wp:positionV relativeFrom="page">
                <wp:posOffset>564515</wp:posOffset>
              </wp:positionV>
              <wp:extent cx="2780030" cy="106680"/>
              <wp:wrapNone/>
              <wp:docPr id="1265" name="Shape 126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1" type="#_x0000_t202" style="position:absolute;margin-left:320.30000000000001pt;margin-top:44.450000000000003pt;width:218.90000000000001pt;height:8.4000000000000004pt;z-index:-1887429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267" name="Shape 12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4" behindDoc="1" locked="0" layoutInCell="1" allowOverlap="1">
              <wp:simplePos x="0" y="0"/>
              <wp:positionH relativeFrom="page">
                <wp:posOffset>4067810</wp:posOffset>
              </wp:positionH>
              <wp:positionV relativeFrom="page">
                <wp:posOffset>564515</wp:posOffset>
              </wp:positionV>
              <wp:extent cx="2780030" cy="106680"/>
              <wp:wrapNone/>
              <wp:docPr id="1274" name="Shape 127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00" type="#_x0000_t202" style="position:absolute;margin-left:320.30000000000001pt;margin-top:44.450000000000003pt;width:218.90000000000001pt;height:8.4000000000000004pt;z-index:-18874298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276" name="Shape 127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2" behindDoc="1" locked="0" layoutInCell="1" allowOverlap="1">
              <wp:simplePos x="0" y="0"/>
              <wp:positionH relativeFrom="page">
                <wp:posOffset>4050030</wp:posOffset>
              </wp:positionH>
              <wp:positionV relativeFrom="page">
                <wp:posOffset>564515</wp:posOffset>
              </wp:positionV>
              <wp:extent cx="2780030" cy="106680"/>
              <wp:wrapNone/>
              <wp:docPr id="1283" name="Shape 128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09" type="#_x0000_t202" style="position:absolute;margin-left:318.90000000000003pt;margin-top:44.450000000000003pt;width:218.90000000000001pt;height:8.4000000000000004pt;z-index:-1887429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285" name="Shape 128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0" behindDoc="1" locked="0" layoutInCell="1" allowOverlap="1">
              <wp:simplePos x="0" y="0"/>
              <wp:positionH relativeFrom="page">
                <wp:posOffset>4050030</wp:posOffset>
              </wp:positionH>
              <wp:positionV relativeFrom="page">
                <wp:posOffset>564515</wp:posOffset>
              </wp:positionV>
              <wp:extent cx="2780030" cy="106680"/>
              <wp:wrapNone/>
              <wp:docPr id="1292" name="Shape 129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18" type="#_x0000_t202" style="position:absolute;margin-left:318.90000000000003pt;margin-top:44.450000000000003pt;width:218.90000000000001pt;height:8.4000000000000004pt;z-index:-18874297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294" name="Shape 129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8" behindDoc="1" locked="0" layoutInCell="1" allowOverlap="1">
              <wp:simplePos x="0" y="0"/>
              <wp:positionH relativeFrom="page">
                <wp:posOffset>4067810</wp:posOffset>
              </wp:positionH>
              <wp:positionV relativeFrom="page">
                <wp:posOffset>564515</wp:posOffset>
              </wp:positionV>
              <wp:extent cx="2780030" cy="106680"/>
              <wp:wrapNone/>
              <wp:docPr id="1301" name="Shape 130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27" type="#_x0000_t202" style="position:absolute;margin-left:320.30000000000001pt;margin-top:44.450000000000003pt;width:218.90000000000001pt;height:8.4000000000000004pt;z-index:-1887429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303" name="Shape 130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6" behindDoc="1" locked="0" layoutInCell="1" allowOverlap="1">
              <wp:simplePos x="0" y="0"/>
              <wp:positionH relativeFrom="page">
                <wp:posOffset>4067810</wp:posOffset>
              </wp:positionH>
              <wp:positionV relativeFrom="page">
                <wp:posOffset>564515</wp:posOffset>
              </wp:positionV>
              <wp:extent cx="2780030" cy="106680"/>
              <wp:wrapNone/>
              <wp:docPr id="1310" name="Shape 131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36" type="#_x0000_t202" style="position:absolute;margin-left:320.30000000000001pt;margin-top:44.450000000000003pt;width:218.90000000000001pt;height:8.4000000000000004pt;z-index:-18874295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312" name="Shape 131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4048125</wp:posOffset>
              </wp:positionH>
              <wp:positionV relativeFrom="page">
                <wp:posOffset>564515</wp:posOffset>
              </wp:positionV>
              <wp:extent cx="2780030" cy="106680"/>
              <wp:wrapNone/>
              <wp:docPr id="120" name="Shape 12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46" type="#_x0000_t202" style="position:absolute;margin-left:318.75pt;margin-top:44.450000000000003pt;width:218.90000000000001pt;height:8.4000000000000004pt;z-index:-18874396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22" name="Shape 12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4" behindDoc="1" locked="0" layoutInCell="1" allowOverlap="1">
              <wp:simplePos x="0" y="0"/>
              <wp:positionH relativeFrom="page">
                <wp:posOffset>4050030</wp:posOffset>
              </wp:positionH>
              <wp:positionV relativeFrom="page">
                <wp:posOffset>564515</wp:posOffset>
              </wp:positionV>
              <wp:extent cx="2780030" cy="106680"/>
              <wp:wrapNone/>
              <wp:docPr id="1319" name="Shape 131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45" type="#_x0000_t202" style="position:absolute;margin-left:318.90000000000003pt;margin-top:44.450000000000003pt;width:218.90000000000001pt;height:8.4000000000000004pt;z-index:-1887429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321" name="Shape 132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2" behindDoc="1" locked="0" layoutInCell="1" allowOverlap="1">
              <wp:simplePos x="0" y="0"/>
              <wp:positionH relativeFrom="page">
                <wp:posOffset>4050030</wp:posOffset>
              </wp:positionH>
              <wp:positionV relativeFrom="page">
                <wp:posOffset>564515</wp:posOffset>
              </wp:positionV>
              <wp:extent cx="2780030" cy="106680"/>
              <wp:wrapNone/>
              <wp:docPr id="1328" name="Shape 132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54" type="#_x0000_t202" style="position:absolute;margin-left:318.90000000000003pt;margin-top:44.450000000000003pt;width:218.90000000000001pt;height:8.4000000000000004pt;z-index:-1887429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330" name="Shape 133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0" behindDoc="1" locked="0" layoutInCell="1" allowOverlap="1">
              <wp:simplePos x="0" y="0"/>
              <wp:positionH relativeFrom="page">
                <wp:posOffset>4048125</wp:posOffset>
              </wp:positionH>
              <wp:positionV relativeFrom="page">
                <wp:posOffset>564515</wp:posOffset>
              </wp:positionV>
              <wp:extent cx="2780030" cy="106680"/>
              <wp:wrapNone/>
              <wp:docPr id="1337" name="Shape 133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63" type="#_x0000_t202" style="position:absolute;margin-left:318.75pt;margin-top:44.450000000000003pt;width:218.90000000000001pt;height:8.4000000000000004pt;z-index:-1887429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339" name="Shape 13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4" behindDoc="1" locked="0" layoutInCell="1" allowOverlap="1">
              <wp:simplePos x="0" y="0"/>
              <wp:positionH relativeFrom="page">
                <wp:posOffset>4048125</wp:posOffset>
              </wp:positionH>
              <wp:positionV relativeFrom="page">
                <wp:posOffset>564515</wp:posOffset>
              </wp:positionV>
              <wp:extent cx="2780030" cy="106680"/>
              <wp:wrapNone/>
              <wp:docPr id="1342" name="Shape 134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68" type="#_x0000_t202" style="position:absolute;margin-left:318.75pt;margin-top:44.450000000000003pt;width:218.90000000000001pt;height:8.4000000000000004pt;z-index:-1887429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344" name="Shape 134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8" behindDoc="1" locked="0" layoutInCell="1" allowOverlap="1">
              <wp:simplePos x="0" y="0"/>
              <wp:positionH relativeFrom="page">
                <wp:posOffset>4067810</wp:posOffset>
              </wp:positionH>
              <wp:positionV relativeFrom="page">
                <wp:posOffset>564515</wp:posOffset>
              </wp:positionV>
              <wp:extent cx="2780030" cy="106680"/>
              <wp:wrapNone/>
              <wp:docPr id="1347" name="Shape 134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73" type="#_x0000_t202" style="position:absolute;margin-left:320.30000000000001pt;margin-top:44.450000000000003pt;width:218.90000000000001pt;height:8.4000000000000004pt;z-index:-18874292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349" name="Shape 13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6" behindDoc="1" locked="0" layoutInCell="1" allowOverlap="1">
              <wp:simplePos x="0" y="0"/>
              <wp:positionH relativeFrom="page">
                <wp:posOffset>4067810</wp:posOffset>
              </wp:positionH>
              <wp:positionV relativeFrom="page">
                <wp:posOffset>564515</wp:posOffset>
              </wp:positionV>
              <wp:extent cx="2780030" cy="106680"/>
              <wp:wrapNone/>
              <wp:docPr id="1356" name="Shape 135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82" type="#_x0000_t202" style="position:absolute;margin-left:320.30000000000001pt;margin-top:44.450000000000003pt;width:218.90000000000001pt;height:8.4000000000000004pt;z-index:-18874291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358" name="Shape 13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4" behindDoc="1" locked="0" layoutInCell="1" allowOverlap="1">
              <wp:simplePos x="0" y="0"/>
              <wp:positionH relativeFrom="page">
                <wp:posOffset>4050030</wp:posOffset>
              </wp:positionH>
              <wp:positionV relativeFrom="page">
                <wp:posOffset>564515</wp:posOffset>
              </wp:positionV>
              <wp:extent cx="2780030" cy="106680"/>
              <wp:wrapNone/>
              <wp:docPr id="1365" name="Shape 136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391" type="#_x0000_t202" style="position:absolute;margin-left:318.90000000000003pt;margin-top:44.450000000000003pt;width:218.90000000000001pt;height:8.4000000000000004pt;z-index:-18874290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367" name="Shape 13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2" behindDoc="1" locked="0" layoutInCell="1" allowOverlap="1">
              <wp:simplePos x="0" y="0"/>
              <wp:positionH relativeFrom="page">
                <wp:posOffset>4048125</wp:posOffset>
              </wp:positionH>
              <wp:positionV relativeFrom="page">
                <wp:posOffset>564515</wp:posOffset>
              </wp:positionV>
              <wp:extent cx="2780030" cy="106680"/>
              <wp:wrapNone/>
              <wp:docPr id="1376" name="Shape 137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02" type="#_x0000_t202" style="position:absolute;margin-left:318.75pt;margin-top:44.450000000000003pt;width:218.90000000000001pt;height:8.4000000000000004pt;z-index:-18874290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378" name="Shape 137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6" behindDoc="1" locked="0" layoutInCell="1" allowOverlap="1">
              <wp:simplePos x="0" y="0"/>
              <wp:positionH relativeFrom="page">
                <wp:posOffset>4048125</wp:posOffset>
              </wp:positionH>
              <wp:positionV relativeFrom="page">
                <wp:posOffset>564515</wp:posOffset>
              </wp:positionV>
              <wp:extent cx="2780030" cy="106680"/>
              <wp:wrapNone/>
              <wp:docPr id="1381" name="Shape 138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07" type="#_x0000_t202" style="position:absolute;margin-left:318.75pt;margin-top:44.450000000000003pt;width:218.90000000000001pt;height:8.4000000000000004pt;z-index:-18874289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383" name="Shape 13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0" behindDoc="1" locked="0" layoutInCell="1" allowOverlap="1">
              <wp:simplePos x="0" y="0"/>
              <wp:positionH relativeFrom="page">
                <wp:posOffset>4067810</wp:posOffset>
              </wp:positionH>
              <wp:positionV relativeFrom="page">
                <wp:posOffset>564515</wp:posOffset>
              </wp:positionV>
              <wp:extent cx="2780030" cy="106680"/>
              <wp:wrapNone/>
              <wp:docPr id="1386" name="Shape 138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12" type="#_x0000_t202" style="position:absolute;margin-left:320.30000000000001pt;margin-top:44.450000000000003pt;width:218.90000000000001pt;height:8.4000000000000004pt;z-index:-1887428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388" name="Shape 13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4031615</wp:posOffset>
              </wp:positionH>
              <wp:positionV relativeFrom="page">
                <wp:posOffset>564515</wp:posOffset>
              </wp:positionV>
              <wp:extent cx="2780030" cy="106680"/>
              <wp:wrapNone/>
              <wp:docPr id="125" name="Shape 12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51" type="#_x0000_t202" style="position:absolute;margin-left:317.44999999999999pt;margin-top:44.450000000000003pt;width:218.90000000000001pt;height:8.4000000000000004pt;z-index:-18874396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675640</wp:posOffset>
              </wp:positionH>
              <wp:positionV relativeFrom="page">
                <wp:posOffset>706120</wp:posOffset>
              </wp:positionV>
              <wp:extent cx="6160135" cy="0"/>
              <wp:wrapNone/>
              <wp:docPr id="127" name="Shape 12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3.200000000000003pt;margin-top:55.600000000000001pt;width:485.05000000000001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8" behindDoc="1" locked="0" layoutInCell="1" allowOverlap="1">
              <wp:simplePos x="0" y="0"/>
              <wp:positionH relativeFrom="page">
                <wp:posOffset>4067810</wp:posOffset>
              </wp:positionH>
              <wp:positionV relativeFrom="page">
                <wp:posOffset>564515</wp:posOffset>
              </wp:positionV>
              <wp:extent cx="2780030" cy="106680"/>
              <wp:wrapNone/>
              <wp:docPr id="1395" name="Shape 139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21" type="#_x0000_t202" style="position:absolute;margin-left:320.30000000000001pt;margin-top:44.450000000000003pt;width:218.90000000000001pt;height:8.4000000000000004pt;z-index:-1887428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397" name="Shape 139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6" behindDoc="1" locked="0" layoutInCell="1" allowOverlap="1">
              <wp:simplePos x="0" y="0"/>
              <wp:positionH relativeFrom="page">
                <wp:posOffset>4050030</wp:posOffset>
              </wp:positionH>
              <wp:positionV relativeFrom="page">
                <wp:posOffset>564515</wp:posOffset>
              </wp:positionV>
              <wp:extent cx="2780030" cy="106680"/>
              <wp:wrapNone/>
              <wp:docPr id="1404" name="Shape 140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30" type="#_x0000_t202" style="position:absolute;margin-left:318.90000000000003pt;margin-top:44.450000000000003pt;width:218.90000000000001pt;height:8.4000000000000004pt;z-index:-1887428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406" name="Shape 140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4" behindDoc="1" locked="0" layoutInCell="1" allowOverlap="1">
              <wp:simplePos x="0" y="0"/>
              <wp:positionH relativeFrom="page">
                <wp:posOffset>4050030</wp:posOffset>
              </wp:positionH>
              <wp:positionV relativeFrom="page">
                <wp:posOffset>564515</wp:posOffset>
              </wp:positionV>
              <wp:extent cx="2780030" cy="106680"/>
              <wp:wrapNone/>
              <wp:docPr id="1413" name="Shape 141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39" type="#_x0000_t202" style="position:absolute;margin-left:318.90000000000003pt;margin-top:44.450000000000003pt;width:218.90000000000001pt;height:8.4000000000000004pt;z-index:-1887428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415" name="Shape 14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2" behindDoc="1" locked="0" layoutInCell="1" allowOverlap="1">
              <wp:simplePos x="0" y="0"/>
              <wp:positionH relativeFrom="page">
                <wp:posOffset>4067810</wp:posOffset>
              </wp:positionH>
              <wp:positionV relativeFrom="page">
                <wp:posOffset>564515</wp:posOffset>
              </wp:positionV>
              <wp:extent cx="2780030" cy="106680"/>
              <wp:wrapNone/>
              <wp:docPr id="1423" name="Shape 142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49" type="#_x0000_t202" style="position:absolute;margin-left:320.30000000000001pt;margin-top:44.450000000000003pt;width:218.90000000000001pt;height:8.4000000000000004pt;z-index:-1887428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425" name="Shape 14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0" behindDoc="1" locked="0" layoutInCell="1" allowOverlap="1">
              <wp:simplePos x="0" y="0"/>
              <wp:positionH relativeFrom="page">
                <wp:posOffset>4050030</wp:posOffset>
              </wp:positionH>
              <wp:positionV relativeFrom="page">
                <wp:posOffset>564515</wp:posOffset>
              </wp:positionV>
              <wp:extent cx="2780030" cy="106680"/>
              <wp:wrapNone/>
              <wp:docPr id="1432" name="Shape 143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58" type="#_x0000_t202" style="position:absolute;margin-left:318.90000000000003pt;margin-top:44.450000000000003pt;width:218.90000000000001pt;height:8.4000000000000004pt;z-index:-1887428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0135" cy="0"/>
              <wp:wrapNone/>
              <wp:docPr id="1434" name="Shape 14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05000000000001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8" behindDoc="1" locked="0" layoutInCell="1" allowOverlap="1">
              <wp:simplePos x="0" y="0"/>
              <wp:positionH relativeFrom="page">
                <wp:posOffset>4067810</wp:posOffset>
              </wp:positionH>
              <wp:positionV relativeFrom="page">
                <wp:posOffset>564515</wp:posOffset>
              </wp:positionV>
              <wp:extent cx="2780030" cy="106680"/>
              <wp:wrapNone/>
              <wp:docPr id="1441" name="Shape 144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67" type="#_x0000_t202" style="position:absolute;margin-left:320.30000000000001pt;margin-top:44.450000000000003pt;width:218.90000000000001pt;height:8.4000000000000004pt;z-index:-18874284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443" name="Shape 14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6" behindDoc="1" locked="0" layoutInCell="1" allowOverlap="1">
              <wp:simplePos x="0" y="0"/>
              <wp:positionH relativeFrom="page">
                <wp:posOffset>4067810</wp:posOffset>
              </wp:positionH>
              <wp:positionV relativeFrom="page">
                <wp:posOffset>564515</wp:posOffset>
              </wp:positionV>
              <wp:extent cx="2780030" cy="106680"/>
              <wp:wrapNone/>
              <wp:docPr id="1450" name="Shape 145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476" type="#_x0000_t202" style="position:absolute;margin-left:320.30000000000001pt;margin-top:44.450000000000003pt;width:218.90000000000001pt;height:8.4000000000000004pt;z-index:-1887428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0135" cy="0"/>
              <wp:wrapNone/>
              <wp:docPr id="1452" name="Shape 14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05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4031615</wp:posOffset>
              </wp:positionH>
              <wp:positionV relativeFrom="page">
                <wp:posOffset>564515</wp:posOffset>
              </wp:positionV>
              <wp:extent cx="2780030" cy="106680"/>
              <wp:wrapNone/>
              <wp:docPr id="134" name="Shape 13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60" type="#_x0000_t202" style="position:absolute;margin-left:317.44999999999999pt;margin-top:44.450000000000003pt;width:218.90000000000001pt;height:8.4000000000000004pt;z-index:-1887439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675640</wp:posOffset>
              </wp:positionH>
              <wp:positionV relativeFrom="page">
                <wp:posOffset>706120</wp:posOffset>
              </wp:positionV>
              <wp:extent cx="6160135" cy="0"/>
              <wp:wrapNone/>
              <wp:docPr id="136" name="Shape 13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3.200000000000003pt;margin-top:55.600000000000001pt;width:485.05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4046220</wp:posOffset>
              </wp:positionH>
              <wp:positionV relativeFrom="page">
                <wp:posOffset>564515</wp:posOffset>
              </wp:positionV>
              <wp:extent cx="2780030" cy="106680"/>
              <wp:wrapNone/>
              <wp:docPr id="143" name="Shape 14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69" type="#_x0000_t202" style="position:absolute;margin-left:318.60000000000002pt;margin-top:44.450000000000003pt;width:218.90000000000001pt;height:8.4000000000000004pt;z-index:-1887439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145" name="Shape 14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4041775</wp:posOffset>
              </wp:positionH>
              <wp:positionV relativeFrom="page">
                <wp:posOffset>101600</wp:posOffset>
              </wp:positionV>
              <wp:extent cx="2780030" cy="106680"/>
              <wp:wrapNone/>
              <wp:docPr id="10" name="Shape 1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36" type="#_x0000_t202" style="position:absolute;margin-left:318.25pt;margin-top:8.pt;width:218.90000000000001pt;height:8.4000000000000004pt;z-index:-1887440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685800</wp:posOffset>
              </wp:positionH>
              <wp:positionV relativeFrom="page">
                <wp:posOffset>243205</wp:posOffset>
              </wp:positionV>
              <wp:extent cx="6160135" cy="0"/>
              <wp:wrapNone/>
              <wp:docPr id="12" name="Shape 1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pt;margin-top:19.150000000000002pt;width:485.05000000000001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4048125</wp:posOffset>
              </wp:positionH>
              <wp:positionV relativeFrom="page">
                <wp:posOffset>564515</wp:posOffset>
              </wp:positionV>
              <wp:extent cx="2780030" cy="106680"/>
              <wp:wrapNone/>
              <wp:docPr id="152" name="Shape 15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78" type="#_x0000_t202" style="position:absolute;margin-left:318.75pt;margin-top:44.450000000000003pt;width:218.90000000000001pt;height:8.4000000000000004pt;z-index:-1887439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54" name="Shape 15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4048125</wp:posOffset>
              </wp:positionH>
              <wp:positionV relativeFrom="page">
                <wp:posOffset>564515</wp:posOffset>
              </wp:positionV>
              <wp:extent cx="2780030" cy="106680"/>
              <wp:wrapNone/>
              <wp:docPr id="157" name="Shape 15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83" type="#_x0000_t202" style="position:absolute;margin-left:318.75pt;margin-top:44.450000000000003pt;width:218.90000000000001pt;height:8.4000000000000004pt;z-index:-1887439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159" name="Shape 15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4046220</wp:posOffset>
              </wp:positionH>
              <wp:positionV relativeFrom="page">
                <wp:posOffset>564515</wp:posOffset>
              </wp:positionV>
              <wp:extent cx="2780030" cy="106680"/>
              <wp:wrapNone/>
              <wp:docPr id="162" name="Shape 16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88" type="#_x0000_t202" style="position:absolute;margin-left:318.60000000000002pt;margin-top:44.450000000000003pt;width:218.90000000000001pt;height:8.4000000000000004pt;z-index:-18874393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164" name="Shape 16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4046220</wp:posOffset>
              </wp:positionH>
              <wp:positionV relativeFrom="page">
                <wp:posOffset>564515</wp:posOffset>
              </wp:positionV>
              <wp:extent cx="2780030" cy="106680"/>
              <wp:wrapNone/>
              <wp:docPr id="171" name="Shape 17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197" type="#_x0000_t202" style="position:absolute;margin-left:318.60000000000002pt;margin-top:44.450000000000003pt;width:218.90000000000001pt;height:8.4000000000000004pt;z-index:-1887439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173" name="Shape 17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3730625</wp:posOffset>
              </wp:positionH>
              <wp:positionV relativeFrom="page">
                <wp:posOffset>564515</wp:posOffset>
              </wp:positionV>
              <wp:extent cx="2780030" cy="106680"/>
              <wp:wrapNone/>
              <wp:docPr id="180" name="Shape 18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06" type="#_x0000_t202" style="position:absolute;margin-left:293.75pt;margin-top:44.450000000000003pt;width:218.90000000000001pt;height:8.4000000000000004pt;z-index:-18874391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374650</wp:posOffset>
              </wp:positionH>
              <wp:positionV relativeFrom="page">
                <wp:posOffset>706120</wp:posOffset>
              </wp:positionV>
              <wp:extent cx="6160135" cy="0"/>
              <wp:wrapNone/>
              <wp:docPr id="182" name="Shape 18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9.5pt;margin-top:55.600000000000001pt;width:485.05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3730625</wp:posOffset>
              </wp:positionH>
              <wp:positionV relativeFrom="page">
                <wp:posOffset>564515</wp:posOffset>
              </wp:positionV>
              <wp:extent cx="2780030" cy="106680"/>
              <wp:wrapNone/>
              <wp:docPr id="189" name="Shape 18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15" type="#_x0000_t202" style="position:absolute;margin-left:293.75pt;margin-top:44.450000000000003pt;width:218.90000000000001pt;height:8.4000000000000004pt;z-index:-18874390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374650</wp:posOffset>
              </wp:positionH>
              <wp:positionV relativeFrom="page">
                <wp:posOffset>706120</wp:posOffset>
              </wp:positionV>
              <wp:extent cx="6160135" cy="0"/>
              <wp:wrapNone/>
              <wp:docPr id="191" name="Shape 19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9.5pt;margin-top:55.600000000000001pt;width:485.05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3730625</wp:posOffset>
              </wp:positionH>
              <wp:positionV relativeFrom="page">
                <wp:posOffset>564515</wp:posOffset>
              </wp:positionV>
              <wp:extent cx="2780030" cy="106680"/>
              <wp:wrapNone/>
              <wp:docPr id="198" name="Shape 19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24" type="#_x0000_t202" style="position:absolute;margin-left:293.75pt;margin-top:44.450000000000003pt;width:218.90000000000001pt;height:8.4000000000000004pt;z-index:-18874390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374650</wp:posOffset>
              </wp:positionH>
              <wp:positionV relativeFrom="page">
                <wp:posOffset>706120</wp:posOffset>
              </wp:positionV>
              <wp:extent cx="6160135" cy="0"/>
              <wp:wrapNone/>
              <wp:docPr id="200" name="Shape 20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29.5pt;margin-top:55.600000000000001pt;width:485.05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4046220</wp:posOffset>
              </wp:positionH>
              <wp:positionV relativeFrom="page">
                <wp:posOffset>564515</wp:posOffset>
              </wp:positionV>
              <wp:extent cx="2780030" cy="106680"/>
              <wp:wrapNone/>
              <wp:docPr id="205" name="Shape 20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31" type="#_x0000_t202" style="position:absolute;margin-left:318.60000000000002pt;margin-top:44.450000000000003pt;width:218.90000000000001pt;height:8.4000000000000004pt;z-index:-18874389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207" name="Shape 2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4046220</wp:posOffset>
              </wp:positionH>
              <wp:positionV relativeFrom="page">
                <wp:posOffset>564515</wp:posOffset>
              </wp:positionV>
              <wp:extent cx="2780030" cy="106680"/>
              <wp:wrapNone/>
              <wp:docPr id="214" name="Shape 21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40" type="#_x0000_t202" style="position:absolute;margin-left:318.60000000000002pt;margin-top:44.450000000000003pt;width:218.90000000000001pt;height:8.4000000000000004pt;z-index:-18874388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216" name="Shape 21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4041775</wp:posOffset>
              </wp:positionH>
              <wp:positionV relativeFrom="page">
                <wp:posOffset>101600</wp:posOffset>
              </wp:positionV>
              <wp:extent cx="2780030" cy="106680"/>
              <wp:wrapNone/>
              <wp:docPr id="223" name="Shape 22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49" type="#_x0000_t202" style="position:absolute;margin-left:318.25pt;margin-top:8.pt;width:218.90000000000001pt;height:8.4000000000000004pt;z-index:-1887438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685800</wp:posOffset>
              </wp:positionH>
              <wp:positionV relativeFrom="page">
                <wp:posOffset>243205</wp:posOffset>
              </wp:positionV>
              <wp:extent cx="6160135" cy="0"/>
              <wp:wrapNone/>
              <wp:docPr id="225" name="Shape 2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pt;margin-top:19.150000000000002pt;width:485.05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4041775</wp:posOffset>
              </wp:positionH>
              <wp:positionV relativeFrom="page">
                <wp:posOffset>101600</wp:posOffset>
              </wp:positionV>
              <wp:extent cx="2780030" cy="106680"/>
              <wp:wrapNone/>
              <wp:docPr id="230" name="Shape 23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56" type="#_x0000_t202" style="position:absolute;margin-left:318.25pt;margin-top:8.pt;width:218.90000000000001pt;height:8.4000000000000004pt;z-index:-18874387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685800</wp:posOffset>
              </wp:positionH>
              <wp:positionV relativeFrom="page">
                <wp:posOffset>243205</wp:posOffset>
              </wp:positionV>
              <wp:extent cx="6160135" cy="0"/>
              <wp:wrapNone/>
              <wp:docPr id="232" name="Shape 23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pt;margin-top:19.150000000000002pt;width:485.05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4046220</wp:posOffset>
              </wp:positionH>
              <wp:positionV relativeFrom="page">
                <wp:posOffset>564515</wp:posOffset>
              </wp:positionV>
              <wp:extent cx="2780030" cy="106680"/>
              <wp:wrapNone/>
              <wp:docPr id="237" name="Shape 23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63" type="#_x0000_t202" style="position:absolute;margin-left:318.60000000000002pt;margin-top:44.450000000000003pt;width:218.90000000000001pt;height:8.4000000000000004pt;z-index:-1887438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239" name="Shape 2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4046220</wp:posOffset>
              </wp:positionH>
              <wp:positionV relativeFrom="page">
                <wp:posOffset>564515</wp:posOffset>
              </wp:positionV>
              <wp:extent cx="2780030" cy="106680"/>
              <wp:wrapNone/>
              <wp:docPr id="246" name="Shape 24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72" type="#_x0000_t202" style="position:absolute;margin-left:318.60000000000002pt;margin-top:44.450000000000003pt;width:218.90000000000001pt;height:8.4000000000000004pt;z-index:-1887438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248" name="Shape 24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4046220</wp:posOffset>
              </wp:positionH>
              <wp:positionV relativeFrom="page">
                <wp:posOffset>564515</wp:posOffset>
              </wp:positionV>
              <wp:extent cx="2780030" cy="106680"/>
              <wp:wrapNone/>
              <wp:docPr id="255" name="Shape 25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81" type="#_x0000_t202" style="position:absolute;margin-left:318.60000000000002pt;margin-top:44.450000000000003pt;width:218.90000000000001pt;height:8.4000000000000004pt;z-index:-1887438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257" name="Shape 25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4046220</wp:posOffset>
              </wp:positionH>
              <wp:positionV relativeFrom="page">
                <wp:posOffset>564515</wp:posOffset>
              </wp:positionV>
              <wp:extent cx="2780030" cy="106680"/>
              <wp:wrapNone/>
              <wp:docPr id="264" name="Shape 26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290" type="#_x0000_t202" style="position:absolute;margin-left:318.60000000000002pt;margin-top:44.450000000000003pt;width:218.90000000000001pt;height:8.4000000000000004pt;z-index:-1887438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266" name="Shape 26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4044315</wp:posOffset>
              </wp:positionH>
              <wp:positionV relativeFrom="page">
                <wp:posOffset>564515</wp:posOffset>
              </wp:positionV>
              <wp:extent cx="2780030" cy="106680"/>
              <wp:wrapNone/>
              <wp:docPr id="273" name="Shape 27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299" type="#_x0000_t202" style="position:absolute;margin-left:318.44999999999999pt;margin-top:44.450000000000003pt;width:218.90000000000001pt;height:8.4000000000000004pt;z-index:-1887438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706120</wp:posOffset>
              </wp:positionV>
              <wp:extent cx="6160135" cy="0"/>
              <wp:wrapNone/>
              <wp:docPr id="275" name="Shape 27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200000000000003pt;margin-top:55.600000000000001pt;width:485.05000000000001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4071620</wp:posOffset>
              </wp:positionH>
              <wp:positionV relativeFrom="page">
                <wp:posOffset>564515</wp:posOffset>
              </wp:positionV>
              <wp:extent cx="2780030" cy="106680"/>
              <wp:wrapNone/>
              <wp:docPr id="280" name="Shape 28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06" type="#_x0000_t202" style="position:absolute;margin-left:320.60000000000002pt;margin-top:44.450000000000003pt;width:218.90000000000001pt;height:8.4000000000000004pt;z-index:-1887438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715645</wp:posOffset>
              </wp:positionH>
              <wp:positionV relativeFrom="page">
                <wp:posOffset>706120</wp:posOffset>
              </wp:positionV>
              <wp:extent cx="6160135" cy="0"/>
              <wp:wrapNone/>
              <wp:docPr id="282" name="Shape 28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50000000000001pt;margin-top:55.600000000000001pt;width:485.05000000000001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4044315</wp:posOffset>
              </wp:positionH>
              <wp:positionV relativeFrom="page">
                <wp:posOffset>564515</wp:posOffset>
              </wp:positionV>
              <wp:extent cx="2780030" cy="106680"/>
              <wp:wrapNone/>
              <wp:docPr id="289" name="Shape 28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15" type="#_x0000_t202" style="position:absolute;margin-left:318.44999999999999pt;margin-top:44.450000000000003pt;width:218.90000000000001pt;height:8.4000000000000004pt;z-index:-1887438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688340</wp:posOffset>
              </wp:positionH>
              <wp:positionV relativeFrom="page">
                <wp:posOffset>706120</wp:posOffset>
              </wp:positionV>
              <wp:extent cx="6160135" cy="0"/>
              <wp:wrapNone/>
              <wp:docPr id="291" name="Shape 29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200000000000003pt;margin-top:55.600000000000001pt;width:485.05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4037965</wp:posOffset>
              </wp:positionH>
              <wp:positionV relativeFrom="page">
                <wp:posOffset>564515</wp:posOffset>
              </wp:positionV>
              <wp:extent cx="2780030" cy="106680"/>
              <wp:wrapNone/>
              <wp:docPr id="296" name="Shape 29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22" type="#_x0000_t202" style="position:absolute;margin-left:317.94999999999999pt;margin-top:44.450000000000003pt;width:218.90000000000001pt;height:8.4000000000000004pt;z-index:-18874381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682625</wp:posOffset>
              </wp:positionH>
              <wp:positionV relativeFrom="page">
                <wp:posOffset>706120</wp:posOffset>
              </wp:positionV>
              <wp:extent cx="6160135" cy="0"/>
              <wp:wrapNone/>
              <wp:docPr id="298" name="Shape 2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3.75pt;margin-top:55.600000000000001pt;width:485.05000000000001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4046220</wp:posOffset>
              </wp:positionH>
              <wp:positionV relativeFrom="page">
                <wp:posOffset>564515</wp:posOffset>
              </wp:positionV>
              <wp:extent cx="2780030" cy="106680"/>
              <wp:wrapNone/>
              <wp:docPr id="305" name="Shape 30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31" type="#_x0000_t202" style="position:absolute;margin-left:318.60000000000002pt;margin-top:44.450000000000003pt;width:218.90000000000001pt;height:8.4000000000000004pt;z-index:-18874380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07" name="Shape 3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4041775</wp:posOffset>
              </wp:positionH>
              <wp:positionV relativeFrom="page">
                <wp:posOffset>101600</wp:posOffset>
              </wp:positionV>
              <wp:extent cx="2780030" cy="106680"/>
              <wp:wrapNone/>
              <wp:docPr id="23" name="Shape 2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49" type="#_x0000_t202" style="position:absolute;margin-left:318.25pt;margin-top:8.pt;width:218.90000000000001pt;height:8.4000000000000004pt;z-index:-1887440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685800</wp:posOffset>
              </wp:positionH>
              <wp:positionV relativeFrom="page">
                <wp:posOffset>243205</wp:posOffset>
              </wp:positionV>
              <wp:extent cx="6160135" cy="0"/>
              <wp:wrapNone/>
              <wp:docPr id="25" name="Shape 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pt;margin-top:19.150000000000002pt;width:485.05000000000001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4046220</wp:posOffset>
              </wp:positionH>
              <wp:positionV relativeFrom="page">
                <wp:posOffset>564515</wp:posOffset>
              </wp:positionV>
              <wp:extent cx="2780030" cy="106680"/>
              <wp:wrapNone/>
              <wp:docPr id="314" name="Shape 31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40" type="#_x0000_t202" style="position:absolute;margin-left:318.60000000000002pt;margin-top:44.450000000000003pt;width:218.90000000000001pt;height:8.4000000000000004pt;z-index:-18874379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16" name="Shape 31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4071620</wp:posOffset>
              </wp:positionH>
              <wp:positionV relativeFrom="page">
                <wp:posOffset>564515</wp:posOffset>
              </wp:positionV>
              <wp:extent cx="2780030" cy="106680"/>
              <wp:wrapNone/>
              <wp:docPr id="323" name="Shape 32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349" type="#_x0000_t202" style="position:absolute;margin-left:320.60000000000002pt;margin-top:44.450000000000003pt;width:218.90000000000001pt;height:8.4000000000000004pt;z-index:-1887437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715645</wp:posOffset>
              </wp:positionH>
              <wp:positionV relativeFrom="page">
                <wp:posOffset>706120</wp:posOffset>
              </wp:positionV>
              <wp:extent cx="6160135" cy="0"/>
              <wp:wrapNone/>
              <wp:docPr id="325" name="Shape 3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50000000000001pt;margin-top:55.600000000000001pt;width:485.05000000000001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4048125</wp:posOffset>
              </wp:positionH>
              <wp:positionV relativeFrom="page">
                <wp:posOffset>564515</wp:posOffset>
              </wp:positionV>
              <wp:extent cx="2780030" cy="106680"/>
              <wp:wrapNone/>
              <wp:docPr id="332" name="Shape 33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58" type="#_x0000_t202" style="position:absolute;margin-left:318.75pt;margin-top:44.450000000000003pt;width:218.90000000000001pt;height:8.4000000000000004pt;z-index:-18874378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334" name="Shape 3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4048125</wp:posOffset>
              </wp:positionH>
              <wp:positionV relativeFrom="page">
                <wp:posOffset>564515</wp:posOffset>
              </wp:positionV>
              <wp:extent cx="2780030" cy="106680"/>
              <wp:wrapNone/>
              <wp:docPr id="337" name="Shape 33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63" type="#_x0000_t202" style="position:absolute;margin-left:318.75pt;margin-top:44.450000000000003pt;width:218.90000000000001pt;height:8.4000000000000004pt;z-index:-1887437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339" name="Shape 3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4046220</wp:posOffset>
              </wp:positionH>
              <wp:positionV relativeFrom="page">
                <wp:posOffset>564515</wp:posOffset>
              </wp:positionV>
              <wp:extent cx="2780030" cy="106680"/>
              <wp:wrapNone/>
              <wp:docPr id="342" name="Shape 34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68" type="#_x0000_t202" style="position:absolute;margin-left:318.60000000000002pt;margin-top:44.450000000000003pt;width:218.90000000000001pt;height:8.4000000000000004pt;z-index:-18874377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44" name="Shape 34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4046220</wp:posOffset>
              </wp:positionH>
              <wp:positionV relativeFrom="page">
                <wp:posOffset>564515</wp:posOffset>
              </wp:positionV>
              <wp:extent cx="2780030" cy="106680"/>
              <wp:wrapNone/>
              <wp:docPr id="351" name="Shape 35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77" type="#_x0000_t202" style="position:absolute;margin-left:318.60000000000002pt;margin-top:44.450000000000003pt;width:218.90000000000001pt;height:8.4000000000000004pt;z-index:-18874376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53" name="Shape 35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4046220</wp:posOffset>
              </wp:positionH>
              <wp:positionV relativeFrom="page">
                <wp:posOffset>564515</wp:posOffset>
              </wp:positionV>
              <wp:extent cx="2780030" cy="106680"/>
              <wp:wrapNone/>
              <wp:docPr id="360" name="Shape 36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86" type="#_x0000_t202" style="position:absolute;margin-left:318.60000000000002pt;margin-top:44.450000000000003pt;width:218.90000000000001pt;height:8.4000000000000004pt;z-index:-1887437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62" name="Shape 3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4046220</wp:posOffset>
              </wp:positionH>
              <wp:positionV relativeFrom="page">
                <wp:posOffset>564515</wp:posOffset>
              </wp:positionV>
              <wp:extent cx="2780030" cy="106680"/>
              <wp:wrapNone/>
              <wp:docPr id="369" name="Shape 36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395" type="#_x0000_t202" style="position:absolute;margin-left:318.60000000000002pt;margin-top:44.450000000000003pt;width:218.90000000000001pt;height:8.4000000000000004pt;z-index:-1887437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71" name="Shape 3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4048125</wp:posOffset>
              </wp:positionH>
              <wp:positionV relativeFrom="page">
                <wp:posOffset>564515</wp:posOffset>
              </wp:positionV>
              <wp:extent cx="2780030" cy="106680"/>
              <wp:wrapNone/>
              <wp:docPr id="378" name="Shape 37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04" type="#_x0000_t202" style="position:absolute;margin-left:318.75pt;margin-top:44.450000000000003pt;width:218.90000000000001pt;height:8.4000000000000004pt;z-index:-1887437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380" name="Shape 38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4048125</wp:posOffset>
              </wp:positionH>
              <wp:positionV relativeFrom="page">
                <wp:posOffset>564515</wp:posOffset>
              </wp:positionV>
              <wp:extent cx="2780030" cy="106680"/>
              <wp:wrapNone/>
              <wp:docPr id="387" name="Shape 38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13" type="#_x0000_t202" style="position:absolute;margin-left:318.75pt;margin-top:44.450000000000003pt;width:218.90000000000001pt;height:8.4000000000000004pt;z-index:-1887437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389" name="Shape 38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4041775</wp:posOffset>
              </wp:positionH>
              <wp:positionV relativeFrom="page">
                <wp:posOffset>101600</wp:posOffset>
              </wp:positionV>
              <wp:extent cx="2780030" cy="106680"/>
              <wp:wrapNone/>
              <wp:docPr id="30" name="Shape 3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56" type="#_x0000_t202" style="position:absolute;margin-left:318.25pt;margin-top:8.pt;width:218.90000000000001pt;height:8.4000000000000004pt;z-index:-1887440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685800</wp:posOffset>
              </wp:positionH>
              <wp:positionV relativeFrom="page">
                <wp:posOffset>243205</wp:posOffset>
              </wp:positionV>
              <wp:extent cx="6160135" cy="0"/>
              <wp:wrapNone/>
              <wp:docPr id="32" name="Shape 3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pt;margin-top:19.150000000000002pt;width:485.05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4046220</wp:posOffset>
              </wp:positionH>
              <wp:positionV relativeFrom="page">
                <wp:posOffset>564515</wp:posOffset>
              </wp:positionV>
              <wp:extent cx="2780030" cy="106680"/>
              <wp:wrapNone/>
              <wp:docPr id="396" name="Shape 39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422" type="#_x0000_t202" style="position:absolute;margin-left:318.60000000000002pt;margin-top:44.450000000000003pt;width:218.90000000000001pt;height:8.4000000000000004pt;z-index:-1887437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398" name="Shape 3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4048125</wp:posOffset>
              </wp:positionH>
              <wp:positionV relativeFrom="page">
                <wp:posOffset>564515</wp:posOffset>
              </wp:positionV>
              <wp:extent cx="2780030" cy="106680"/>
              <wp:wrapNone/>
              <wp:docPr id="405" name="Shape 40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31" type="#_x0000_t202" style="position:absolute;margin-left:318.75pt;margin-top:44.450000000000003pt;width:218.90000000000001pt;height:8.4000000000000004pt;z-index:-1887437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407" name="Shape 4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4048125</wp:posOffset>
              </wp:positionH>
              <wp:positionV relativeFrom="page">
                <wp:posOffset>564515</wp:posOffset>
              </wp:positionV>
              <wp:extent cx="2780030" cy="106680"/>
              <wp:wrapNone/>
              <wp:docPr id="414" name="Shape 41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40" type="#_x0000_t202" style="position:absolute;margin-left:318.75pt;margin-top:44.450000000000003pt;width:218.90000000000001pt;height:8.4000000000000004pt;z-index:-1887437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416" name="Shape 41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4048125</wp:posOffset>
              </wp:positionH>
              <wp:positionV relativeFrom="page">
                <wp:posOffset>564515</wp:posOffset>
              </wp:positionV>
              <wp:extent cx="2780030" cy="106680"/>
              <wp:wrapNone/>
              <wp:docPr id="423" name="Shape 42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49" type="#_x0000_t202" style="position:absolute;margin-left:318.75pt;margin-top:44.450000000000003pt;width:218.90000000000001pt;height:8.4000000000000004pt;z-index:-1887437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425" name="Shape 4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4048125</wp:posOffset>
              </wp:positionH>
              <wp:positionV relativeFrom="page">
                <wp:posOffset>564515</wp:posOffset>
              </wp:positionV>
              <wp:extent cx="2780030" cy="106680"/>
              <wp:wrapNone/>
              <wp:docPr id="432" name="Shape 43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58" type="#_x0000_t202" style="position:absolute;margin-left:318.75pt;margin-top:44.450000000000003pt;width:218.90000000000001pt;height:8.4000000000000004pt;z-index:-1887436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434" name="Shape 4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4046220</wp:posOffset>
              </wp:positionH>
              <wp:positionV relativeFrom="page">
                <wp:posOffset>564515</wp:posOffset>
              </wp:positionV>
              <wp:extent cx="2780030" cy="106680"/>
              <wp:wrapNone/>
              <wp:docPr id="441" name="Shape 44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467" type="#_x0000_t202" style="position:absolute;margin-left:318.60000000000002pt;margin-top:44.450000000000003pt;width:218.90000000000001pt;height:8.4000000000000004pt;z-index:-18874368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443" name="Shape 44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6992620</wp:posOffset>
              </wp:positionH>
              <wp:positionV relativeFrom="page">
                <wp:posOffset>558800</wp:posOffset>
              </wp:positionV>
              <wp:extent cx="2780030" cy="106680"/>
              <wp:wrapNone/>
              <wp:docPr id="450" name="Shape 45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76" type="#_x0000_t202" style="position:absolute;margin-left:550.60000000000002pt;margin-top:44.pt;width:218.90000000000001pt;height:8.4000000000000004pt;z-index:-18874367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700405</wp:posOffset>
              </wp:positionV>
              <wp:extent cx="8903335" cy="0"/>
              <wp:wrapNone/>
              <wp:docPr id="452" name="Shape 452"/>
              <a:graphic xmlns:a="http://schemas.openxmlformats.org/drawingml/2006/main">
                <a:graphicData uri="http://schemas.microsoft.com/office/word/2010/wordprocessingShape">
                  <wps:wsp>
                    <wps:cNvCnPr/>
                    <wps:spPr>
                      <a:xfrm>
                        <a:ext cx="8903335" cy="0"/>
                      </a:xfrm>
                      <a:prstGeom prst="straightConnector1"/>
                      <a:ln w="12700">
                        <a:solidFill/>
                      </a:ln>
                    </wps:spPr>
                    <wps:bodyPr/>
                  </wps:wsp>
                </a:graphicData>
              </a:graphic>
            </wp:anchor>
          </w:drawing>
        </mc:Choice>
        <mc:Fallback>
          <w:pict>
            <v:shape o:spt="32" o:oned="true" path="m,l21600,21600e" style="position:absolute;margin-left:70.350000000000009pt;margin-top:55.149999999999999pt;width:701.05000000000007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6992620</wp:posOffset>
              </wp:positionH>
              <wp:positionV relativeFrom="page">
                <wp:posOffset>558800</wp:posOffset>
              </wp:positionV>
              <wp:extent cx="2780030" cy="106680"/>
              <wp:wrapNone/>
              <wp:docPr id="455" name="Shape 45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81" type="#_x0000_t202" style="position:absolute;margin-left:550.60000000000002pt;margin-top:44.pt;width:218.90000000000001pt;height:8.4000000000000004pt;z-index:-1887436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700405</wp:posOffset>
              </wp:positionV>
              <wp:extent cx="8903335" cy="0"/>
              <wp:wrapNone/>
              <wp:docPr id="457" name="Shape 457"/>
              <a:graphic xmlns:a="http://schemas.openxmlformats.org/drawingml/2006/main">
                <a:graphicData uri="http://schemas.microsoft.com/office/word/2010/wordprocessingShape">
                  <wps:wsp>
                    <wps:cNvCnPr/>
                    <wps:spPr>
                      <a:xfrm>
                        <a:ext cx="8903335" cy="0"/>
                      </a:xfrm>
                      <a:prstGeom prst="straightConnector1"/>
                      <a:ln w="12700">
                        <a:solidFill/>
                      </a:ln>
                    </wps:spPr>
                    <wps:bodyPr/>
                  </wps:wsp>
                </a:graphicData>
              </a:graphic>
            </wp:anchor>
          </w:drawing>
        </mc:Choice>
        <mc:Fallback>
          <w:pict>
            <v:shape o:spt="32" o:oned="true" path="m,l21600,21600e" style="position:absolute;margin-left:70.350000000000009pt;margin-top:55.149999999999999pt;width:701.05000000000007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4048760</wp:posOffset>
              </wp:positionH>
              <wp:positionV relativeFrom="page">
                <wp:posOffset>83820</wp:posOffset>
              </wp:positionV>
              <wp:extent cx="2780030" cy="106680"/>
              <wp:wrapNone/>
              <wp:docPr id="460" name="Shape 46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86" type="#_x0000_t202" style="position:absolute;margin-left:318.80000000000001pt;margin-top:6.6000000000000005pt;width:218.90000000000001pt;height:8.4000000000000004pt;z-index:-18874367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462" name="Shape 4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4048760</wp:posOffset>
              </wp:positionH>
              <wp:positionV relativeFrom="page">
                <wp:posOffset>83820</wp:posOffset>
              </wp:positionV>
              <wp:extent cx="2780030" cy="106680"/>
              <wp:wrapNone/>
              <wp:docPr id="467" name="Shape 46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493" type="#_x0000_t202" style="position:absolute;margin-left:318.80000000000001pt;margin-top:6.6000000000000005pt;width:218.90000000000001pt;height:8.4000000000000004pt;z-index:-18874366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469" name="Shape 46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4046220</wp:posOffset>
              </wp:positionH>
              <wp:positionV relativeFrom="page">
                <wp:posOffset>564515</wp:posOffset>
              </wp:positionV>
              <wp:extent cx="2780030" cy="106680"/>
              <wp:wrapNone/>
              <wp:docPr id="38" name="Shape 3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64" type="#_x0000_t202" style="position:absolute;margin-left:318.60000000000002pt;margin-top:44.450000000000003pt;width:218.90000000000001pt;height:8.4000000000000004pt;z-index:-1887440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40" name="Shape 4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4045585</wp:posOffset>
              </wp:positionH>
              <wp:positionV relativeFrom="page">
                <wp:posOffset>564515</wp:posOffset>
              </wp:positionV>
              <wp:extent cx="2780030" cy="106680"/>
              <wp:wrapNone/>
              <wp:docPr id="474" name="Shape 47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0" type="#_x0000_t202" style="position:absolute;margin-left:318.55000000000001pt;margin-top:44.450000000000003pt;width:218.90000000000001pt;height:8.4000000000000004pt;z-index:-18874365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0135" cy="0"/>
              <wp:wrapNone/>
              <wp:docPr id="476" name="Shape 47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05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4045585</wp:posOffset>
              </wp:positionH>
              <wp:positionV relativeFrom="page">
                <wp:posOffset>564515</wp:posOffset>
              </wp:positionV>
              <wp:extent cx="2780030" cy="106680"/>
              <wp:wrapNone/>
              <wp:docPr id="483" name="Shape 48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09" type="#_x0000_t202" style="position:absolute;margin-left:318.55000000000001pt;margin-top:44.450000000000003pt;width:218.90000000000001pt;height:8.4000000000000004pt;z-index:-18874365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0135" cy="0"/>
              <wp:wrapNone/>
              <wp:docPr id="485" name="Shape 48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05000000000001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4051300</wp:posOffset>
              </wp:positionH>
              <wp:positionV relativeFrom="page">
                <wp:posOffset>564515</wp:posOffset>
              </wp:positionV>
              <wp:extent cx="2780030" cy="106680"/>
              <wp:wrapNone/>
              <wp:docPr id="492" name="Shape 49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18" type="#_x0000_t202" style="position:absolute;margin-left:319.pt;margin-top:44.450000000000003pt;width:218.90000000000001pt;height:8.4000000000000004pt;z-index:-18874364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494" name="Shape 49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4048760</wp:posOffset>
              </wp:positionH>
              <wp:positionV relativeFrom="page">
                <wp:posOffset>83820</wp:posOffset>
              </wp:positionV>
              <wp:extent cx="2780030" cy="106680"/>
              <wp:wrapNone/>
              <wp:docPr id="501" name="Shape 50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27" type="#_x0000_t202" style="position:absolute;margin-left:318.80000000000001pt;margin-top:6.6000000000000005pt;width:218.90000000000001pt;height:8.4000000000000004pt;z-index:-18874363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03" name="Shape 50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4048760</wp:posOffset>
              </wp:positionH>
              <wp:positionV relativeFrom="page">
                <wp:posOffset>83820</wp:posOffset>
              </wp:positionV>
              <wp:extent cx="2780030" cy="106680"/>
              <wp:wrapNone/>
              <wp:docPr id="508" name="Shape 50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34" type="#_x0000_t202" style="position:absolute;margin-left:318.80000000000001pt;margin-top:6.6000000000000005pt;width:218.90000000000001pt;height:8.4000000000000004pt;z-index:-18874362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10" name="Shape 51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4048125</wp:posOffset>
              </wp:positionH>
              <wp:positionV relativeFrom="page">
                <wp:posOffset>564515</wp:posOffset>
              </wp:positionV>
              <wp:extent cx="2780030" cy="106680"/>
              <wp:wrapNone/>
              <wp:docPr id="515" name="Shape 51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41" type="#_x0000_t202" style="position:absolute;margin-left:318.75pt;margin-top:44.450000000000003pt;width:218.90000000000001pt;height:8.4000000000000004pt;z-index:-18874362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17" name="Shape 51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4045585</wp:posOffset>
              </wp:positionH>
              <wp:positionV relativeFrom="page">
                <wp:posOffset>564515</wp:posOffset>
              </wp:positionV>
              <wp:extent cx="2780030" cy="106680"/>
              <wp:wrapNone/>
              <wp:docPr id="520" name="Shape 52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46" type="#_x0000_t202" style="position:absolute;margin-left:318.55000000000001pt;margin-top:44.450000000000003pt;width:218.90000000000001pt;height:8.4000000000000004pt;z-index:-18874361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689610</wp:posOffset>
              </wp:positionH>
              <wp:positionV relativeFrom="page">
                <wp:posOffset>706120</wp:posOffset>
              </wp:positionV>
              <wp:extent cx="6160135" cy="0"/>
              <wp:wrapNone/>
              <wp:docPr id="522" name="Shape 52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00000000000004pt;margin-top:55.600000000000001pt;width:485.05000000000001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4051300</wp:posOffset>
              </wp:positionH>
              <wp:positionV relativeFrom="page">
                <wp:posOffset>564515</wp:posOffset>
              </wp:positionV>
              <wp:extent cx="2780030" cy="106680"/>
              <wp:wrapNone/>
              <wp:docPr id="529" name="Shape 52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55" type="#_x0000_t202" style="position:absolute;margin-left:319.pt;margin-top:44.450000000000003pt;width:218.90000000000001pt;height:8.4000000000000004pt;z-index:-18874361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531" name="Shape 53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4051300</wp:posOffset>
              </wp:positionH>
              <wp:positionV relativeFrom="page">
                <wp:posOffset>564515</wp:posOffset>
              </wp:positionV>
              <wp:extent cx="2780030" cy="106680"/>
              <wp:wrapNone/>
              <wp:docPr id="538" name="Shape 53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64" type="#_x0000_t202" style="position:absolute;margin-left:319.pt;margin-top:44.450000000000003pt;width:218.90000000000001pt;height:8.4000000000000004pt;z-index:-18874360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540" name="Shape 54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4051300</wp:posOffset>
              </wp:positionH>
              <wp:positionV relativeFrom="page">
                <wp:posOffset>564515</wp:posOffset>
              </wp:positionV>
              <wp:extent cx="2780030" cy="106680"/>
              <wp:wrapNone/>
              <wp:docPr id="547" name="Shape 54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73" type="#_x0000_t202" style="position:absolute;margin-left:319.pt;margin-top:44.450000000000003pt;width:218.90000000000001pt;height:8.4000000000000004pt;z-index:-18874359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706120</wp:posOffset>
              </wp:positionV>
              <wp:extent cx="6160135" cy="0"/>
              <wp:wrapNone/>
              <wp:docPr id="549" name="Shape 5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800000000000004pt;margin-top:55.600000000000001pt;width:485.05000000000001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4046220</wp:posOffset>
              </wp:positionH>
              <wp:positionV relativeFrom="page">
                <wp:posOffset>564515</wp:posOffset>
              </wp:positionV>
              <wp:extent cx="2780030" cy="106680"/>
              <wp:wrapNone/>
              <wp:docPr id="47" name="Shape 4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73" type="#_x0000_t202" style="position:absolute;margin-left:318.60000000000002pt;margin-top:44.450000000000003pt;width:218.90000000000001pt;height:8.4000000000000004pt;z-index:-18874402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49" name="Shape 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4048760</wp:posOffset>
              </wp:positionH>
              <wp:positionV relativeFrom="page">
                <wp:posOffset>83820</wp:posOffset>
              </wp:positionV>
              <wp:extent cx="2780030" cy="106680"/>
              <wp:wrapNone/>
              <wp:docPr id="556" name="Shape 55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82" type="#_x0000_t202" style="position:absolute;margin-left:318.80000000000001pt;margin-top:6.6000000000000005pt;width:218.90000000000001pt;height:8.4000000000000004pt;z-index:-18874358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58" name="Shape 5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4048760</wp:posOffset>
              </wp:positionH>
              <wp:positionV relativeFrom="page">
                <wp:posOffset>83820</wp:posOffset>
              </wp:positionV>
              <wp:extent cx="2780030" cy="106680"/>
              <wp:wrapNone/>
              <wp:docPr id="563" name="Shape 56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89" type="#_x0000_t202" style="position:absolute;margin-left:318.80000000000001pt;margin-top:6.6000000000000005pt;width:218.90000000000001pt;height:8.4000000000000004pt;z-index:-18874358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65" name="Shape 56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4048760</wp:posOffset>
              </wp:positionH>
              <wp:positionV relativeFrom="page">
                <wp:posOffset>83820</wp:posOffset>
              </wp:positionV>
              <wp:extent cx="2780030" cy="106680"/>
              <wp:wrapNone/>
              <wp:docPr id="570" name="Shape 57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96" type="#_x0000_t202" style="position:absolute;margin-left:318.80000000000001pt;margin-top:6.6000000000000005pt;width:218.90000000000001pt;height:8.4000000000000004pt;z-index:-18874357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72" name="Shape 57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4048760</wp:posOffset>
              </wp:positionH>
              <wp:positionV relativeFrom="page">
                <wp:posOffset>564515</wp:posOffset>
              </wp:positionV>
              <wp:extent cx="2780030" cy="106680"/>
              <wp:wrapNone/>
              <wp:docPr id="581" name="Shape 58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07" type="#_x0000_t202" style="position:absolute;margin-left:318.80000000000001pt;margin-top:44.450000000000003pt;width:218.90000000000001pt;height:8.4000000000000004pt;z-index:-1887435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83" name="Shape 5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4048760</wp:posOffset>
              </wp:positionH>
              <wp:positionV relativeFrom="page">
                <wp:posOffset>564515</wp:posOffset>
              </wp:positionV>
              <wp:extent cx="2780030" cy="106680"/>
              <wp:wrapNone/>
              <wp:docPr id="590" name="Shape 59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16" type="#_x0000_t202" style="position:absolute;margin-left:318.80000000000001pt;margin-top:44.450000000000003pt;width:218.90000000000001pt;height:8.4000000000000004pt;z-index:-1887435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592" name="Shape 59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4048760</wp:posOffset>
              </wp:positionH>
              <wp:positionV relativeFrom="page">
                <wp:posOffset>83820</wp:posOffset>
              </wp:positionV>
              <wp:extent cx="2780030" cy="106680"/>
              <wp:wrapNone/>
              <wp:docPr id="599" name="Shape 59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25" type="#_x0000_t202" style="position:absolute;margin-left:318.80000000000001pt;margin-top:6.6000000000000005pt;width:218.90000000000001pt;height:8.4000000000000004pt;z-index:-18874355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01" name="Shape 60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4048760</wp:posOffset>
              </wp:positionH>
              <wp:positionV relativeFrom="page">
                <wp:posOffset>83820</wp:posOffset>
              </wp:positionV>
              <wp:extent cx="2780030" cy="106680"/>
              <wp:wrapNone/>
              <wp:docPr id="606" name="Shape 60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32" type="#_x0000_t202" style="position:absolute;margin-left:318.80000000000001pt;margin-top:6.6000000000000005pt;width:218.90000000000001pt;height:8.4000000000000004pt;z-index:-18874354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08" name="Shape 60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4048125</wp:posOffset>
              </wp:positionH>
              <wp:positionV relativeFrom="page">
                <wp:posOffset>564515</wp:posOffset>
              </wp:positionV>
              <wp:extent cx="2780030" cy="106680"/>
              <wp:wrapNone/>
              <wp:docPr id="613" name="Shape 61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39" type="#_x0000_t202" style="position:absolute;margin-left:318.75pt;margin-top:44.450000000000003pt;width:218.90000000000001pt;height:8.4000000000000004pt;z-index:-1887435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15" name="Shape 6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4048125</wp:posOffset>
              </wp:positionH>
              <wp:positionV relativeFrom="page">
                <wp:posOffset>564515</wp:posOffset>
              </wp:positionV>
              <wp:extent cx="2780030" cy="106680"/>
              <wp:wrapNone/>
              <wp:docPr id="618" name="Shape 61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44" type="#_x0000_t202" style="position:absolute;margin-left:318.75pt;margin-top:44.450000000000003pt;width:218.90000000000001pt;height:8.4000000000000004pt;z-index:-18874353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20" name="Shape 6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4048760</wp:posOffset>
              </wp:positionH>
              <wp:positionV relativeFrom="page">
                <wp:posOffset>83820</wp:posOffset>
              </wp:positionV>
              <wp:extent cx="2780030" cy="106680"/>
              <wp:wrapNone/>
              <wp:docPr id="623" name="Shape 62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49" type="#_x0000_t202" style="position:absolute;margin-left:318.80000000000001pt;margin-top:6.6000000000000005pt;width:218.90000000000001pt;height:8.4000000000000004pt;z-index:-1887435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25" name="Shape 6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4046220</wp:posOffset>
              </wp:positionH>
              <wp:positionV relativeFrom="page">
                <wp:posOffset>564515</wp:posOffset>
              </wp:positionV>
              <wp:extent cx="2780030" cy="106680"/>
              <wp:wrapNone/>
              <wp:docPr id="56" name="Shape 5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82" type="#_x0000_t202" style="position:absolute;margin-left:318.60000000000002pt;margin-top:44.450000000000003pt;width:218.90000000000001pt;height:8.4000000000000004pt;z-index:-18874402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58" name="Shape 5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4048760</wp:posOffset>
              </wp:positionH>
              <wp:positionV relativeFrom="page">
                <wp:posOffset>83820</wp:posOffset>
              </wp:positionV>
              <wp:extent cx="2780030" cy="106680"/>
              <wp:wrapNone/>
              <wp:docPr id="630" name="Shape 63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6" type="#_x0000_t202" style="position:absolute;margin-left:318.80000000000001pt;margin-top:6.6000000000000005pt;width:218.90000000000001pt;height:8.4000000000000004pt;z-index:-1887435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32" name="Shape 63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4048760</wp:posOffset>
              </wp:positionH>
              <wp:positionV relativeFrom="page">
                <wp:posOffset>564515</wp:posOffset>
              </wp:positionV>
              <wp:extent cx="2780030" cy="106680"/>
              <wp:wrapNone/>
              <wp:docPr id="637" name="Shape 63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63" type="#_x0000_t202" style="position:absolute;margin-left:318.80000000000001pt;margin-top:44.450000000000003pt;width:218.90000000000001pt;height:8.4000000000000004pt;z-index:-1887435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39" name="Shape 6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4048760</wp:posOffset>
              </wp:positionH>
              <wp:positionV relativeFrom="page">
                <wp:posOffset>564515</wp:posOffset>
              </wp:positionV>
              <wp:extent cx="2780030" cy="106680"/>
              <wp:wrapNone/>
              <wp:docPr id="646" name="Shape 64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72" type="#_x0000_t202" style="position:absolute;margin-left:318.80000000000001pt;margin-top:44.450000000000003pt;width:218.90000000000001pt;height:8.4000000000000004pt;z-index:-1887435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48" name="Shape 64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4048760</wp:posOffset>
              </wp:positionH>
              <wp:positionV relativeFrom="page">
                <wp:posOffset>83820</wp:posOffset>
              </wp:positionV>
              <wp:extent cx="2780030" cy="106680"/>
              <wp:wrapNone/>
              <wp:docPr id="655" name="Shape 65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81" type="#_x0000_t202" style="position:absolute;margin-left:318.80000000000001pt;margin-top:6.6000000000000005pt;width:218.90000000000001pt;height:8.4000000000000004pt;z-index:-1887435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57" name="Shape 65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4048760</wp:posOffset>
              </wp:positionH>
              <wp:positionV relativeFrom="page">
                <wp:posOffset>83820</wp:posOffset>
              </wp:positionV>
              <wp:extent cx="2780030" cy="106680"/>
              <wp:wrapNone/>
              <wp:docPr id="662" name="Shape 66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88" type="#_x0000_t202" style="position:absolute;margin-left:318.80000000000001pt;margin-top:6.6000000000000005pt;width:218.90000000000001pt;height:8.4000000000000004pt;z-index:-1887434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64" name="Shape 66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4048760</wp:posOffset>
              </wp:positionH>
              <wp:positionV relativeFrom="page">
                <wp:posOffset>564515</wp:posOffset>
              </wp:positionV>
              <wp:extent cx="2780030" cy="106680"/>
              <wp:wrapNone/>
              <wp:docPr id="669" name="Shape 66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95" type="#_x0000_t202" style="position:absolute;margin-left:318.80000000000001pt;margin-top:44.450000000000003pt;width:218.90000000000001pt;height:8.4000000000000004pt;z-index:-18874349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71" name="Shape 6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4048760</wp:posOffset>
              </wp:positionH>
              <wp:positionV relativeFrom="page">
                <wp:posOffset>564515</wp:posOffset>
              </wp:positionV>
              <wp:extent cx="2780030" cy="106680"/>
              <wp:wrapNone/>
              <wp:docPr id="678" name="Shape 67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4" type="#_x0000_t202" style="position:absolute;margin-left:318.80000000000001pt;margin-top:44.450000000000003pt;width:218.90000000000001pt;height:8.4000000000000004pt;z-index:-18874348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680" name="Shape 68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4027805</wp:posOffset>
              </wp:positionH>
              <wp:positionV relativeFrom="page">
                <wp:posOffset>564515</wp:posOffset>
              </wp:positionV>
              <wp:extent cx="2780030" cy="106680"/>
              <wp:wrapNone/>
              <wp:docPr id="687" name="Shape 68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13" type="#_x0000_t202" style="position:absolute;margin-left:317.15000000000003pt;margin-top:44.450000000000003pt;width:218.90000000000001pt;height:8.4000000000000004pt;z-index:-18874347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689" name="Shape 68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4027805</wp:posOffset>
              </wp:positionH>
              <wp:positionV relativeFrom="page">
                <wp:posOffset>564515</wp:posOffset>
              </wp:positionV>
              <wp:extent cx="2780030" cy="106680"/>
              <wp:wrapNone/>
              <wp:docPr id="696" name="Shape 69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22" type="#_x0000_t202" style="position:absolute;margin-left:317.15000000000003pt;margin-top:44.450000000000003pt;width:218.90000000000001pt;height:8.4000000000000004pt;z-index:-18874346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698" name="Shape 6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4048760</wp:posOffset>
              </wp:positionH>
              <wp:positionV relativeFrom="page">
                <wp:posOffset>83820</wp:posOffset>
              </wp:positionV>
              <wp:extent cx="2780030" cy="106680"/>
              <wp:wrapNone/>
              <wp:docPr id="705" name="Shape 70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31" type="#_x0000_t202" style="position:absolute;margin-left:318.80000000000001pt;margin-top:6.6000000000000005pt;width:218.90000000000001pt;height:8.4000000000000004pt;z-index:-18874346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707" name="Shape 7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4046220</wp:posOffset>
              </wp:positionH>
              <wp:positionV relativeFrom="page">
                <wp:posOffset>564515</wp:posOffset>
              </wp:positionV>
              <wp:extent cx="2780030" cy="106680"/>
              <wp:wrapNone/>
              <wp:docPr id="65" name="Shape 6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wps:txbx>
                    <wps:bodyPr wrap="none" lIns="0" tIns="0" rIns="0" bIns="0">
                      <a:spAutoFit/>
                    </wps:bodyPr>
                  </wps:wsp>
                </a:graphicData>
              </a:graphic>
            </wp:anchor>
          </w:drawing>
        </mc:Choice>
        <mc:Fallback>
          <w:pict>
            <v:shape id="_x0000_s1091" type="#_x0000_t202" style="position:absolute;margin-left:318.60000000000002pt;margin-top:44.450000000000003pt;width:218.90000000000001pt;height:8.4000000000000004pt;z-index:-18874401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中科院成都信息技术股份有限公司</w:t>
                    </w:r>
                    <w:r>
                      <w:rPr>
                        <w:color w:val="000000"/>
                        <w:spacing w:val="0"/>
                        <w:w w:val="100"/>
                        <w:position w:val="0"/>
                        <w:sz w:val="18"/>
                        <w:szCs w:val="18"/>
                      </w:rPr>
                      <w:t>2020</w:t>
                    </w:r>
                    <w:r>
                      <w:rPr>
                        <w:rFonts w:ascii="SimSun" w:eastAsia="SimSun" w:hAnsi="SimSun" w:cs="SimSun"/>
                        <w:color w:val="000000"/>
                        <w:spacing w:val="0"/>
                        <w:w w:val="100"/>
                        <w:position w:val="0"/>
                        <w:sz w:val="18"/>
                        <w:szCs w:val="18"/>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690245</wp:posOffset>
              </wp:positionH>
              <wp:positionV relativeFrom="page">
                <wp:posOffset>807085</wp:posOffset>
              </wp:positionV>
              <wp:extent cx="6160135" cy="0"/>
              <wp:wrapNone/>
              <wp:docPr id="67" name="Shape 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50000000000001pt;margin-top:63.550000000000004pt;width:485.05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4048760</wp:posOffset>
              </wp:positionH>
              <wp:positionV relativeFrom="page">
                <wp:posOffset>83820</wp:posOffset>
              </wp:positionV>
              <wp:extent cx="2780030" cy="106680"/>
              <wp:wrapNone/>
              <wp:docPr id="712" name="Shape 712"/>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38" type="#_x0000_t202" style="position:absolute;margin-left:318.80000000000001pt;margin-top:6.6000000000000005pt;width:218.90000000000001pt;height:8.4000000000000004pt;z-index:-18874345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714" name="Shape 71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4027805</wp:posOffset>
              </wp:positionH>
              <wp:positionV relativeFrom="page">
                <wp:posOffset>564515</wp:posOffset>
              </wp:positionV>
              <wp:extent cx="2780030" cy="106680"/>
              <wp:wrapNone/>
              <wp:docPr id="719" name="Shape 71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5" type="#_x0000_t202" style="position:absolute;margin-left:317.15000000000003pt;margin-top:44.450000000000003pt;width:218.90000000000001pt;height:8.4000000000000004pt;z-index:-18874344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721" name="Shape 72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4027805</wp:posOffset>
              </wp:positionH>
              <wp:positionV relativeFrom="page">
                <wp:posOffset>564515</wp:posOffset>
              </wp:positionV>
              <wp:extent cx="2780030" cy="106680"/>
              <wp:wrapNone/>
              <wp:docPr id="728" name="Shape 728"/>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4" type="#_x0000_t202" style="position:absolute;margin-left:317.15000000000003pt;margin-top:44.450000000000003pt;width:218.90000000000001pt;height:8.4000000000000004pt;z-index:-18874344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730" name="Shape 73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4048760</wp:posOffset>
              </wp:positionH>
              <wp:positionV relativeFrom="page">
                <wp:posOffset>83820</wp:posOffset>
              </wp:positionV>
              <wp:extent cx="2780030" cy="106680"/>
              <wp:wrapNone/>
              <wp:docPr id="737" name="Shape 73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63" type="#_x0000_t202" style="position:absolute;margin-left:318.80000000000001pt;margin-top:6.6000000000000005pt;width:218.90000000000001pt;height:8.4000000000000004pt;z-index:-18874343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739" name="Shape 7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4048760</wp:posOffset>
              </wp:positionH>
              <wp:positionV relativeFrom="page">
                <wp:posOffset>83820</wp:posOffset>
              </wp:positionV>
              <wp:extent cx="2780030" cy="106680"/>
              <wp:wrapNone/>
              <wp:docPr id="744" name="Shape 744"/>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0" type="#_x0000_t202" style="position:absolute;margin-left:318.80000000000001pt;margin-top:6.6000000000000005pt;width:218.90000000000001pt;height:8.4000000000000004pt;z-index:-188743427;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746" name="Shape 74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4027805</wp:posOffset>
              </wp:positionH>
              <wp:positionV relativeFrom="page">
                <wp:posOffset>564515</wp:posOffset>
              </wp:positionV>
              <wp:extent cx="2780030" cy="106680"/>
              <wp:wrapNone/>
              <wp:docPr id="751" name="Shape 751"/>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77" type="#_x0000_t202" style="position:absolute;margin-left:317.15000000000003pt;margin-top:44.450000000000003pt;width:218.90000000000001pt;height:8.4000000000000004pt;z-index:-18874342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753" name="Shape 75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4027805</wp:posOffset>
              </wp:positionH>
              <wp:positionV relativeFrom="page">
                <wp:posOffset>564515</wp:posOffset>
              </wp:positionV>
              <wp:extent cx="2780030" cy="106680"/>
              <wp:wrapNone/>
              <wp:docPr id="760" name="Shape 760"/>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86" type="#_x0000_t202" style="position:absolute;margin-left:317.15000000000003pt;margin-top:44.450000000000003pt;width:218.90000000000001pt;height:8.4000000000000004pt;z-index:-188743413;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672465</wp:posOffset>
              </wp:positionH>
              <wp:positionV relativeFrom="page">
                <wp:posOffset>706120</wp:posOffset>
              </wp:positionV>
              <wp:extent cx="6160135" cy="0"/>
              <wp:wrapNone/>
              <wp:docPr id="762" name="Shape 7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950000000000003pt;margin-top:55.600000000000001pt;width:485.05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4048760</wp:posOffset>
              </wp:positionH>
              <wp:positionV relativeFrom="page">
                <wp:posOffset>83820</wp:posOffset>
              </wp:positionV>
              <wp:extent cx="2780030" cy="106680"/>
              <wp:wrapNone/>
              <wp:docPr id="769" name="Shape 769"/>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95" type="#_x0000_t202" style="position:absolute;margin-left:318.80000000000001pt;margin-top:6.6000000000000005pt;width:218.90000000000001pt;height:8.4000000000000004pt;z-index:-188743405;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771" name="Shape 7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4067175</wp:posOffset>
              </wp:positionH>
              <wp:positionV relativeFrom="page">
                <wp:posOffset>564515</wp:posOffset>
              </wp:positionV>
              <wp:extent cx="2780030" cy="106680"/>
              <wp:wrapNone/>
              <wp:docPr id="776" name="Shape 776"/>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02" type="#_x0000_t202" style="position:absolute;margin-left:320.25pt;margin-top:44.450000000000003pt;width:218.90000000000001pt;height:8.4000000000000004pt;z-index:-188743399;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749935</wp:posOffset>
              </wp:positionV>
              <wp:extent cx="6160135" cy="0"/>
              <wp:wrapNone/>
              <wp:docPr id="778" name="Shape 77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pt;margin-top:59.050000000000004pt;width:485.05000000000001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4048760</wp:posOffset>
              </wp:positionH>
              <wp:positionV relativeFrom="page">
                <wp:posOffset>83820</wp:posOffset>
              </wp:positionV>
              <wp:extent cx="2780030" cy="106680"/>
              <wp:wrapNone/>
              <wp:docPr id="793" name="Shape 793"/>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19" type="#_x0000_t202" style="position:absolute;margin-left:318.80000000000001pt;margin-top:6.6000000000000005pt;width:218.90000000000001pt;height:8.4000000000000004pt;z-index:-188743391;mso-wrap-style:none;mso-wrap-distance-left:0;mso-wrap-distance-right:0;mso-position-horizontal-relative:page;mso-position-vertical-relative:page" wrapcoords="0 0" filled="f" stroked="f">
              <v:textbox style="mso-fit-shape-to-text:t" inset="0,0,0,0">
                <w:txbxContent>
                  <w:p>
                    <w:pPr>
                      <w:pStyle w:val="Style6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中科院成都信息技术股份有限公司</w:t>
                    </w:r>
                    <w:r>
                      <w:rPr>
                        <w:rFonts w:ascii="Times New Roman" w:eastAsia="Times New Roman" w:hAnsi="Times New Roman" w:cs="Times New Roman"/>
                        <w:color w:val="000000"/>
                        <w:spacing w:val="0"/>
                        <w:w w:val="100"/>
                        <w:position w:val="0"/>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692785</wp:posOffset>
              </wp:positionH>
              <wp:positionV relativeFrom="page">
                <wp:posOffset>706120</wp:posOffset>
              </wp:positionV>
              <wp:extent cx="6160135" cy="0"/>
              <wp:wrapNone/>
              <wp:docPr id="795" name="Shape 79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550000000000004pt;margin-top:55.600000000000001pt;width:485.05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0">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26">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3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60">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7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7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7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8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8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4">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6">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6">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其他_"/>
    <w:basedOn w:val="DefaultParagraphFont"/>
    <w:link w:val="Style2"/>
    <w:rPr>
      <w:rFonts w:ascii="SimSun" w:eastAsia="SimSun" w:hAnsi="SimSun" w:cs="SimSun"/>
      <w:b w:val="0"/>
      <w:bCs w:val="0"/>
      <w:i w:val="0"/>
      <w:iCs w:val="0"/>
      <w:smallCaps w:val="0"/>
      <w:strike w:val="0"/>
      <w:sz w:val="20"/>
      <w:szCs w:val="20"/>
      <w:u w:val="none"/>
      <w:shd w:val="clear" w:color="auto" w:fill="auto"/>
    </w:rPr>
  </w:style>
  <w:style w:type="character" w:customStyle="1" w:styleId="CharStyle8">
    <w:name w:val="图片标题_"/>
    <w:basedOn w:val="DefaultParagraphFont"/>
    <w:link w:val="Style7"/>
    <w:rPr>
      <w:rFonts w:ascii="Times New Roman" w:eastAsia="Times New Roman" w:hAnsi="Times New Roman" w:cs="Times New Roman"/>
      <w:b/>
      <w:bCs/>
      <w:i w:val="0"/>
      <w:iCs w:val="0"/>
      <w:smallCaps w:val="0"/>
      <w:strike w:val="0"/>
      <w:sz w:val="32"/>
      <w:szCs w:val="32"/>
      <w:u w:val="none"/>
      <w:shd w:val="clear" w:color="auto" w:fill="auto"/>
    </w:rPr>
  </w:style>
  <w:style w:type="character" w:customStyle="1" w:styleId="CharStyle14">
    <w:name w:val="正文文本 (3)_"/>
    <w:basedOn w:val="DefaultParagraphFont"/>
    <w:link w:val="Style13"/>
    <w:rPr>
      <w:rFonts w:ascii="SimSun" w:eastAsia="SimSun" w:hAnsi="SimSun" w:cs="SimSun"/>
      <w:b/>
      <w:bCs/>
      <w:i w:val="0"/>
      <w:iCs w:val="0"/>
      <w:smallCaps w:val="0"/>
      <w:strike w:val="0"/>
      <w:sz w:val="28"/>
      <w:szCs w:val="28"/>
      <w:u w:val="none"/>
      <w:shd w:val="clear" w:color="auto" w:fill="auto"/>
    </w:rPr>
  </w:style>
  <w:style w:type="character" w:customStyle="1" w:styleId="CharStyle16">
    <w:name w:val="标题 #1_"/>
    <w:basedOn w:val="DefaultParagraphFont"/>
    <w:link w:val="Style15"/>
    <w:rPr>
      <w:rFonts w:ascii="SimSun" w:eastAsia="SimSun" w:hAnsi="SimSun" w:cs="SimSun"/>
      <w:b/>
      <w:bCs/>
      <w:i w:val="0"/>
      <w:iCs w:val="0"/>
      <w:smallCaps w:val="0"/>
      <w:strike w:val="0"/>
      <w:sz w:val="32"/>
      <w:szCs w:val="32"/>
      <w:u w:val="none"/>
      <w:shd w:val="clear" w:color="auto" w:fill="auto"/>
    </w:rPr>
  </w:style>
  <w:style w:type="character" w:customStyle="1" w:styleId="CharStyle18">
    <w:name w:val="页眉或页脚 (2)_"/>
    <w:basedOn w:val="DefaultParagraphFont"/>
    <w:link w:val="Style17"/>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28">
    <w:name w:val="目录_"/>
    <w:basedOn w:val="DefaultParagraphFont"/>
    <w:link w:val="Style27"/>
    <w:rPr>
      <w:rFonts w:ascii="SimSun" w:eastAsia="SimSun" w:hAnsi="SimSun" w:cs="SimSun"/>
      <w:b/>
      <w:bCs/>
      <w:i w:val="0"/>
      <w:iCs w:val="0"/>
      <w:smallCaps w:val="0"/>
      <w:strike w:val="0"/>
      <w:u w:val="none"/>
      <w:shd w:val="clear" w:color="auto" w:fill="auto"/>
    </w:rPr>
  </w:style>
  <w:style w:type="character" w:customStyle="1" w:styleId="CharStyle34">
    <w:name w:val="标题 #2_"/>
    <w:basedOn w:val="DefaultParagraphFont"/>
    <w:link w:val="Style33"/>
    <w:rPr>
      <w:rFonts w:ascii="SimSun" w:eastAsia="SimSun" w:hAnsi="SimSun" w:cs="SimSun"/>
      <w:b/>
      <w:bCs/>
      <w:i w:val="0"/>
      <w:iCs w:val="0"/>
      <w:smallCaps w:val="0"/>
      <w:strike w:val="0"/>
      <w:u w:val="none"/>
      <w:shd w:val="clear" w:color="auto" w:fill="auto"/>
    </w:rPr>
  </w:style>
  <w:style w:type="character" w:customStyle="1" w:styleId="CharStyle36">
    <w:name w:val="正文文本 (2)_"/>
    <w:basedOn w:val="DefaultParagraphFont"/>
    <w:link w:val="Style35"/>
    <w:rPr>
      <w:rFonts w:ascii="SimSun" w:eastAsia="SimSun" w:hAnsi="SimSun" w:cs="SimSun"/>
      <w:b w:val="0"/>
      <w:bCs w:val="0"/>
      <w:i w:val="0"/>
      <w:iCs w:val="0"/>
      <w:smallCaps w:val="0"/>
      <w:strike w:val="0"/>
      <w:sz w:val="18"/>
      <w:szCs w:val="18"/>
      <w:u w:val="none"/>
      <w:shd w:val="clear" w:color="auto" w:fill="auto"/>
    </w:rPr>
  </w:style>
  <w:style w:type="character" w:customStyle="1" w:styleId="CharStyle42">
    <w:name w:val="表格标题_"/>
    <w:basedOn w:val="DefaultParagraphFont"/>
    <w:link w:val="Style41"/>
    <w:rPr>
      <w:rFonts w:ascii="SimSun" w:eastAsia="SimSun" w:hAnsi="SimSun" w:cs="SimSun"/>
      <w:b/>
      <w:bCs/>
      <w:i w:val="0"/>
      <w:iCs w:val="0"/>
      <w:smallCaps w:val="0"/>
      <w:strike w:val="0"/>
      <w:sz w:val="20"/>
      <w:szCs w:val="20"/>
      <w:u w:val="none"/>
      <w:shd w:val="clear" w:color="auto" w:fill="auto"/>
    </w:rPr>
  </w:style>
  <w:style w:type="character" w:customStyle="1" w:styleId="CharStyle45">
    <w:name w:val="标题 #3_"/>
    <w:basedOn w:val="DefaultParagraphFont"/>
    <w:link w:val="Style44"/>
    <w:rPr>
      <w:rFonts w:ascii="SimSun" w:eastAsia="SimSun" w:hAnsi="SimSun" w:cs="SimSun"/>
      <w:b/>
      <w:bCs/>
      <w:i w:val="0"/>
      <w:iCs w:val="0"/>
      <w:smallCaps w:val="0"/>
      <w:strike w:val="0"/>
      <w:sz w:val="20"/>
      <w:szCs w:val="20"/>
      <w:u w:val="none"/>
      <w:shd w:val="clear" w:color="auto" w:fill="auto"/>
    </w:rPr>
  </w:style>
  <w:style w:type="character" w:customStyle="1" w:styleId="CharStyle48">
    <w:name w:val="正文文本_"/>
    <w:basedOn w:val="DefaultParagraphFont"/>
    <w:link w:val="Style47"/>
    <w:rPr>
      <w:rFonts w:ascii="SimSun" w:eastAsia="SimSun" w:hAnsi="SimSun" w:cs="SimSun"/>
      <w:b w:val="0"/>
      <w:bCs w:val="0"/>
      <w:i w:val="0"/>
      <w:iCs w:val="0"/>
      <w:smallCaps w:val="0"/>
      <w:strike w:val="0"/>
      <w:sz w:val="20"/>
      <w:szCs w:val="20"/>
      <w:u w:val="none"/>
      <w:shd w:val="clear" w:color="auto" w:fill="auto"/>
    </w:rPr>
  </w:style>
  <w:style w:type="character" w:customStyle="1" w:styleId="CharStyle61">
    <w:name w:val="标题 #4_"/>
    <w:basedOn w:val="DefaultParagraphFont"/>
    <w:link w:val="Style60"/>
    <w:rPr>
      <w:rFonts w:ascii="SimSun" w:eastAsia="SimSun" w:hAnsi="SimSun" w:cs="SimSun"/>
      <w:b/>
      <w:bCs/>
      <w:i w:val="0"/>
      <w:iCs w:val="0"/>
      <w:smallCaps w:val="0"/>
      <w:strike w:val="0"/>
      <w:sz w:val="20"/>
      <w:szCs w:val="20"/>
      <w:u w:val="none"/>
      <w:shd w:val="clear" w:color="auto" w:fill="auto"/>
    </w:rPr>
  </w:style>
  <w:style w:type="character" w:customStyle="1" w:styleId="CharStyle65">
    <w:name w:val="页眉或页脚_"/>
    <w:basedOn w:val="DefaultParagraphFont"/>
    <w:link w:val="Style64"/>
    <w:rPr>
      <w:rFonts w:ascii="SimSun" w:eastAsia="SimSun" w:hAnsi="SimSun" w:cs="SimSun"/>
      <w:b w:val="0"/>
      <w:bCs w:val="0"/>
      <w:i w:val="0"/>
      <w:iCs w:val="0"/>
      <w:smallCaps w:val="0"/>
      <w:strike w:val="0"/>
      <w:sz w:val="18"/>
      <w:szCs w:val="18"/>
      <w:u w:val="none"/>
      <w:shd w:val="clear" w:color="auto" w:fill="auto"/>
    </w:rPr>
  </w:style>
  <w:style w:type="character" w:customStyle="1" w:styleId="CharStyle78">
    <w:name w:val="正文文本 (8)_"/>
    <w:basedOn w:val="DefaultParagraphFont"/>
    <w:link w:val="Style77"/>
    <w:rPr>
      <w:rFonts w:ascii="Arial" w:eastAsia="Arial" w:hAnsi="Arial" w:cs="Arial"/>
      <w:b/>
      <w:bCs/>
      <w:i w:val="0"/>
      <w:iCs w:val="0"/>
      <w:smallCaps w:val="0"/>
      <w:strike w:val="0"/>
      <w:color w:val="A2A2A2"/>
      <w:sz w:val="15"/>
      <w:szCs w:val="15"/>
      <w:u w:val="none"/>
      <w:shd w:val="clear" w:color="auto" w:fill="auto"/>
    </w:rPr>
  </w:style>
  <w:style w:type="character" w:customStyle="1" w:styleId="CharStyle80">
    <w:name w:val="正文文本 (6)_"/>
    <w:basedOn w:val="DefaultParagraphFont"/>
    <w:link w:val="Style79"/>
    <w:rPr>
      <w:rFonts w:ascii="Arial" w:eastAsia="Arial" w:hAnsi="Arial" w:cs="Arial"/>
      <w:b/>
      <w:bCs/>
      <w:i w:val="0"/>
      <w:iCs w:val="0"/>
      <w:smallCaps w:val="0"/>
      <w:strike w:val="0"/>
      <w:color w:val="A2A2A2"/>
      <w:sz w:val="8"/>
      <w:szCs w:val="8"/>
      <w:u w:val="none"/>
      <w:shd w:val="clear" w:color="auto" w:fill="auto"/>
    </w:rPr>
  </w:style>
  <w:style w:type="character" w:customStyle="1" w:styleId="CharStyle84">
    <w:name w:val="正文文本 (7)_"/>
    <w:basedOn w:val="DefaultParagraphFont"/>
    <w:link w:val="Style83"/>
    <w:rPr>
      <w:rFonts w:ascii="Arial" w:eastAsia="Arial" w:hAnsi="Arial" w:cs="Arial"/>
      <w:b/>
      <w:bCs/>
      <w:i w:val="0"/>
      <w:iCs w:val="0"/>
      <w:smallCaps w:val="0"/>
      <w:strike w:val="0"/>
      <w:color w:val="A2A2A2"/>
      <w:sz w:val="20"/>
      <w:szCs w:val="20"/>
      <w:u w:val="none"/>
      <w:shd w:val="clear" w:color="auto" w:fill="auto"/>
    </w:rPr>
  </w:style>
  <w:style w:type="character" w:customStyle="1" w:styleId="CharStyle87">
    <w:name w:val="正文文本 (9)_"/>
    <w:basedOn w:val="DefaultParagraphFont"/>
    <w:link w:val="Style86"/>
    <w:rPr>
      <w:rFonts w:ascii="Arial" w:eastAsia="Arial" w:hAnsi="Arial" w:cs="Arial"/>
      <w:b/>
      <w:bCs/>
      <w:i w:val="0"/>
      <w:iCs w:val="0"/>
      <w:smallCaps w:val="0"/>
      <w:strike w:val="0"/>
      <w:color w:val="A2A2A2"/>
      <w:sz w:val="11"/>
      <w:szCs w:val="11"/>
      <w:u w:val="none"/>
      <w:shd w:val="clear" w:color="auto" w:fill="auto"/>
    </w:rPr>
  </w:style>
  <w:style w:type="character" w:customStyle="1" w:styleId="CharStyle91">
    <w:name w:val="正文文本 (10)_"/>
    <w:basedOn w:val="DefaultParagraphFont"/>
    <w:link w:val="Style90"/>
    <w:rPr>
      <w:rFonts w:ascii="Times New Roman" w:eastAsia="Times New Roman" w:hAnsi="Times New Roman" w:cs="Times New Roman"/>
      <w:b w:val="0"/>
      <w:bCs w:val="0"/>
      <w:i w:val="0"/>
      <w:iCs w:val="0"/>
      <w:smallCaps w:val="0"/>
      <w:strike w:val="0"/>
      <w:color w:val="4E4E4E"/>
      <w:sz w:val="30"/>
      <w:szCs w:val="30"/>
      <w:u w:val="none"/>
      <w:shd w:val="clear" w:color="auto" w:fill="auto"/>
    </w:rPr>
  </w:style>
  <w:style w:type="character" w:customStyle="1" w:styleId="CharStyle104">
    <w:name w:val="标题 #5_"/>
    <w:basedOn w:val="DefaultParagraphFont"/>
    <w:link w:val="Style103"/>
    <w:rPr>
      <w:rFonts w:ascii="SimSun" w:eastAsia="SimSun" w:hAnsi="SimSun" w:cs="SimSun"/>
      <w:b/>
      <w:bCs/>
      <w:i w:val="0"/>
      <w:iCs w:val="0"/>
      <w:smallCaps w:val="0"/>
      <w:strike w:val="0"/>
      <w:sz w:val="20"/>
      <w:szCs w:val="20"/>
      <w:u w:val="none"/>
      <w:shd w:val="clear" w:color="auto" w:fill="auto"/>
    </w:rPr>
  </w:style>
  <w:style w:type="paragraph" w:customStyle="1" w:styleId="Style2">
    <w:name w:val="其他"/>
    <w:basedOn w:val="Normal"/>
    <w:link w:val="CharStyle3"/>
    <w:pPr>
      <w:widowControl w:val="0"/>
      <w:shd w:val="clear" w:color="auto" w:fill="auto"/>
      <w:spacing w:line="480"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7">
    <w:name w:val="图片标题"/>
    <w:basedOn w:val="Normal"/>
    <w:link w:val="CharStyle8"/>
    <w:pPr>
      <w:widowControl w:val="0"/>
      <w:shd w:val="clear" w:color="auto" w:fill="auto"/>
      <w:jc w:val="center"/>
    </w:pPr>
    <w:rPr>
      <w:rFonts w:ascii="Times New Roman" w:eastAsia="Times New Roman" w:hAnsi="Times New Roman" w:cs="Times New Roman"/>
      <w:b/>
      <w:bCs/>
      <w:i w:val="0"/>
      <w:iCs w:val="0"/>
      <w:smallCaps w:val="0"/>
      <w:strike w:val="0"/>
      <w:sz w:val="32"/>
      <w:szCs w:val="32"/>
      <w:u w:val="none"/>
      <w:shd w:val="clear" w:color="auto" w:fill="auto"/>
    </w:rPr>
  </w:style>
  <w:style w:type="paragraph" w:customStyle="1" w:styleId="Style13">
    <w:name w:val="正文文本 (3)"/>
    <w:basedOn w:val="Normal"/>
    <w:link w:val="CharStyle14"/>
    <w:pPr>
      <w:widowControl w:val="0"/>
      <w:shd w:val="clear" w:color="auto" w:fill="auto"/>
      <w:spacing w:after="80" w:line="624" w:lineRule="exact"/>
      <w:ind w:firstLine="580"/>
    </w:pPr>
    <w:rPr>
      <w:rFonts w:ascii="SimSun" w:eastAsia="SimSun" w:hAnsi="SimSun" w:cs="SimSun"/>
      <w:b/>
      <w:bCs/>
      <w:i w:val="0"/>
      <w:iCs w:val="0"/>
      <w:smallCaps w:val="0"/>
      <w:strike w:val="0"/>
      <w:sz w:val="28"/>
      <w:szCs w:val="28"/>
      <w:u w:val="none"/>
      <w:shd w:val="clear" w:color="auto" w:fill="auto"/>
    </w:rPr>
  </w:style>
  <w:style w:type="paragraph" w:customStyle="1" w:styleId="Style15">
    <w:name w:val="标题 #1"/>
    <w:basedOn w:val="Normal"/>
    <w:link w:val="CharStyle16"/>
    <w:pPr>
      <w:widowControl w:val="0"/>
      <w:shd w:val="clear" w:color="auto" w:fill="auto"/>
      <w:spacing w:after="540"/>
      <w:jc w:val="center"/>
      <w:outlineLvl w:val="0"/>
    </w:pPr>
    <w:rPr>
      <w:rFonts w:ascii="SimSun" w:eastAsia="SimSun" w:hAnsi="SimSun" w:cs="SimSun"/>
      <w:b/>
      <w:bCs/>
      <w:i w:val="0"/>
      <w:iCs w:val="0"/>
      <w:smallCaps w:val="0"/>
      <w:strike w:val="0"/>
      <w:sz w:val="32"/>
      <w:szCs w:val="32"/>
      <w:u w:val="none"/>
      <w:shd w:val="clear" w:color="auto" w:fill="auto"/>
    </w:rPr>
  </w:style>
  <w:style w:type="paragraph" w:customStyle="1" w:styleId="Style17">
    <w:name w:val="页眉或页脚 (2)"/>
    <w:basedOn w:val="Normal"/>
    <w:link w:val="CharStyle18"/>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27">
    <w:name w:val="目录"/>
    <w:basedOn w:val="Normal"/>
    <w:link w:val="CharStyle28"/>
    <w:pPr>
      <w:widowControl w:val="0"/>
      <w:shd w:val="clear" w:color="auto" w:fill="auto"/>
      <w:spacing w:after="200"/>
    </w:pPr>
    <w:rPr>
      <w:rFonts w:ascii="SimSun" w:eastAsia="SimSun" w:hAnsi="SimSun" w:cs="SimSun"/>
      <w:b/>
      <w:bCs/>
      <w:i w:val="0"/>
      <w:iCs w:val="0"/>
      <w:smallCaps w:val="0"/>
      <w:strike w:val="0"/>
      <w:u w:val="none"/>
      <w:shd w:val="clear" w:color="auto" w:fill="auto"/>
    </w:rPr>
  </w:style>
  <w:style w:type="paragraph" w:customStyle="1" w:styleId="Style33">
    <w:name w:val="标题 #2"/>
    <w:basedOn w:val="Normal"/>
    <w:link w:val="CharStyle34"/>
    <w:pPr>
      <w:widowControl w:val="0"/>
      <w:shd w:val="clear" w:color="auto" w:fill="auto"/>
      <w:spacing w:after="330"/>
      <w:outlineLvl w:val="1"/>
    </w:pPr>
    <w:rPr>
      <w:rFonts w:ascii="SimSun" w:eastAsia="SimSun" w:hAnsi="SimSun" w:cs="SimSun"/>
      <w:b/>
      <w:bCs/>
      <w:i w:val="0"/>
      <w:iCs w:val="0"/>
      <w:smallCaps w:val="0"/>
      <w:strike w:val="0"/>
      <w:u w:val="none"/>
      <w:shd w:val="clear" w:color="auto" w:fill="auto"/>
    </w:rPr>
  </w:style>
  <w:style w:type="paragraph" w:customStyle="1" w:styleId="Style35">
    <w:name w:val="正文文本 (2)"/>
    <w:basedOn w:val="Normal"/>
    <w:link w:val="CharStyle36"/>
    <w:pPr>
      <w:widowControl w:val="0"/>
      <w:shd w:val="clear" w:color="auto" w:fill="auto"/>
      <w:spacing w:after="120"/>
    </w:pPr>
    <w:rPr>
      <w:rFonts w:ascii="SimSun" w:eastAsia="SimSun" w:hAnsi="SimSun" w:cs="SimSun"/>
      <w:b w:val="0"/>
      <w:bCs w:val="0"/>
      <w:i w:val="0"/>
      <w:iCs w:val="0"/>
      <w:smallCaps w:val="0"/>
      <w:strike w:val="0"/>
      <w:sz w:val="18"/>
      <w:szCs w:val="18"/>
      <w:u w:val="none"/>
      <w:shd w:val="clear" w:color="auto" w:fill="auto"/>
    </w:rPr>
  </w:style>
  <w:style w:type="paragraph" w:customStyle="1" w:styleId="Style41">
    <w:name w:val="表格标题"/>
    <w:basedOn w:val="Normal"/>
    <w:link w:val="CharStyle42"/>
    <w:pPr>
      <w:widowControl w:val="0"/>
      <w:shd w:val="clear" w:color="auto" w:fill="auto"/>
    </w:pPr>
    <w:rPr>
      <w:rFonts w:ascii="SimSun" w:eastAsia="SimSun" w:hAnsi="SimSun" w:cs="SimSun"/>
      <w:b/>
      <w:bCs/>
      <w:i w:val="0"/>
      <w:iCs w:val="0"/>
      <w:smallCaps w:val="0"/>
      <w:strike w:val="0"/>
      <w:sz w:val="20"/>
      <w:szCs w:val="20"/>
      <w:u w:val="none"/>
      <w:shd w:val="clear" w:color="auto" w:fill="auto"/>
    </w:rPr>
  </w:style>
  <w:style w:type="paragraph" w:customStyle="1" w:styleId="Style44">
    <w:name w:val="标题 #3"/>
    <w:basedOn w:val="Normal"/>
    <w:link w:val="CharStyle45"/>
    <w:pPr>
      <w:widowControl w:val="0"/>
      <w:shd w:val="clear" w:color="auto" w:fill="auto"/>
      <w:spacing w:after="340"/>
      <w:outlineLvl w:val="2"/>
    </w:pPr>
    <w:rPr>
      <w:rFonts w:ascii="SimSun" w:eastAsia="SimSun" w:hAnsi="SimSun" w:cs="SimSun"/>
      <w:b/>
      <w:bCs/>
      <w:i w:val="0"/>
      <w:iCs w:val="0"/>
      <w:smallCaps w:val="0"/>
      <w:strike w:val="0"/>
      <w:sz w:val="20"/>
      <w:szCs w:val="20"/>
      <w:u w:val="none"/>
      <w:shd w:val="clear" w:color="auto" w:fill="auto"/>
    </w:rPr>
  </w:style>
  <w:style w:type="paragraph" w:customStyle="1" w:styleId="Style47">
    <w:name w:val="正文文本"/>
    <w:basedOn w:val="Normal"/>
    <w:link w:val="CharStyle48"/>
    <w:pPr>
      <w:widowControl w:val="0"/>
      <w:shd w:val="clear" w:color="auto" w:fill="auto"/>
      <w:spacing w:line="480"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60">
    <w:name w:val="标题 #4"/>
    <w:basedOn w:val="Normal"/>
    <w:link w:val="CharStyle61"/>
    <w:pPr>
      <w:widowControl w:val="0"/>
      <w:shd w:val="clear" w:color="auto" w:fill="auto"/>
      <w:spacing w:after="360"/>
      <w:outlineLvl w:val="3"/>
    </w:pPr>
    <w:rPr>
      <w:rFonts w:ascii="SimSun" w:eastAsia="SimSun" w:hAnsi="SimSun" w:cs="SimSun"/>
      <w:b/>
      <w:bCs/>
      <w:i w:val="0"/>
      <w:iCs w:val="0"/>
      <w:smallCaps w:val="0"/>
      <w:strike w:val="0"/>
      <w:sz w:val="20"/>
      <w:szCs w:val="20"/>
      <w:u w:val="none"/>
      <w:shd w:val="clear" w:color="auto" w:fill="auto"/>
    </w:rPr>
  </w:style>
  <w:style w:type="paragraph" w:customStyle="1" w:styleId="Style64">
    <w:name w:val="页眉或页脚"/>
    <w:basedOn w:val="Normal"/>
    <w:link w:val="CharStyle65"/>
    <w:pPr>
      <w:widowControl w:val="0"/>
      <w:shd w:val="clear" w:color="auto" w:fill="auto"/>
    </w:pPr>
    <w:rPr>
      <w:rFonts w:ascii="SimSun" w:eastAsia="SimSun" w:hAnsi="SimSun" w:cs="SimSun"/>
      <w:b w:val="0"/>
      <w:bCs w:val="0"/>
      <w:i w:val="0"/>
      <w:iCs w:val="0"/>
      <w:smallCaps w:val="0"/>
      <w:strike w:val="0"/>
      <w:sz w:val="18"/>
      <w:szCs w:val="18"/>
      <w:u w:val="none"/>
      <w:shd w:val="clear" w:color="auto" w:fill="auto"/>
    </w:rPr>
  </w:style>
  <w:style w:type="paragraph" w:customStyle="1" w:styleId="Style77">
    <w:name w:val="正文文本 (8)"/>
    <w:basedOn w:val="Normal"/>
    <w:link w:val="CharStyle78"/>
    <w:pPr>
      <w:widowControl w:val="0"/>
      <w:shd w:val="clear" w:color="auto" w:fill="auto"/>
      <w:ind w:left="10440"/>
    </w:pPr>
    <w:rPr>
      <w:rFonts w:ascii="Arial" w:eastAsia="Arial" w:hAnsi="Arial" w:cs="Arial"/>
      <w:b/>
      <w:bCs/>
      <w:i w:val="0"/>
      <w:iCs w:val="0"/>
      <w:smallCaps w:val="0"/>
      <w:strike w:val="0"/>
      <w:color w:val="A2A2A2"/>
      <w:sz w:val="15"/>
      <w:szCs w:val="15"/>
      <w:u w:val="none"/>
      <w:shd w:val="clear" w:color="auto" w:fill="auto"/>
    </w:rPr>
  </w:style>
  <w:style w:type="paragraph" w:customStyle="1" w:styleId="Style79">
    <w:name w:val="正文文本 (6)"/>
    <w:basedOn w:val="Normal"/>
    <w:link w:val="CharStyle80"/>
    <w:pPr>
      <w:widowControl w:val="0"/>
      <w:shd w:val="clear" w:color="auto" w:fill="auto"/>
      <w:spacing w:line="233" w:lineRule="auto"/>
      <w:ind w:left="10470"/>
    </w:pPr>
    <w:rPr>
      <w:rFonts w:ascii="Arial" w:eastAsia="Arial" w:hAnsi="Arial" w:cs="Arial"/>
      <w:b/>
      <w:bCs/>
      <w:i w:val="0"/>
      <w:iCs w:val="0"/>
      <w:smallCaps w:val="0"/>
      <w:strike w:val="0"/>
      <w:color w:val="A2A2A2"/>
      <w:sz w:val="8"/>
      <w:szCs w:val="8"/>
      <w:u w:val="none"/>
      <w:shd w:val="clear" w:color="auto" w:fill="auto"/>
    </w:rPr>
  </w:style>
  <w:style w:type="paragraph" w:customStyle="1" w:styleId="Style83">
    <w:name w:val="正文文本 (7)"/>
    <w:basedOn w:val="Normal"/>
    <w:link w:val="CharStyle84"/>
    <w:pPr>
      <w:widowControl w:val="0"/>
      <w:shd w:val="clear" w:color="auto" w:fill="auto"/>
      <w:spacing w:after="150"/>
      <w:jc w:val="right"/>
    </w:pPr>
    <w:rPr>
      <w:rFonts w:ascii="Arial" w:eastAsia="Arial" w:hAnsi="Arial" w:cs="Arial"/>
      <w:b/>
      <w:bCs/>
      <w:i w:val="0"/>
      <w:iCs w:val="0"/>
      <w:smallCaps w:val="0"/>
      <w:strike w:val="0"/>
      <w:color w:val="A2A2A2"/>
      <w:sz w:val="20"/>
      <w:szCs w:val="20"/>
      <w:u w:val="none"/>
      <w:shd w:val="clear" w:color="auto" w:fill="auto"/>
    </w:rPr>
  </w:style>
  <w:style w:type="paragraph" w:customStyle="1" w:styleId="Style86">
    <w:name w:val="正文文本 (9)"/>
    <w:basedOn w:val="Normal"/>
    <w:link w:val="CharStyle87"/>
    <w:pPr>
      <w:widowControl w:val="0"/>
      <w:shd w:val="clear" w:color="auto" w:fill="auto"/>
      <w:spacing w:line="233" w:lineRule="auto"/>
      <w:jc w:val="right"/>
    </w:pPr>
    <w:rPr>
      <w:rFonts w:ascii="Arial" w:eastAsia="Arial" w:hAnsi="Arial" w:cs="Arial"/>
      <w:b/>
      <w:bCs/>
      <w:i w:val="0"/>
      <w:iCs w:val="0"/>
      <w:smallCaps w:val="0"/>
      <w:strike w:val="0"/>
      <w:color w:val="A2A2A2"/>
      <w:sz w:val="11"/>
      <w:szCs w:val="11"/>
      <w:u w:val="none"/>
      <w:shd w:val="clear" w:color="auto" w:fill="auto"/>
    </w:rPr>
  </w:style>
  <w:style w:type="paragraph" w:customStyle="1" w:styleId="Style90">
    <w:name w:val="正文文本 (10)"/>
    <w:basedOn w:val="Normal"/>
    <w:link w:val="CharStyle91"/>
    <w:pPr>
      <w:widowControl w:val="0"/>
      <w:shd w:val="clear" w:color="auto" w:fill="auto"/>
      <w:spacing w:after="340"/>
      <w:jc w:val="center"/>
    </w:pPr>
    <w:rPr>
      <w:rFonts w:ascii="Times New Roman" w:eastAsia="Times New Roman" w:hAnsi="Times New Roman" w:cs="Times New Roman"/>
      <w:b w:val="0"/>
      <w:bCs w:val="0"/>
      <w:i w:val="0"/>
      <w:iCs w:val="0"/>
      <w:smallCaps w:val="0"/>
      <w:strike w:val="0"/>
      <w:color w:val="4E4E4E"/>
      <w:sz w:val="30"/>
      <w:szCs w:val="30"/>
      <w:u w:val="none"/>
      <w:shd w:val="clear" w:color="auto" w:fill="auto"/>
    </w:rPr>
  </w:style>
  <w:style w:type="paragraph" w:customStyle="1" w:styleId="Style103">
    <w:name w:val="标题 #5"/>
    <w:basedOn w:val="Normal"/>
    <w:link w:val="CharStyle104"/>
    <w:pPr>
      <w:widowControl w:val="0"/>
      <w:shd w:val="clear" w:color="auto" w:fill="auto"/>
      <w:spacing w:after="360"/>
      <w:outlineLvl w:val="4"/>
    </w:pPr>
    <w:rPr>
      <w:rFonts w:ascii="SimSun" w:eastAsia="SimSun" w:hAnsi="SimSun" w:cs="SimSun"/>
      <w:b/>
      <w:bCs/>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1.png" TargetMode="Externa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image" Target="media/image2.jpeg"/><Relationship Id="rId18" Type="http://schemas.openxmlformats.org/officeDocument/2006/relationships/image" Target="media/image2.jpeg" TargetMode="Externa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footer" Target="foot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header" Target="header11.xml"/><Relationship Id="rId30" Type="http://schemas.openxmlformats.org/officeDocument/2006/relationships/footer" Target="footer11.xml"/><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image" Target="media/image3.jpeg"/><Relationship Id="rId34" Type="http://schemas.openxmlformats.org/officeDocument/2006/relationships/image" Target="media/image3.jpeg" TargetMode="External"/><Relationship Id="rId35" Type="http://schemas.openxmlformats.org/officeDocument/2006/relationships/image" Target="media/image4.jpeg"/><Relationship Id="rId36" Type="http://schemas.openxmlformats.org/officeDocument/2006/relationships/image" Target="media/image4.jpeg" TargetMode="External"/><Relationship Id="rId37" Type="http://schemas.openxmlformats.org/officeDocument/2006/relationships/header" Target="header13.xml"/><Relationship Id="rId38" Type="http://schemas.openxmlformats.org/officeDocument/2006/relationships/footer" Target="footer13.xml"/><Relationship Id="rId39" Type="http://schemas.openxmlformats.org/officeDocument/2006/relationships/header" Target="header14.xml"/><Relationship Id="rId40" Type="http://schemas.openxmlformats.org/officeDocument/2006/relationships/footer" Target="footer14.xml"/><Relationship Id="rId41" Type="http://schemas.openxmlformats.org/officeDocument/2006/relationships/header" Target="header15.xml"/><Relationship Id="rId42" Type="http://schemas.openxmlformats.org/officeDocument/2006/relationships/footer" Target="footer15.xml"/><Relationship Id="rId43" Type="http://schemas.openxmlformats.org/officeDocument/2006/relationships/header" Target="header16.xml"/><Relationship Id="rId44" Type="http://schemas.openxmlformats.org/officeDocument/2006/relationships/footer" Target="footer16.xml"/><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footer" Target="footer18.xml"/><Relationship Id="rId49" Type="http://schemas.openxmlformats.org/officeDocument/2006/relationships/header" Target="header19.xml"/><Relationship Id="rId50" Type="http://schemas.openxmlformats.org/officeDocument/2006/relationships/footer" Target="footer19.xml"/><Relationship Id="rId51" Type="http://schemas.openxmlformats.org/officeDocument/2006/relationships/header" Target="header20.xml"/><Relationship Id="rId52" Type="http://schemas.openxmlformats.org/officeDocument/2006/relationships/footer" Target="footer20.xml"/><Relationship Id="rId53" Type="http://schemas.openxmlformats.org/officeDocument/2006/relationships/header" Target="header21.xml"/><Relationship Id="rId54" Type="http://schemas.openxmlformats.org/officeDocument/2006/relationships/footer" Target="footer21.xml"/><Relationship Id="rId55" Type="http://schemas.openxmlformats.org/officeDocument/2006/relationships/header" Target="header22.xml"/><Relationship Id="rId56" Type="http://schemas.openxmlformats.org/officeDocument/2006/relationships/footer" Target="footer22.xml"/><Relationship Id="rId57" Type="http://schemas.openxmlformats.org/officeDocument/2006/relationships/header" Target="header23.xml"/><Relationship Id="rId58" Type="http://schemas.openxmlformats.org/officeDocument/2006/relationships/footer" Target="footer23.xml"/><Relationship Id="rId59" Type="http://schemas.openxmlformats.org/officeDocument/2006/relationships/header" Target="header24.xml"/><Relationship Id="rId60" Type="http://schemas.openxmlformats.org/officeDocument/2006/relationships/footer" Target="footer24.xml"/><Relationship Id="rId61" Type="http://schemas.openxmlformats.org/officeDocument/2006/relationships/header" Target="header25.xml"/><Relationship Id="rId62" Type="http://schemas.openxmlformats.org/officeDocument/2006/relationships/footer" Target="footer25.xml"/><Relationship Id="rId63" Type="http://schemas.openxmlformats.org/officeDocument/2006/relationships/header" Target="header26.xml"/><Relationship Id="rId64" Type="http://schemas.openxmlformats.org/officeDocument/2006/relationships/footer" Target="footer26.xml"/><Relationship Id="rId65" Type="http://schemas.openxmlformats.org/officeDocument/2006/relationships/header" Target="header27.xml"/><Relationship Id="rId66" Type="http://schemas.openxmlformats.org/officeDocument/2006/relationships/footer" Target="footer27.xml"/><Relationship Id="rId67" Type="http://schemas.openxmlformats.org/officeDocument/2006/relationships/header" Target="header28.xml"/><Relationship Id="rId68" Type="http://schemas.openxmlformats.org/officeDocument/2006/relationships/footer" Target="footer28.xml"/><Relationship Id="rId69" Type="http://schemas.openxmlformats.org/officeDocument/2006/relationships/header" Target="header29.xml"/><Relationship Id="rId70" Type="http://schemas.openxmlformats.org/officeDocument/2006/relationships/footer" Target="footer29.xml"/><Relationship Id="rId71" Type="http://schemas.openxmlformats.org/officeDocument/2006/relationships/header" Target="header30.xml"/><Relationship Id="rId72" Type="http://schemas.openxmlformats.org/officeDocument/2006/relationships/footer" Target="footer30.xml"/><Relationship Id="rId73" Type="http://schemas.openxmlformats.org/officeDocument/2006/relationships/header" Target="header31.xml"/><Relationship Id="rId74" Type="http://schemas.openxmlformats.org/officeDocument/2006/relationships/footer" Target="footer31.xml"/><Relationship Id="rId75" Type="http://schemas.openxmlformats.org/officeDocument/2006/relationships/header" Target="header32.xml"/><Relationship Id="rId76" Type="http://schemas.openxmlformats.org/officeDocument/2006/relationships/footer" Target="footer32.xml"/><Relationship Id="rId77" Type="http://schemas.openxmlformats.org/officeDocument/2006/relationships/header" Target="header33.xml"/><Relationship Id="rId78" Type="http://schemas.openxmlformats.org/officeDocument/2006/relationships/footer" Target="footer33.xml"/><Relationship Id="rId79" Type="http://schemas.openxmlformats.org/officeDocument/2006/relationships/header" Target="header34.xml"/><Relationship Id="rId80" Type="http://schemas.openxmlformats.org/officeDocument/2006/relationships/footer" Target="footer34.xml"/><Relationship Id="rId81" Type="http://schemas.openxmlformats.org/officeDocument/2006/relationships/header" Target="header35.xml"/><Relationship Id="rId82" Type="http://schemas.openxmlformats.org/officeDocument/2006/relationships/footer" Target="footer35.xml"/><Relationship Id="rId83" Type="http://schemas.openxmlformats.org/officeDocument/2006/relationships/header" Target="header36.xml"/><Relationship Id="rId84" Type="http://schemas.openxmlformats.org/officeDocument/2006/relationships/footer" Target="footer36.xml"/><Relationship Id="rId85" Type="http://schemas.openxmlformats.org/officeDocument/2006/relationships/header" Target="header37.xml"/><Relationship Id="rId86" Type="http://schemas.openxmlformats.org/officeDocument/2006/relationships/footer" Target="footer37.xml"/><Relationship Id="rId87" Type="http://schemas.openxmlformats.org/officeDocument/2006/relationships/header" Target="header38.xml"/><Relationship Id="rId88" Type="http://schemas.openxmlformats.org/officeDocument/2006/relationships/footer" Target="footer38.xml"/><Relationship Id="rId89" Type="http://schemas.openxmlformats.org/officeDocument/2006/relationships/header" Target="header39.xml"/><Relationship Id="rId90" Type="http://schemas.openxmlformats.org/officeDocument/2006/relationships/footer" Target="footer39.xml"/><Relationship Id="rId91" Type="http://schemas.openxmlformats.org/officeDocument/2006/relationships/header" Target="header40.xml"/><Relationship Id="rId92" Type="http://schemas.openxmlformats.org/officeDocument/2006/relationships/footer" Target="footer40.xml"/><Relationship Id="rId93" Type="http://schemas.openxmlformats.org/officeDocument/2006/relationships/header" Target="header41.xml"/><Relationship Id="rId94" Type="http://schemas.openxmlformats.org/officeDocument/2006/relationships/footer" Target="footer41.xml"/><Relationship Id="rId95" Type="http://schemas.openxmlformats.org/officeDocument/2006/relationships/header" Target="header42.xml"/><Relationship Id="rId96" Type="http://schemas.openxmlformats.org/officeDocument/2006/relationships/footer" Target="footer42.xml"/><Relationship Id="rId97" Type="http://schemas.openxmlformats.org/officeDocument/2006/relationships/header" Target="header43.xml"/><Relationship Id="rId98" Type="http://schemas.openxmlformats.org/officeDocument/2006/relationships/footer" Target="footer43.xml"/><Relationship Id="rId99" Type="http://schemas.openxmlformats.org/officeDocument/2006/relationships/header" Target="header44.xml"/><Relationship Id="rId100" Type="http://schemas.openxmlformats.org/officeDocument/2006/relationships/footer" Target="footer44.xml"/><Relationship Id="rId101" Type="http://schemas.openxmlformats.org/officeDocument/2006/relationships/header" Target="header45.xml"/><Relationship Id="rId102" Type="http://schemas.openxmlformats.org/officeDocument/2006/relationships/footer" Target="footer45.xml"/><Relationship Id="rId103" Type="http://schemas.openxmlformats.org/officeDocument/2006/relationships/header" Target="header46.xml"/><Relationship Id="rId104" Type="http://schemas.openxmlformats.org/officeDocument/2006/relationships/footer" Target="footer46.xml"/><Relationship Id="rId105" Type="http://schemas.openxmlformats.org/officeDocument/2006/relationships/header" Target="header47.xml"/><Relationship Id="rId106" Type="http://schemas.openxmlformats.org/officeDocument/2006/relationships/footer" Target="footer47.xml"/><Relationship Id="rId107" Type="http://schemas.openxmlformats.org/officeDocument/2006/relationships/header" Target="header48.xml"/><Relationship Id="rId108" Type="http://schemas.openxmlformats.org/officeDocument/2006/relationships/footer" Target="footer48.xml"/><Relationship Id="rId109" Type="http://schemas.openxmlformats.org/officeDocument/2006/relationships/header" Target="header49.xml"/><Relationship Id="rId110" Type="http://schemas.openxmlformats.org/officeDocument/2006/relationships/footer" Target="footer49.xml"/><Relationship Id="rId111" Type="http://schemas.openxmlformats.org/officeDocument/2006/relationships/header" Target="header50.xml"/><Relationship Id="rId112" Type="http://schemas.openxmlformats.org/officeDocument/2006/relationships/footer" Target="footer50.xml"/><Relationship Id="rId113" Type="http://schemas.openxmlformats.org/officeDocument/2006/relationships/header" Target="header51.xml"/><Relationship Id="rId114" Type="http://schemas.openxmlformats.org/officeDocument/2006/relationships/footer" Target="footer51.xml"/><Relationship Id="rId115" Type="http://schemas.openxmlformats.org/officeDocument/2006/relationships/header" Target="header52.xml"/><Relationship Id="rId116" Type="http://schemas.openxmlformats.org/officeDocument/2006/relationships/footer" Target="footer52.xml"/><Relationship Id="rId117" Type="http://schemas.openxmlformats.org/officeDocument/2006/relationships/header" Target="header53.xml"/><Relationship Id="rId118" Type="http://schemas.openxmlformats.org/officeDocument/2006/relationships/footer" Target="footer53.xml"/><Relationship Id="rId119" Type="http://schemas.openxmlformats.org/officeDocument/2006/relationships/header" Target="header54.xml"/><Relationship Id="rId120" Type="http://schemas.openxmlformats.org/officeDocument/2006/relationships/footer" Target="footer54.xml"/><Relationship Id="rId121" Type="http://schemas.openxmlformats.org/officeDocument/2006/relationships/header" Target="header55.xml"/><Relationship Id="rId122" Type="http://schemas.openxmlformats.org/officeDocument/2006/relationships/footer" Target="footer55.xml"/><Relationship Id="rId123" Type="http://schemas.openxmlformats.org/officeDocument/2006/relationships/header" Target="header56.xml"/><Relationship Id="rId124" Type="http://schemas.openxmlformats.org/officeDocument/2006/relationships/footer" Target="footer56.xml"/><Relationship Id="rId125" Type="http://schemas.openxmlformats.org/officeDocument/2006/relationships/header" Target="header57.xml"/><Relationship Id="rId126" Type="http://schemas.openxmlformats.org/officeDocument/2006/relationships/footer" Target="footer57.xml"/><Relationship Id="rId127" Type="http://schemas.openxmlformats.org/officeDocument/2006/relationships/header" Target="header58.xml"/><Relationship Id="rId128" Type="http://schemas.openxmlformats.org/officeDocument/2006/relationships/footer" Target="footer58.xml"/><Relationship Id="rId129" Type="http://schemas.openxmlformats.org/officeDocument/2006/relationships/header" Target="header59.xml"/><Relationship Id="rId130" Type="http://schemas.openxmlformats.org/officeDocument/2006/relationships/footer" Target="footer59.xml"/><Relationship Id="rId131" Type="http://schemas.openxmlformats.org/officeDocument/2006/relationships/header" Target="header60.xml"/><Relationship Id="rId132" Type="http://schemas.openxmlformats.org/officeDocument/2006/relationships/footer" Target="footer60.xml"/><Relationship Id="rId133" Type="http://schemas.openxmlformats.org/officeDocument/2006/relationships/header" Target="header61.xml"/><Relationship Id="rId134" Type="http://schemas.openxmlformats.org/officeDocument/2006/relationships/footer" Target="footer61.xml"/><Relationship Id="rId135" Type="http://schemas.openxmlformats.org/officeDocument/2006/relationships/header" Target="header62.xml"/><Relationship Id="rId136" Type="http://schemas.openxmlformats.org/officeDocument/2006/relationships/footer" Target="footer62.xml"/><Relationship Id="rId137" Type="http://schemas.openxmlformats.org/officeDocument/2006/relationships/header" Target="header63.xml"/><Relationship Id="rId138" Type="http://schemas.openxmlformats.org/officeDocument/2006/relationships/footer" Target="footer63.xml"/><Relationship Id="rId139" Type="http://schemas.openxmlformats.org/officeDocument/2006/relationships/header" Target="header64.xml"/><Relationship Id="rId140" Type="http://schemas.openxmlformats.org/officeDocument/2006/relationships/footer" Target="footer64.xml"/><Relationship Id="rId141" Type="http://schemas.openxmlformats.org/officeDocument/2006/relationships/header" Target="header65.xml"/><Relationship Id="rId142" Type="http://schemas.openxmlformats.org/officeDocument/2006/relationships/footer" Target="footer65.xml"/><Relationship Id="rId143" Type="http://schemas.openxmlformats.org/officeDocument/2006/relationships/header" Target="header66.xml"/><Relationship Id="rId144" Type="http://schemas.openxmlformats.org/officeDocument/2006/relationships/footer" Target="footer66.xml"/><Relationship Id="rId145" Type="http://schemas.openxmlformats.org/officeDocument/2006/relationships/header" Target="header67.xml"/><Relationship Id="rId146" Type="http://schemas.openxmlformats.org/officeDocument/2006/relationships/footer" Target="footer67.xml"/><Relationship Id="rId147" Type="http://schemas.openxmlformats.org/officeDocument/2006/relationships/header" Target="header68.xml"/><Relationship Id="rId148" Type="http://schemas.openxmlformats.org/officeDocument/2006/relationships/footer" Target="footer68.xml"/><Relationship Id="rId149" Type="http://schemas.openxmlformats.org/officeDocument/2006/relationships/header" Target="header69.xml"/><Relationship Id="rId150" Type="http://schemas.openxmlformats.org/officeDocument/2006/relationships/footer" Target="footer69.xml"/><Relationship Id="rId151" Type="http://schemas.openxmlformats.org/officeDocument/2006/relationships/header" Target="header70.xml"/><Relationship Id="rId152" Type="http://schemas.openxmlformats.org/officeDocument/2006/relationships/footer" Target="footer70.xml"/><Relationship Id="rId153" Type="http://schemas.openxmlformats.org/officeDocument/2006/relationships/header" Target="header71.xml"/><Relationship Id="rId154" Type="http://schemas.openxmlformats.org/officeDocument/2006/relationships/footer" Target="footer71.xml"/><Relationship Id="rId155" Type="http://schemas.openxmlformats.org/officeDocument/2006/relationships/header" Target="header72.xml"/><Relationship Id="rId156" Type="http://schemas.openxmlformats.org/officeDocument/2006/relationships/footer" Target="footer72.xml"/><Relationship Id="rId157" Type="http://schemas.openxmlformats.org/officeDocument/2006/relationships/image" Target="media/image5.jpeg"/><Relationship Id="rId158" Type="http://schemas.openxmlformats.org/officeDocument/2006/relationships/image" Target="media/image5.jpeg" TargetMode="External"/><Relationship Id="rId159" Type="http://schemas.openxmlformats.org/officeDocument/2006/relationships/header" Target="header73.xml"/><Relationship Id="rId160" Type="http://schemas.openxmlformats.org/officeDocument/2006/relationships/footer" Target="footer73.xml"/><Relationship Id="rId161" Type="http://schemas.openxmlformats.org/officeDocument/2006/relationships/header" Target="header74.xml"/><Relationship Id="rId162" Type="http://schemas.openxmlformats.org/officeDocument/2006/relationships/footer" Target="footer74.xml"/><Relationship Id="rId163" Type="http://schemas.openxmlformats.org/officeDocument/2006/relationships/header" Target="header75.xml"/><Relationship Id="rId164" Type="http://schemas.openxmlformats.org/officeDocument/2006/relationships/footer" Target="footer75.xml"/><Relationship Id="rId165" Type="http://schemas.openxmlformats.org/officeDocument/2006/relationships/header" Target="header76.xml"/><Relationship Id="rId166" Type="http://schemas.openxmlformats.org/officeDocument/2006/relationships/footer" Target="footer76.xml"/><Relationship Id="rId167" Type="http://schemas.openxmlformats.org/officeDocument/2006/relationships/header" Target="header77.xml"/><Relationship Id="rId168" Type="http://schemas.openxmlformats.org/officeDocument/2006/relationships/footer" Target="footer77.xml"/><Relationship Id="rId169" Type="http://schemas.openxmlformats.org/officeDocument/2006/relationships/header" Target="header78.xml"/><Relationship Id="rId170" Type="http://schemas.openxmlformats.org/officeDocument/2006/relationships/footer" Target="footer78.xml"/><Relationship Id="rId171" Type="http://schemas.openxmlformats.org/officeDocument/2006/relationships/header" Target="header79.xml"/><Relationship Id="rId172" Type="http://schemas.openxmlformats.org/officeDocument/2006/relationships/footer" Target="footer79.xml"/><Relationship Id="rId173" Type="http://schemas.openxmlformats.org/officeDocument/2006/relationships/header" Target="header80.xml"/><Relationship Id="rId174" Type="http://schemas.openxmlformats.org/officeDocument/2006/relationships/footer" Target="footer80.xml"/><Relationship Id="rId175" Type="http://schemas.openxmlformats.org/officeDocument/2006/relationships/header" Target="header81.xml"/><Relationship Id="rId176" Type="http://schemas.openxmlformats.org/officeDocument/2006/relationships/footer" Target="footer81.xml"/><Relationship Id="rId177" Type="http://schemas.openxmlformats.org/officeDocument/2006/relationships/header" Target="header82.xml"/><Relationship Id="rId178" Type="http://schemas.openxmlformats.org/officeDocument/2006/relationships/footer" Target="footer82.xml"/><Relationship Id="rId179" Type="http://schemas.openxmlformats.org/officeDocument/2006/relationships/header" Target="header83.xml"/><Relationship Id="rId180" Type="http://schemas.openxmlformats.org/officeDocument/2006/relationships/footer" Target="footer83.xml"/><Relationship Id="rId181" Type="http://schemas.openxmlformats.org/officeDocument/2006/relationships/header" Target="header84.xml"/><Relationship Id="rId182" Type="http://schemas.openxmlformats.org/officeDocument/2006/relationships/footer" Target="footer84.xml"/><Relationship Id="rId183" Type="http://schemas.openxmlformats.org/officeDocument/2006/relationships/header" Target="header85.xml"/><Relationship Id="rId184" Type="http://schemas.openxmlformats.org/officeDocument/2006/relationships/footer" Target="footer85.xml"/><Relationship Id="rId185" Type="http://schemas.openxmlformats.org/officeDocument/2006/relationships/header" Target="header86.xml"/><Relationship Id="rId186" Type="http://schemas.openxmlformats.org/officeDocument/2006/relationships/footer" Target="footer86.xml"/><Relationship Id="rId187" Type="http://schemas.openxmlformats.org/officeDocument/2006/relationships/header" Target="header87.xml"/><Relationship Id="rId188" Type="http://schemas.openxmlformats.org/officeDocument/2006/relationships/footer" Target="footer87.xml"/><Relationship Id="rId189" Type="http://schemas.openxmlformats.org/officeDocument/2006/relationships/header" Target="header88.xml"/><Relationship Id="rId190" Type="http://schemas.openxmlformats.org/officeDocument/2006/relationships/footer" Target="footer88.xml"/><Relationship Id="rId191" Type="http://schemas.openxmlformats.org/officeDocument/2006/relationships/header" Target="header89.xml"/><Relationship Id="rId192" Type="http://schemas.openxmlformats.org/officeDocument/2006/relationships/footer" Target="footer89.xml"/><Relationship Id="rId193" Type="http://schemas.openxmlformats.org/officeDocument/2006/relationships/header" Target="header90.xml"/><Relationship Id="rId194" Type="http://schemas.openxmlformats.org/officeDocument/2006/relationships/footer" Target="footer90.xml"/><Relationship Id="rId195" Type="http://schemas.openxmlformats.org/officeDocument/2006/relationships/header" Target="header91.xml"/><Relationship Id="rId196" Type="http://schemas.openxmlformats.org/officeDocument/2006/relationships/footer" Target="footer91.xml"/><Relationship Id="rId197" Type="http://schemas.openxmlformats.org/officeDocument/2006/relationships/header" Target="header92.xml"/><Relationship Id="rId198" Type="http://schemas.openxmlformats.org/officeDocument/2006/relationships/footer" Target="footer92.xml"/><Relationship Id="rId199" Type="http://schemas.openxmlformats.org/officeDocument/2006/relationships/header" Target="header93.xml"/><Relationship Id="rId200" Type="http://schemas.openxmlformats.org/officeDocument/2006/relationships/footer" Target="footer93.xml"/><Relationship Id="rId201" Type="http://schemas.openxmlformats.org/officeDocument/2006/relationships/header" Target="header94.xml"/><Relationship Id="rId202" Type="http://schemas.openxmlformats.org/officeDocument/2006/relationships/footer" Target="footer94.xml"/><Relationship Id="rId203" Type="http://schemas.openxmlformats.org/officeDocument/2006/relationships/header" Target="header95.xml"/><Relationship Id="rId204" Type="http://schemas.openxmlformats.org/officeDocument/2006/relationships/footer" Target="footer95.xml"/><Relationship Id="rId205" Type="http://schemas.openxmlformats.org/officeDocument/2006/relationships/header" Target="header96.xml"/><Relationship Id="rId206" Type="http://schemas.openxmlformats.org/officeDocument/2006/relationships/footer" Target="footer96.xml"/><Relationship Id="rId207" Type="http://schemas.openxmlformats.org/officeDocument/2006/relationships/header" Target="header97.xml"/><Relationship Id="rId208" Type="http://schemas.openxmlformats.org/officeDocument/2006/relationships/footer" Target="footer97.xml"/><Relationship Id="rId209" Type="http://schemas.openxmlformats.org/officeDocument/2006/relationships/header" Target="header98.xml"/><Relationship Id="rId210" Type="http://schemas.openxmlformats.org/officeDocument/2006/relationships/footer" Target="footer98.xml"/><Relationship Id="rId211" Type="http://schemas.openxmlformats.org/officeDocument/2006/relationships/header" Target="header99.xml"/><Relationship Id="rId212" Type="http://schemas.openxmlformats.org/officeDocument/2006/relationships/footer" Target="footer99.xml"/><Relationship Id="rId213" Type="http://schemas.openxmlformats.org/officeDocument/2006/relationships/header" Target="header100.xml"/><Relationship Id="rId214" Type="http://schemas.openxmlformats.org/officeDocument/2006/relationships/footer" Target="footer100.xml"/><Relationship Id="rId215" Type="http://schemas.openxmlformats.org/officeDocument/2006/relationships/header" Target="header101.xml"/><Relationship Id="rId216" Type="http://schemas.openxmlformats.org/officeDocument/2006/relationships/footer" Target="footer101.xml"/><Relationship Id="rId217" Type="http://schemas.openxmlformats.org/officeDocument/2006/relationships/header" Target="header102.xml"/><Relationship Id="rId218" Type="http://schemas.openxmlformats.org/officeDocument/2006/relationships/footer" Target="footer102.xml"/><Relationship Id="rId219" Type="http://schemas.openxmlformats.org/officeDocument/2006/relationships/header" Target="header103.xml"/><Relationship Id="rId220" Type="http://schemas.openxmlformats.org/officeDocument/2006/relationships/footer" Target="footer103.xml"/><Relationship Id="rId221" Type="http://schemas.openxmlformats.org/officeDocument/2006/relationships/header" Target="header104.xml"/><Relationship Id="rId222" Type="http://schemas.openxmlformats.org/officeDocument/2006/relationships/footer" Target="footer104.xml"/><Relationship Id="rId223" Type="http://schemas.openxmlformats.org/officeDocument/2006/relationships/header" Target="header105.xml"/><Relationship Id="rId224" Type="http://schemas.openxmlformats.org/officeDocument/2006/relationships/footer" Target="footer105.xml"/><Relationship Id="rId225" Type="http://schemas.openxmlformats.org/officeDocument/2006/relationships/header" Target="header106.xml"/><Relationship Id="rId226" Type="http://schemas.openxmlformats.org/officeDocument/2006/relationships/footer" Target="footer106.xml"/><Relationship Id="rId227" Type="http://schemas.openxmlformats.org/officeDocument/2006/relationships/header" Target="header107.xml"/><Relationship Id="rId228" Type="http://schemas.openxmlformats.org/officeDocument/2006/relationships/footer" Target="footer107.xml"/><Relationship Id="rId229" Type="http://schemas.openxmlformats.org/officeDocument/2006/relationships/header" Target="header108.xml"/><Relationship Id="rId230" Type="http://schemas.openxmlformats.org/officeDocument/2006/relationships/footer" Target="footer108.xml"/><Relationship Id="rId231" Type="http://schemas.openxmlformats.org/officeDocument/2006/relationships/header" Target="header109.xml"/><Relationship Id="rId232" Type="http://schemas.openxmlformats.org/officeDocument/2006/relationships/footer" Target="footer109.xml"/><Relationship Id="rId233" Type="http://schemas.openxmlformats.org/officeDocument/2006/relationships/header" Target="header110.xml"/><Relationship Id="rId234" Type="http://schemas.openxmlformats.org/officeDocument/2006/relationships/footer" Target="footer110.xml"/><Relationship Id="rId235" Type="http://schemas.openxmlformats.org/officeDocument/2006/relationships/header" Target="header111.xml"/><Relationship Id="rId236" Type="http://schemas.openxmlformats.org/officeDocument/2006/relationships/footer" Target="footer111.xml"/><Relationship Id="rId237" Type="http://schemas.openxmlformats.org/officeDocument/2006/relationships/header" Target="header112.xml"/><Relationship Id="rId238" Type="http://schemas.openxmlformats.org/officeDocument/2006/relationships/footer" Target="footer112.xml"/><Relationship Id="rId239" Type="http://schemas.openxmlformats.org/officeDocument/2006/relationships/header" Target="header113.xml"/><Relationship Id="rId240" Type="http://schemas.openxmlformats.org/officeDocument/2006/relationships/footer" Target="footer113.xml"/><Relationship Id="rId241" Type="http://schemas.openxmlformats.org/officeDocument/2006/relationships/header" Target="header114.xml"/><Relationship Id="rId242" Type="http://schemas.openxmlformats.org/officeDocument/2006/relationships/footer" Target="footer114.xml"/><Relationship Id="rId243" Type="http://schemas.openxmlformats.org/officeDocument/2006/relationships/header" Target="header115.xml"/><Relationship Id="rId244" Type="http://schemas.openxmlformats.org/officeDocument/2006/relationships/footer" Target="footer115.xml"/><Relationship Id="rId245" Type="http://schemas.openxmlformats.org/officeDocument/2006/relationships/header" Target="header116.xml"/><Relationship Id="rId246" Type="http://schemas.openxmlformats.org/officeDocument/2006/relationships/footer" Target="footer116.xml"/><Relationship Id="rId247" Type="http://schemas.openxmlformats.org/officeDocument/2006/relationships/header" Target="header117.xml"/><Relationship Id="rId248" Type="http://schemas.openxmlformats.org/officeDocument/2006/relationships/footer" Target="footer117.xml"/><Relationship Id="rId249" Type="http://schemas.openxmlformats.org/officeDocument/2006/relationships/header" Target="header118.xml"/><Relationship Id="rId250" Type="http://schemas.openxmlformats.org/officeDocument/2006/relationships/footer" Target="footer118.xml"/><Relationship Id="rId251" Type="http://schemas.openxmlformats.org/officeDocument/2006/relationships/header" Target="header119.xml"/><Relationship Id="rId252" Type="http://schemas.openxmlformats.org/officeDocument/2006/relationships/footer" Target="footer119.xml"/><Relationship Id="rId253" Type="http://schemas.openxmlformats.org/officeDocument/2006/relationships/header" Target="header120.xml"/><Relationship Id="rId254" Type="http://schemas.openxmlformats.org/officeDocument/2006/relationships/footer" Target="footer120.xml"/><Relationship Id="rId255" Type="http://schemas.openxmlformats.org/officeDocument/2006/relationships/header" Target="header121.xml"/><Relationship Id="rId256" Type="http://schemas.openxmlformats.org/officeDocument/2006/relationships/footer" Target="footer121.xml"/><Relationship Id="rId257" Type="http://schemas.openxmlformats.org/officeDocument/2006/relationships/header" Target="header122.xml"/><Relationship Id="rId258" Type="http://schemas.openxmlformats.org/officeDocument/2006/relationships/footer" Target="footer122.xml"/><Relationship Id="rId259" Type="http://schemas.openxmlformats.org/officeDocument/2006/relationships/header" Target="header123.xml"/><Relationship Id="rId260" Type="http://schemas.openxmlformats.org/officeDocument/2006/relationships/footer" Target="footer123.xml"/><Relationship Id="rId261" Type="http://schemas.openxmlformats.org/officeDocument/2006/relationships/header" Target="header124.xml"/><Relationship Id="rId262" Type="http://schemas.openxmlformats.org/officeDocument/2006/relationships/footer" Target="footer124.xml"/><Relationship Id="rId263" Type="http://schemas.openxmlformats.org/officeDocument/2006/relationships/header" Target="header125.xml"/><Relationship Id="rId264" Type="http://schemas.openxmlformats.org/officeDocument/2006/relationships/footer" Target="footer125.xml"/><Relationship Id="rId265" Type="http://schemas.openxmlformats.org/officeDocument/2006/relationships/header" Target="header126.xml"/><Relationship Id="rId266" Type="http://schemas.openxmlformats.org/officeDocument/2006/relationships/footer" Target="footer126.xml"/><Relationship Id="rId267" Type="http://schemas.openxmlformats.org/officeDocument/2006/relationships/header" Target="header127.xml"/><Relationship Id="rId268" Type="http://schemas.openxmlformats.org/officeDocument/2006/relationships/footer" Target="footer127.xml"/><Relationship Id="rId269" Type="http://schemas.openxmlformats.org/officeDocument/2006/relationships/header" Target="header128.xml"/><Relationship Id="rId270" Type="http://schemas.openxmlformats.org/officeDocument/2006/relationships/footer" Target="footer128.xml"/><Relationship Id="rId271" Type="http://schemas.openxmlformats.org/officeDocument/2006/relationships/header" Target="header129.xml"/><Relationship Id="rId272" Type="http://schemas.openxmlformats.org/officeDocument/2006/relationships/footer" Target="footer129.xml"/><Relationship Id="rId273" Type="http://schemas.openxmlformats.org/officeDocument/2006/relationships/header" Target="header130.xml"/><Relationship Id="rId274" Type="http://schemas.openxmlformats.org/officeDocument/2006/relationships/footer" Target="footer130.xml"/><Relationship Id="rId275" Type="http://schemas.openxmlformats.org/officeDocument/2006/relationships/header" Target="header131.xml"/><Relationship Id="rId276" Type="http://schemas.openxmlformats.org/officeDocument/2006/relationships/footer" Target="footer131.xml"/><Relationship Id="rId277" Type="http://schemas.openxmlformats.org/officeDocument/2006/relationships/header" Target="header132.xml"/><Relationship Id="rId278" Type="http://schemas.openxmlformats.org/officeDocument/2006/relationships/footer" Target="footer132.xml"/><Relationship Id="rId279" Type="http://schemas.openxmlformats.org/officeDocument/2006/relationships/header" Target="header133.xml"/><Relationship Id="rId280" Type="http://schemas.openxmlformats.org/officeDocument/2006/relationships/footer" Target="footer133.xml"/><Relationship Id="rId281" Type="http://schemas.openxmlformats.org/officeDocument/2006/relationships/header" Target="header134.xml"/><Relationship Id="rId282" Type="http://schemas.openxmlformats.org/officeDocument/2006/relationships/footer" Target="footer134.xml"/><Relationship Id="rId283" Type="http://schemas.openxmlformats.org/officeDocument/2006/relationships/header" Target="header135.xml"/><Relationship Id="rId284" Type="http://schemas.openxmlformats.org/officeDocument/2006/relationships/footer" Target="footer135.xml"/><Relationship Id="rId285" Type="http://schemas.openxmlformats.org/officeDocument/2006/relationships/header" Target="header136.xml"/><Relationship Id="rId286" Type="http://schemas.openxmlformats.org/officeDocument/2006/relationships/footer" Target="footer136.xml"/><Relationship Id="rId287" Type="http://schemas.openxmlformats.org/officeDocument/2006/relationships/header" Target="header137.xml"/><Relationship Id="rId288" Type="http://schemas.openxmlformats.org/officeDocument/2006/relationships/footer" Target="footer137.xml"/><Relationship Id="rId289" Type="http://schemas.openxmlformats.org/officeDocument/2006/relationships/header" Target="header138.xml"/><Relationship Id="rId290" Type="http://schemas.openxmlformats.org/officeDocument/2006/relationships/footer" Target="footer138.xml"/><Relationship Id="rId291" Type="http://schemas.openxmlformats.org/officeDocument/2006/relationships/header" Target="header139.xml"/><Relationship Id="rId292" Type="http://schemas.openxmlformats.org/officeDocument/2006/relationships/footer" Target="footer139.xml"/><Relationship Id="rId293" Type="http://schemas.openxmlformats.org/officeDocument/2006/relationships/header" Target="header140.xml"/><Relationship Id="rId294" Type="http://schemas.openxmlformats.org/officeDocument/2006/relationships/footer" Target="footer140.xml"/><Relationship Id="rId295" Type="http://schemas.openxmlformats.org/officeDocument/2006/relationships/header" Target="header141.xml"/><Relationship Id="rId296" Type="http://schemas.openxmlformats.org/officeDocument/2006/relationships/footer" Target="footer141.xml"/><Relationship Id="rId297" Type="http://schemas.openxmlformats.org/officeDocument/2006/relationships/header" Target="header142.xml"/><Relationship Id="rId298" Type="http://schemas.openxmlformats.org/officeDocument/2006/relationships/footer" Target="footer142.xml"/><Relationship Id="rId299" Type="http://schemas.openxmlformats.org/officeDocument/2006/relationships/image" Target="media/image6.jpeg"/><Relationship Id="rId300" Type="http://schemas.openxmlformats.org/officeDocument/2006/relationships/image" Target="media/image6.jpeg" TargetMode="External"/><Relationship Id="rId301" Type="http://schemas.openxmlformats.org/officeDocument/2006/relationships/header" Target="header143.xml"/><Relationship Id="rId302" Type="http://schemas.openxmlformats.org/officeDocument/2006/relationships/footer" Target="footer143.xml"/><Relationship Id="rId303" Type="http://schemas.openxmlformats.org/officeDocument/2006/relationships/header" Target="header144.xml"/><Relationship Id="rId304" Type="http://schemas.openxmlformats.org/officeDocument/2006/relationships/footer" Target="footer144.xml"/><Relationship Id="rId305" Type="http://schemas.openxmlformats.org/officeDocument/2006/relationships/header" Target="header145.xml"/><Relationship Id="rId306" Type="http://schemas.openxmlformats.org/officeDocument/2006/relationships/footer" Target="footer145.xml"/><Relationship Id="rId307" Type="http://schemas.openxmlformats.org/officeDocument/2006/relationships/header" Target="header146.xml"/><Relationship Id="rId308" Type="http://schemas.openxmlformats.org/officeDocument/2006/relationships/footer" Target="footer146.xml"/><Relationship Id="rId309" Type="http://schemas.openxmlformats.org/officeDocument/2006/relationships/header" Target="header147.xml"/><Relationship Id="rId310" Type="http://schemas.openxmlformats.org/officeDocument/2006/relationships/footer" Target="footer147.xml"/><Relationship Id="rId311" Type="http://schemas.openxmlformats.org/officeDocument/2006/relationships/header" Target="header148.xml"/><Relationship Id="rId312" Type="http://schemas.openxmlformats.org/officeDocument/2006/relationships/footer" Target="footer148.xml"/><Relationship Id="rId313" Type="http://schemas.openxmlformats.org/officeDocument/2006/relationships/header" Target="header149.xml"/><Relationship Id="rId314" Type="http://schemas.openxmlformats.org/officeDocument/2006/relationships/footer" Target="footer149.xml"/><Relationship Id="rId315" Type="http://schemas.openxmlformats.org/officeDocument/2006/relationships/header" Target="header150.xml"/><Relationship Id="rId316" Type="http://schemas.openxmlformats.org/officeDocument/2006/relationships/footer" Target="footer150.xml"/><Relationship Id="rId317" Type="http://schemas.openxmlformats.org/officeDocument/2006/relationships/header" Target="header151.xml"/><Relationship Id="rId318" Type="http://schemas.openxmlformats.org/officeDocument/2006/relationships/footer" Target="footer151.xml"/><Relationship Id="rId319" Type="http://schemas.openxmlformats.org/officeDocument/2006/relationships/header" Target="header152.xml"/><Relationship Id="rId320" Type="http://schemas.openxmlformats.org/officeDocument/2006/relationships/footer" Target="footer152.xml"/><Relationship Id="rId321" Type="http://schemas.openxmlformats.org/officeDocument/2006/relationships/header" Target="header153.xml"/><Relationship Id="rId322" Type="http://schemas.openxmlformats.org/officeDocument/2006/relationships/footer" Target="footer153.xml"/><Relationship Id="rId323" Type="http://schemas.openxmlformats.org/officeDocument/2006/relationships/header" Target="header154.xml"/><Relationship Id="rId324" Type="http://schemas.openxmlformats.org/officeDocument/2006/relationships/footer" Target="footer154.xml"/><Relationship Id="rId325" Type="http://schemas.openxmlformats.org/officeDocument/2006/relationships/header" Target="header155.xml"/><Relationship Id="rId326" Type="http://schemas.openxmlformats.org/officeDocument/2006/relationships/footer" Target="footer155.xml"/><Relationship Id="rId327" Type="http://schemas.openxmlformats.org/officeDocument/2006/relationships/header" Target="header156.xml"/><Relationship Id="rId328" Type="http://schemas.openxmlformats.org/officeDocument/2006/relationships/footer" Target="footer156.xml"/><Relationship Id="rId329" Type="http://schemas.openxmlformats.org/officeDocument/2006/relationships/header" Target="header157.xml"/><Relationship Id="rId330" Type="http://schemas.openxmlformats.org/officeDocument/2006/relationships/footer" Target="footer157.xml"/><Relationship Id="rId331" Type="http://schemas.openxmlformats.org/officeDocument/2006/relationships/header" Target="header158.xml"/><Relationship Id="rId332" Type="http://schemas.openxmlformats.org/officeDocument/2006/relationships/footer" Target="footer158.xml"/><Relationship Id="rId333" Type="http://schemas.openxmlformats.org/officeDocument/2006/relationships/header" Target="header159.xml"/><Relationship Id="rId334" Type="http://schemas.openxmlformats.org/officeDocument/2006/relationships/footer" Target="footer159.xml"/><Relationship Id="rId335" Type="http://schemas.openxmlformats.org/officeDocument/2006/relationships/header" Target="header160.xml"/><Relationship Id="rId336" Type="http://schemas.openxmlformats.org/officeDocument/2006/relationships/footer" Target="footer160.xml"/><Relationship Id="rId337" Type="http://schemas.openxmlformats.org/officeDocument/2006/relationships/header" Target="header161.xml"/><Relationship Id="rId338" Type="http://schemas.openxmlformats.org/officeDocument/2006/relationships/footer" Target="footer161.xml"/><Relationship Id="rId339" Type="http://schemas.openxmlformats.org/officeDocument/2006/relationships/header" Target="header162.xml"/><Relationship Id="rId340" Type="http://schemas.openxmlformats.org/officeDocument/2006/relationships/footer" Target="footer162.xml"/><Relationship Id="rId341" Type="http://schemas.openxmlformats.org/officeDocument/2006/relationships/header" Target="header163.xml"/><Relationship Id="rId342" Type="http://schemas.openxmlformats.org/officeDocument/2006/relationships/footer" Target="footer163.xml"/><Relationship Id="rId343" Type="http://schemas.openxmlformats.org/officeDocument/2006/relationships/header" Target="header164.xml"/><Relationship Id="rId344" Type="http://schemas.openxmlformats.org/officeDocument/2006/relationships/footer" Target="footer164.xml"/><Relationship Id="rId345" Type="http://schemas.openxmlformats.org/officeDocument/2006/relationships/header" Target="header165.xml"/><Relationship Id="rId346" Type="http://schemas.openxmlformats.org/officeDocument/2006/relationships/footer" Target="footer165.xml"/><Relationship Id="rId347" Type="http://schemas.openxmlformats.org/officeDocument/2006/relationships/header" Target="header166.xml"/><Relationship Id="rId348" Type="http://schemas.openxmlformats.org/officeDocument/2006/relationships/footer" Target="footer166.xml"/><Relationship Id="rId349" Type="http://schemas.openxmlformats.org/officeDocument/2006/relationships/header" Target="header167.xml"/><Relationship Id="rId350" Type="http://schemas.openxmlformats.org/officeDocument/2006/relationships/footer" Target="footer167.xml"/><Relationship Id="rId351" Type="http://schemas.openxmlformats.org/officeDocument/2006/relationships/header" Target="header168.xml"/><Relationship Id="rId352" Type="http://schemas.openxmlformats.org/officeDocument/2006/relationships/footer" Target="footer168.xml"/><Relationship Id="rId353" Type="http://schemas.openxmlformats.org/officeDocument/2006/relationships/header" Target="header169.xml"/><Relationship Id="rId354" Type="http://schemas.openxmlformats.org/officeDocument/2006/relationships/footer" Target="footer169.xml"/><Relationship Id="rId355" Type="http://schemas.openxmlformats.org/officeDocument/2006/relationships/header" Target="header170.xml"/><Relationship Id="rId356" Type="http://schemas.openxmlformats.org/officeDocument/2006/relationships/footer" Target="footer170.xml"/><Relationship Id="rId357" Type="http://schemas.openxmlformats.org/officeDocument/2006/relationships/header" Target="header171.xml"/><Relationship Id="rId358" Type="http://schemas.openxmlformats.org/officeDocument/2006/relationships/footer" Target="footer171.xml"/><Relationship Id="rId359" Type="http://schemas.openxmlformats.org/officeDocument/2006/relationships/header" Target="header172.xml"/><Relationship Id="rId360" Type="http://schemas.openxmlformats.org/officeDocument/2006/relationships/footer" Target="footer172.xml"/><Relationship Id="rId361" Type="http://schemas.openxmlformats.org/officeDocument/2006/relationships/image" Target="media/image7.jpeg"/><Relationship Id="rId362" Type="http://schemas.openxmlformats.org/officeDocument/2006/relationships/image" Target="media/image7.jpeg" TargetMode="External"/><Relationship Id="rId363" Type="http://schemas.openxmlformats.org/officeDocument/2006/relationships/header" Target="header173.xml"/><Relationship Id="rId364" Type="http://schemas.openxmlformats.org/officeDocument/2006/relationships/footer" Target="footer173.xml"/><Relationship Id="rId365" Type="http://schemas.openxmlformats.org/officeDocument/2006/relationships/header" Target="header174.xml"/><Relationship Id="rId366" Type="http://schemas.openxmlformats.org/officeDocument/2006/relationships/footer" Target="footer174.xml"/><Relationship Id="rId367" Type="http://schemas.openxmlformats.org/officeDocument/2006/relationships/header" Target="header175.xml"/><Relationship Id="rId368" Type="http://schemas.openxmlformats.org/officeDocument/2006/relationships/footer" Target="footer175.xml"/><Relationship Id="rId369" Type="http://schemas.openxmlformats.org/officeDocument/2006/relationships/header" Target="header176.xml"/><Relationship Id="rId370" Type="http://schemas.openxmlformats.org/officeDocument/2006/relationships/footer" Target="footer176.xml"/></Relationships>
</file>

<file path=docProps/core.xml><?xml version="1.0" encoding="utf-8"?>
<cp:coreProperties xmlns:cp="http://schemas.openxmlformats.org/package/2006/metadata/core-properties" xmlns:dc="http://purl.org/dc/elements/1.1/">
  <dc:title/>
  <dc:subject/>
  <dc:creator>yinbangming</dc:creator>
  <cp:keywords/>
</cp:coreProperties>
</file>