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675"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409700" cy="4286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700" cy="428625"/>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7"/>
        <w:rPr>
          <w:rFonts w:ascii="Times New Roman" w:hAnsi="Times New Roman" w:cs="Times New Roman" w:eastAsia="Times New Roman" w:hint="default"/>
          <w:sz w:val="14"/>
          <w:szCs w:val="14"/>
        </w:rPr>
      </w:pPr>
    </w:p>
    <w:p>
      <w:pPr>
        <w:spacing w:line="441" w:lineRule="auto" w:before="0"/>
        <w:ind w:left="3164" w:right="3164" w:firstLine="0"/>
        <w:jc w:val="center"/>
        <w:rPr>
          <w:rFonts w:ascii="Times New Roman" w:hAnsi="Times New Roman" w:cs="Times New Roman" w:eastAsia="Times New Roman" w:hint="default"/>
          <w:sz w:val="32"/>
          <w:szCs w:val="32"/>
        </w:rPr>
      </w:pPr>
      <w:r>
        <w:rPr>
          <w:rFonts w:ascii="宋体" w:hAnsi="宋体" w:cs="宋体" w:eastAsia="宋体" w:hint="default"/>
          <w:b/>
          <w:bCs/>
          <w:sz w:val="36"/>
          <w:szCs w:val="36"/>
        </w:rPr>
        <w:t>朗新科技股份有限公司</w:t>
      </w:r>
      <w:r>
        <w:rPr>
          <w:rFonts w:ascii="宋体" w:hAnsi="宋体" w:cs="宋体" w:eastAsia="宋体" w:hint="default"/>
          <w:b/>
          <w:bCs/>
          <w:w w:val="99"/>
          <w:sz w:val="36"/>
          <w:szCs w:val="36"/>
        </w:rPr>
        <w:t> </w:t>
      </w: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年年度报告</w:t>
      </w:r>
      <w:r>
        <w:rPr>
          <w:rFonts w:ascii="宋体" w:hAnsi="宋体" w:cs="宋体" w:eastAsia="宋体" w:hint="default"/>
          <w:b/>
          <w:bCs/>
          <w:w w:val="99"/>
          <w:sz w:val="32"/>
          <w:szCs w:val="32"/>
        </w:rPr>
        <w:t> </w:t>
      </w:r>
      <w:r>
        <w:rPr>
          <w:rFonts w:ascii="宋体" w:hAnsi="宋体" w:cs="宋体" w:eastAsia="宋体" w:hint="default"/>
          <w:b/>
          <w:bCs/>
          <w:sz w:val="32"/>
          <w:szCs w:val="32"/>
        </w:rPr>
        <w:t>公告编号：</w:t>
      </w:r>
      <w:r>
        <w:rPr>
          <w:rFonts w:ascii="Times New Roman" w:hAnsi="Times New Roman" w:cs="Times New Roman" w:eastAsia="Times New Roman" w:hint="default"/>
          <w:b/>
          <w:bCs/>
          <w:sz w:val="32"/>
          <w:szCs w:val="32"/>
        </w:rPr>
        <w:t>2018-029</w:t>
      </w:r>
      <w:r>
        <w:rPr>
          <w:rFonts w:ascii="Times New Roman" w:hAnsi="Times New Roman" w:cs="Times New Roman" w:eastAsia="Times New Roman" w:hint="default"/>
          <w:sz w:val="32"/>
          <w:szCs w:val="32"/>
        </w:rPr>
      </w: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before="201"/>
        <w:ind w:left="3164" w:right="316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249"/>
        <w:jc w:val="left"/>
        <w:rPr>
          <w:b w:val="0"/>
          <w:bCs w:val="0"/>
        </w:rPr>
      </w:pPr>
      <w:bookmarkStart w:name="第一节 重要提示、目录和释义"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49"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253"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公司负责人郑新标、主管会计工作负责人鲁清芳及会计机构负责人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鲁清芳声明：保证年度报告中财务报告的真实、准确、完整。</w:t>
      </w:r>
      <w:r>
        <w:rPr>
          <w:rFonts w:ascii="宋体" w:hAnsi="宋体" w:cs="宋体" w:eastAsia="宋体" w:hint="default"/>
          <w:sz w:val="28"/>
          <w:szCs w:val="28"/>
        </w:rPr>
      </w:r>
    </w:p>
    <w:p>
      <w:pPr>
        <w:spacing w:line="472" w:lineRule="auto" w:before="148"/>
        <w:ind w:left="714" w:right="249"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本年度报告中涉及未来计划或规划等前瞻性陈述的，均不构成公司对投资</w:t>
      </w:r>
      <w:r>
        <w:rPr>
          <w:rFonts w:ascii="宋体" w:hAnsi="宋体" w:cs="宋体" w:eastAsia="宋体" w:hint="default"/>
          <w:spacing w:val="2"/>
          <w:sz w:val="28"/>
          <w:szCs w:val="28"/>
        </w:rPr>
      </w:r>
    </w:p>
    <w:p>
      <w:pPr>
        <w:spacing w:line="408" w:lineRule="auto" w:before="0"/>
        <w:ind w:left="152" w:right="249" w:firstLine="0"/>
        <w:jc w:val="left"/>
        <w:rPr>
          <w:rFonts w:ascii="宋体" w:hAnsi="宋体" w:cs="宋体" w:eastAsia="宋体" w:hint="default"/>
          <w:sz w:val="28"/>
          <w:szCs w:val="28"/>
        </w:rPr>
      </w:pPr>
      <w:r>
        <w:rPr>
          <w:rFonts w:ascii="宋体" w:hAnsi="宋体" w:cs="宋体" w:eastAsia="宋体" w:hint="default"/>
          <w:b/>
          <w:bCs/>
          <w:spacing w:val="2"/>
          <w:sz w:val="28"/>
          <w:szCs w:val="28"/>
        </w:rPr>
        <w:t>者的实质承诺，投资者及相关人士均应对此保持足够的风险认识，并且应当理</w:t>
      </w:r>
      <w:r>
        <w:rPr>
          <w:rFonts w:ascii="宋体" w:hAnsi="宋体" w:cs="宋体" w:eastAsia="宋体" w:hint="default"/>
          <w:b/>
          <w:bCs/>
          <w:w w:val="99"/>
          <w:sz w:val="28"/>
          <w:szCs w:val="28"/>
        </w:rPr>
        <w:t> </w:t>
      </w:r>
      <w:r>
        <w:rPr>
          <w:rFonts w:ascii="宋体" w:hAnsi="宋体" w:cs="宋体" w:eastAsia="宋体" w:hint="default"/>
          <w:b/>
          <w:bCs/>
          <w:sz w:val="28"/>
          <w:szCs w:val="28"/>
        </w:rPr>
        <w:t>解计划、预测与承诺之间的差异。</w:t>
      </w:r>
      <w:r>
        <w:rPr>
          <w:rFonts w:ascii="宋体" w:hAnsi="宋体" w:cs="宋体" w:eastAsia="宋体" w:hint="default"/>
          <w:sz w:val="28"/>
          <w:szCs w:val="28"/>
        </w:rPr>
      </w:r>
    </w:p>
    <w:p>
      <w:pPr>
        <w:spacing w:before="162"/>
        <w:ind w:left="714" w:right="249" w:firstLine="0"/>
        <w:jc w:val="left"/>
        <w:rPr>
          <w:rFonts w:ascii="宋体" w:hAnsi="宋体" w:cs="宋体" w:eastAsia="宋体" w:hint="default"/>
          <w:sz w:val="28"/>
          <w:szCs w:val="28"/>
        </w:rPr>
      </w:pPr>
      <w:r>
        <w:rPr>
          <w:rFonts w:ascii="宋体" w:hAnsi="宋体" w:cs="宋体" w:eastAsia="宋体" w:hint="default"/>
          <w:b/>
          <w:bCs/>
          <w:sz w:val="28"/>
          <w:szCs w:val="28"/>
        </w:rPr>
        <w:t>本公司请投资者认真阅读本年度报告全文，并特别注意下列风险：</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tabs>
          <w:tab w:pos="1412" w:val="left" w:leader="none"/>
        </w:tabs>
        <w:spacing w:line="446" w:lineRule="auto" w:before="0"/>
        <w:ind w:left="714" w:right="249" w:firstLine="0"/>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1</w:t>
      </w:r>
      <w:r>
        <w:rPr>
          <w:rFonts w:ascii="宋体" w:hAnsi="宋体" w:cs="宋体" w:eastAsia="宋体" w:hint="default"/>
          <w:b/>
          <w:bCs/>
          <w:spacing w:val="-1"/>
          <w:sz w:val="28"/>
          <w:szCs w:val="28"/>
        </w:rPr>
        <w:t>、</w:t>
        <w:tab/>
      </w:r>
      <w:r>
        <w:rPr>
          <w:rFonts w:ascii="宋体" w:hAnsi="宋体" w:cs="宋体" w:eastAsia="宋体" w:hint="default"/>
          <w:b/>
          <w:bCs/>
          <w:sz w:val="28"/>
          <w:szCs w:val="28"/>
        </w:rPr>
        <w:t>对少数集团客户依赖的风险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公司目前的主要收入来自于为国家电网、南方电网提供定制化软件开发的</w:t>
      </w:r>
      <w:r>
        <w:rPr>
          <w:rFonts w:ascii="宋体" w:hAnsi="宋体" w:cs="宋体" w:eastAsia="宋体" w:hint="default"/>
          <w:spacing w:val="2"/>
          <w:sz w:val="28"/>
          <w:szCs w:val="28"/>
        </w:rPr>
      </w:r>
    </w:p>
    <w:p>
      <w:pPr>
        <w:spacing w:line="405" w:lineRule="auto" w:before="16"/>
        <w:ind w:left="152" w:right="111" w:firstLine="0"/>
        <w:jc w:val="both"/>
        <w:rPr>
          <w:rFonts w:ascii="宋体" w:hAnsi="宋体" w:cs="宋体" w:eastAsia="宋体" w:hint="default"/>
          <w:sz w:val="28"/>
          <w:szCs w:val="28"/>
        </w:rPr>
      </w:pPr>
      <w:r>
        <w:rPr>
          <w:rFonts w:ascii="宋体" w:hAnsi="宋体" w:cs="宋体" w:eastAsia="宋体" w:hint="default"/>
          <w:b/>
          <w:bCs/>
          <w:sz w:val="28"/>
          <w:szCs w:val="28"/>
        </w:rPr>
        <w:t>收入，这部分收入占公司报告期主营业务收入的</w:t>
      </w:r>
      <w:r>
        <w:rPr>
          <w:rFonts w:ascii="宋体" w:hAnsi="宋体" w:cs="宋体" w:eastAsia="宋体" w:hint="default"/>
          <w:b/>
          <w:bCs/>
          <w:spacing w:val="-60"/>
          <w:sz w:val="28"/>
          <w:szCs w:val="28"/>
        </w:rPr>
        <w:t> </w:t>
      </w:r>
      <w:r>
        <w:rPr>
          <w:rFonts w:ascii="Times New Roman" w:hAnsi="Times New Roman" w:cs="Times New Roman" w:eastAsia="Times New Roman" w:hint="default"/>
          <w:b/>
          <w:bCs/>
          <w:sz w:val="28"/>
          <w:szCs w:val="28"/>
        </w:rPr>
        <w:t>80%</w:t>
      </w:r>
      <w:r>
        <w:rPr>
          <w:rFonts w:ascii="宋体" w:hAnsi="宋体" w:cs="宋体" w:eastAsia="宋体" w:hint="default"/>
          <w:b/>
          <w:bCs/>
          <w:sz w:val="28"/>
          <w:szCs w:val="28"/>
        </w:rPr>
        <w:t>以上。尽管为了减弱对少</w:t>
      </w:r>
      <w:r>
        <w:rPr>
          <w:rFonts w:ascii="宋体" w:hAnsi="宋体" w:cs="宋体" w:eastAsia="宋体" w:hint="default"/>
          <w:b/>
          <w:bCs/>
          <w:w w:val="99"/>
          <w:sz w:val="28"/>
          <w:szCs w:val="28"/>
        </w:rPr>
        <w:t> </w:t>
      </w:r>
      <w:r>
        <w:rPr>
          <w:rFonts w:ascii="宋体" w:hAnsi="宋体" w:cs="宋体" w:eastAsia="宋体" w:hint="default"/>
          <w:b/>
          <w:bCs/>
          <w:spacing w:val="2"/>
          <w:sz w:val="28"/>
          <w:szCs w:val="28"/>
        </w:rPr>
        <w:t>数集团客户的依赖，公司正在积极开拓地方电力公司、海外电力市场、燃气行</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业市场和其它创新业务市场，但新市场、新业务开拓前期投入大、时间长，且</w:t>
      </w:r>
      <w:r>
        <w:rPr>
          <w:rFonts w:ascii="宋体" w:hAnsi="宋体" w:cs="宋体" w:eastAsia="宋体" w:hint="default"/>
          <w:b/>
          <w:bCs/>
          <w:w w:val="99"/>
          <w:sz w:val="28"/>
          <w:szCs w:val="28"/>
        </w:rPr>
        <w:t> </w:t>
      </w:r>
      <w:r>
        <w:rPr>
          <w:rFonts w:ascii="宋体" w:hAnsi="宋体" w:cs="宋体" w:eastAsia="宋体" w:hint="default"/>
          <w:b/>
          <w:bCs/>
          <w:sz w:val="28"/>
          <w:szCs w:val="28"/>
        </w:rPr>
        <w:t>存在不确定性，因此，短期之内公司对少数集团客户存在较强的依赖。</w:t>
      </w:r>
      <w:r>
        <w:rPr>
          <w:rFonts w:ascii="宋体" w:hAnsi="宋体" w:cs="宋体" w:eastAsia="宋体" w:hint="default"/>
          <w:b/>
          <w:bCs/>
          <w:spacing w:val="-41"/>
          <w:sz w:val="28"/>
          <w:szCs w:val="28"/>
        </w:rPr>
        <w:t> </w:t>
      </w:r>
      <w:r>
        <w:rPr>
          <w:rFonts w:ascii="宋体" w:hAnsi="宋体" w:cs="宋体" w:eastAsia="宋体" w:hint="default"/>
          <w:b/>
          <w:bCs/>
          <w:sz w:val="28"/>
          <w:szCs w:val="28"/>
        </w:rPr>
        <w:t>如国家</w:t>
      </w:r>
      <w:r>
        <w:rPr>
          <w:rFonts w:ascii="宋体" w:hAnsi="宋体" w:cs="宋体" w:eastAsia="宋体" w:hint="default"/>
          <w:b/>
          <w:bCs/>
          <w:w w:val="99"/>
          <w:sz w:val="28"/>
          <w:szCs w:val="28"/>
        </w:rPr>
        <w:t> </w:t>
      </w:r>
      <w:r>
        <w:rPr>
          <w:rFonts w:ascii="宋体" w:hAnsi="宋体" w:cs="宋体" w:eastAsia="宋体" w:hint="default"/>
          <w:b/>
          <w:bCs/>
          <w:spacing w:val="2"/>
          <w:sz w:val="28"/>
          <w:szCs w:val="28"/>
        </w:rPr>
        <w:t>电网、南方电网调整公司所在业务领域的投资计划、采购模式或公司产品服务</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不能满足客户需求，将可能导致国家电网、南方电网向公司采购规模下降或公</w:t>
      </w:r>
      <w:r>
        <w:rPr>
          <w:rFonts w:ascii="宋体" w:hAnsi="宋体" w:cs="宋体" w:eastAsia="宋体" w:hint="default"/>
          <w:b/>
          <w:bCs/>
          <w:w w:val="99"/>
          <w:sz w:val="28"/>
          <w:szCs w:val="28"/>
        </w:rPr>
        <w:t> </w:t>
      </w:r>
      <w:r>
        <w:rPr>
          <w:rFonts w:ascii="宋体" w:hAnsi="宋体" w:cs="宋体" w:eastAsia="宋体" w:hint="default"/>
          <w:b/>
          <w:bCs/>
          <w:spacing w:val="-3"/>
          <w:sz w:val="28"/>
          <w:szCs w:val="28"/>
        </w:rPr>
        <w:t>司已投入开发的项目不能实现销售，最终对公司盈利能力产生不利影响。</w:t>
      </w:r>
      <w:r>
        <w:rPr>
          <w:rFonts w:ascii="宋体" w:hAnsi="宋体" w:cs="宋体" w:eastAsia="宋体" w:hint="default"/>
          <w:b/>
          <w:bCs/>
          <w:spacing w:val="-107"/>
          <w:sz w:val="28"/>
          <w:szCs w:val="28"/>
        </w:rPr>
        <w:t> </w:t>
      </w:r>
      <w:r>
        <w:rPr>
          <w:rFonts w:ascii="宋体" w:hAnsi="宋体" w:cs="宋体" w:eastAsia="宋体" w:hint="default"/>
          <w:b/>
          <w:bCs/>
          <w:sz w:val="28"/>
          <w:szCs w:val="28"/>
        </w:rPr>
        <w:t>对此，</w:t>
      </w:r>
      <w:r>
        <w:rPr>
          <w:rFonts w:ascii="宋体" w:hAnsi="宋体" w:cs="宋体" w:eastAsia="宋体" w:hint="default"/>
          <w:sz w:val="28"/>
          <w:szCs w:val="28"/>
        </w:rPr>
      </w:r>
    </w:p>
    <w:p>
      <w:pPr>
        <w:spacing w:after="0" w:line="405" w:lineRule="auto"/>
        <w:jc w:val="both"/>
        <w:rPr>
          <w:rFonts w:ascii="宋体" w:hAnsi="宋体" w:cs="宋体" w:eastAsia="宋体" w:hint="default"/>
          <w:sz w:val="28"/>
          <w:szCs w:val="28"/>
        </w:rPr>
        <w:sectPr>
          <w:footerReference w:type="default" r:id="rId8"/>
          <w:pgSz w:w="11910" w:h="16840"/>
          <w:pgMar w:footer="982" w:header="745" w:top="1060" w:bottom="118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08" w:lineRule="auto" w:before="14"/>
        <w:ind w:left="152" w:right="254" w:firstLine="0"/>
        <w:jc w:val="both"/>
        <w:rPr>
          <w:rFonts w:ascii="宋体" w:hAnsi="宋体" w:cs="宋体" w:eastAsia="宋体" w:hint="default"/>
          <w:sz w:val="28"/>
          <w:szCs w:val="28"/>
        </w:rPr>
      </w:pPr>
      <w:r>
        <w:rPr>
          <w:rFonts w:ascii="宋体" w:hAnsi="宋体" w:cs="宋体" w:eastAsia="宋体" w:hint="default"/>
          <w:b/>
          <w:bCs/>
          <w:spacing w:val="2"/>
          <w:sz w:val="28"/>
          <w:szCs w:val="28"/>
        </w:rPr>
        <w:t>公司将在已进入的燃气行业市场以及地方电力和海外电力市场积极拓展，尽快</w:t>
      </w:r>
      <w:r>
        <w:rPr>
          <w:rFonts w:ascii="宋体" w:hAnsi="宋体" w:cs="宋体" w:eastAsia="宋体" w:hint="default"/>
          <w:b/>
          <w:bCs/>
          <w:w w:val="99"/>
          <w:sz w:val="28"/>
          <w:szCs w:val="28"/>
        </w:rPr>
        <w:t> </w:t>
      </w:r>
      <w:r>
        <w:rPr>
          <w:rFonts w:ascii="宋体" w:hAnsi="宋体" w:cs="宋体" w:eastAsia="宋体" w:hint="default"/>
          <w:b/>
          <w:bCs/>
          <w:spacing w:val="2"/>
          <w:sz w:val="28"/>
          <w:szCs w:val="28"/>
        </w:rPr>
        <w:t>提升新市场营业收入比重。同时，公司将在公用事业缴费、城市运营、工业互</w:t>
      </w:r>
      <w:r>
        <w:rPr>
          <w:rFonts w:ascii="宋体" w:hAnsi="宋体" w:cs="宋体" w:eastAsia="宋体" w:hint="default"/>
          <w:b/>
          <w:bCs/>
          <w:w w:val="99"/>
          <w:sz w:val="28"/>
          <w:szCs w:val="28"/>
        </w:rPr>
        <w:t> </w:t>
      </w:r>
      <w:r>
        <w:rPr>
          <w:rFonts w:ascii="宋体" w:hAnsi="宋体" w:cs="宋体" w:eastAsia="宋体" w:hint="default"/>
          <w:b/>
          <w:bCs/>
          <w:spacing w:val="2"/>
          <w:sz w:val="28"/>
          <w:szCs w:val="28"/>
        </w:rPr>
        <w:t>联网、新能源、新外贸、新金融、智慧城市、智慧社区等领域积极开拓。在国</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家电网、南方电网市场，公司作为领先的技术与服务提供商，将继续加强研究</w:t>
      </w:r>
      <w:r>
        <w:rPr>
          <w:rFonts w:ascii="宋体" w:hAnsi="宋体" w:cs="宋体" w:eastAsia="宋体" w:hint="default"/>
          <w:b/>
          <w:bCs/>
          <w:w w:val="99"/>
          <w:sz w:val="28"/>
          <w:szCs w:val="28"/>
        </w:rPr>
        <w:t> </w:t>
      </w:r>
      <w:r>
        <w:rPr>
          <w:rFonts w:ascii="宋体" w:hAnsi="宋体" w:cs="宋体" w:eastAsia="宋体" w:hint="default"/>
          <w:b/>
          <w:bCs/>
          <w:sz w:val="28"/>
          <w:szCs w:val="28"/>
        </w:rPr>
        <w:t>与研发投入，保持业务与技术的领先，以成就客户为导向，积极创新。</w:t>
      </w:r>
      <w:r>
        <w:rPr>
          <w:rFonts w:ascii="宋体" w:hAnsi="宋体" w:cs="宋体" w:eastAsia="宋体" w:hint="default"/>
          <w:sz w:val="28"/>
          <w:szCs w:val="28"/>
        </w:rPr>
      </w:r>
    </w:p>
    <w:p>
      <w:pPr>
        <w:tabs>
          <w:tab w:pos="1412" w:val="left" w:leader="none"/>
        </w:tabs>
        <w:spacing w:line="446" w:lineRule="auto" w:before="162"/>
        <w:ind w:left="714" w:right="249" w:firstLine="0"/>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2</w:t>
      </w:r>
      <w:r>
        <w:rPr>
          <w:rFonts w:ascii="宋体" w:hAnsi="宋体" w:cs="宋体" w:eastAsia="宋体" w:hint="default"/>
          <w:b/>
          <w:bCs/>
          <w:spacing w:val="-1"/>
          <w:sz w:val="28"/>
          <w:szCs w:val="28"/>
        </w:rPr>
        <w:t>、</w:t>
        <w:tab/>
      </w:r>
      <w:r>
        <w:rPr>
          <w:rFonts w:ascii="宋体" w:hAnsi="宋体" w:cs="宋体" w:eastAsia="宋体" w:hint="default"/>
          <w:b/>
          <w:bCs/>
          <w:sz w:val="28"/>
          <w:szCs w:val="28"/>
        </w:rPr>
        <w:t>经营业绩季节性波动风险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由于公司主要客户为电网公司及其下属企业，电网公司垂直管理的特性，</w:t>
      </w:r>
      <w:r>
        <w:rPr>
          <w:rFonts w:ascii="宋体" w:hAnsi="宋体" w:cs="宋体" w:eastAsia="宋体" w:hint="default"/>
          <w:spacing w:val="2"/>
          <w:sz w:val="28"/>
          <w:szCs w:val="28"/>
        </w:rPr>
      </w:r>
    </w:p>
    <w:p>
      <w:pPr>
        <w:spacing w:line="408" w:lineRule="auto" w:before="16"/>
        <w:ind w:left="152" w:right="101" w:firstLine="0"/>
        <w:jc w:val="left"/>
        <w:rPr>
          <w:rFonts w:ascii="宋体" w:hAnsi="宋体" w:cs="宋体" w:eastAsia="宋体" w:hint="default"/>
          <w:sz w:val="28"/>
          <w:szCs w:val="28"/>
        </w:rPr>
      </w:pPr>
      <w:r>
        <w:rPr>
          <w:rFonts w:ascii="宋体" w:hAnsi="宋体" w:cs="宋体" w:eastAsia="宋体" w:hint="default"/>
          <w:b/>
          <w:bCs/>
          <w:spacing w:val="2"/>
          <w:sz w:val="28"/>
          <w:szCs w:val="28"/>
        </w:rPr>
        <w:t>决定了电网公司内部投资审批决策、管理流程都有较强的计划性。一般来看，</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电网公司在前一年年底制订下一年的各类（含信息化）项目，经集团公司总部</w:t>
      </w:r>
      <w:r>
        <w:rPr>
          <w:rFonts w:ascii="宋体" w:hAnsi="宋体" w:cs="宋体" w:eastAsia="宋体" w:hint="default"/>
          <w:b/>
          <w:bCs/>
          <w:w w:val="99"/>
          <w:sz w:val="28"/>
          <w:szCs w:val="28"/>
        </w:rPr>
        <w:t> </w:t>
      </w:r>
      <w:r>
        <w:rPr>
          <w:rFonts w:ascii="宋体" w:hAnsi="宋体" w:cs="宋体" w:eastAsia="宋体" w:hint="default"/>
          <w:b/>
          <w:bCs/>
          <w:spacing w:val="2"/>
          <w:sz w:val="28"/>
          <w:szCs w:val="28"/>
        </w:rPr>
        <w:t>各部门审批后，第二年分批逐步开展项目招标和项目启动及建设。对于提供技</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术服务的业务，公司根据不同类别合同在客户验收后确认收入或在签订合同后</w:t>
      </w:r>
      <w:r>
        <w:rPr>
          <w:rFonts w:ascii="宋体" w:hAnsi="宋体" w:cs="宋体" w:eastAsia="宋体" w:hint="default"/>
          <w:b/>
          <w:bCs/>
          <w:w w:val="99"/>
          <w:sz w:val="28"/>
          <w:szCs w:val="28"/>
        </w:rPr>
        <w:t> </w:t>
      </w:r>
      <w:r>
        <w:rPr>
          <w:rFonts w:ascii="宋体" w:hAnsi="宋体" w:cs="宋体" w:eastAsia="宋体" w:hint="default"/>
          <w:b/>
          <w:bCs/>
          <w:spacing w:val="-2"/>
          <w:sz w:val="28"/>
          <w:szCs w:val="28"/>
        </w:rPr>
        <w:t>按完工百分比法或根据服务期确认收入。受电网公司内部合同流程管理的限制，</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2"/>
          <w:sz w:val="28"/>
          <w:szCs w:val="28"/>
        </w:rPr>
        <w:t>第四季度签署合同并取得上线报告或完工验收报告较多，造成第四季度确认收</w:t>
      </w:r>
      <w:r>
        <w:rPr>
          <w:rFonts w:ascii="宋体" w:hAnsi="宋体" w:cs="宋体" w:eastAsia="宋体" w:hint="default"/>
          <w:b/>
          <w:bCs/>
          <w:w w:val="99"/>
          <w:sz w:val="28"/>
          <w:szCs w:val="28"/>
        </w:rPr>
        <w:t> </w:t>
      </w:r>
      <w:r>
        <w:rPr>
          <w:rFonts w:ascii="宋体" w:hAnsi="宋体" w:cs="宋体" w:eastAsia="宋体" w:hint="default"/>
          <w:b/>
          <w:bCs/>
          <w:spacing w:val="-5"/>
          <w:sz w:val="28"/>
          <w:szCs w:val="28"/>
        </w:rPr>
        <w:t>入较多。公司经营业绩呈现较强的季节性波动风险。</w:t>
      </w:r>
      <w:r>
        <w:rPr>
          <w:rFonts w:ascii="宋体" w:hAnsi="宋体" w:cs="宋体" w:eastAsia="宋体" w:hint="default"/>
          <w:b/>
          <w:bCs/>
          <w:spacing w:val="-91"/>
          <w:sz w:val="28"/>
          <w:szCs w:val="28"/>
        </w:rPr>
        <w:t> </w:t>
      </w:r>
      <w:r>
        <w:rPr>
          <w:rFonts w:ascii="宋体" w:hAnsi="宋体" w:cs="宋体" w:eastAsia="宋体" w:hint="default"/>
          <w:b/>
          <w:bCs/>
          <w:sz w:val="28"/>
          <w:szCs w:val="28"/>
        </w:rPr>
        <w:t>这也导致了公司第一季度、</w:t>
      </w:r>
      <w:r>
        <w:rPr>
          <w:rFonts w:ascii="宋体" w:hAnsi="宋体" w:cs="宋体" w:eastAsia="宋体" w:hint="default"/>
          <w:b/>
          <w:bCs/>
          <w:spacing w:val="-139"/>
          <w:sz w:val="28"/>
          <w:szCs w:val="28"/>
        </w:rPr>
        <w:t> </w:t>
      </w:r>
      <w:r>
        <w:rPr>
          <w:rFonts w:ascii="宋体" w:hAnsi="宋体" w:cs="宋体" w:eastAsia="宋体" w:hint="default"/>
          <w:b/>
          <w:bCs/>
          <w:spacing w:val="-139"/>
          <w:sz w:val="28"/>
          <w:szCs w:val="28"/>
        </w:rPr>
      </w:r>
      <w:r>
        <w:rPr>
          <w:rFonts w:ascii="宋体" w:hAnsi="宋体" w:cs="宋体" w:eastAsia="宋体" w:hint="default"/>
          <w:b/>
          <w:bCs/>
          <w:spacing w:val="-2"/>
          <w:sz w:val="28"/>
          <w:szCs w:val="28"/>
        </w:rPr>
        <w:t>上半年甚至前三季度净利润有可能为负，对投资者投资决策可能产生不利影响。</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2"/>
          <w:sz w:val="28"/>
          <w:szCs w:val="28"/>
        </w:rPr>
        <w:t>对此，公司将积极对接电网客户计划和流程，主动沟通，与电网客户建立紧密</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的协作机制，增加业务计划的可预期性。同时，公司将积极拓展新的客户与新</w:t>
      </w:r>
      <w:r>
        <w:rPr>
          <w:rFonts w:ascii="宋体" w:hAnsi="宋体" w:cs="宋体" w:eastAsia="宋体" w:hint="default"/>
          <w:b/>
          <w:bCs/>
          <w:w w:val="99"/>
          <w:sz w:val="28"/>
          <w:szCs w:val="28"/>
        </w:rPr>
        <w:t> </w:t>
      </w:r>
      <w:r>
        <w:rPr>
          <w:rFonts w:ascii="宋体" w:hAnsi="宋体" w:cs="宋体" w:eastAsia="宋体" w:hint="default"/>
          <w:b/>
          <w:bCs/>
          <w:sz w:val="28"/>
          <w:szCs w:val="28"/>
        </w:rPr>
        <w:t>的业务领域，逐步平滑经营业绩的季节性波动。</w:t>
      </w:r>
      <w:r>
        <w:rPr>
          <w:rFonts w:ascii="宋体" w:hAnsi="宋体" w:cs="宋体" w:eastAsia="宋体" w:hint="default"/>
          <w:sz w:val="28"/>
          <w:szCs w:val="28"/>
        </w:rPr>
      </w:r>
    </w:p>
    <w:p>
      <w:pPr>
        <w:tabs>
          <w:tab w:pos="1412" w:val="left" w:leader="none"/>
        </w:tabs>
        <w:spacing w:line="448" w:lineRule="auto" w:before="162"/>
        <w:ind w:left="714" w:right="249" w:hanging="1"/>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3</w:t>
      </w:r>
      <w:r>
        <w:rPr>
          <w:rFonts w:ascii="宋体" w:hAnsi="宋体" w:cs="宋体" w:eastAsia="宋体" w:hint="default"/>
          <w:b/>
          <w:bCs/>
          <w:spacing w:val="-1"/>
          <w:sz w:val="28"/>
          <w:szCs w:val="28"/>
        </w:rPr>
        <w:t>、</w:t>
        <w:tab/>
      </w:r>
      <w:r>
        <w:rPr>
          <w:rFonts w:ascii="宋体" w:hAnsi="宋体" w:cs="宋体" w:eastAsia="宋体" w:hint="default"/>
          <w:b/>
          <w:bCs/>
          <w:sz w:val="28"/>
          <w:szCs w:val="28"/>
        </w:rPr>
        <w:t>行业竞争加剧风险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随着行业技术的不断成熟和行业管理的日益规范，公用事业信息化行业进</w:t>
      </w:r>
      <w:r>
        <w:rPr>
          <w:rFonts w:ascii="宋体" w:hAnsi="宋体" w:cs="宋体" w:eastAsia="宋体" w:hint="default"/>
          <w:spacing w:val="2"/>
          <w:sz w:val="28"/>
          <w:szCs w:val="28"/>
        </w:rPr>
      </w:r>
    </w:p>
    <w:p>
      <w:pPr>
        <w:spacing w:before="14"/>
        <w:ind w:left="152" w:right="101" w:firstLine="0"/>
        <w:jc w:val="left"/>
        <w:rPr>
          <w:rFonts w:ascii="宋体" w:hAnsi="宋体" w:cs="宋体" w:eastAsia="宋体" w:hint="default"/>
          <w:sz w:val="28"/>
          <w:szCs w:val="28"/>
        </w:rPr>
      </w:pPr>
      <w:r>
        <w:rPr>
          <w:rFonts w:ascii="宋体" w:hAnsi="宋体" w:cs="宋体" w:eastAsia="宋体" w:hint="default"/>
          <w:b/>
          <w:bCs/>
          <w:spacing w:val="2"/>
          <w:sz w:val="28"/>
          <w:szCs w:val="28"/>
        </w:rPr>
        <w:t>入壁垒日益提高，对行业内企业规模和资金实力的要求越来越高，缺乏业绩和</w:t>
      </w:r>
      <w:r>
        <w:rPr>
          <w:rFonts w:ascii="宋体" w:hAnsi="宋体" w:cs="宋体" w:eastAsia="宋体" w:hint="default"/>
          <w:spacing w:val="2"/>
          <w:sz w:val="28"/>
          <w:szCs w:val="28"/>
        </w:rPr>
      </w:r>
    </w:p>
    <w:p>
      <w:pPr>
        <w:spacing w:after="0"/>
        <w:jc w:val="left"/>
        <w:rPr>
          <w:rFonts w:ascii="宋体" w:hAnsi="宋体" w:cs="宋体" w:eastAsia="宋体" w:hint="default"/>
          <w:sz w:val="28"/>
          <w:szCs w:val="28"/>
        </w:rPr>
        <w:sectPr>
          <w:pgSz w:w="11910" w:h="16840"/>
          <w:pgMar w:header="745" w:footer="982" w:top="1060" w:bottom="1180" w:left="980" w:right="8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4"/>
        <w:ind w:left="152" w:right="152" w:firstLine="0"/>
        <w:jc w:val="both"/>
        <w:rPr>
          <w:rFonts w:ascii="宋体" w:hAnsi="宋体" w:cs="宋体" w:eastAsia="宋体" w:hint="default"/>
          <w:sz w:val="28"/>
          <w:szCs w:val="28"/>
        </w:rPr>
      </w:pPr>
      <w:r>
        <w:rPr>
          <w:rFonts w:ascii="宋体" w:hAnsi="宋体" w:cs="宋体" w:eastAsia="宋体" w:hint="default"/>
          <w:b/>
          <w:bCs/>
          <w:spacing w:val="2"/>
          <w:sz w:val="28"/>
          <w:szCs w:val="28"/>
        </w:rPr>
        <w:t>技术支撑的企业将被市场淘汰。随着行业市场竞争的逐步加剧，如果本公司不</w:t>
      </w:r>
      <w:r>
        <w:rPr>
          <w:rFonts w:ascii="宋体" w:hAnsi="宋体" w:cs="宋体" w:eastAsia="宋体" w:hint="default"/>
          <w:b/>
          <w:bCs/>
          <w:w w:val="99"/>
          <w:sz w:val="28"/>
          <w:szCs w:val="28"/>
        </w:rPr>
        <w:t> </w:t>
      </w:r>
      <w:r>
        <w:rPr>
          <w:rFonts w:ascii="宋体" w:hAnsi="宋体" w:cs="宋体" w:eastAsia="宋体" w:hint="default"/>
          <w:b/>
          <w:bCs/>
          <w:spacing w:val="2"/>
          <w:sz w:val="28"/>
          <w:szCs w:val="28"/>
        </w:rPr>
        <w:t>能保持现有的竞争优势和品牌效应，则有可能导致本公司的市场份额减少。同</w:t>
      </w:r>
      <w:r>
        <w:rPr>
          <w:rFonts w:ascii="宋体" w:hAnsi="宋体" w:cs="宋体" w:eastAsia="宋体" w:hint="default"/>
          <w:b/>
          <w:bCs/>
          <w:w w:val="99"/>
          <w:sz w:val="28"/>
          <w:szCs w:val="28"/>
        </w:rPr>
        <w:t> </w:t>
      </w:r>
      <w:r>
        <w:rPr>
          <w:rFonts w:ascii="宋体" w:hAnsi="宋体" w:cs="宋体" w:eastAsia="宋体" w:hint="default"/>
          <w:b/>
          <w:bCs/>
          <w:spacing w:val="2"/>
          <w:sz w:val="28"/>
          <w:szCs w:val="28"/>
        </w:rPr>
        <w:t>时随着行业竞争的加剧，公司产品和服务的价格可能下降，将导致公司毛利率</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和盈利能力的下降。对此，公司将紧密关注行业竞争格局的变化，通过技术与</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业务创新以及优秀人才的培养与引进，加强公司质量管理，确保公司技术和业</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务能力持续在行业里的领先，同时，公司将基于对行业的深刻理解，加强与合</w:t>
      </w:r>
      <w:r>
        <w:rPr>
          <w:rFonts w:ascii="宋体" w:hAnsi="宋体" w:cs="宋体" w:eastAsia="宋体" w:hint="default"/>
          <w:b/>
          <w:bCs/>
          <w:w w:val="99"/>
          <w:sz w:val="28"/>
          <w:szCs w:val="28"/>
        </w:rPr>
        <w:t> </w:t>
      </w:r>
      <w:r>
        <w:rPr>
          <w:rFonts w:ascii="宋体" w:hAnsi="宋体" w:cs="宋体" w:eastAsia="宋体" w:hint="default"/>
          <w:b/>
          <w:bCs/>
          <w:sz w:val="28"/>
          <w:szCs w:val="28"/>
        </w:rPr>
        <w:t>作伙伴的深度合作，共同推动行业的创新发展。</w:t>
      </w:r>
      <w:r>
        <w:rPr>
          <w:rFonts w:ascii="宋体" w:hAnsi="宋体" w:cs="宋体" w:eastAsia="宋体" w:hint="default"/>
          <w:sz w:val="28"/>
          <w:szCs w:val="28"/>
        </w:rPr>
      </w:r>
    </w:p>
    <w:p>
      <w:pPr>
        <w:tabs>
          <w:tab w:pos="1412" w:val="left" w:leader="none"/>
        </w:tabs>
        <w:spacing w:line="446" w:lineRule="auto" w:before="162"/>
        <w:ind w:left="714" w:right="150" w:hanging="1"/>
        <w:jc w:val="left"/>
        <w:rPr>
          <w:rFonts w:ascii="Times New Roman" w:hAnsi="Times New Roman" w:cs="Times New Roman" w:eastAsia="Times New Roman" w:hint="default"/>
          <w:sz w:val="28"/>
          <w:szCs w:val="28"/>
        </w:rPr>
      </w:pPr>
      <w:r>
        <w:rPr>
          <w:rFonts w:ascii="Times New Roman" w:hAnsi="Times New Roman" w:cs="Times New Roman" w:eastAsia="Times New Roman" w:hint="default"/>
          <w:b/>
          <w:bCs/>
          <w:spacing w:val="-1"/>
          <w:sz w:val="28"/>
          <w:szCs w:val="28"/>
        </w:rPr>
        <w:t>4</w:t>
      </w:r>
      <w:r>
        <w:rPr>
          <w:rFonts w:ascii="宋体" w:hAnsi="宋体" w:cs="宋体" w:eastAsia="宋体" w:hint="default"/>
          <w:b/>
          <w:bCs/>
          <w:spacing w:val="-1"/>
          <w:sz w:val="28"/>
          <w:szCs w:val="28"/>
        </w:rPr>
        <w:t>、</w:t>
        <w:tab/>
      </w:r>
      <w:r>
        <w:rPr>
          <w:rFonts w:ascii="宋体" w:hAnsi="宋体" w:cs="宋体" w:eastAsia="宋体" w:hint="default"/>
          <w:b/>
          <w:bCs/>
          <w:sz w:val="28"/>
          <w:szCs w:val="28"/>
        </w:rPr>
        <w:t>创新业务带来的成本费用上升风险</w:t>
      </w:r>
      <w:r>
        <w:rPr>
          <w:rFonts w:ascii="宋体" w:hAnsi="宋体" w:cs="宋体" w:eastAsia="宋体" w:hint="default"/>
          <w:b/>
          <w:bCs/>
          <w:w w:val="99"/>
          <w:sz w:val="28"/>
          <w:szCs w:val="28"/>
        </w:rPr>
        <w:t> </w:t>
      </w:r>
      <w:r>
        <w:rPr>
          <w:rFonts w:ascii="宋体" w:hAnsi="宋体" w:cs="宋体" w:eastAsia="宋体" w:hint="default"/>
          <w:b/>
          <w:bCs/>
          <w:sz w:val="28"/>
          <w:szCs w:val="28"/>
        </w:rPr>
        <w:t>公司一贯重视技术与业务创新，每年研发费用占总收入比一直保持在</w:t>
      </w:r>
      <w:r>
        <w:rPr>
          <w:rFonts w:ascii="宋体" w:hAnsi="宋体" w:cs="宋体" w:eastAsia="宋体" w:hint="default"/>
          <w:b/>
          <w:bCs/>
          <w:spacing w:val="-59"/>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sz w:val="28"/>
          <w:szCs w:val="28"/>
        </w:rPr>
      </w:r>
    </w:p>
    <w:p>
      <w:pPr>
        <w:spacing w:line="336" w:lineRule="exact" w:before="0"/>
        <w:ind w:left="152"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左右，通过大力度的创新投入公司在行业里保持了技术引领和业务创新的良好</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408" w:lineRule="auto" w:before="0"/>
        <w:ind w:left="152" w:right="152" w:firstLine="0"/>
        <w:jc w:val="both"/>
        <w:rPr>
          <w:rFonts w:ascii="宋体" w:hAnsi="宋体" w:cs="宋体" w:eastAsia="宋体" w:hint="default"/>
          <w:sz w:val="28"/>
          <w:szCs w:val="28"/>
        </w:rPr>
      </w:pPr>
      <w:r>
        <w:rPr>
          <w:rFonts w:ascii="宋体" w:hAnsi="宋体" w:cs="宋体" w:eastAsia="宋体" w:hint="default"/>
          <w:b/>
          <w:bCs/>
          <w:spacing w:val="2"/>
          <w:sz w:val="28"/>
          <w:szCs w:val="28"/>
        </w:rPr>
        <w:t>口碑，同时也在不断培育出新的具有巨大发展前景的创新业务，为公司的持续</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发展打下了坚实的基础。未来公司仍将会加大创新业务研发和技术研发投入，</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必将产生一定的成本和费用，如果相关业务短期之内不能为公司带来收入，将</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对公司盈利能力产生不利影响。对此，公司将紧密跟踪技术变革和行业发展趋</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势，确保公司处于行业技术领先又不至于造成研发浪费，公司在创新业务拓展</w:t>
      </w:r>
      <w:r>
        <w:rPr>
          <w:rFonts w:ascii="宋体" w:hAnsi="宋体" w:cs="宋体" w:eastAsia="宋体" w:hint="default"/>
          <w:b/>
          <w:bCs/>
          <w:w w:val="99"/>
          <w:sz w:val="28"/>
          <w:szCs w:val="28"/>
        </w:rPr>
        <w:t> </w:t>
      </w:r>
      <w:r>
        <w:rPr>
          <w:rFonts w:ascii="宋体" w:hAnsi="宋体" w:cs="宋体" w:eastAsia="宋体" w:hint="default"/>
          <w:b/>
          <w:bCs/>
          <w:spacing w:val="2"/>
          <w:sz w:val="28"/>
          <w:szCs w:val="28"/>
        </w:rPr>
        <w:t>领域将采取稳健的模式，一方面公司将加强产业政策研究、行业发展趋势研究</w:t>
      </w:r>
      <w:r>
        <w:rPr>
          <w:rFonts w:ascii="宋体" w:hAnsi="宋体" w:cs="宋体" w:eastAsia="宋体" w:hint="default"/>
          <w:b/>
          <w:bCs/>
          <w:w w:val="99"/>
          <w:sz w:val="28"/>
          <w:szCs w:val="28"/>
        </w:rPr>
        <w:t> </w:t>
      </w:r>
      <w:r>
        <w:rPr>
          <w:rFonts w:ascii="宋体" w:hAnsi="宋体" w:cs="宋体" w:eastAsia="宋体" w:hint="default"/>
          <w:b/>
          <w:bCs/>
          <w:spacing w:val="2"/>
          <w:sz w:val="28"/>
          <w:szCs w:val="28"/>
        </w:rPr>
        <w:t>和新技术发展趋势研究，提高创新业务的方向性和成功率，另一方面公司在创</w:t>
      </w:r>
      <w:r>
        <w:rPr>
          <w:rFonts w:ascii="宋体" w:hAnsi="宋体" w:cs="宋体" w:eastAsia="宋体" w:hint="default"/>
          <w:b/>
          <w:bCs/>
          <w:w w:val="99"/>
          <w:sz w:val="28"/>
          <w:szCs w:val="28"/>
        </w:rPr>
        <w:t> </w:t>
      </w:r>
      <w:r>
        <w:rPr>
          <w:rFonts w:ascii="宋体" w:hAnsi="宋体" w:cs="宋体" w:eastAsia="宋体" w:hint="default"/>
          <w:b/>
          <w:bCs/>
          <w:spacing w:val="2"/>
          <w:sz w:val="28"/>
          <w:szCs w:val="28"/>
        </w:rPr>
        <w:t>新业务上将采取轻模式探索和试点的方式，在树立标杆后再大规模推广，降低</w:t>
      </w:r>
      <w:r>
        <w:rPr>
          <w:rFonts w:ascii="宋体" w:hAnsi="宋体" w:cs="宋体" w:eastAsia="宋体" w:hint="default"/>
          <w:b/>
          <w:bCs/>
          <w:w w:val="99"/>
          <w:sz w:val="28"/>
          <w:szCs w:val="28"/>
        </w:rPr>
        <w:t> </w:t>
      </w:r>
      <w:r>
        <w:rPr>
          <w:rFonts w:ascii="宋体" w:hAnsi="宋体" w:cs="宋体" w:eastAsia="宋体" w:hint="default"/>
          <w:b/>
          <w:bCs/>
          <w:sz w:val="28"/>
          <w:szCs w:val="28"/>
        </w:rPr>
        <w:t>创新业务高度不确定性所带来的投入风险。</w:t>
      </w:r>
      <w:r>
        <w:rPr>
          <w:rFonts w:ascii="宋体" w:hAnsi="宋体" w:cs="宋体" w:eastAsia="宋体" w:hint="default"/>
          <w:sz w:val="28"/>
          <w:szCs w:val="28"/>
        </w:rPr>
      </w:r>
    </w:p>
    <w:p>
      <w:pPr>
        <w:tabs>
          <w:tab w:pos="1412" w:val="left" w:leader="none"/>
        </w:tabs>
        <w:spacing w:line="448" w:lineRule="auto" w:before="162"/>
        <w:ind w:left="714" w:right="149" w:firstLine="0"/>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5</w:t>
      </w:r>
      <w:r>
        <w:rPr>
          <w:rFonts w:ascii="宋体" w:hAnsi="宋体" w:cs="宋体" w:eastAsia="宋体" w:hint="default"/>
          <w:b/>
          <w:bCs/>
          <w:spacing w:val="-1"/>
          <w:sz w:val="28"/>
          <w:szCs w:val="28"/>
        </w:rPr>
        <w:t>、</w:t>
        <w:tab/>
      </w:r>
      <w:r>
        <w:rPr>
          <w:rFonts w:ascii="宋体" w:hAnsi="宋体" w:cs="宋体" w:eastAsia="宋体" w:hint="default"/>
          <w:b/>
          <w:bCs/>
          <w:sz w:val="28"/>
          <w:szCs w:val="28"/>
        </w:rPr>
        <w:t>劳动力成本上升风险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公司是一家轻资产型公司，人力资源相关费用是公司成本费用的重要组成</w:t>
      </w:r>
      <w:r>
        <w:rPr>
          <w:rFonts w:ascii="宋体" w:hAnsi="宋体" w:cs="宋体" w:eastAsia="宋体" w:hint="default"/>
          <w:spacing w:val="2"/>
          <w:sz w:val="28"/>
          <w:szCs w:val="28"/>
        </w:rPr>
      </w:r>
    </w:p>
    <w:p>
      <w:pPr>
        <w:spacing w:after="0" w:line="448" w:lineRule="auto"/>
        <w:jc w:val="left"/>
        <w:rPr>
          <w:rFonts w:ascii="宋体" w:hAnsi="宋体" w:cs="宋体" w:eastAsia="宋体" w:hint="default"/>
          <w:sz w:val="28"/>
          <w:szCs w:val="2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4"/>
        <w:ind w:left="152" w:right="154" w:firstLine="0"/>
        <w:jc w:val="both"/>
        <w:rPr>
          <w:rFonts w:ascii="宋体" w:hAnsi="宋体" w:cs="宋体" w:eastAsia="宋体" w:hint="default"/>
          <w:sz w:val="28"/>
          <w:szCs w:val="28"/>
        </w:rPr>
      </w:pPr>
      <w:r>
        <w:rPr>
          <w:rFonts w:ascii="宋体" w:hAnsi="宋体" w:cs="宋体" w:eastAsia="宋体" w:hint="default"/>
          <w:b/>
          <w:bCs/>
          <w:spacing w:val="-6"/>
          <w:sz w:val="28"/>
          <w:szCs w:val="28"/>
        </w:rPr>
        <w:t>部分，如相关领域人员劳动力成本持续提升，将对公司盈利能力产生不利影响。</w:t>
      </w:r>
      <w:r>
        <w:rPr>
          <w:rFonts w:ascii="宋体" w:hAnsi="宋体" w:cs="宋体" w:eastAsia="宋体" w:hint="default"/>
          <w:b/>
          <w:bCs/>
          <w:spacing w:val="-136"/>
          <w:sz w:val="28"/>
          <w:szCs w:val="28"/>
        </w:rPr>
        <w:t> </w:t>
      </w:r>
      <w:r>
        <w:rPr>
          <w:rFonts w:ascii="宋体" w:hAnsi="宋体" w:cs="宋体" w:eastAsia="宋体" w:hint="default"/>
          <w:b/>
          <w:bCs/>
          <w:spacing w:val="-136"/>
          <w:sz w:val="28"/>
          <w:szCs w:val="28"/>
        </w:rPr>
      </w:r>
      <w:r>
        <w:rPr>
          <w:rFonts w:ascii="宋体" w:hAnsi="宋体" w:cs="宋体" w:eastAsia="宋体" w:hint="default"/>
          <w:b/>
          <w:bCs/>
          <w:spacing w:val="-6"/>
          <w:sz w:val="28"/>
          <w:szCs w:val="28"/>
        </w:rPr>
        <w:t>对此，公司将持续优化业务结构，优化内部组织结构与机制，提高软件产品化、</w:t>
      </w:r>
      <w:r>
        <w:rPr>
          <w:rFonts w:ascii="宋体" w:hAnsi="宋体" w:cs="宋体" w:eastAsia="宋体" w:hint="default"/>
          <w:b/>
          <w:bCs/>
          <w:spacing w:val="-138"/>
          <w:sz w:val="28"/>
          <w:szCs w:val="28"/>
        </w:rPr>
        <w:t> </w:t>
      </w:r>
      <w:r>
        <w:rPr>
          <w:rFonts w:ascii="宋体" w:hAnsi="宋体" w:cs="宋体" w:eastAsia="宋体" w:hint="default"/>
          <w:b/>
          <w:bCs/>
          <w:spacing w:val="-138"/>
          <w:sz w:val="28"/>
          <w:szCs w:val="28"/>
        </w:rPr>
      </w:r>
      <w:r>
        <w:rPr>
          <w:rFonts w:ascii="宋体" w:hAnsi="宋体" w:cs="宋体" w:eastAsia="宋体" w:hint="default"/>
          <w:b/>
          <w:bCs/>
          <w:spacing w:val="2"/>
          <w:sz w:val="28"/>
          <w:szCs w:val="28"/>
        </w:rPr>
        <w:t>模块化、组件化水平，加强人员培养与培训，持续提升人员生产效率，从而在</w:t>
      </w:r>
      <w:r>
        <w:rPr>
          <w:rFonts w:ascii="宋体" w:hAnsi="宋体" w:cs="宋体" w:eastAsia="宋体" w:hint="default"/>
          <w:b/>
          <w:bCs/>
          <w:w w:val="99"/>
          <w:sz w:val="28"/>
          <w:szCs w:val="28"/>
        </w:rPr>
        <w:t> </w:t>
      </w:r>
      <w:r>
        <w:rPr>
          <w:rFonts w:ascii="宋体" w:hAnsi="宋体" w:cs="宋体" w:eastAsia="宋体" w:hint="default"/>
          <w:b/>
          <w:bCs/>
          <w:sz w:val="28"/>
          <w:szCs w:val="28"/>
        </w:rPr>
        <w:t>不断提升员工待遇的同时，确保公司盈利能力不受影响甚至逐步增强。</w:t>
      </w:r>
      <w:r>
        <w:rPr>
          <w:rFonts w:ascii="宋体" w:hAnsi="宋体" w:cs="宋体" w:eastAsia="宋体" w:hint="default"/>
          <w:sz w:val="28"/>
          <w:szCs w:val="28"/>
        </w:rPr>
      </w:r>
    </w:p>
    <w:p>
      <w:pPr>
        <w:tabs>
          <w:tab w:pos="1412" w:val="left" w:leader="none"/>
        </w:tabs>
        <w:spacing w:line="446" w:lineRule="auto" w:before="162"/>
        <w:ind w:left="714" w:right="149" w:firstLine="0"/>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6</w:t>
      </w:r>
      <w:r>
        <w:rPr>
          <w:rFonts w:ascii="宋体" w:hAnsi="宋体" w:cs="宋体" w:eastAsia="宋体" w:hint="default"/>
          <w:b/>
          <w:bCs/>
          <w:spacing w:val="-1"/>
          <w:sz w:val="28"/>
          <w:szCs w:val="28"/>
        </w:rPr>
        <w:t>、</w:t>
        <w:tab/>
      </w:r>
      <w:r>
        <w:rPr>
          <w:rFonts w:ascii="宋体" w:hAnsi="宋体" w:cs="宋体" w:eastAsia="宋体" w:hint="default"/>
          <w:b/>
          <w:bCs/>
          <w:sz w:val="28"/>
          <w:szCs w:val="28"/>
        </w:rPr>
        <w:t>应收账款无法回收风险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报告期内，公司随着业务规模不断扩大、营业收入快速增长，应收账款也</w:t>
      </w:r>
      <w:r>
        <w:rPr>
          <w:rFonts w:ascii="宋体" w:hAnsi="宋体" w:cs="宋体" w:eastAsia="宋体" w:hint="default"/>
          <w:spacing w:val="2"/>
          <w:sz w:val="28"/>
          <w:szCs w:val="28"/>
        </w:rPr>
      </w:r>
    </w:p>
    <w:p>
      <w:pPr>
        <w:spacing w:line="408" w:lineRule="auto" w:before="16"/>
        <w:ind w:left="152" w:right="154" w:firstLine="0"/>
        <w:jc w:val="both"/>
        <w:rPr>
          <w:rFonts w:ascii="宋体" w:hAnsi="宋体" w:cs="宋体" w:eastAsia="宋体" w:hint="default"/>
          <w:sz w:val="28"/>
          <w:szCs w:val="28"/>
        </w:rPr>
      </w:pPr>
      <w:r>
        <w:rPr>
          <w:rFonts w:ascii="宋体" w:hAnsi="宋体" w:cs="宋体" w:eastAsia="宋体" w:hint="default"/>
          <w:b/>
          <w:bCs/>
          <w:spacing w:val="-6"/>
          <w:sz w:val="28"/>
          <w:szCs w:val="28"/>
        </w:rPr>
        <w:t>相应增长较快。尽管公司主要客户是电网公司及相关企业，该类客户实力雄厚，</w:t>
      </w:r>
      <w:r>
        <w:rPr>
          <w:rFonts w:ascii="宋体" w:hAnsi="宋体" w:cs="宋体" w:eastAsia="宋体" w:hint="default"/>
          <w:b/>
          <w:bCs/>
          <w:spacing w:val="-136"/>
          <w:sz w:val="28"/>
          <w:szCs w:val="28"/>
        </w:rPr>
        <w:t> </w:t>
      </w:r>
      <w:r>
        <w:rPr>
          <w:rFonts w:ascii="宋体" w:hAnsi="宋体" w:cs="宋体" w:eastAsia="宋体" w:hint="default"/>
          <w:b/>
          <w:bCs/>
          <w:spacing w:val="-136"/>
          <w:sz w:val="28"/>
          <w:szCs w:val="28"/>
        </w:rPr>
      </w:r>
      <w:r>
        <w:rPr>
          <w:rFonts w:ascii="宋体" w:hAnsi="宋体" w:cs="宋体" w:eastAsia="宋体" w:hint="default"/>
          <w:b/>
          <w:bCs/>
          <w:spacing w:val="2"/>
          <w:sz w:val="28"/>
          <w:szCs w:val="28"/>
        </w:rPr>
        <w:t>信誉良好，应收账款的收回有可靠保障，且从历史经验看相关应收账款回收良</w:t>
      </w:r>
      <w:r>
        <w:rPr>
          <w:rFonts w:ascii="宋体" w:hAnsi="宋体" w:cs="宋体" w:eastAsia="宋体" w:hint="default"/>
          <w:b/>
          <w:bCs/>
          <w:w w:val="99"/>
          <w:sz w:val="28"/>
          <w:szCs w:val="28"/>
        </w:rPr>
        <w:t> </w:t>
      </w:r>
      <w:r>
        <w:rPr>
          <w:rFonts w:ascii="宋体" w:hAnsi="宋体" w:cs="宋体" w:eastAsia="宋体" w:hint="default"/>
          <w:b/>
          <w:bCs/>
          <w:spacing w:val="2"/>
          <w:sz w:val="28"/>
          <w:szCs w:val="28"/>
        </w:rPr>
        <w:t>好。但是应收账款的快速增长对公司现金流状况产生了影响，增加了公司对业</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务运营资金的需求。随着公司业务规模的扩大，应收账款可能会进一步增加，</w:t>
      </w:r>
      <w:r>
        <w:rPr>
          <w:rFonts w:ascii="宋体" w:hAnsi="宋体" w:cs="宋体" w:eastAsia="宋体" w:hint="default"/>
          <w:b/>
          <w:bCs/>
          <w:w w:val="99"/>
          <w:sz w:val="28"/>
          <w:szCs w:val="28"/>
        </w:rPr>
        <w:t> </w:t>
      </w:r>
      <w:r>
        <w:rPr>
          <w:rFonts w:ascii="宋体" w:hAnsi="宋体" w:cs="宋体" w:eastAsia="宋体" w:hint="default"/>
          <w:b/>
          <w:bCs/>
          <w:spacing w:val="2"/>
          <w:sz w:val="28"/>
          <w:szCs w:val="28"/>
        </w:rPr>
        <w:t>如果出现应收账款不能按期或无法回收发生坏账的情况，公司将面临流动资金</w:t>
      </w:r>
      <w:r>
        <w:rPr>
          <w:rFonts w:ascii="宋体" w:hAnsi="宋体" w:cs="宋体" w:eastAsia="宋体" w:hint="default"/>
          <w:b/>
          <w:bCs/>
          <w:w w:val="99"/>
          <w:sz w:val="28"/>
          <w:szCs w:val="28"/>
        </w:rPr>
        <w:t> </w:t>
      </w:r>
      <w:r>
        <w:rPr>
          <w:rFonts w:ascii="宋体" w:hAnsi="宋体" w:cs="宋体" w:eastAsia="宋体" w:hint="default"/>
          <w:b/>
          <w:bCs/>
          <w:spacing w:val="2"/>
          <w:sz w:val="28"/>
          <w:szCs w:val="28"/>
        </w:rPr>
        <w:t>短缺的风险。对此，公司将继续紧密监控应收账款，加强与客户付款流程的互</w:t>
      </w:r>
      <w:r>
        <w:rPr>
          <w:rFonts w:ascii="宋体" w:hAnsi="宋体" w:cs="宋体" w:eastAsia="宋体" w:hint="default"/>
          <w:b/>
          <w:bCs/>
          <w:w w:val="99"/>
          <w:sz w:val="28"/>
          <w:szCs w:val="28"/>
        </w:rPr>
        <w:t> </w:t>
      </w:r>
      <w:r>
        <w:rPr>
          <w:rFonts w:ascii="宋体" w:hAnsi="宋体" w:cs="宋体" w:eastAsia="宋体" w:hint="default"/>
          <w:b/>
          <w:bCs/>
          <w:sz w:val="28"/>
          <w:szCs w:val="28"/>
        </w:rPr>
        <w:t>动，促进应收账款的及时回收，确保经营性净现金流为正。</w:t>
      </w:r>
      <w:r>
        <w:rPr>
          <w:rFonts w:ascii="宋体" w:hAnsi="宋体" w:cs="宋体" w:eastAsia="宋体" w:hint="default"/>
          <w:sz w:val="28"/>
          <w:szCs w:val="28"/>
        </w:rPr>
      </w:r>
    </w:p>
    <w:p>
      <w:pPr>
        <w:tabs>
          <w:tab w:pos="1412" w:val="left" w:leader="none"/>
        </w:tabs>
        <w:spacing w:line="448" w:lineRule="auto" w:before="162"/>
        <w:ind w:left="714" w:right="149" w:hanging="1"/>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7</w:t>
      </w:r>
      <w:r>
        <w:rPr>
          <w:rFonts w:ascii="宋体" w:hAnsi="宋体" w:cs="宋体" w:eastAsia="宋体" w:hint="default"/>
          <w:b/>
          <w:bCs/>
          <w:spacing w:val="-1"/>
          <w:sz w:val="28"/>
          <w:szCs w:val="28"/>
        </w:rPr>
        <w:t>、</w:t>
        <w:tab/>
      </w:r>
      <w:r>
        <w:rPr>
          <w:rFonts w:ascii="宋体" w:hAnsi="宋体" w:cs="宋体" w:eastAsia="宋体" w:hint="default"/>
          <w:b/>
          <w:bCs/>
          <w:sz w:val="28"/>
          <w:szCs w:val="28"/>
        </w:rPr>
        <w:t>人才流失风险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高素质的人才是公司事业成功的根本，随着行业竞争的日趋激烈，对人才</w:t>
      </w:r>
      <w:r>
        <w:rPr>
          <w:rFonts w:ascii="宋体" w:hAnsi="宋体" w:cs="宋体" w:eastAsia="宋体" w:hint="default"/>
          <w:spacing w:val="2"/>
          <w:sz w:val="28"/>
          <w:szCs w:val="28"/>
        </w:rPr>
      </w:r>
    </w:p>
    <w:p>
      <w:pPr>
        <w:spacing w:line="408" w:lineRule="auto" w:before="14"/>
        <w:ind w:left="152" w:right="154" w:firstLine="0"/>
        <w:jc w:val="both"/>
        <w:rPr>
          <w:rFonts w:ascii="宋体" w:hAnsi="宋体" w:cs="宋体" w:eastAsia="宋体" w:hint="default"/>
          <w:sz w:val="28"/>
          <w:szCs w:val="28"/>
        </w:rPr>
      </w:pPr>
      <w:r>
        <w:rPr>
          <w:rFonts w:ascii="宋体" w:hAnsi="宋体" w:cs="宋体" w:eastAsia="宋体" w:hint="default"/>
          <w:b/>
          <w:bCs/>
          <w:spacing w:val="2"/>
          <w:sz w:val="28"/>
          <w:szCs w:val="28"/>
        </w:rPr>
        <w:t>的争夺亦趋于白热化，一旦公司核心人才流失，且不能及时获得相应补充，将</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对公司的盈利能力产生不利影响。对此，公司通过搭建结合了工作与事业追求</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的平台机制，并提供有竞争力的薪酬、福利以及股权激励，建立公平的竞争晋</w:t>
      </w:r>
      <w:r>
        <w:rPr>
          <w:rFonts w:ascii="宋体" w:hAnsi="宋体" w:cs="宋体" w:eastAsia="宋体" w:hint="default"/>
          <w:b/>
          <w:bCs/>
          <w:w w:val="99"/>
          <w:sz w:val="28"/>
          <w:szCs w:val="28"/>
        </w:rPr>
        <w:t> </w:t>
      </w:r>
      <w:r>
        <w:rPr>
          <w:rFonts w:ascii="宋体" w:hAnsi="宋体" w:cs="宋体" w:eastAsia="宋体" w:hint="default"/>
          <w:b/>
          <w:bCs/>
          <w:spacing w:val="-6"/>
          <w:sz w:val="28"/>
          <w:szCs w:val="28"/>
        </w:rPr>
        <w:t>升机制，让优秀的人才既有良好的短期工作与生活保障，又有长远的事业追求，</w:t>
      </w:r>
      <w:r>
        <w:rPr>
          <w:rFonts w:ascii="宋体" w:hAnsi="宋体" w:cs="宋体" w:eastAsia="宋体" w:hint="default"/>
          <w:b/>
          <w:bCs/>
          <w:spacing w:val="-136"/>
          <w:sz w:val="28"/>
          <w:szCs w:val="28"/>
        </w:rPr>
        <w:t> </w:t>
      </w:r>
      <w:r>
        <w:rPr>
          <w:rFonts w:ascii="宋体" w:hAnsi="宋体" w:cs="宋体" w:eastAsia="宋体" w:hint="default"/>
          <w:b/>
          <w:bCs/>
          <w:spacing w:val="-136"/>
          <w:sz w:val="28"/>
          <w:szCs w:val="28"/>
        </w:rPr>
      </w:r>
      <w:r>
        <w:rPr>
          <w:rFonts w:ascii="宋体" w:hAnsi="宋体" w:cs="宋体" w:eastAsia="宋体" w:hint="default"/>
          <w:b/>
          <w:bCs/>
          <w:sz w:val="28"/>
          <w:szCs w:val="28"/>
        </w:rPr>
        <w:t>从而保证人才稳定性。</w:t>
      </w:r>
      <w:r>
        <w:rPr>
          <w:rFonts w:ascii="宋体" w:hAnsi="宋体" w:cs="宋体" w:eastAsia="宋体" w:hint="default"/>
          <w:sz w:val="28"/>
          <w:szCs w:val="28"/>
        </w:rPr>
      </w:r>
    </w:p>
    <w:p>
      <w:pPr>
        <w:spacing w:before="16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6"/>
          <w:sz w:val="28"/>
          <w:szCs w:val="28"/>
        </w:rPr>
        <w:t> </w:t>
      </w:r>
      <w:r>
        <w:rPr>
          <w:rFonts w:ascii="Times New Roman" w:hAnsi="Times New Roman" w:cs="Times New Roman" w:eastAsia="Times New Roman" w:hint="default"/>
          <w:b/>
          <w:bCs/>
          <w:sz w:val="28"/>
          <w:szCs w:val="28"/>
        </w:rPr>
        <w:t>416,760,300</w:t>
      </w:r>
      <w:r>
        <w:rPr>
          <w:rFonts w:ascii="Times New Roman" w:hAnsi="Times New Roman" w:cs="Times New Roman" w:eastAsia="Times New Roman" w:hint="default"/>
          <w:b/>
          <w:bCs/>
          <w:spacing w:val="-1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after="0"/>
        <w:jc w:val="left"/>
        <w:rPr>
          <w:rFonts w:ascii="宋体" w:hAnsi="宋体" w:cs="宋体" w:eastAsia="宋体" w:hint="default"/>
          <w:sz w:val="28"/>
          <w:szCs w:val="2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before="14"/>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0</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5</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6"/>
        <w:ind w:left="152" w:right="15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4"/>
        <w:ind w:left="3164" w:right="316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8"/>
              </w:rPr>
              <w:t> </w:t>
            </w:r>
            <w:r>
              <w:rPr/>
              <w:t>财务报告</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9"/>
              </w:rPr>
              <w:t> </w:t>
            </w:r>
            <w:r>
              <w:rPr/>
              <w:t>备查文件目录</w:t>
            </w:r>
            <w:r>
              <w:rPr>
                <w:rFonts w:ascii="Times New Roman" w:hAnsi="Times New Roman" w:cs="Times New Roman" w:eastAsia="Times New Roman" w:hint="default"/>
              </w:rPr>
              <w:tab/>
              <w:t>171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2" w:top="1060" w:bottom="1180" w:left="980" w:right="980"/>
        </w:sectPr>
      </w:pPr>
    </w:p>
    <w:p>
      <w:pPr>
        <w:spacing w:before="944"/>
        <w:ind w:left="3162" w:right="316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5"/>
        <w:gridCol w:w="599"/>
        <w:gridCol w:w="5435"/>
      </w:tblGrid>
      <w:tr>
        <w:trPr>
          <w:trHeight w:val="403" w:hRule="exact"/>
        </w:trPr>
        <w:tc>
          <w:tcPr>
            <w:tcW w:w="3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一、简称</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朗新科技、本公司、公司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朗新科技股份有限公司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本集团</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朗新科技股份有限公司及子公司的合称</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国网、国家电网</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国家电网公司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南网、南方电网</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中国南方电网有限责任公司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朗新科技股份有限公司董事会</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朗新科技股份有限公司监事会</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朗新科技股份有限公司股东大会</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朗新金关</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无锡朗新金关信息科技有限公司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天正信华</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北京天正信华科技有限公司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易视腾</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易视腾科技股份有限公司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邦道科技有限公司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朗新数据</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朗新数据科技有限公司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朗新云商</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朗新云商科技有限公司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二、专业术语</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
        </w:tc>
      </w:tr>
      <w:tr>
        <w:trPr>
          <w:trHeight w:val="629"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SG186</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04" w:lineRule="auto" w:before="49"/>
              <w:ind w:left="28" w:right="19"/>
              <w:jc w:val="left"/>
              <w:rPr>
                <w:rFonts w:ascii="宋体" w:hAnsi="宋体" w:cs="宋体" w:eastAsia="宋体" w:hint="default"/>
                <w:sz w:val="18"/>
                <w:szCs w:val="18"/>
              </w:rPr>
            </w:pPr>
            <w:r>
              <w:rPr>
                <w:rFonts w:ascii="宋体" w:hAnsi="宋体" w:cs="宋体" w:eastAsia="宋体" w:hint="default"/>
                <w:sz w:val="18"/>
                <w:szCs w:val="18"/>
              </w:rPr>
              <w:t>国网于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年度提出的信息化工程。其中</w:t>
            </w:r>
            <w:r>
              <w:rPr>
                <w:rFonts w:ascii="Times New Roman" w:hAnsi="Times New Roman" w:cs="Times New Roman" w:eastAsia="Times New Roman" w:hint="default"/>
                <w:sz w:val="18"/>
                <w:szCs w:val="18"/>
              </w:rPr>
              <w:t>“1”</w:t>
            </w:r>
            <w:r>
              <w:rPr>
                <w:rFonts w:ascii="宋体" w:hAnsi="宋体" w:cs="宋体" w:eastAsia="宋体" w:hint="default"/>
                <w:sz w:val="18"/>
                <w:szCs w:val="18"/>
              </w:rPr>
              <w:t>指一体化企业信息集成 平台，</w:t>
            </w:r>
            <w:r>
              <w:rPr>
                <w:rFonts w:ascii="Times New Roman" w:hAnsi="Times New Roman" w:cs="Times New Roman" w:eastAsia="Times New Roman" w:hint="default"/>
                <w:sz w:val="18"/>
                <w:szCs w:val="18"/>
              </w:rPr>
              <w:t>“8”</w:t>
            </w:r>
            <w:r>
              <w:rPr>
                <w:rFonts w:ascii="宋体" w:hAnsi="宋体" w:cs="宋体" w:eastAsia="宋体" w:hint="default"/>
                <w:sz w:val="18"/>
                <w:szCs w:val="18"/>
              </w:rPr>
              <w:t>指财务（资金）管理、营销管理、安全生产管理、协同办 </w:t>
            </w:r>
            <w:r>
              <w:rPr>
                <w:rFonts w:ascii="宋体" w:hAnsi="宋体" w:cs="宋体" w:eastAsia="宋体" w:hint="default"/>
                <w:spacing w:val="-2"/>
                <w:sz w:val="18"/>
                <w:szCs w:val="18"/>
              </w:rPr>
              <w:t>公管理、人力资源管理、物资管理、项目管理、综合管理等八大业务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应用，</w:t>
            </w:r>
            <w:r>
              <w:rPr>
                <w:rFonts w:ascii="Times New Roman" w:hAnsi="Times New Roman" w:cs="Times New Roman" w:eastAsia="Times New Roman" w:hint="default"/>
                <w:sz w:val="18"/>
                <w:szCs w:val="18"/>
              </w:rPr>
              <w:t>“6”</w:t>
            </w:r>
            <w:r>
              <w:rPr>
                <w:rFonts w:ascii="宋体" w:hAnsi="宋体" w:cs="宋体" w:eastAsia="宋体" w:hint="default"/>
                <w:sz w:val="18"/>
                <w:szCs w:val="18"/>
              </w:rPr>
              <w:t>指信息化安全防护体系、标准规范体系、管理调控体系、 评价考核体系、技术研究体系和人才队伍体系六个信息化保障体系</w:t>
            </w:r>
          </w:p>
        </w:tc>
      </w:tr>
      <w:tr>
        <w:trPr>
          <w:trHeight w:val="391" w:hRule="exact"/>
        </w:trPr>
        <w:tc>
          <w:tcPr>
            <w:tcW w:w="3535" w:type="dxa"/>
            <w:vMerge/>
            <w:tcBorders>
              <w:left w:val="single" w:sz="4" w:space="0" w:color="000000"/>
              <w:right w:val="single" w:sz="9"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629" w:hRule="exact"/>
        </w:trPr>
        <w:tc>
          <w:tcPr>
            <w:tcW w:w="3535" w:type="dxa"/>
            <w:vMerge/>
            <w:tcBorders>
              <w:left w:val="single" w:sz="4" w:space="0" w:color="000000"/>
              <w:bottom w:val="single" w:sz="4" w:space="0" w:color="000000"/>
              <w:right w:val="single" w:sz="9"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161"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SG-ERP</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00" w:lineRule="auto" w:before="49"/>
              <w:ind w:left="28"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“SG-ERP”</w:t>
            </w:r>
            <w:r>
              <w:rPr>
                <w:rFonts w:ascii="宋体" w:hAnsi="宋体" w:cs="宋体" w:eastAsia="宋体" w:hint="default"/>
                <w:sz w:val="18"/>
                <w:szCs w:val="18"/>
              </w:rPr>
              <w:t>中的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即继承、完善、发展，是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SG186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工程的继承、完 善和进一步发展。</w:t>
            </w:r>
          </w:p>
        </w:tc>
      </w:tr>
      <w:tr>
        <w:trPr>
          <w:trHeight w:val="394" w:hRule="exact"/>
        </w:trPr>
        <w:tc>
          <w:tcPr>
            <w:tcW w:w="3535" w:type="dxa"/>
            <w:vMerge/>
            <w:tcBorders>
              <w:left w:val="single" w:sz="4" w:space="0" w:color="000000"/>
              <w:right w:val="single" w:sz="9"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161" w:hRule="exact"/>
        </w:trPr>
        <w:tc>
          <w:tcPr>
            <w:tcW w:w="3535" w:type="dxa"/>
            <w:vMerge/>
            <w:tcBorders>
              <w:left w:val="single" w:sz="4" w:space="0" w:color="000000"/>
              <w:bottom w:val="single" w:sz="4" w:space="0" w:color="000000"/>
              <w:right w:val="single" w:sz="9"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298"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24" w:right="0"/>
              <w:jc w:val="left"/>
              <w:rPr>
                <w:rFonts w:ascii="Times New Roman" w:hAnsi="Times New Roman" w:cs="Times New Roman" w:eastAsia="Times New Roman" w:hint="default"/>
                <w:sz w:val="18"/>
                <w:szCs w:val="18"/>
              </w:rPr>
            </w:pPr>
            <w:r>
              <w:rPr>
                <w:rFonts w:ascii="Times New Roman"/>
                <w:sz w:val="18"/>
              </w:rPr>
              <w:t>CMMI</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09" w:lineRule="auto" w:before="49"/>
              <w:ind w:left="28"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Capability Maturity Model</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Integration</w:t>
            </w:r>
            <w:r>
              <w:rPr>
                <w:rFonts w:ascii="宋体" w:hAnsi="宋体" w:cs="宋体" w:eastAsia="宋体" w:hint="default"/>
                <w:sz w:val="18"/>
                <w:szCs w:val="18"/>
              </w:rPr>
              <w:t>（软件能力成熟度模型集成）的 </w:t>
            </w:r>
            <w:r>
              <w:rPr>
                <w:rFonts w:ascii="宋体" w:hAnsi="宋体" w:cs="宋体" w:eastAsia="宋体" w:hint="default"/>
                <w:spacing w:val="-2"/>
                <w:sz w:val="18"/>
                <w:szCs w:val="18"/>
              </w:rPr>
              <w:t>简称，是一套融合多学科的、可扩充的产品集合，其研制的初步动机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是为了利用两个或多个单一学科的模型实现一个组织的集成化过程</w:t>
            </w:r>
          </w:p>
        </w:tc>
      </w:tr>
      <w:tr>
        <w:trPr>
          <w:trHeight w:val="391" w:hRule="exact"/>
        </w:trPr>
        <w:tc>
          <w:tcPr>
            <w:tcW w:w="3535" w:type="dxa"/>
            <w:vMerge/>
            <w:tcBorders>
              <w:left w:val="single" w:sz="4" w:space="0" w:color="000000"/>
              <w:right w:val="single" w:sz="9"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298" w:hRule="exact"/>
        </w:trPr>
        <w:tc>
          <w:tcPr>
            <w:tcW w:w="3535" w:type="dxa"/>
            <w:vMerge/>
            <w:tcBorders>
              <w:left w:val="single" w:sz="4" w:space="0" w:color="000000"/>
              <w:bottom w:val="single" w:sz="4" w:space="0" w:color="000000"/>
              <w:right w:val="single" w:sz="9"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BodyText"/>
        <w:spacing w:line="240" w:lineRule="auto" w:before="44"/>
        <w:ind w:left="0" w:right="160"/>
        <w:jc w:val="right"/>
      </w:pPr>
      <w:r>
        <w:rPr/>
        <w:pict>
          <v:shape style="position:absolute;margin-left:56.400002pt;margin-top:-18.849297pt;width:479.2pt;height:239.4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362"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改进，本质是软件管理工程的一个部分。</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PMBOK</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Project Management Body Of</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5"/>
                            <w:sz w:val="18"/>
                            <w:szCs w:val="18"/>
                          </w:rPr>
                          <w:t>Knowledge</w:t>
                        </w:r>
                        <w:r>
                          <w:rPr>
                            <w:rFonts w:ascii="宋体" w:hAnsi="宋体" w:cs="宋体" w:eastAsia="宋体" w:hint="default"/>
                            <w:spacing w:val="-5"/>
                            <w:sz w:val="18"/>
                            <w:szCs w:val="18"/>
                          </w:rPr>
                          <w:t>（项目管理知识体系）的简称</w:t>
                        </w:r>
                        <w:r>
                          <w:rPr>
                            <w:rFonts w:ascii="宋体" w:hAnsi="宋体" w:cs="宋体" w:eastAsia="宋体" w:hint="default"/>
                            <w:w w:val="99"/>
                            <w:sz w:val="18"/>
                            <w:szCs w:val="18"/>
                          </w:rPr>
                          <w:t> </w:t>
                        </w:r>
                        <w:r>
                          <w:rPr>
                            <w:rFonts w:ascii="宋体" w:hAnsi="宋体" w:cs="宋体" w:eastAsia="宋体" w:hint="default"/>
                            <w:sz w:val="18"/>
                            <w:szCs w:val="18"/>
                          </w:rPr>
                          <w:t>是美国项目管理协会（</w:t>
                        </w:r>
                        <w:r>
                          <w:rPr>
                            <w:rFonts w:ascii="Times New Roman" w:hAnsi="Times New Roman" w:cs="Times New Roman" w:eastAsia="Times New Roman" w:hint="default"/>
                            <w:sz w:val="18"/>
                            <w:szCs w:val="18"/>
                          </w:rPr>
                          <w:t>PMI</w:t>
                        </w:r>
                        <w:r>
                          <w:rPr>
                            <w:rFonts w:ascii="宋体" w:hAnsi="宋体" w:cs="宋体" w:eastAsia="宋体" w:hint="default"/>
                            <w:sz w:val="18"/>
                            <w:szCs w:val="18"/>
                          </w:rPr>
                          <w:t>）对项目管理所需的知识、技能和工具进</w:t>
                        </w:r>
                        <w:r>
                          <w:rPr>
                            <w:rFonts w:ascii="宋体" w:hAnsi="宋体" w:cs="宋体" w:eastAsia="宋体" w:hint="default"/>
                            <w:w w:val="99"/>
                            <w:sz w:val="18"/>
                            <w:szCs w:val="18"/>
                          </w:rPr>
                          <w:t> </w:t>
                        </w:r>
                        <w:r>
                          <w:rPr>
                            <w:rFonts w:ascii="宋体" w:hAnsi="宋体" w:cs="宋体" w:eastAsia="宋体" w:hint="default"/>
                            <w:sz w:val="18"/>
                            <w:szCs w:val="18"/>
                          </w:rPr>
                          <w:t>行的概括性描述，把项目管理划分为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个知识领域。</w:t>
                        </w:r>
                      </w:p>
                    </w:tc>
                  </w:tr>
                  <w:tr>
                    <w:trPr>
                      <w:trHeight w:val="133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Cloudcomputing</w:t>
                        </w:r>
                        <w:r>
                          <w:rPr>
                            <w:rFonts w:ascii="宋体" w:hAnsi="宋体" w:cs="宋体" w:eastAsia="宋体" w:hint="default"/>
                            <w:spacing w:val="-3"/>
                            <w:sz w:val="18"/>
                            <w:szCs w:val="18"/>
                          </w:rPr>
                          <w:t>，是基于互联网的相关服务的增加、使用和交付模式</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通常涉及通过互联网来提供动态易扩展且经常是虚拟化的资源，是分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布式计算、并行计算、效用计算、网络存储、虚拟化、负载均衡、热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备份冗余等传统计算机和网络技术发展融合的产物。</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一个基于互联网、传统电信网等信息承载体，让所有能够被独立寻址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的普通物理对象实现互联互通的网络，其具有智能、先进、互联的三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个重要特征。</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Big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Data</w:t>
                        </w:r>
                        <w:r>
                          <w:rPr>
                            <w:rFonts w:ascii="宋体" w:hAnsi="宋体" w:cs="宋体" w:eastAsia="宋体" w:hint="default"/>
                            <w:sz w:val="18"/>
                            <w:szCs w:val="18"/>
                          </w:rPr>
                          <w:t>，或称巨量资料，指的是所涉及的资料量规模巨大到无法通 </w:t>
                        </w:r>
                        <w:r>
                          <w:rPr>
                            <w:rFonts w:ascii="宋体" w:hAnsi="宋体" w:cs="宋体" w:eastAsia="宋体" w:hint="default"/>
                            <w:spacing w:val="-2"/>
                            <w:sz w:val="18"/>
                            <w:szCs w:val="18"/>
                          </w:rPr>
                          <w:t>过目前主流软件工具，在合理时间内达到撷取、管理、处理、并整理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成为帮助企业经营决策更积极目的的资讯。</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44"/>
        <w:ind w:left="0" w:right="160"/>
        <w:jc w:val="right"/>
      </w:pPr>
      <w:r>
        <w:rPr/>
        <w:t>，</w:t>
      </w:r>
    </w:p>
    <w:p>
      <w:pPr>
        <w:spacing w:after="0" w:line="240" w:lineRule="auto"/>
        <w:jc w:val="righ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1" w:right="15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0"/>
        <w:jc w:val="left"/>
        <w:rPr>
          <w:b w:val="0"/>
          <w:bCs w:val="0"/>
        </w:rPr>
      </w:pPr>
      <w:r>
        <w:rPr/>
        <w:pict>
          <v:group style="position:absolute;margin-left:171.119995pt;margin-top:114.075615pt;width:362.65pt;height:20.9pt;mso-position-horizontal-relative:page;mso-position-vertical-relative:paragraph;z-index:-932032" coordorigin="3422,2282" coordsize="7253,418">
            <v:group style="position:absolute;left:3434;top:2294;width:2;height:394" coordorigin="3434,2294" coordsize="2,394">
              <v:shape style="position:absolute;left:3434;top:2294;width:2;height:394" coordorigin="3434,2294" coordsize="0,394" path="m3434,2294l3434,2687e" filled="false" stroked="true" strokeweight="1.2pt" strokecolor="#ffffff">
                <v:path arrowok="t"/>
              </v:shape>
            </v:group>
            <v:group style="position:absolute;left:3446;top:2294;width:7229;height:394" coordorigin="3446,2294" coordsize="7229,394">
              <v:shape style="position:absolute;left:3446;top:2294;width:7229;height:394" coordorigin="3446,2294" coordsize="7229,394" path="m3446,2687l10675,2687,10675,2294,3446,2294,3446,2687xe" filled="true" fillcolor="#ffffff" stroked="false">
                <v:path arrowok="t"/>
                <v:fill type="solid"/>
              </v:shape>
            </v:group>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64"/>
        <w:gridCol w:w="2132"/>
        <w:gridCol w:w="2188"/>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朗新科技</w:t>
            </w:r>
          </w:p>
        </w:tc>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300682</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朗新科技股份有限公司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朗新科技</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Longshine Technology Co.,</w:t>
            </w:r>
            <w:r>
              <w:rPr>
                <w:rFonts w:ascii="Times New Roman"/>
                <w:spacing w:val="-23"/>
                <w:sz w:val="18"/>
              </w:rPr>
              <w:t> </w:t>
            </w:r>
            <w:r>
              <w:rPr>
                <w:rFonts w:ascii="Times New Roman"/>
                <w:sz w:val="18"/>
              </w:rPr>
              <w:t>Ltd.</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34"/>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LONGSHINE</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郑新标</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无锡新吴区净慧东路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号无锡软件园天鹅座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214000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无锡新吴区净慧东路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号无锡软件园天鹅座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214000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http://www.longshine.com/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ir@longshine.com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季悦</w:t>
            </w:r>
          </w:p>
        </w:tc>
      </w:tr>
      <w:tr>
        <w:trPr>
          <w:trHeight w:val="161" w:hRule="exact"/>
        </w:trPr>
        <w:tc>
          <w:tcPr>
            <w:tcW w:w="3167" w:type="dxa"/>
            <w:tcBorders>
              <w:top w:val="single" w:sz="4" w:space="0" w:color="000000"/>
              <w:left w:val="single" w:sz="4" w:space="0" w:color="000000"/>
              <w:bottom w:val="nil" w:sz="6" w:space="0" w:color="auto"/>
              <w:right w:val="single" w:sz="4" w:space="0" w:color="000000"/>
            </w:tcBorders>
            <w:shd w:val="clear" w:color="auto" w:fill="D4D4D4"/>
          </w:tcPr>
          <w:p>
            <w:pPr/>
          </w:p>
        </w:tc>
        <w:tc>
          <w:tcPr>
            <w:tcW w:w="3200" w:type="dxa"/>
            <w:vMerge w:val="restart"/>
            <w:tcBorders>
              <w:top w:val="single" w:sz="4" w:space="0" w:color="000000"/>
              <w:left w:val="single" w:sz="9" w:space="0" w:color="D4D4D4"/>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号院北辰时代</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1801</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号院北辰时代</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1801</w:t>
            </w:r>
          </w:p>
        </w:tc>
      </w:tr>
      <w:tr>
        <w:trPr>
          <w:trHeight w:val="391" w:hRule="exact"/>
        </w:trPr>
        <w:tc>
          <w:tcPr>
            <w:tcW w:w="316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7" w:type="dxa"/>
            <w:tcBorders>
              <w:top w:val="nil" w:sz="6" w:space="0" w:color="auto"/>
              <w:left w:val="single" w:sz="4" w:space="0" w:color="000000"/>
              <w:bottom w:val="single" w:sz="4" w:space="0" w:color="000000"/>
              <w:right w:val="single" w:sz="4" w:space="0" w:color="000000"/>
            </w:tcBorders>
            <w:shd w:val="clear" w:color="auto" w:fill="D4D4D4"/>
          </w:tcPr>
          <w:p>
            <w:pPr/>
          </w:p>
        </w:tc>
        <w:tc>
          <w:tcPr>
            <w:tcW w:w="320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010-82430888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010-82430888</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010-82430999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010-82430999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ir@longshine.com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ir@longshine.com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8"/>
                <w:sz w:val="18"/>
                <w:szCs w:val="18"/>
              </w:rPr>
              <w:t> </w:t>
            </w:r>
            <w:hyperlink r:id="rId11">
              <w:r>
                <w:rPr>
                  <w:rFonts w:ascii="Times New Roman" w:hAnsi="Times New Roman" w:cs="Times New Roman" w:eastAsia="Times New Roman" w:hint="default"/>
                  <w:sz w:val="18"/>
                  <w:szCs w:val="18"/>
                </w:rPr>
                <w:t>www.cninfo.com.cn</w:t>
              </w:r>
            </w:hyperlink>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50"/>
        <w:jc w:val="left"/>
        <w:rPr>
          <w:b w:val="0"/>
          <w:bCs w:val="0"/>
        </w:rPr>
      </w:pPr>
      <w:bookmarkStart w:name="四、其他有关资料" w:id="7"/>
      <w:bookmarkEnd w:id="7"/>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0"/>
        <w:jc w:val="left"/>
      </w:pPr>
      <w:r>
        <w:rPr/>
        <w:t>公司聘请的会计师事务所</w:t>
      </w:r>
    </w:p>
    <w:p>
      <w:pPr>
        <w:spacing w:after="0" w:line="240" w:lineRule="auto"/>
        <w:jc w:val="lef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北京市朝阳区东三环中路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号北京财富中心写字楼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李雪梅、李莎</w:t>
            </w:r>
          </w:p>
        </w:tc>
      </w:tr>
    </w:tbl>
    <w:p>
      <w:pPr>
        <w:pStyle w:val="BodyText"/>
        <w:spacing w:line="240" w:lineRule="auto" w:before="49"/>
        <w:ind w:right="150"/>
        <w:jc w:val="left"/>
      </w:pPr>
      <w:r>
        <w:rPr/>
        <w:t>公司聘请的报告期内履行持续督导职责的保荐机构</w:t>
      </w:r>
    </w:p>
    <w:p>
      <w:pPr>
        <w:pStyle w:val="BodyText"/>
        <w:spacing w:line="240" w:lineRule="auto" w:before="115"/>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中信证券大厦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赵亮、彭捷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150"/>
        <w:jc w:val="left"/>
      </w:pPr>
      <w:r>
        <w:rPr/>
        <w:t>公司聘请的报告期内履行持续督导职责的财务顾问</w:t>
      </w:r>
    </w:p>
    <w:p>
      <w:pPr>
        <w:pStyle w:val="BodyText"/>
        <w:spacing w:line="240" w:lineRule="auto" w:before="115"/>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0"/>
        <w:jc w:val="left"/>
      </w:pPr>
      <w:r>
        <w:rPr/>
        <w:t>公司是否需追溯调整或重述以前年度会计数据</w:t>
      </w:r>
    </w:p>
    <w:p>
      <w:pPr>
        <w:pStyle w:val="BodyText"/>
        <w:spacing w:line="240" w:lineRule="auto" w:before="115"/>
        <w:ind w:right="1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8"/>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782,935,041.04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749,510,263.97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617,717,636.30</w:t>
            </w:r>
            <w:r>
              <w:rPr>
                <w:rFonts w:ascii="Times New Roman"/>
                <w:sz w:val="18"/>
              </w:rPr>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139,136,836.46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122,086,980.58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71,713,687.60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110,705,406.18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97,059,479.76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48,307,950.82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48,714,313.54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53,658,487.19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25,862,858.25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0.34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0.20</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0.34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0.20</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1,645,026,121.93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1,112,997,987.03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966,431,916.61</w:t>
            </w:r>
            <w:r>
              <w:rPr>
                <w:rFonts w:ascii="Times New Roman"/>
                <w:sz w:val="18"/>
              </w:rPr>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1,158,277,487.44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809,604,902.09</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713,974,708.22</w:t>
            </w:r>
            <w:r>
              <w:rPr>
                <w:rFonts w:ascii="Times New Roman"/>
                <w:sz w:val="18"/>
              </w:rPr>
            </w:r>
          </w:p>
        </w:tc>
      </w:tr>
    </w:tbl>
    <w:p>
      <w:pPr>
        <w:spacing w:line="240" w:lineRule="auto" w:before="1"/>
        <w:rPr>
          <w:rFonts w:ascii="宋体" w:hAnsi="宋体" w:cs="宋体" w:eastAsia="宋体" w:hint="default"/>
          <w:sz w:val="18"/>
          <w:szCs w:val="18"/>
        </w:rPr>
      </w:pPr>
    </w:p>
    <w:p>
      <w:pPr>
        <w:pStyle w:val="Heading2"/>
        <w:spacing w:line="240" w:lineRule="auto" w:before="26"/>
        <w:ind w:right="15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61,132,719.13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66,198,930.54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84,255,151.91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571,348,239.46</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28,095.65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869,341.48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-18,754,205.48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156,993,604.81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0"/>
      </w:tblGrid>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-8,091.74</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-20,789,761.60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-18,758,744.82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150,262,004.34</w:t>
            </w:r>
            <w:r>
              <w:rPr>
                <w:rFonts w:ascii="Times New Roman"/>
                <w:sz w:val="18"/>
              </w:rPr>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-80,345,200.70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-12,227,754.37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656,727.51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140,630,541.10</w:t>
            </w:r>
            <w:r>
              <w:rPr>
                <w:rFonts w:ascii="Times New Roman"/>
                <w:sz w:val="18"/>
              </w:rPr>
            </w:r>
          </w:p>
        </w:tc>
      </w:tr>
    </w:tbl>
    <w:p>
      <w:pPr>
        <w:pStyle w:val="BodyText"/>
        <w:spacing w:line="240" w:lineRule="auto" w:before="49"/>
        <w:ind w:right="150"/>
        <w:jc w:val="left"/>
      </w:pPr>
      <w:r>
        <w:rPr/>
        <w:t>上述财务指标或其加总数是否与公司已披露季度报告、半年度报告相关财务指标存在重大差异</w:t>
      </w:r>
    </w:p>
    <w:p>
      <w:pPr>
        <w:pStyle w:val="BodyText"/>
        <w:spacing w:line="240" w:lineRule="auto" w:before="115"/>
        <w:ind w:right="1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5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ind w:right="15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15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-28,040.09</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154,518.34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17,829.80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29,555,375.00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27,368,900.00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27,348,400.00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2,048,861.55</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6,691.39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266,212.09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173,603.41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3,151,353.49</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2,762,129.61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4,134,096.43</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104.08</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28,431,430.28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25,027,500.82</w:t>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23,405,736.78</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9"/>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8" w:right="3470"/>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89"/>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2" w:lineRule="auto" w:before="25"/>
        <w:ind w:right="190" w:firstLine="360"/>
        <w:jc w:val="both"/>
      </w:pPr>
      <w:r>
        <w:rPr>
          <w:spacing w:val="-5"/>
        </w:rPr>
        <w:t>公司的主要业务是为公用事业机构、政府、其它企业提供信息技术解决方案服务，包括信息系统的咨询规划、设计开发、</w:t>
      </w:r>
      <w:r>
        <w:rPr/>
        <w:t> 建设实施和运行维护，也包括软件产品、工具的销售以及互联网</w:t>
      </w:r>
      <w:r>
        <w:rPr>
          <w:rFonts w:ascii="Times New Roman" w:hAnsi="Times New Roman" w:cs="Times New Roman" w:eastAsia="Times New Roman" w:hint="default"/>
        </w:rPr>
        <w:t>+</w:t>
      </w:r>
      <w:r>
        <w:rPr/>
        <w:t>、大数据等新模式、新技术的运营服务。公司的客户群体 </w:t>
      </w:r>
      <w:r>
        <w:rPr>
          <w:spacing w:val="-5"/>
        </w:rPr>
        <w:t>主要包括国家电网、南方电网、地方电力公司、海外电力公司、华润燃气、其它区域燃气公司和城市燃气公司、自来水公司、</w:t>
      </w:r>
      <w:r>
        <w:rPr>
          <w:spacing w:val="-79"/>
        </w:rPr>
        <w:t> </w:t>
      </w:r>
      <w:r>
        <w:rPr>
          <w:spacing w:val="-79"/>
        </w:rPr>
      </w:r>
      <w:r>
        <w:rPr/>
        <w:t>行业政府单位和地方政府单位、以及其它企业客户。</w:t>
      </w:r>
    </w:p>
    <w:p>
      <w:pPr>
        <w:pStyle w:val="BodyText"/>
        <w:spacing w:line="300" w:lineRule="auto" w:before="63"/>
        <w:ind w:right="190" w:firstLine="360"/>
        <w:jc w:val="both"/>
      </w:pPr>
      <w:r>
        <w:rPr>
          <w:spacing w:val="-1"/>
        </w:rPr>
        <w:t>定制软件开发收入是目前公司最主要的收入构成，占总收入比超过了</w:t>
      </w:r>
      <w:r>
        <w:rPr>
          <w:rFonts w:ascii="Times New Roman" w:hAnsi="Times New Roman" w:cs="Times New Roman" w:eastAsia="Times New Roman" w:hint="default"/>
          <w:spacing w:val="-1"/>
        </w:rPr>
        <w:t>80%</w:t>
      </w:r>
      <w:r>
        <w:rPr>
          <w:spacing w:val="-1"/>
        </w:rPr>
        <w:t>，其它收入构成里运行维护服务收入占总收入</w:t>
      </w:r>
      <w:r>
        <w:rPr/>
        <w:t> </w:t>
      </w:r>
      <w:r>
        <w:rPr>
          <w:spacing w:val="-1"/>
        </w:rPr>
        <w:t>比</w:t>
      </w:r>
      <w:r>
        <w:rPr>
          <w:rFonts w:ascii="Times New Roman" w:hAnsi="Times New Roman" w:cs="Times New Roman" w:eastAsia="Times New Roman" w:hint="default"/>
          <w:spacing w:val="-1"/>
        </w:rPr>
        <w:t>10%</w:t>
      </w:r>
      <w:r>
        <w:rPr>
          <w:spacing w:val="-1"/>
        </w:rPr>
        <w:t>左右。软件产品、工具的销售收入以及新型业务运营服务收入仍在成长中，目前占总收入比重较小。人力资源相关费</w:t>
      </w:r>
      <w:r>
        <w:rPr>
          <w:spacing w:val="-86"/>
        </w:rPr>
        <w:t> </w:t>
      </w:r>
      <w:r>
        <w:rPr>
          <w:spacing w:val="-86"/>
        </w:rPr>
      </w:r>
      <w:r>
        <w:rPr/>
        <w:t>用是公司费用的主要构成，占比</w:t>
      </w:r>
      <w:r>
        <w:rPr>
          <w:rFonts w:ascii="Times New Roman" w:hAnsi="Times New Roman" w:cs="Times New Roman" w:eastAsia="Times New Roman" w:hint="default"/>
        </w:rPr>
        <w:t>60%</w:t>
      </w:r>
      <w:r>
        <w:rPr/>
        <w:t>以上。</w:t>
      </w:r>
    </w:p>
    <w:p>
      <w:pPr>
        <w:pStyle w:val="BodyText"/>
        <w:spacing w:line="357" w:lineRule="auto" w:before="53"/>
        <w:ind w:left="512" w:right="189"/>
        <w:jc w:val="left"/>
        <w:rPr>
          <w:rFonts w:ascii="Times New Roman" w:hAnsi="Times New Roman" w:cs="Times New Roman" w:eastAsia="Times New Roman" w:hint="default"/>
        </w:rPr>
      </w:pPr>
      <w:r>
        <w:rPr/>
        <w:t>报告期内，公司所在行业有了新的变化。 </w:t>
      </w:r>
      <w:r>
        <w:rPr>
          <w:spacing w:val="-5"/>
        </w:rPr>
        <w:t>自经济新常态以来，在一系列消费侧和供给侧结构性改革的推动下，我国的产业结构逐步转型，消费结构持续调整。</w:t>
      </w:r>
      <w:r>
        <w:rPr>
          <w:rFonts w:ascii="Times New Roman" w:hAnsi="Times New Roman" w:cs="Times New Roman" w:eastAsia="Times New Roman" w:hint="default"/>
          <w:spacing w:val="-5"/>
        </w:rPr>
        <w:t>2017</w:t>
      </w:r>
      <w:r>
        <w:rPr>
          <w:rFonts w:ascii="Times New Roman" w:hAnsi="Times New Roman" w:cs="Times New Roman" w:eastAsia="Times New Roman" w:hint="default"/>
        </w:rPr>
      </w:r>
    </w:p>
    <w:p>
      <w:pPr>
        <w:pStyle w:val="BodyText"/>
        <w:spacing w:line="214" w:lineRule="exact"/>
        <w:ind w:right="0"/>
        <w:jc w:val="both"/>
      </w:pPr>
      <w:r>
        <w:rPr/>
        <w:t>年，在</w:t>
      </w:r>
      <w:r>
        <w:rPr>
          <w:rFonts w:ascii="Times New Roman" w:hAnsi="Times New Roman" w:cs="Times New Roman" w:eastAsia="Times New Roman" w:hint="default"/>
        </w:rPr>
        <w:t>GDP</w:t>
      </w:r>
      <w:r>
        <w:rPr/>
        <w:t>增速</w:t>
      </w:r>
      <w:r>
        <w:rPr>
          <w:rFonts w:ascii="Times New Roman" w:hAnsi="Times New Roman" w:cs="Times New Roman" w:eastAsia="Times New Roman" w:hint="default"/>
        </w:rPr>
        <w:t>7</w:t>
      </w:r>
      <w:r>
        <w:rPr/>
        <w:t>年来首现回升的同时，全社会用电量增幅较</w:t>
      </w:r>
      <w:r>
        <w:rPr>
          <w:rFonts w:ascii="Times New Roman" w:hAnsi="Times New Roman" w:cs="Times New Roman" w:eastAsia="Times New Roman" w:hint="default"/>
        </w:rPr>
        <w:t>2016</w:t>
      </w:r>
      <w:r>
        <w:rPr/>
        <w:t>年扩大</w:t>
      </w:r>
      <w:r>
        <w:rPr>
          <w:rFonts w:ascii="Times New Roman" w:hAnsi="Times New Roman" w:cs="Times New Roman" w:eastAsia="Times New Roman" w:hint="default"/>
        </w:rPr>
        <w:t>1.6</w:t>
      </w:r>
      <w:r>
        <w:rPr/>
        <w:t>个百分点，连续第二年回升，用电增长呈现新亮</w:t>
      </w:r>
    </w:p>
    <w:p>
      <w:pPr>
        <w:pStyle w:val="BodyText"/>
        <w:spacing w:line="316" w:lineRule="auto" w:before="62"/>
        <w:ind w:right="195"/>
        <w:jc w:val="both"/>
      </w:pPr>
      <w:r>
        <w:rPr>
          <w:spacing w:val="-2"/>
        </w:rPr>
        <w:t>点。实体经济运行稳中趋好，电力供需延续总体宽松态势，新能源发展不断超前预期。在体制改革的推动下，市场竞争格局</w:t>
      </w:r>
      <w:r>
        <w:rPr>
          <w:spacing w:val="-67"/>
        </w:rPr>
        <w:t> </w:t>
      </w:r>
      <w:r>
        <w:rPr>
          <w:spacing w:val="-67"/>
        </w:rPr>
      </w:r>
      <w:r>
        <w:rPr/>
        <w:t>亦悄然变化。</w:t>
      </w:r>
    </w:p>
    <w:p>
      <w:pPr>
        <w:pStyle w:val="BodyText"/>
        <w:spacing w:line="300" w:lineRule="auto" w:before="59"/>
        <w:ind w:right="94" w:firstLine="360"/>
        <w:jc w:val="left"/>
      </w:pPr>
      <w:r>
        <w:rPr>
          <w:rFonts w:ascii="Times New Roman" w:hAnsi="Times New Roman" w:cs="Times New Roman" w:eastAsia="Times New Roman" w:hint="default"/>
        </w:rPr>
        <w:t>2016</w:t>
      </w:r>
      <w:r>
        <w:rPr/>
        <w:t>年国家发改委能源局《关于推进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智慧能源发展的指导意见》发布，借助于大数据、云计算、物联网等新 兴技术，能源互联网新技术、新模式和新业态将逐渐兴起。《电力发展</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规划》的发布将加快调整优化，转型升级，</w:t>
      </w:r>
      <w:r>
        <w:rPr>
          <w:spacing w:val="-69"/>
        </w:rPr>
        <w:t> </w:t>
      </w:r>
      <w:r>
        <w:rPr>
          <w:spacing w:val="-69"/>
        </w:rPr>
      </w:r>
      <w:r>
        <w:rPr/>
        <w:t>构建清洁低碳、安全高效的现代电力工业体系。</w:t>
      </w:r>
    </w:p>
    <w:p>
      <w:pPr>
        <w:pStyle w:val="BodyText"/>
        <w:spacing w:line="316" w:lineRule="auto" w:before="72"/>
        <w:ind w:right="190" w:firstLine="360"/>
        <w:jc w:val="both"/>
      </w:pPr>
      <w:r>
        <w:rPr>
          <w:spacing w:val="-2"/>
        </w:rPr>
        <w:t>我国能源体制改革已走向纵深，特别是电力体制改革取得了关键性的突破，增量配网试点、输配电价核定，售电市场取</w:t>
      </w:r>
      <w:r>
        <w:rPr/>
        <w:t> </w:t>
      </w:r>
      <w:r>
        <w:rPr>
          <w:spacing w:val="-2"/>
        </w:rPr>
        <w:t>得规模化发展。十八大以来，社会主要矛盾发生变化，电力行业也在积极探索转型，普遍从传统的供给侧单一产品提供者向</w:t>
      </w:r>
      <w:r>
        <w:rPr>
          <w:spacing w:val="-64"/>
        </w:rPr>
        <w:t> </w:t>
      </w:r>
      <w:r>
        <w:rPr>
          <w:spacing w:val="-64"/>
        </w:rPr>
      </w:r>
      <w:r>
        <w:rPr/>
        <w:t>综合能源服务商转型。电网企业面临市场化竞争的挑战，正不断创新方式开拓新业务、新市场。</w:t>
      </w:r>
    </w:p>
    <w:p>
      <w:pPr>
        <w:pStyle w:val="BodyText"/>
        <w:spacing w:line="309" w:lineRule="auto" w:before="57"/>
        <w:ind w:right="193"/>
        <w:jc w:val="both"/>
      </w:pPr>
      <w:r>
        <w:rPr>
          <w:spacing w:val="-2"/>
        </w:rPr>
        <w:t>以上这些变化将要求公司与国家电网、南方电网等电力客户一同推动创新、迎接挑战，同时也持续带来了新的业务机会。其</w:t>
      </w:r>
      <w:r>
        <w:rPr>
          <w:spacing w:val="-66"/>
        </w:rPr>
        <w:t> </w:t>
      </w:r>
      <w:r>
        <w:rPr>
          <w:spacing w:val="-66"/>
        </w:rPr>
      </w:r>
      <w:r>
        <w:rPr>
          <w:spacing w:val="-2"/>
        </w:rPr>
        <w:t>它领域，随着技术变革的加速和国内经济结构转型升级的深化，也为公司应用</w:t>
      </w:r>
      <w:r>
        <w:rPr>
          <w:rFonts w:ascii="Times New Roman" w:hAnsi="Times New Roman" w:cs="Times New Roman" w:eastAsia="Times New Roman" w:hint="default"/>
          <w:spacing w:val="-2"/>
        </w:rPr>
        <w:t>“</w:t>
      </w:r>
      <w:r>
        <w:rPr>
          <w:spacing w:val="-2"/>
        </w:rPr>
        <w:t>云大物智</w:t>
      </w:r>
      <w:r>
        <w:rPr>
          <w:rFonts w:ascii="Times New Roman" w:hAnsi="Times New Roman" w:cs="Times New Roman" w:eastAsia="Times New Roman" w:hint="default"/>
          <w:spacing w:val="-2"/>
        </w:rPr>
        <w:t>”</w:t>
      </w:r>
      <w:r>
        <w:rPr>
          <w:spacing w:val="-2"/>
        </w:rPr>
        <w:t>新技术、促进社会治理和产业升级</w:t>
      </w:r>
      <w:r>
        <w:rPr>
          <w:spacing w:val="-46"/>
        </w:rPr>
        <w:t> </w:t>
      </w:r>
      <w:r>
        <w:rPr>
          <w:spacing w:val="-46"/>
        </w:rPr>
      </w:r>
      <w:r>
        <w:rPr/>
        <w:t>的创新业务发展带来了巨大的机遇。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60"/>
        <w:ind w:right="0"/>
        <w:jc w:val="both"/>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0"/>
        <w:gridCol w:w="6518"/>
      </w:tblGrid>
      <w:tr>
        <w:trPr>
          <w:trHeight w:val="766" w:hRule="exact"/>
        </w:trPr>
        <w:tc>
          <w:tcPr>
            <w:tcW w:w="3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47.13%</w:t>
            </w:r>
            <w:r>
              <w:rPr>
                <w:rFonts w:ascii="宋体" w:hAnsi="宋体" w:cs="宋体" w:eastAsia="宋体" w:hint="default"/>
                <w:sz w:val="18"/>
                <w:szCs w:val="18"/>
              </w:rPr>
              <w:t>，主要是报告期内无形资产摊销所致。</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129.33%</w:t>
            </w:r>
            <w:r>
              <w:rPr>
                <w:rFonts w:ascii="宋体" w:hAnsi="宋体" w:cs="宋体" w:eastAsia="宋体" w:hint="default"/>
                <w:sz w:val="18"/>
                <w:szCs w:val="18"/>
              </w:rPr>
              <w:t>，主要是报告期内公司公开发行股票和股权激励收到投资款所 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82.00%</w:t>
            </w:r>
            <w:r>
              <w:rPr>
                <w:rFonts w:ascii="宋体" w:hAnsi="宋体" w:cs="宋体" w:eastAsia="宋体" w:hint="default"/>
                <w:sz w:val="18"/>
                <w:szCs w:val="18"/>
              </w:rPr>
              <w:t>，主要是报告期内公司预付第三方采购款增加所致。</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0"/>
        <w:gridCol w:w="6518"/>
      </w:tblGrid>
      <w:tr>
        <w:trPr>
          <w:trHeight w:val="401"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88.31%</w:t>
            </w:r>
            <w:r>
              <w:rPr>
                <w:rFonts w:ascii="宋体" w:hAnsi="宋体" w:cs="宋体" w:eastAsia="宋体" w:hint="default"/>
                <w:sz w:val="18"/>
                <w:szCs w:val="18"/>
              </w:rPr>
              <w:t>，主要是报告期内公司增加投标保证金和履约保证金所致。</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较期初增长</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33.47%</w:t>
            </w:r>
            <w:r>
              <w:rPr>
                <w:rFonts w:ascii="宋体" w:hAnsi="宋体" w:cs="宋体" w:eastAsia="宋体" w:hint="default"/>
                <w:spacing w:val="-3"/>
                <w:sz w:val="18"/>
                <w:szCs w:val="18"/>
              </w:rPr>
              <w:t>，主要是报告期内公司收购无锡金关支付对价超出购买日净资产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公允价值所致。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89"/>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89"/>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48" w:lineRule="auto" w:before="27"/>
        <w:ind w:left="512" w:right="189"/>
        <w:jc w:val="left"/>
      </w:pPr>
      <w:r>
        <w:rPr/>
        <w:t>报告期内，公司核心竞争力得到进一步巩固和增强，进一步夯实了公司可持续健康发展的基础。 </w:t>
      </w:r>
      <w:r>
        <w:rPr>
          <w:rFonts w:ascii="Times New Roman" w:hAnsi="Times New Roman" w:cs="Times New Roman" w:eastAsia="Times New Roman" w:hint="default"/>
        </w:rPr>
        <w:t>1</w:t>
      </w:r>
      <w:r>
        <w:rPr/>
        <w:t>、业务和技术领先，品牌影响力强 </w:t>
      </w:r>
      <w:r>
        <w:rPr>
          <w:spacing w:val="-2"/>
        </w:rPr>
        <w:t>公司从事电力营销</w:t>
      </w:r>
      <w:r>
        <w:rPr>
          <w:rFonts w:ascii="Times New Roman" w:hAnsi="Times New Roman" w:cs="Times New Roman" w:eastAsia="Times New Roman" w:hint="default"/>
          <w:spacing w:val="-2"/>
        </w:rPr>
        <w:t>20</w:t>
      </w:r>
      <w:r>
        <w:rPr>
          <w:spacing w:val="-2"/>
        </w:rPr>
        <w:t>多年，从一开始就非常重视人才队伍的建设和业务技术能力的积累，从而让公司从一开始就处于行</w:t>
      </w:r>
    </w:p>
    <w:p>
      <w:pPr>
        <w:pStyle w:val="BodyText"/>
        <w:spacing w:line="209" w:lineRule="exact"/>
        <w:ind w:right="0"/>
        <w:jc w:val="both"/>
      </w:pPr>
      <w:r>
        <w:rPr/>
        <w:t>业领先地位，反过来又促进了行业优秀人才的聚集，公司因此积累了和培养了一支规模较大的专业稳定的业务和技术团队，</w:t>
      </w:r>
    </w:p>
    <w:p>
      <w:pPr>
        <w:pStyle w:val="BodyText"/>
        <w:spacing w:line="316" w:lineRule="auto" w:before="76"/>
        <w:ind w:right="190"/>
        <w:jc w:val="both"/>
      </w:pPr>
      <w:r>
        <w:rPr>
          <w:spacing w:val="-2"/>
        </w:rPr>
        <w:t>形成了自主核心技术。领先的业务和技术能力，加上公司极强的成就客户的文化，不仅为公司赢得了电力营销领域领先的市</w:t>
      </w:r>
      <w:r>
        <w:rPr>
          <w:spacing w:val="-63"/>
        </w:rPr>
        <w:t> </w:t>
      </w:r>
      <w:r>
        <w:rPr>
          <w:spacing w:val="-63"/>
        </w:rPr>
      </w:r>
      <w:r>
        <w:rPr>
          <w:spacing w:val="-2"/>
        </w:rPr>
        <w:t>场份额，还为公司赢得了良好的客户口碑，建立了很强的品牌影响力，帮助公司成功取得了在其它公用事业行业计费与客户</w:t>
      </w:r>
      <w:r>
        <w:rPr>
          <w:spacing w:val="-63"/>
        </w:rPr>
        <w:t> </w:t>
      </w:r>
      <w:r>
        <w:rPr>
          <w:spacing w:val="-63"/>
        </w:rPr>
      </w:r>
      <w:r>
        <w:rPr/>
        <w:t>服务系统领域的领先地位，也促进了公司向新的创新业务行业的拓展。</w:t>
      </w:r>
    </w:p>
    <w:p>
      <w:pPr>
        <w:pStyle w:val="BodyText"/>
        <w:spacing w:line="338" w:lineRule="auto" w:before="59"/>
        <w:ind w:left="512" w:right="189"/>
        <w:jc w:val="left"/>
      </w:pPr>
      <w:r>
        <w:rPr>
          <w:rFonts w:ascii="Times New Roman" w:hAnsi="Times New Roman" w:cs="Times New Roman" w:eastAsia="Times New Roman" w:hint="default"/>
        </w:rPr>
        <w:t>2</w:t>
      </w:r>
      <w:r>
        <w:rPr/>
        <w:t>、成熟的项目生命周期管理优势 </w:t>
      </w:r>
      <w:r>
        <w:rPr>
          <w:spacing w:val="-2"/>
        </w:rPr>
        <w:t>经过多年的持续经营，公司已建立起一支技术精湛、经验丰富、团结合作的先进管理团队。公司的主要管理层均在公用</w:t>
      </w:r>
    </w:p>
    <w:p>
      <w:pPr>
        <w:pStyle w:val="BodyText"/>
        <w:spacing w:line="307" w:lineRule="auto" w:before="2"/>
        <w:ind w:right="193"/>
        <w:jc w:val="both"/>
      </w:pPr>
      <w:r>
        <w:rPr/>
        <w:t>事业行业从业多年，有丰富的业务和企业运营能力。</w:t>
      </w:r>
      <w:r>
        <w:rPr>
          <w:rFonts w:ascii="Times New Roman" w:hAnsi="Times New Roman" w:cs="Times New Roman" w:eastAsia="Times New Roman" w:hint="default"/>
        </w:rPr>
        <w:t>2005</w:t>
      </w:r>
      <w:r>
        <w:rPr/>
        <w:t>年公司引进了全球领先的行业软件与技术服务公司</w:t>
      </w:r>
      <w:r>
        <w:rPr>
          <w:rFonts w:ascii="Times New Roman" w:hAnsi="Times New Roman" w:cs="Times New Roman" w:eastAsia="Times New Roman" w:hint="default"/>
        </w:rPr>
        <w:t>AMDOCS</w:t>
      </w:r>
      <w:r>
        <w:rPr/>
        <w:t>项目</w:t>
      </w:r>
      <w:r>
        <w:rPr>
          <w:spacing w:val="2"/>
        </w:rPr>
        <w:t> </w:t>
      </w:r>
      <w:r>
        <w:rPr/>
        <w:t>实施方法论并结合</w:t>
      </w:r>
      <w:r>
        <w:rPr>
          <w:rFonts w:ascii="Times New Roman" w:hAnsi="Times New Roman" w:cs="Times New Roman" w:eastAsia="Times New Roman" w:hint="default"/>
        </w:rPr>
        <w:t>CMMI</w:t>
      </w:r>
      <w:r>
        <w:rPr/>
        <w:t>认证与执行过程贯彻</w:t>
      </w:r>
      <w:r>
        <w:rPr>
          <w:rFonts w:ascii="Times New Roman" w:hAnsi="Times New Roman" w:cs="Times New Roman" w:eastAsia="Times New Roman" w:hint="default"/>
        </w:rPr>
        <w:t>PMBOK</w:t>
      </w:r>
      <w:r>
        <w:rPr/>
        <w:t>项目管理标准，经过多年的消化吸收和项目实践，已经摸索并总结制 </w:t>
      </w:r>
      <w:r>
        <w:rPr>
          <w:spacing w:val="-2"/>
        </w:rPr>
        <w:t>定出一套公司特有的项目生命周期管理体系和制度，适合于各行业复杂项目交付，能促成项目成功并为客户和公司获得实际</w:t>
      </w:r>
      <w:r>
        <w:rPr>
          <w:spacing w:val="-64"/>
        </w:rPr>
        <w:t> </w:t>
      </w:r>
      <w:r>
        <w:rPr>
          <w:spacing w:val="-64"/>
        </w:rPr>
      </w:r>
      <w:r>
        <w:rPr/>
        <w:t>效益。公司具备较强的项目管理和实施交付能力，支持大规模快速交付，能有效管理项目成本和交付时间。</w:t>
      </w:r>
    </w:p>
    <w:p>
      <w:pPr>
        <w:pStyle w:val="BodyText"/>
        <w:spacing w:line="340" w:lineRule="auto" w:before="67"/>
        <w:ind w:left="512" w:right="94"/>
        <w:jc w:val="left"/>
      </w:pPr>
      <w:r>
        <w:rPr>
          <w:rFonts w:ascii="Times New Roman" w:hAnsi="Times New Roman" w:cs="Times New Roman" w:eastAsia="Times New Roman" w:hint="default"/>
        </w:rPr>
        <w:t>3</w:t>
      </w:r>
      <w:r>
        <w:rPr/>
        <w:t>、专业化贴身服务优势 </w:t>
      </w:r>
      <w:r>
        <w:rPr>
          <w:spacing w:val="-2"/>
        </w:rPr>
        <w:t>公司服务于国家电网、南方电网、华润燃气等从大型集团客户到政府客户到中小企业用户，在</w:t>
      </w:r>
      <w:r>
        <w:rPr>
          <w:rFonts w:ascii="Times New Roman" w:hAnsi="Times New Roman" w:cs="Times New Roman" w:eastAsia="Times New Roman" w:hint="default"/>
          <w:spacing w:val="-2"/>
        </w:rPr>
        <w:t>20</w:t>
      </w:r>
      <w:r>
        <w:rPr>
          <w:spacing w:val="-2"/>
        </w:rPr>
        <w:t>多年不同客户项目的实</w:t>
      </w:r>
    </w:p>
    <w:p>
      <w:pPr>
        <w:pStyle w:val="BodyText"/>
        <w:spacing w:line="215" w:lineRule="exact"/>
        <w:ind w:right="0"/>
        <w:jc w:val="both"/>
      </w:pPr>
      <w:r>
        <w:rPr/>
        <w:t>施过程中，公司积累了大量复杂疑难业务的处理经验，能够在时间紧、任务重的情况下，按照客户要求的上线时间优质完成</w:t>
      </w:r>
    </w:p>
    <w:p>
      <w:pPr>
        <w:pStyle w:val="BodyText"/>
        <w:spacing w:line="240" w:lineRule="auto" w:before="76"/>
        <w:ind w:right="0"/>
        <w:jc w:val="both"/>
      </w:pPr>
      <w:r>
        <w:rPr/>
        <w:t>项目实施。</w:t>
      </w:r>
    </w:p>
    <w:p>
      <w:pPr>
        <w:pStyle w:val="BodyText"/>
        <w:spacing w:line="309" w:lineRule="auto" w:before="115"/>
        <w:ind w:right="179" w:firstLine="360"/>
        <w:jc w:val="left"/>
      </w:pPr>
      <w:r>
        <w:rPr>
          <w:spacing w:val="-5"/>
        </w:rPr>
        <w:t>公司坚持以服务为主导，在国内大部分省份部署有高效的专业本地化服务队伍，能够为客户提供从咨询规划、现场实施、</w:t>
      </w:r>
      <w:r>
        <w:rPr/>
        <w:t> 系统维护到运营管理等全方位的贴身服务；此外，公司经过多年经验积累，基于</w:t>
      </w:r>
      <w:r>
        <w:rPr>
          <w:rFonts w:ascii="Times New Roman" w:hAnsi="Times New Roman" w:cs="Times New Roman" w:eastAsia="Times New Roman" w:hint="default"/>
        </w:rPr>
        <w:t>ISO20000</w:t>
      </w:r>
      <w:r>
        <w:rPr/>
        <w:t>信息技术服务管理标准，结合服 务管理实践，形成了一整套完善的技术服务体系，能够为客户提供高效、高品质的服务。</w:t>
      </w:r>
    </w:p>
    <w:p>
      <w:pPr>
        <w:pStyle w:val="BodyText"/>
        <w:spacing w:line="340" w:lineRule="auto" w:before="65"/>
        <w:ind w:left="512" w:right="177"/>
        <w:jc w:val="left"/>
      </w:pPr>
      <w:r>
        <w:rPr>
          <w:rFonts w:ascii="Times New Roman" w:hAnsi="Times New Roman" w:cs="Times New Roman" w:eastAsia="Times New Roman" w:hint="default"/>
        </w:rPr>
        <w:t>4</w:t>
      </w:r>
      <w:r>
        <w:rPr/>
        <w:t>、持续自主创新能力 </w:t>
      </w:r>
      <w:r>
        <w:rPr>
          <w:spacing w:val="-1"/>
        </w:rPr>
        <w:t>公司高度重视技术与业务创新，研发投入占总收入比长年保持在</w:t>
      </w:r>
      <w:r>
        <w:rPr>
          <w:rFonts w:ascii="Times New Roman" w:hAnsi="Times New Roman" w:cs="Times New Roman" w:eastAsia="Times New Roman" w:hint="default"/>
          <w:spacing w:val="-1"/>
        </w:rPr>
        <w:t>10%</w:t>
      </w:r>
      <w:r>
        <w:rPr>
          <w:spacing w:val="-1"/>
        </w:rPr>
        <w:t>左右，从而保证了公司长期在电力、燃气等公用事</w:t>
      </w:r>
    </w:p>
    <w:p>
      <w:pPr>
        <w:pStyle w:val="BodyText"/>
        <w:spacing w:line="228" w:lineRule="exact"/>
        <w:ind w:right="0"/>
        <w:jc w:val="both"/>
        <w:rPr>
          <w:rFonts w:ascii="Times New Roman" w:hAnsi="Times New Roman" w:cs="Times New Roman" w:eastAsia="Times New Roman" w:hint="default"/>
        </w:rPr>
      </w:pPr>
      <w:r>
        <w:rPr/>
        <w:t>业行业信息技术解决方案领域业务和技术的领先性，电力软件以套装产品形式出口到海外多个国家。在新的一轮</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p>
    <w:p>
      <w:pPr>
        <w:pStyle w:val="BodyText"/>
        <w:spacing w:line="240" w:lineRule="auto" w:before="62"/>
        <w:ind w:right="0"/>
        <w:jc w:val="both"/>
      </w:pPr>
      <w:r>
        <w:rPr/>
        <w:t>和</w:t>
      </w:r>
      <w:r>
        <w:rPr>
          <w:rFonts w:ascii="Times New Roman" w:hAnsi="Times New Roman" w:cs="Times New Roman" w:eastAsia="Times New Roman" w:hint="default"/>
          <w:spacing w:val="-1"/>
        </w:rPr>
        <w:t>“</w:t>
      </w:r>
      <w:r>
        <w:rPr/>
        <w:t>云大物智</w:t>
      </w:r>
      <w:r>
        <w:rPr>
          <w:rFonts w:ascii="Times New Roman" w:hAnsi="Times New Roman" w:cs="Times New Roman" w:eastAsia="Times New Roman" w:hint="default"/>
          <w:spacing w:val="-1"/>
        </w:rPr>
        <w:t>”</w:t>
      </w:r>
      <w:r>
        <w:rPr/>
        <w:t>新技术应用创</w:t>
      </w:r>
      <w:r>
        <w:rPr>
          <w:spacing w:val="2"/>
        </w:rPr>
        <w:t>新</w:t>
      </w:r>
      <w:r>
        <w:rPr/>
        <w:t>中公司在多个行业</w:t>
      </w:r>
      <w:r>
        <w:rPr>
          <w:spacing w:val="-77"/>
        </w:rPr>
        <w:t>、</w:t>
      </w:r>
      <w:r>
        <w:rPr/>
        <w:t>多个领域处于领先地位</w:t>
      </w:r>
      <w:r>
        <w:rPr>
          <w:spacing w:val="-77"/>
        </w:rPr>
        <w:t>，</w:t>
      </w:r>
      <w:r>
        <w:rPr/>
        <w:t>为公司创新业务群的蓬勃发展打下了坚实的基础。</w:t>
      </w:r>
    </w:p>
    <w:p>
      <w:pPr>
        <w:spacing w:after="0" w:line="240" w:lineRule="auto"/>
        <w:jc w:val="both"/>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right="189"/>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4"/>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89"/>
        <w:jc w:val="left"/>
        <w:rPr>
          <w:b w:val="0"/>
          <w:bCs w:val="0"/>
        </w:rPr>
      </w:pPr>
      <w:bookmarkStart w:name="一、概述" w:id="23"/>
      <w:bookmarkEnd w:id="23"/>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84" w:firstLine="360"/>
        <w:jc w:val="left"/>
      </w:pPr>
      <w:r>
        <w:rPr/>
        <w:t>报告期内，公司按照</w:t>
      </w:r>
      <w:r>
        <w:rPr>
          <w:rFonts w:ascii="Times New Roman" w:hAnsi="Times New Roman" w:cs="Times New Roman" w:eastAsia="Times New Roman" w:hint="default"/>
        </w:rPr>
        <w:t>“</w:t>
      </w:r>
      <w:r>
        <w:rPr/>
        <w:t>深耕能源互联网、积极拓展云大物智创新行业应用</w:t>
      </w:r>
      <w:r>
        <w:rPr>
          <w:rFonts w:ascii="Times New Roman" w:hAnsi="Times New Roman" w:cs="Times New Roman" w:eastAsia="Times New Roman" w:hint="default"/>
        </w:rPr>
        <w:t>”</w:t>
      </w:r>
      <w:r>
        <w:rPr/>
        <w:t>的</w:t>
      </w:r>
      <w:r>
        <w:rPr>
          <w:rFonts w:ascii="Times New Roman" w:hAnsi="Times New Roman" w:cs="Times New Roman" w:eastAsia="Times New Roman" w:hint="default"/>
        </w:rPr>
        <w:t>T</w:t>
      </w:r>
      <w:r>
        <w:rPr/>
        <w:t>型业务发展战略进行积极的创新和业务发 展。报告期内，公司实现营业总收入</w:t>
      </w:r>
      <w:r>
        <w:rPr>
          <w:rFonts w:ascii="Times New Roman" w:hAnsi="Times New Roman" w:cs="Times New Roman" w:eastAsia="Times New Roman" w:hint="default"/>
        </w:rPr>
        <w:t>782,935,041.04</w:t>
      </w:r>
      <w:r>
        <w:rPr/>
        <w:t>元，同比增长</w:t>
      </w:r>
      <w:r>
        <w:rPr>
          <w:rFonts w:ascii="Times New Roman" w:hAnsi="Times New Roman" w:cs="Times New Roman" w:eastAsia="Times New Roman" w:hint="default"/>
        </w:rPr>
        <w:t>4.46%</w:t>
      </w:r>
      <w:r>
        <w:rPr/>
        <w:t>，报告期内实现归属于上市公司股东的净利润 </w:t>
      </w:r>
      <w:r>
        <w:rPr>
          <w:rFonts w:ascii="Times New Roman" w:hAnsi="Times New Roman" w:cs="Times New Roman" w:eastAsia="Times New Roman" w:hint="default"/>
        </w:rPr>
        <w:t>139,136,836.46</w:t>
      </w:r>
      <w:r>
        <w:rPr/>
        <w:t>元，同比增长</w:t>
      </w:r>
      <w:r>
        <w:rPr>
          <w:rFonts w:ascii="Times New Roman" w:hAnsi="Times New Roman" w:cs="Times New Roman" w:eastAsia="Times New Roman" w:hint="default"/>
        </w:rPr>
        <w:t>13.97%</w:t>
      </w:r>
      <w:r>
        <w:rPr/>
        <w:t>。</w:t>
      </w:r>
    </w:p>
    <w:p>
      <w:pPr>
        <w:pStyle w:val="BodyText"/>
        <w:spacing w:line="314" w:lineRule="auto" w:before="51"/>
        <w:ind w:right="94" w:firstLine="360"/>
        <w:jc w:val="left"/>
      </w:pPr>
      <w:r>
        <w:rPr>
          <w:spacing w:val="-4"/>
        </w:rPr>
        <w:t>报告期内，公司基础业务群继续稳固发展。国家电网和南方电网开启了新的一轮新技术应用驱动的业务创新，</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1"/>
        </w:rPr>
        <w:t> </w:t>
      </w:r>
      <w:r>
        <w:rPr/>
        <w:t>等业务模式创新逐渐扩大范围。由于公司在前期进行了大量的预研和技术储备，在国家电网和南方电网的业务创新活动中，</w:t>
      </w:r>
      <w:r>
        <w:rPr>
          <w:spacing w:val="-86"/>
        </w:rPr>
        <w:t> </w:t>
      </w:r>
      <w:r>
        <w:rPr>
          <w:spacing w:val="-86"/>
        </w:rPr>
      </w:r>
      <w:r>
        <w:rPr>
          <w:spacing w:val="-2"/>
        </w:rPr>
        <w:t>公司与我们所服务的网省电力公司一同引领着发展的趋势，赢得了客户对公司创新与技术引领的信心。公司承建的华润燃气</w:t>
      </w:r>
      <w:r>
        <w:rPr>
          <w:spacing w:val="-64"/>
        </w:rPr>
        <w:t> </w:t>
      </w:r>
      <w:r>
        <w:rPr>
          <w:spacing w:val="-64"/>
        </w:rPr>
      </w:r>
      <w:r>
        <w:rPr>
          <w:spacing w:val="-2"/>
        </w:rPr>
        <w:t>集团客户信息系统报告期内成功完成了最后一批的推广工作，这将为公司在燃气行业的进一步市场推广打下坚实的基础。报</w:t>
      </w:r>
      <w:r>
        <w:rPr>
          <w:spacing w:val="-64"/>
        </w:rPr>
        <w:t> </w:t>
      </w:r>
      <w:r>
        <w:rPr>
          <w:spacing w:val="-64"/>
        </w:rPr>
      </w:r>
      <w:r>
        <w:rPr/>
        <w:t>告期内公司在地方电力公司和海外电力的市场开拓也取得了积极的进展。</w:t>
      </w:r>
    </w:p>
    <w:p>
      <w:pPr>
        <w:pStyle w:val="BodyText"/>
        <w:spacing w:line="307" w:lineRule="auto" w:before="61"/>
        <w:ind w:right="190" w:firstLine="360"/>
        <w:jc w:val="both"/>
      </w:pPr>
      <w:r>
        <w:rPr>
          <w:spacing w:val="-2"/>
        </w:rPr>
        <w:t>报告期内，公司创新业务群开局良好。公司与蚂蚁金服合营的邦道科技运营的公用事业互联网缴费业务以及子公司新耀</w:t>
      </w:r>
      <w:r>
        <w:rPr/>
        <w:t> </w:t>
      </w:r>
      <w:r>
        <w:rPr>
          <w:spacing w:val="-2"/>
        </w:rPr>
        <w:t>能源运营的新能源业务发展迅速。创新业务群在报告期内还进行了多个领域创新业务探索与孵化，完成了无锡朗新金关信息</w:t>
      </w:r>
      <w:r>
        <w:rPr>
          <w:spacing w:val="-64"/>
        </w:rPr>
        <w:t> </w:t>
      </w:r>
      <w:r>
        <w:rPr>
          <w:spacing w:val="-64"/>
        </w:rPr>
      </w:r>
      <w:r>
        <w:rPr>
          <w:spacing w:val="-1"/>
        </w:rPr>
        <w:t>科技有限公司</w:t>
      </w:r>
      <w:r>
        <w:rPr>
          <w:rFonts w:ascii="Times New Roman" w:hAnsi="Times New Roman" w:cs="Times New Roman" w:eastAsia="Times New Roman" w:hint="default"/>
          <w:spacing w:val="-1"/>
        </w:rPr>
        <w:t>51%</w:t>
      </w:r>
      <w:r>
        <w:rPr>
          <w:spacing w:val="-1"/>
        </w:rPr>
        <w:t>股份的收购，新设立朗新云商科技有限公司和朗新数据科技有限公司，在新外贸、智慧城市等领域积极开</w:t>
      </w:r>
      <w:r>
        <w:rPr>
          <w:spacing w:val="-86"/>
        </w:rPr>
        <w:t> </w:t>
      </w:r>
      <w:r>
        <w:rPr>
          <w:spacing w:val="-86"/>
        </w:rPr>
      </w:r>
      <w:r>
        <w:rPr/>
        <w:t>拓。同时报告期内还在智慧社区、新金融领域开始探索。这些孵化中的创新业务围绕社会治理和产业升级主题，以</w:t>
      </w:r>
      <w:r>
        <w:rPr>
          <w:rFonts w:ascii="Times New Roman" w:hAnsi="Times New Roman" w:cs="Times New Roman" w:eastAsia="Times New Roman" w:hint="default"/>
        </w:rPr>
        <w:t>“</w:t>
      </w:r>
      <w:r>
        <w:rPr/>
        <w:t>云大物 </w:t>
      </w:r>
      <w:r>
        <w:rPr>
          <w:spacing w:val="-2"/>
        </w:rPr>
        <w:t>智</w:t>
      </w:r>
      <w:r>
        <w:rPr>
          <w:rFonts w:ascii="Times New Roman" w:hAnsi="Times New Roman" w:cs="Times New Roman" w:eastAsia="Times New Roman" w:hint="default"/>
          <w:spacing w:val="-2"/>
        </w:rPr>
        <w:t>”</w:t>
      </w:r>
      <w:r>
        <w:rPr>
          <w:spacing w:val="-2"/>
        </w:rPr>
        <w:t>新技术应用和</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新模式为主要手段，以图在社会治理和产业升级方面作出公司的贡献，同时保证公司业务的持续</w:t>
      </w:r>
      <w:r>
        <w:rPr>
          <w:spacing w:val="-44"/>
        </w:rPr>
        <w:t> </w:t>
      </w:r>
      <w:r>
        <w:rPr>
          <w:spacing w:val="-44"/>
        </w:rPr>
      </w:r>
      <w:r>
        <w:rPr/>
        <w:t>发展。</w:t>
      </w:r>
    </w:p>
    <w:p>
      <w:pPr>
        <w:pStyle w:val="BodyText"/>
        <w:spacing w:line="316" w:lineRule="auto" w:before="67"/>
        <w:ind w:right="274" w:firstLine="360"/>
        <w:jc w:val="left"/>
      </w:pPr>
      <w:r>
        <w:rPr/>
        <w:t>报告期内，公司继续加强应收账款的收款工作，年度经营性净现金流继续保持为正，报告期内经营性净现金流为</w:t>
      </w:r>
      <w:r>
        <w:rPr>
          <w:rFonts w:ascii="宋体" w:hAnsi="宋体" w:cs="宋体" w:eastAsia="宋体" w:hint="default"/>
        </w:rPr>
        <w:t>4871</w:t>
      </w:r>
      <w:r>
        <w:rPr>
          <w:rFonts w:ascii="宋体" w:hAnsi="宋体" w:cs="宋体" w:eastAsia="宋体" w:hint="default"/>
          <w:spacing w:val="-2"/>
        </w:rPr>
        <w:t> </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2"/>
        <w:ind w:right="189"/>
        <w:jc w:val="left"/>
        <w:rPr>
          <w:b w:val="0"/>
          <w:bCs w:val="0"/>
        </w:rPr>
      </w:pPr>
      <w:bookmarkStart w:name="二、主营业务分析" w:id="24"/>
      <w:bookmarkEnd w:id="24"/>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534"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89"/>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034"/>
        <w:jc w:val="left"/>
      </w:pPr>
      <w:r>
        <w:rPr/>
        <w:t>公司是否需要遵守光伏产业链相关业的披露要求 否</w:t>
      </w:r>
    </w:p>
    <w:p>
      <w:pPr>
        <w:pStyle w:val="BodyText"/>
        <w:spacing w:line="340" w:lineRule="auto" w:before="29"/>
        <w:ind w:right="457"/>
        <w:jc w:val="left"/>
      </w:pPr>
      <w:r>
        <w:rPr/>
        <w:t>公司是否需遵守《深圳证券交易所创业板行业信息披露指引第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637"/>
        <w:jc w:val="left"/>
      </w:pPr>
      <w:r>
        <w:rPr/>
        <w:t>公司是否需遵守《深圳证券交易所创业板行业信息披露指引第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1"/>
        <w:ind w:right="200"/>
        <w:jc w:val="left"/>
      </w:pPr>
      <w:r>
        <w:rPr/>
        <w:t>公司是否需遵守《深圳证券交易所创业板行业信息披露指引第</w:t>
      </w:r>
      <w:r>
        <w:rPr>
          <w:spacing w:val="-46"/>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4"/>
        </w:rPr>
        <w:t> </w:t>
      </w:r>
      <w:r>
        <w:rPr/>
        <w:t>产业链相关业务》的披露要求： 否</w:t>
      </w:r>
    </w:p>
    <w:p>
      <w:pPr>
        <w:pStyle w:val="BodyText"/>
        <w:spacing w:line="240" w:lineRule="auto" w:before="43"/>
        <w:ind w:right="189"/>
        <w:jc w:val="left"/>
      </w:pPr>
      <w:r>
        <w:rPr/>
        <w:t>公司是否需遵守《深圳证券交易所创业板行业信息披露指引第</w:t>
      </w:r>
      <w:r>
        <w:rPr>
          <w:spacing w:val="-46"/>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2" w:top="1060" w:bottom="1180" w:left="980" w:right="980"/>
        </w:sectPr>
      </w:pPr>
    </w:p>
    <w:p>
      <w:pPr>
        <w:pStyle w:val="BodyText"/>
        <w:spacing w:line="360" w:lineRule="auto" w:before="44"/>
        <w:ind w:right="-20"/>
        <w:jc w:val="left"/>
      </w:pPr>
      <w:r>
        <w:rPr/>
        <w:t>否 营业收入整体情况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2" w:equalWidth="0">
            <w:col w:w="1593" w:space="7325"/>
            <w:col w:w="103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318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6" w:hRule="exact"/>
        </w:trPr>
        <w:tc>
          <w:tcPr>
            <w:tcW w:w="1599" w:type="dxa"/>
            <w:vMerge w:val="restart"/>
            <w:tcBorders>
              <w:top w:val="nil" w:sz="6" w:space="0" w:color="auto"/>
              <w:left w:val="single" w:sz="4" w:space="0" w:color="000000"/>
              <w:right w:val="single" w:sz="4" w:space="0" w:color="000000"/>
            </w:tcBorders>
            <w:shd w:val="clear" w:color="auto" w:fill="D4D4D4"/>
          </w:tcPr>
          <w:p>
            <w:pPr/>
          </w:p>
        </w:tc>
        <w:tc>
          <w:tcPr>
            <w:tcW w:w="3184" w:type="dxa"/>
            <w:gridSpan w:val="2"/>
            <w:vMerge/>
            <w:tcBorders>
              <w:left w:val="single" w:sz="4" w:space="0" w:color="000000"/>
              <w:bottom w:val="single" w:sz="4" w:space="0" w:color="000000"/>
              <w:right w:val="single" w:sz="4" w:space="0" w:color="000000"/>
            </w:tcBorders>
            <w:shd w:val="clear" w:color="auto" w:fill="D4D4D4"/>
          </w:tcPr>
          <w:p>
            <w:pPr/>
          </w:p>
        </w:tc>
        <w:tc>
          <w:tcPr>
            <w:tcW w:w="3186" w:type="dxa"/>
            <w:gridSpan w:val="2"/>
            <w:vMerge/>
            <w:tcBorders>
              <w:left w:val="single" w:sz="4" w:space="0" w:color="000000"/>
              <w:bottom w:val="single" w:sz="4" w:space="0" w:color="000000"/>
              <w:right w:val="single" w:sz="4" w:space="0" w:color="000000"/>
            </w:tcBorders>
            <w:shd w:val="clear" w:color="auto" w:fill="D4D4D4"/>
          </w:tcPr>
          <w:p>
            <w:pPr/>
          </w:p>
        </w:tc>
        <w:tc>
          <w:tcPr>
            <w:tcW w:w="15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9"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1" w:type="dxa"/>
            <w:vMerge/>
            <w:tcBorders>
              <w:left w:val="single" w:sz="4" w:space="0" w:color="000000"/>
              <w:bottom w:val="single" w:sz="4" w:space="0" w:color="000000"/>
              <w:right w:val="single" w:sz="4" w:space="0" w:color="000000"/>
            </w:tcBorders>
            <w:shd w:val="clear" w:color="auto" w:fill="D4D4D4"/>
          </w:tcPr>
          <w:p>
            <w:pPr/>
          </w:p>
        </w:tc>
        <w:tc>
          <w:tcPr>
            <w:tcW w:w="1599" w:type="dxa"/>
            <w:vMerge/>
            <w:tcBorders>
              <w:left w:val="single" w:sz="4" w:space="0" w:color="000000"/>
              <w:bottom w:val="single" w:sz="4" w:space="0" w:color="000000"/>
              <w:right w:val="single" w:sz="4" w:space="0" w:color="000000"/>
            </w:tcBorders>
            <w:shd w:val="clear" w:color="auto" w:fill="D4D4D4"/>
          </w:tcPr>
          <w:p>
            <w:pPr/>
          </w:p>
        </w:tc>
        <w:tc>
          <w:tcPr>
            <w:tcW w:w="1588" w:type="dxa"/>
            <w:vMerge/>
            <w:tcBorders>
              <w:left w:val="single" w:sz="4" w:space="0" w:color="000000"/>
              <w:bottom w:val="single" w:sz="4" w:space="0" w:color="000000"/>
              <w:right w:val="single" w:sz="4" w:space="0" w:color="000000"/>
            </w:tcBorders>
            <w:shd w:val="clear" w:color="auto" w:fill="D4D4D4"/>
          </w:tcPr>
          <w:p>
            <w:pPr/>
          </w:p>
        </w:tc>
        <w:tc>
          <w:tcPr>
            <w:tcW w:w="159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782,935,041.04</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749,510,263.97</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4.46%</w:t>
            </w:r>
          </w:p>
        </w:tc>
      </w:tr>
      <w:tr>
        <w:trPr>
          <w:trHeight w:val="396"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624,679,211.27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79.79%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650,539,042.49</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86.80%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非电力行业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158,255,829.77</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20.21%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98,971,221.48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13.20%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59.90%</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定制软件开发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667,988,463.49</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85.32%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643,612,955.04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85.87%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3.79%</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维护服务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71,279,891.17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90,095,397.33</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-20.88%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第三方软硬</w:t>
            </w:r>
            <w:r>
              <w:rPr>
                <w:rFonts w:ascii="宋体" w:hAnsi="宋体" w:cs="宋体" w:eastAsia="宋体" w:hint="default"/>
                <w:spacing w:val="1"/>
                <w:sz w:val="18"/>
                <w:szCs w:val="18"/>
              </w:rPr>
              <w:t> </w:t>
            </w: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42,452,496.12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15,051,500.42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182.05%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1,214,190.26</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750,411.18</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61.80%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260,764,050.51</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235,782,319.26</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31.46%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10.60%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61,067,764.93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56,959,827.05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241,029,769.83</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217,824,108.56</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29.06%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10.65%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110,036,702.00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14.05%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116,578,157.30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15.55%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35,279,803.07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51,126,832.55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-31.00%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49,602,795.30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6.34%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62,127,937.91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-20.16%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25,154,155.40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9,111,081.34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176.08%</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80" w:left="980" w:right="98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80" w:left="980" w:right="980"/>
          <w:cols w:num="2" w:equalWidth="0">
            <w:col w:w="3213" w:space="5705"/>
            <w:col w:w="103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624,679,211.27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265,476,336.79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非电力行业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158,255,829.77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122,383,308.69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77.32%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-7.60%</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定制软件开发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667,988,463.49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313,124,348.84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维护服务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71,279,891.17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35,823,789.34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第三方软硬件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42,452,496.12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37,697,317.04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11.20%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262.22%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-19.66%</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260,764,050.51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118,276,063.76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61,067,764.93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41,477,081.96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241,029,769.83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124,124,879.71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110,036,702.00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64,064,528.34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-11.65%</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35,279,803.07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6,687,085.82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81.05%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13.57%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49,602,795.30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18,165,673.58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25,154,155.40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15,064,332.31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40.11%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155.55%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4.81%</w:t>
            </w:r>
          </w:p>
        </w:tc>
      </w:tr>
    </w:tbl>
    <w:p>
      <w:pPr>
        <w:pStyle w:val="BodyText"/>
        <w:spacing w:line="240" w:lineRule="auto" w:before="49"/>
        <w:ind w:right="150"/>
        <w:jc w:val="left"/>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5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定制软件开发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313,124,348.84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330,450,037.19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35,823,789.34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45,912,305.41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-23.73%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第三方软硬件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37,697,317.04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9,937,661.85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1,214,190.26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750,411.18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61.80%</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09" w:lineRule="auto" w:before="103"/>
        <w:ind w:right="150" w:firstLine="432"/>
        <w:jc w:val="both"/>
      </w:pPr>
      <w:r>
        <w:rPr>
          <w:spacing w:val="-2"/>
        </w:rPr>
        <w:t>本年纳入财务报表合并范围的主体共</w:t>
      </w:r>
      <w:r>
        <w:rPr>
          <w:rFonts w:ascii="Times New Roman" w:hAnsi="Times New Roman" w:cs="Times New Roman" w:eastAsia="Times New Roman" w:hint="default"/>
          <w:spacing w:val="-2"/>
        </w:rPr>
        <w:t>10</w:t>
      </w:r>
      <w:r>
        <w:rPr>
          <w:spacing w:val="-2"/>
        </w:rPr>
        <w:t>家，与上年相比新增</w:t>
      </w:r>
      <w:r>
        <w:rPr>
          <w:rFonts w:ascii="Times New Roman" w:hAnsi="Times New Roman" w:cs="Times New Roman" w:eastAsia="Times New Roman" w:hint="default"/>
          <w:spacing w:val="-2"/>
        </w:rPr>
        <w:t>4</w:t>
      </w:r>
      <w:r>
        <w:rPr>
          <w:spacing w:val="-2"/>
        </w:rPr>
        <w:t>家，原因为本年新设成立全资子公司朗新科技投资管理无</w:t>
      </w:r>
      <w:r>
        <w:rPr/>
        <w:t> </w:t>
      </w:r>
      <w:r>
        <w:rPr>
          <w:spacing w:val="-2"/>
        </w:rPr>
        <w:t>锡有限公司、控股子公司朗新云商科技有限公司、朗新数据科技有限公司，收购取得控股子公司无锡朗新金关信息科技有限</w:t>
      </w:r>
      <w:r>
        <w:rPr>
          <w:spacing w:val="-63"/>
        </w:rPr>
        <w:t> </w:t>
      </w:r>
      <w:r>
        <w:rPr>
          <w:spacing w:val="-63"/>
        </w:rPr>
      </w:r>
      <w:r>
        <w:rPr/>
        <w:t>公司。具体见第十一节</w:t>
      </w: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t>。</w:t>
      </w:r>
    </w:p>
    <w:p>
      <w:pPr>
        <w:spacing w:after="0" w:line="309" w:lineRule="auto"/>
        <w:jc w:val="both"/>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169,543,535.17</w:t>
            </w:r>
            <w:r>
              <w:rPr>
                <w:rFonts w:ascii="Times New Roman"/>
                <w:sz w:val="18"/>
              </w:rPr>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21.69%</w:t>
            </w:r>
          </w:p>
        </w:tc>
      </w:tr>
      <w:tr>
        <w:trPr>
          <w:trHeight w:val="71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41,557,047.84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41,422,971.85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40,865,879.66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24,232,253.92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21,465,381.90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169,543,535.17</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w:t>
            </w:r>
          </w:p>
        </w:tc>
      </w:tr>
    </w:tbl>
    <w:p>
      <w:pPr>
        <w:pStyle w:val="BodyText"/>
        <w:spacing w:line="240" w:lineRule="auto" w:before="49"/>
        <w:ind w:right="150"/>
        <w:jc w:val="left"/>
      </w:pPr>
      <w:r>
        <w:rPr/>
        <w:t>主要客户其他情况说明</w:t>
      </w:r>
    </w:p>
    <w:p>
      <w:pPr>
        <w:pStyle w:val="BodyText"/>
        <w:spacing w:line="338" w:lineRule="auto" w:before="117"/>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29,743,261.44</w:t>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27.92%</w:t>
            </w:r>
          </w:p>
        </w:tc>
      </w:tr>
      <w:tr>
        <w:trPr>
          <w:trHeight w:val="715"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1"/>
        <w:gridCol w:w="3144"/>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6,999,080.00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6,900,000.00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5,533,181.44</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5,700,000.00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4,611,000.00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29,743,261.44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27.92%</w:t>
            </w:r>
          </w:p>
        </w:tc>
      </w:tr>
    </w:tbl>
    <w:p>
      <w:pPr>
        <w:pStyle w:val="BodyText"/>
        <w:spacing w:line="240" w:lineRule="auto" w:before="49"/>
        <w:ind w:right="150"/>
        <w:jc w:val="left"/>
      </w:pPr>
      <w:r>
        <w:rPr/>
        <w:t>主要供应商其他情况说明</w:t>
      </w:r>
    </w:p>
    <w:p>
      <w:pPr>
        <w:pStyle w:val="BodyText"/>
        <w:spacing w:line="240" w:lineRule="auto" w:before="115"/>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8"/>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637"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88,841,325.12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69,057,361.48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28.65%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公司加大、加快创新业务布局导致销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售费用增加</w:t>
            </w:r>
          </w:p>
        </w:tc>
      </w:tr>
      <w:tr>
        <w:trPr>
          <w:trHeight w:val="391" w:hRule="exact"/>
        </w:trPr>
        <w:tc>
          <w:tcPr>
            <w:tcW w:w="19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4D4D4"/>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15" w:type="dxa"/>
            <w:tcBorders>
              <w:top w:val="nil" w:sz="6" w:space="0" w:color="auto"/>
              <w:left w:val="single" w:sz="4" w:space="0" w:color="000000"/>
              <w:bottom w:val="single" w:sz="4" w:space="0" w:color="000000"/>
              <w:right w:val="single" w:sz="4" w:space="0" w:color="000000"/>
            </w:tcBorders>
            <w:shd w:val="clear" w:color="auto" w:fill="D4D4D4"/>
          </w:tcPr>
          <w:p>
            <w:pPr/>
          </w:p>
        </w:tc>
        <w:tc>
          <w:tcPr>
            <w:tcW w:w="1637" w:type="dxa"/>
            <w:vMerge/>
            <w:tcBorders>
              <w:left w:val="single" w:sz="9" w:space="0" w:color="D4D4D4"/>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637"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225,217,599.69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185,407,481.01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21.47%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公司加大、加快创新业务布局导致研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发费用和其它管理费用增加</w:t>
            </w:r>
          </w:p>
        </w:tc>
      </w:tr>
      <w:tr>
        <w:trPr>
          <w:trHeight w:val="394" w:hRule="exact"/>
        </w:trPr>
        <w:tc>
          <w:tcPr>
            <w:tcW w:w="19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4D4D4"/>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15" w:type="dxa"/>
            <w:tcBorders>
              <w:top w:val="nil" w:sz="6" w:space="0" w:color="auto"/>
              <w:left w:val="single" w:sz="4" w:space="0" w:color="000000"/>
              <w:bottom w:val="single" w:sz="4" w:space="0" w:color="000000"/>
              <w:right w:val="single" w:sz="4" w:space="0" w:color="000000"/>
            </w:tcBorders>
            <w:shd w:val="clear" w:color="auto" w:fill="D4D4D4"/>
          </w:tcPr>
          <w:p>
            <w:pPr/>
          </w:p>
        </w:tc>
        <w:tc>
          <w:tcPr>
            <w:tcW w:w="1637" w:type="dxa"/>
            <w:vMerge/>
            <w:tcBorders>
              <w:left w:val="single" w:sz="9" w:space="0" w:color="D4D4D4"/>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593" w:right="0"/>
              <w:jc w:val="left"/>
              <w:rPr>
                <w:rFonts w:ascii="Times New Roman" w:hAnsi="Times New Roman" w:cs="Times New Roman" w:eastAsia="Times New Roman" w:hint="default"/>
                <w:sz w:val="18"/>
                <w:szCs w:val="18"/>
              </w:rPr>
            </w:pPr>
            <w:r>
              <w:rPr>
                <w:rFonts w:ascii="Times New Roman"/>
                <w:sz w:val="18"/>
              </w:rPr>
              <w:t>-4,289,646.17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-4,431,914.80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2" w:right="0"/>
              <w:jc w:val="left"/>
              <w:rPr>
                <w:rFonts w:ascii="Times New Roman" w:hAnsi="Times New Roman" w:cs="Times New Roman" w:eastAsia="Times New Roman" w:hint="default"/>
                <w:sz w:val="18"/>
                <w:szCs w:val="18"/>
              </w:rPr>
            </w:pPr>
            <w:r>
              <w:rPr>
                <w:rFonts w:ascii="Times New Roman"/>
                <w:sz w:val="18"/>
              </w:rPr>
              <w:t>-3.21%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296" w:right="143" w:hanging="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技术应用引领能力一直是公司的核心能力之一，因此公司每年度持续保持较大力度的研发投入。本年度公司在新技术应用</w:t>
      </w:r>
    </w:p>
    <w:p>
      <w:pPr>
        <w:pStyle w:val="BodyText"/>
        <w:spacing w:line="316" w:lineRule="auto"/>
        <w:ind w:right="150"/>
        <w:jc w:val="both"/>
      </w:pPr>
      <w:r>
        <w:rPr>
          <w:spacing w:val="-2"/>
        </w:rPr>
        <w:t>研究研发、技术平台更新升级、开发平台更新升级、公用事业软件产品、模块及组件研发上继续持续投入，同时为了支撑创</w:t>
      </w:r>
      <w:r>
        <w:rPr>
          <w:spacing w:val="-67"/>
        </w:rPr>
        <w:t> </w:t>
      </w:r>
      <w:r>
        <w:rPr>
          <w:spacing w:val="-67"/>
        </w:rPr>
      </w:r>
      <w:r>
        <w:rPr>
          <w:spacing w:val="-2"/>
        </w:rPr>
        <w:t>新业务的发展，公司本年度在云计算、大数据、物联网、人工智能等新技术应用、平台、工具方面加大了研发投入，对于创</w:t>
      </w:r>
      <w:r>
        <w:rPr>
          <w:spacing w:val="-66"/>
        </w:rPr>
        <w:t> </w:t>
      </w:r>
      <w:r>
        <w:rPr>
          <w:spacing w:val="-66"/>
        </w:rPr>
      </w:r>
      <w:r>
        <w:rPr>
          <w:spacing w:val="-2"/>
        </w:rPr>
        <w:t>新业务涉及的多个行业应用平台、产品进行了研发。整体研发进展符合预期，能够确保公司保持行业技术引领地位，同时将</w:t>
      </w:r>
      <w:r>
        <w:rPr>
          <w:spacing w:val="-64"/>
        </w:rPr>
        <w:t> </w:t>
      </w:r>
      <w:r>
        <w:rPr>
          <w:spacing w:val="-64"/>
        </w:rPr>
      </w:r>
      <w:r>
        <w:rPr/>
        <w:t>极大地助力创新业务的快速拓展。</w:t>
      </w:r>
    </w:p>
    <w:p>
      <w:pPr>
        <w:pStyle w:val="BodyText"/>
        <w:spacing w:line="240" w:lineRule="auto" w:before="57"/>
        <w:ind w:right="0"/>
        <w:jc w:val="both"/>
      </w:pPr>
      <w:r>
        <w:rPr/>
        <w:t>近三年公司研发投入金额及占营业收入的比例</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873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49.77%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97,301,644.68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80,237,320.32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68,114,379.68</w:t>
            </w:r>
            <w:r>
              <w:rPr>
                <w:rFonts w:ascii="Times New Roman"/>
                <w:sz w:val="18"/>
              </w:rPr>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11.03%</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1,133,800.85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2,762,983.40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3" w:right="0"/>
              <w:jc w:val="left"/>
              <w:rPr>
                <w:rFonts w:ascii="Times New Roman" w:hAnsi="Times New Roman" w:cs="Times New Roman" w:eastAsia="Times New Roman" w:hint="default"/>
                <w:sz w:val="18"/>
                <w:szCs w:val="18"/>
              </w:rPr>
            </w:pPr>
            <w:r>
              <w:rPr>
                <w:rFonts w:ascii="Times New Roman"/>
                <w:sz w:val="18"/>
              </w:rPr>
              <w:t>2,977,855.58</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w:t>
            </w:r>
          </w:p>
        </w:tc>
      </w:tr>
    </w:tbl>
    <w:p>
      <w:pPr>
        <w:pStyle w:val="BodyText"/>
        <w:spacing w:line="240" w:lineRule="auto" w:before="49"/>
        <w:ind w:right="150"/>
        <w:jc w:val="left"/>
      </w:pPr>
      <w:r>
        <w:rPr/>
        <w:t>研发投入总额占营业收入的比重较上年发生显著变化的原因</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238" w:right="0"/>
              <w:jc w:val="left"/>
              <w:rPr>
                <w:rFonts w:ascii="Times New Roman" w:hAnsi="Times New Roman" w:cs="Times New Roman" w:eastAsia="Times New Roman" w:hint="default"/>
                <w:sz w:val="18"/>
                <w:szCs w:val="18"/>
              </w:rPr>
            </w:pPr>
            <w:r>
              <w:rPr>
                <w:rFonts w:ascii="Times New Roman"/>
                <w:sz w:val="18"/>
              </w:rPr>
              <w:t>812,587,410.92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3" w:right="0"/>
              <w:jc w:val="left"/>
              <w:rPr>
                <w:rFonts w:ascii="Times New Roman" w:hAnsi="Times New Roman" w:cs="Times New Roman" w:eastAsia="Times New Roman" w:hint="default"/>
                <w:sz w:val="18"/>
                <w:szCs w:val="18"/>
              </w:rPr>
            </w:pPr>
            <w:r>
              <w:rPr>
                <w:rFonts w:ascii="Times New Roman"/>
                <w:sz w:val="18"/>
              </w:rPr>
              <w:t>666,726,342.40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763,873,097.38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613,067,855.21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48,714,313.54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53,658,487.19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-9.21%</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11,708,491.55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4,386,790.04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166.90%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12,689,191.12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26,499,894.63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-52.12%</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-980,699.57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-22,113,104.59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95.57%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353,916,009.00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26,456,786.71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353,916,009.00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-26,456,786.71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1,437.71%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401,649,622.97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5,088,595.89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7,793.13%</w:t>
            </w:r>
          </w:p>
        </w:tc>
      </w:tr>
    </w:tbl>
    <w:p>
      <w:pPr>
        <w:pStyle w:val="BodyText"/>
        <w:spacing w:line="240" w:lineRule="auto" w:before="49"/>
        <w:ind w:right="150"/>
        <w:jc w:val="left"/>
      </w:pPr>
      <w:r>
        <w:rPr/>
        <w:t>相关数据同比发生重大变动的主要影响因素说明</w:t>
      </w:r>
    </w:p>
    <w:p>
      <w:pPr>
        <w:pStyle w:val="BodyText"/>
        <w:spacing w:line="319" w:lineRule="auto" w:before="115"/>
        <w:ind w:right="2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1</w:t>
      </w:r>
      <w:r>
        <w:rPr/>
        <w:t>、投资活动产生的现金流量净额较上年增加</w:t>
      </w:r>
      <w:r>
        <w:rPr>
          <w:rFonts w:ascii="Times New Roman" w:hAnsi="Times New Roman" w:cs="Times New Roman" w:eastAsia="Times New Roman" w:hint="default"/>
        </w:rPr>
        <w:t>95.57%</w:t>
      </w:r>
      <w:r>
        <w:rPr/>
        <w:t>，主要是投资活动现金流入较上年增加</w:t>
      </w:r>
      <w:r>
        <w:rPr>
          <w:rFonts w:ascii="Times New Roman" w:hAnsi="Times New Roman" w:cs="Times New Roman" w:eastAsia="Times New Roman" w:hint="default"/>
        </w:rPr>
        <w:t>166.90%</w:t>
      </w:r>
      <w:r>
        <w:rPr/>
        <w:t>，其中转让朗新云商、 朗新数据、新耀能源部分股权取得股款</w:t>
      </w:r>
      <w:r>
        <w:rPr>
          <w:rFonts w:ascii="Times New Roman" w:hAnsi="Times New Roman" w:cs="Times New Roman" w:eastAsia="Times New Roman" w:hint="default"/>
        </w:rPr>
        <w:t>961</w:t>
      </w:r>
      <w:r>
        <w:rPr/>
        <w:t>万；</w:t>
      </w:r>
    </w:p>
    <w:p>
      <w:pPr>
        <w:pStyle w:val="BodyText"/>
        <w:spacing w:line="304" w:lineRule="auto"/>
        <w:ind w:right="143"/>
        <w:jc w:val="left"/>
      </w:pPr>
      <w:r>
        <w:rPr/>
        <w:t>投资活动现金流出较上年减少</w:t>
      </w:r>
      <w:r>
        <w:rPr>
          <w:rFonts w:ascii="Times New Roman" w:hAnsi="Times New Roman" w:cs="Times New Roman" w:eastAsia="Times New Roman" w:hint="default"/>
        </w:rPr>
        <w:t>52.12%</w:t>
      </w:r>
      <w:r>
        <w:rPr/>
        <w:t>，主要是上年取得子公司支付现金净额</w:t>
      </w:r>
      <w:r>
        <w:rPr>
          <w:rFonts w:ascii="Times New Roman" w:hAnsi="Times New Roman" w:cs="Times New Roman" w:eastAsia="Times New Roman" w:hint="default"/>
        </w:rPr>
        <w:t>1471</w:t>
      </w:r>
      <w:r>
        <w:rPr/>
        <w:t>万，上年支付固定资产等长期资产款</w:t>
      </w:r>
      <w:r>
        <w:rPr>
          <w:rFonts w:ascii="Times New Roman" w:hAnsi="Times New Roman" w:cs="Times New Roman" w:eastAsia="Times New Roman" w:hint="default"/>
        </w:rPr>
        <w:t>1178 </w:t>
      </w:r>
      <w:r>
        <w:rPr/>
        <w:t>万，本年主要支付固定资产等长期资产款</w:t>
      </w:r>
      <w:r>
        <w:rPr>
          <w:rFonts w:ascii="Times New Roman" w:hAnsi="Times New Roman" w:cs="Times New Roman" w:eastAsia="Times New Roman" w:hint="default"/>
        </w:rPr>
        <w:t>990</w:t>
      </w:r>
      <w:r>
        <w:rPr/>
        <w:t>万，取得子公司支付现金净额</w:t>
      </w:r>
      <w:r>
        <w:rPr>
          <w:rFonts w:ascii="Times New Roman" w:hAnsi="Times New Roman" w:cs="Times New Roman" w:eastAsia="Times New Roman" w:hint="default"/>
        </w:rPr>
        <w:t>278.64</w:t>
      </w:r>
      <w:r>
        <w:rPr/>
        <w:t>万。 </w:t>
      </w:r>
      <w:r>
        <w:rPr>
          <w:rFonts w:ascii="Times New Roman" w:hAnsi="Times New Roman" w:cs="Times New Roman" w:eastAsia="Times New Roman" w:hint="default"/>
          <w:spacing w:val="-2"/>
        </w:rPr>
        <w:t>2</w:t>
      </w:r>
      <w:r>
        <w:rPr>
          <w:spacing w:val="-2"/>
        </w:rPr>
        <w:t>、筹资活动产生的现金流量净额较上年增加</w:t>
      </w:r>
      <w:r>
        <w:rPr>
          <w:rFonts w:ascii="Times New Roman" w:hAnsi="Times New Roman" w:cs="Times New Roman" w:eastAsia="Times New Roman" w:hint="default"/>
          <w:spacing w:val="-2"/>
        </w:rPr>
        <w:t>1,437.71%</w:t>
      </w:r>
      <w:r>
        <w:rPr>
          <w:spacing w:val="-2"/>
        </w:rPr>
        <w:t>，主要是筹资活动中吸收投资收到现金</w:t>
      </w:r>
      <w:r>
        <w:rPr>
          <w:rFonts w:ascii="Times New Roman" w:hAnsi="Times New Roman" w:cs="Times New Roman" w:eastAsia="Times New Roman" w:hint="default"/>
          <w:spacing w:val="-2"/>
        </w:rPr>
        <w:t>3.53</w:t>
      </w:r>
      <w:r>
        <w:rPr>
          <w:spacing w:val="-2"/>
        </w:rPr>
        <w:t>亿，上年发放股利</w:t>
      </w:r>
      <w:r>
        <w:rPr>
          <w:rFonts w:ascii="Times New Roman" w:hAnsi="Times New Roman" w:cs="Times New Roman" w:eastAsia="Times New Roman" w:hint="default"/>
          <w:spacing w:val="-2"/>
        </w:rPr>
        <w:t>2,645.68</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万所致。 </w:t>
      </w:r>
      <w:r>
        <w:rPr>
          <w:rFonts w:ascii="Times New Roman" w:hAnsi="Times New Roman" w:cs="Times New Roman" w:eastAsia="Times New Roman" w:hint="default"/>
          <w:spacing w:val="-1"/>
        </w:rPr>
        <w:t>3</w:t>
      </w:r>
      <w:r>
        <w:rPr>
          <w:spacing w:val="-1"/>
        </w:rPr>
        <w:t>、现金及现金等价物净增加额较上年增加</w:t>
      </w:r>
      <w:r>
        <w:rPr>
          <w:rFonts w:ascii="Times New Roman" w:hAnsi="Times New Roman" w:cs="Times New Roman" w:eastAsia="Times New Roman" w:hint="default"/>
          <w:spacing w:val="-1"/>
        </w:rPr>
        <w:t>7,793.13%</w:t>
      </w:r>
      <w:r>
        <w:rPr>
          <w:spacing w:val="-1"/>
        </w:rPr>
        <w:t>，主要是报告期公司对外公开发行股票及实行股权激励发行限制性股票</w:t>
      </w:r>
      <w:r>
        <w:rPr>
          <w:spacing w:val="-88"/>
        </w:rPr>
        <w:t> </w:t>
      </w:r>
      <w:r>
        <w:rPr>
          <w:spacing w:val="-88"/>
        </w:rPr>
      </w:r>
      <w:r>
        <w:rPr/>
        <w:t>所致。</w:t>
      </w:r>
    </w:p>
    <w:p>
      <w:pPr>
        <w:pStyle w:val="BodyText"/>
        <w:spacing w:line="240" w:lineRule="auto" w:before="68"/>
        <w:ind w:right="150"/>
        <w:jc w:val="left"/>
      </w:pPr>
      <w:r>
        <w:rPr/>
        <w:t>报告期内公司经营活动产生的现金净流量与本年度净利润存在重大差异的原因说明</w:t>
      </w:r>
    </w:p>
    <w:p>
      <w:pPr>
        <w:pStyle w:val="BodyText"/>
        <w:spacing w:line="328" w:lineRule="auto" w:before="115"/>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主要是报告期应收账款回收较慢，公司加大业务扩展力度，业务规模扩大，相应人员费用、采购支出、房屋租金、销售费用</w:t>
      </w:r>
      <w:r>
        <w:rPr>
          <w:spacing w:val="-67"/>
        </w:rPr>
        <w:t> </w:t>
      </w:r>
      <w:r>
        <w:rPr>
          <w:spacing w:val="-67"/>
        </w:rPr>
      </w:r>
      <w:r>
        <w:rPr/>
        <w:t>及研发投入增加所致。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2"/>
        <w:spacing w:line="240" w:lineRule="auto"/>
        <w:ind w:right="15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5"/>
        <w:gridCol w:w="1622"/>
        <w:gridCol w:w="2167"/>
        <w:gridCol w:w="2340"/>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38,183,284.52</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25.72%</w:t>
            </w:r>
          </w:p>
        </w:tc>
        <w:tc>
          <w:tcPr>
            <w:tcW w:w="216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主要是取得合营公司投资 收益所致</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3" w:hRule="exact"/>
        </w:trPr>
        <w:tc>
          <w:tcPr>
            <w:tcW w:w="151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10" w:space="0" w:color="D4D4D4"/>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2,621,802.95</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1.77%</w:t>
            </w:r>
          </w:p>
        </w:tc>
        <w:tc>
          <w:tcPr>
            <w:tcW w:w="2167"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主要是计提资产减值损失 所致</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1060" w:right="0"/>
              <w:jc w:val="left"/>
              <w:rPr>
                <w:rFonts w:ascii="Times New Roman" w:hAnsi="Times New Roman" w:cs="Times New Roman" w:eastAsia="Times New Roman" w:hint="default"/>
                <w:sz w:val="18"/>
                <w:szCs w:val="18"/>
              </w:rPr>
            </w:pPr>
            <w:r>
              <w:rPr>
                <w:rFonts w:ascii="Times New Roman"/>
                <w:sz w:val="18"/>
              </w:rPr>
              <w:t>207,804.23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0.14%</w:t>
            </w:r>
          </w:p>
        </w:tc>
        <w:tc>
          <w:tcPr>
            <w:tcW w:w="2167"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14"/>
        <w:gridCol w:w="1927"/>
        <w:gridCol w:w="1622"/>
        <w:gridCol w:w="2167"/>
        <w:gridCol w:w="2340"/>
      </w:tblGrid>
      <w:tr>
        <w:trPr>
          <w:trHeight w:val="403" w:hRule="exact"/>
        </w:trPr>
        <w:tc>
          <w:tcPr>
            <w:tcW w:w="15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1072" w:right="0"/>
              <w:jc w:val="left"/>
              <w:rPr>
                <w:rFonts w:ascii="Times New Roman" w:hAnsi="Times New Roman" w:cs="Times New Roman" w:eastAsia="Times New Roman" w:hint="default"/>
                <w:sz w:val="18"/>
                <w:szCs w:val="18"/>
              </w:rPr>
            </w:pPr>
            <w:r>
              <w:rPr>
                <w:rFonts w:ascii="Times New Roman"/>
                <w:sz w:val="18"/>
              </w:rPr>
              <w:t>357,053.93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0.24%</w:t>
            </w:r>
          </w:p>
        </w:tc>
        <w:tc>
          <w:tcPr>
            <w:tcW w:w="2167"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5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4D4D4"/>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4D4D4"/>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4D4D4"/>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4D4D4"/>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4D4D4"/>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4D4D4"/>
          </w:tcPr>
          <w:p>
            <w:pPr/>
          </w:p>
        </w:tc>
        <w:tc>
          <w:tcPr>
            <w:tcW w:w="1164" w:type="dxa"/>
            <w:tcBorders>
              <w:top w:val="single" w:sz="14"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4"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4"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4D4D4"/>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4D4D4"/>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1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368" w:type="dxa"/>
            <w:vMerge w:val="restart"/>
            <w:tcBorders>
              <w:top w:val="nil" w:sz="6" w:space="0" w:color="auto"/>
              <w:left w:val="single" w:sz="4" w:space="0" w:color="000000"/>
              <w:right w:val="single" w:sz="4" w:space="0" w:color="000000"/>
            </w:tcBorders>
            <w:shd w:val="clear" w:color="auto" w:fill="D4D4D4"/>
          </w:tcPr>
          <w:p>
            <w:pPr/>
          </w:p>
        </w:tc>
        <w:tc>
          <w:tcPr>
            <w:tcW w:w="1164"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164"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163"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716,415,509.7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43.55%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312,397,856.74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28.07%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15.48%</w:t>
            </w:r>
          </w:p>
        </w:tc>
        <w:tc>
          <w:tcPr>
            <w:tcW w:w="2918"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报告期公司对外公开发行股票和实 行股权激励收到股款所致。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646,980,421.7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39.33%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571,581,981.37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51.36%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-12.03%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当年货币资金增加显著，导致应收账</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款占比下降。</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73,295,560.33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82,742,271.98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57,771,246.60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21,636,819.63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合营公司邦道科技利润增加所致。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12,331,561.33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4,878,792.09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4D4D4"/>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932,858.98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21,198,242.04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11,647,463.29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36,763,629.45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19,523,054.20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8,692,509.57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16,440,804.49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主要是报告期内无形资产摊销计提 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31,404,852.49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23,528,884.62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2.11%</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both"/>
              <w:rPr>
                <w:rFonts w:ascii="宋体" w:hAnsi="宋体" w:cs="宋体" w:eastAsia="宋体" w:hint="default"/>
                <w:sz w:val="18"/>
                <w:szCs w:val="18"/>
              </w:rPr>
            </w:pPr>
            <w:r>
              <w:rPr>
                <w:rFonts w:ascii="宋体" w:hAnsi="宋体" w:cs="宋体" w:eastAsia="宋体" w:hint="default"/>
                <w:sz w:val="18"/>
                <w:szCs w:val="18"/>
              </w:rPr>
              <w:t>主要是报告期内公司收购无锡金关 支付对价超出购买日净资产公允价 值所致。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104,937,398.8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103,636,453.07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77,242,230.63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75,897,234.46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主要是收到客户支付项目预付款所 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77,231,218.52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52,839,151.71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164,317,617.0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7,224,078.49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主要是报告期内增加限制性股票回 购义务所致。</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190"/>
        <w:gridCol w:w="3190"/>
        <w:gridCol w:w="3190"/>
      </w:tblGrid>
      <w:tr>
        <w:trPr>
          <w:trHeight w:val="425" w:hRule="exact"/>
        </w:trPr>
        <w:tc>
          <w:tcPr>
            <w:tcW w:w="3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hAnsi="宋体" w:cs="宋体" w:eastAsia="宋体" w:hint="default"/>
                <w:sz w:val="18"/>
                <w:szCs w:val="18"/>
              </w:rPr>
              <w:t>受限原因</w:t>
            </w:r>
          </w:p>
        </w:tc>
      </w:tr>
      <w:tr>
        <w:trPr>
          <w:trHeight w:val="430" w:hRule="exact"/>
        </w:trPr>
        <w:tc>
          <w:tcPr>
            <w:tcW w:w="3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4,013,739.00</w:t>
            </w:r>
            <w:r>
              <w:rPr>
                <w:rFonts w:ascii="Times New Roman"/>
                <w:sz w:val="18"/>
              </w:rPr>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hAnsi="宋体" w:cs="宋体" w:eastAsia="宋体" w:hint="default"/>
                <w:sz w:val="18"/>
                <w:szCs w:val="18"/>
              </w:rPr>
              <w:t>主要为银行履约保证金</w:t>
            </w:r>
          </w:p>
        </w:tc>
      </w:tr>
    </w:tbl>
    <w:p>
      <w:pPr>
        <w:spacing w:line="240" w:lineRule="auto" w:before="1"/>
        <w:rPr>
          <w:rFonts w:ascii="宋体" w:hAnsi="宋体" w:cs="宋体" w:eastAsia="宋体" w:hint="default"/>
          <w:b/>
          <w:bCs/>
          <w:sz w:val="18"/>
          <w:szCs w:val="18"/>
        </w:rPr>
      </w:pPr>
    </w:p>
    <w:p>
      <w:pPr>
        <w:pStyle w:val="Heading2"/>
        <w:spacing w:line="240" w:lineRule="auto" w:before="26"/>
        <w:ind w:right="150"/>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12,689,191.12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26,499,894.63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-52.12%</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3"/>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2"/>
        <w:gridCol w:w="660"/>
        <w:gridCol w:w="662"/>
        <w:gridCol w:w="658"/>
        <w:gridCol w:w="655"/>
        <w:gridCol w:w="660"/>
        <w:gridCol w:w="629"/>
        <w:gridCol w:w="739"/>
        <w:gridCol w:w="732"/>
        <w:gridCol w:w="734"/>
        <w:gridCol w:w="722"/>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1"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273"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9"/>
              <w:jc w:val="both"/>
              <w:rPr>
                <w:rFonts w:ascii="宋体" w:hAnsi="宋体" w:cs="宋体" w:eastAsia="宋体" w:hint="default"/>
                <w:sz w:val="18"/>
                <w:szCs w:val="18"/>
              </w:rPr>
            </w:pPr>
            <w:r>
              <w:rPr>
                <w:rFonts w:ascii="宋体" w:hAnsi="宋体" w:cs="宋体" w:eastAsia="宋体" w:hint="default"/>
                <w:sz w:val="18"/>
                <w:szCs w:val="18"/>
              </w:rPr>
              <w:t>无锡朗 新金关 信息科 技有限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网络信 息技术 </w:t>
            </w:r>
            <w:r>
              <w:rPr>
                <w:rFonts w:ascii="宋体" w:hAnsi="宋体" w:cs="宋体" w:eastAsia="宋体" w:hint="default"/>
                <w:spacing w:val="-21"/>
                <w:sz w:val="18"/>
                <w:szCs w:val="18"/>
              </w:rPr>
              <w:t>服务、计</w:t>
            </w:r>
            <w:r>
              <w:rPr>
                <w:rFonts w:ascii="宋体" w:hAnsi="宋体" w:cs="宋体" w:eastAsia="宋体" w:hint="default"/>
                <w:sz w:val="18"/>
                <w:szCs w:val="18"/>
              </w:rPr>
              <w:t> 算机软 硬件的 研发与 销售</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收购</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51.00%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自有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83"/>
              <w:jc w:val="left"/>
              <w:rPr>
                <w:rFonts w:ascii="宋体" w:hAnsi="宋体" w:cs="宋体" w:eastAsia="宋体" w:hint="default"/>
                <w:sz w:val="18"/>
                <w:szCs w:val="18"/>
              </w:rPr>
            </w:pPr>
            <w:r>
              <w:rPr>
                <w:rFonts w:ascii="宋体" w:hAnsi="宋体" w:cs="宋体" w:eastAsia="宋体" w:hint="default"/>
                <w:sz w:val="18"/>
                <w:szCs w:val="18"/>
              </w:rPr>
              <w:t>卢继 红、陈 燕涛、 钱淑英</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-1,810,9</w:t>
            </w:r>
          </w:p>
          <w:p>
            <w:pPr>
              <w:pStyle w:val="TableParagraph"/>
              <w:spacing w:line="240" w:lineRule="auto" w:before="105"/>
              <w:ind w:left="283" w:right="0"/>
              <w:jc w:val="center"/>
              <w:rPr>
                <w:rFonts w:ascii="Times New Roman" w:hAnsi="Times New Roman" w:cs="Times New Roman" w:eastAsia="Times New Roman" w:hint="default"/>
                <w:sz w:val="18"/>
                <w:szCs w:val="18"/>
              </w:rPr>
            </w:pPr>
            <w:r>
              <w:rPr>
                <w:rFonts w:ascii="Times New Roman"/>
                <w:sz w:val="18"/>
              </w:rPr>
              <w:t>02.28</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2"/>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-1,810,9</w:t>
            </w:r>
          </w:p>
          <w:p>
            <w:pPr>
              <w:pStyle w:val="TableParagraph"/>
              <w:spacing w:line="240" w:lineRule="auto" w:before="102"/>
              <w:ind w:left="283" w:right="0"/>
              <w:jc w:val="center"/>
              <w:rPr>
                <w:rFonts w:ascii="Times New Roman" w:hAnsi="Times New Roman" w:cs="Times New Roman" w:eastAsia="Times New Roman" w:hint="default"/>
                <w:sz w:val="18"/>
                <w:szCs w:val="18"/>
              </w:rPr>
            </w:pPr>
            <w:r>
              <w:rPr>
                <w:rFonts w:ascii="Times New Roman"/>
                <w:sz w:val="18"/>
              </w:rPr>
              <w:t>02.28</w:t>
            </w:r>
          </w:p>
        </w:tc>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3"/>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1"/>
        <w:gridCol w:w="869"/>
        <w:gridCol w:w="871"/>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13"/>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20,068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3,377.67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1,267.93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5"/>
              <w:jc w:val="left"/>
              <w:rPr>
                <w:rFonts w:ascii="宋体" w:hAnsi="宋体" w:cs="宋体" w:eastAsia="宋体" w:hint="default"/>
                <w:sz w:val="18"/>
                <w:szCs w:val="18"/>
              </w:rPr>
            </w:pPr>
            <w:r>
              <w:rPr>
                <w:rFonts w:ascii="宋体" w:hAnsi="宋体" w:cs="宋体" w:eastAsia="宋体" w:hint="default"/>
                <w:sz w:val="18"/>
                <w:szCs w:val="18"/>
              </w:rPr>
              <w:t>银行活期 存款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20,068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3,377.67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1,267.93</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899"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日，经中国</w:t>
            </w:r>
            <w:r>
              <w:rPr>
                <w:rFonts w:ascii="宋体" w:hAnsi="宋体" w:cs="宋体" w:eastAsia="宋体" w:hint="default"/>
                <w:spacing w:val="-3"/>
                <w:sz w:val="18"/>
                <w:szCs w:val="18"/>
              </w:rPr>
              <w:t>证</w:t>
            </w:r>
            <w:r>
              <w:rPr>
                <w:rFonts w:ascii="宋体" w:hAnsi="宋体" w:cs="宋体" w:eastAsia="宋体" w:hint="default"/>
                <w:sz w:val="18"/>
                <w:szCs w:val="18"/>
              </w:rPr>
              <w:t>券监督管理委员会《关于核准朗新科技股份有限公司首次公开发行股票的批复</w:t>
            </w:r>
            <w:r>
              <w:rPr>
                <w:rFonts w:ascii="宋体" w:hAnsi="宋体" w:cs="宋体" w:eastAsia="宋体" w:hint="default"/>
                <w:spacing w:val="-92"/>
                <w:sz w:val="18"/>
                <w:szCs w:val="18"/>
              </w:rPr>
              <w:t>》</w:t>
            </w:r>
            <w:r>
              <w:rPr>
                <w:rFonts w:ascii="宋体" w:hAnsi="宋体" w:cs="宋体" w:eastAsia="宋体" w:hint="default"/>
                <w:sz w:val="18"/>
                <w:szCs w:val="18"/>
              </w:rPr>
              <w:t>（证监许可</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2"/>
                <w:w w:val="99"/>
                <w:sz w:val="18"/>
                <w:szCs w:val="18"/>
              </w:rPr>
              <w:t>7</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9"/>
                <w:w w:val="99"/>
                <w:sz w:val="18"/>
                <w:szCs w:val="18"/>
              </w:rPr>
              <w:t>1</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2"/>
                <w:w w:val="99"/>
                <w:sz w:val="18"/>
                <w:szCs w:val="18"/>
              </w:rPr>
              <w:t> </w:t>
            </w:r>
            <w:r>
              <w:rPr>
                <w:rFonts w:ascii="宋体" w:hAnsi="宋体" w:cs="宋体" w:eastAsia="宋体" w:hint="default"/>
                <w:w w:val="99"/>
                <w:sz w:val="18"/>
                <w:szCs w:val="18"/>
              </w:rPr>
              <w:t>号文）核准，经</w:t>
            </w:r>
            <w:r>
              <w:rPr>
                <w:rFonts w:ascii="宋体" w:hAnsi="宋体" w:cs="宋体" w:eastAsia="宋体" w:hint="default"/>
                <w:spacing w:val="-3"/>
                <w:w w:val="99"/>
                <w:sz w:val="18"/>
                <w:szCs w:val="18"/>
              </w:rPr>
              <w:t>深</w:t>
            </w:r>
            <w:r>
              <w:rPr>
                <w:rFonts w:ascii="宋体" w:hAnsi="宋体" w:cs="宋体" w:eastAsia="宋体" w:hint="default"/>
                <w:w w:val="99"/>
                <w:sz w:val="18"/>
                <w:szCs w:val="18"/>
              </w:rPr>
              <w:t>圳证券交易所《关于朗新科技股份有限公司人民币普通股股票在创业板上市的通知</w:t>
            </w:r>
            <w:r>
              <w:rPr>
                <w:rFonts w:ascii="宋体" w:hAnsi="宋体" w:cs="宋体" w:eastAsia="宋体" w:hint="default"/>
                <w:spacing w:val="-92"/>
                <w:w w:val="99"/>
                <w:sz w:val="18"/>
                <w:szCs w:val="18"/>
              </w:rPr>
              <w:t>》</w:t>
            </w:r>
            <w:r>
              <w:rPr>
                <w:rFonts w:ascii="宋体" w:hAnsi="宋体" w:cs="宋体" w:eastAsia="宋体" w:hint="default"/>
                <w:w w:val="99"/>
                <w:sz w:val="18"/>
                <w:szCs w:val="18"/>
              </w:rPr>
              <w:t>（深证</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上</w:t>
            </w:r>
            <w:r>
              <w:rPr>
                <w:rFonts w:ascii="Times New Roman" w:hAnsi="Times New Roman" w:cs="Times New Roman" w:eastAsia="Times New Roman" w:hint="default"/>
                <w:sz w:val="18"/>
                <w:szCs w:val="18"/>
              </w:rPr>
              <w:t>[2017]469 </w:t>
            </w:r>
            <w:r>
              <w:rPr>
                <w:rFonts w:ascii="宋体" w:hAnsi="宋体" w:cs="宋体" w:eastAsia="宋体" w:hint="default"/>
                <w:sz w:val="18"/>
                <w:szCs w:val="18"/>
              </w:rPr>
              <w:t>号）同意，公司首次公开发行的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万股人民币普通股股票已于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日在深圳证券交易所创业板</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上市交易，每股面值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元，每股发行价格为人民币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24,795.00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万元，扣除发行费用人民币</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4,727.07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万元，实际募集资金净额为人民币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20,067.93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万元，上述募集资金已于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日全部到位，已经普华永道</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中天会计师事务所（特殊普通合伙）予以验证并出具普华永道中天验字（</w:t>
            </w:r>
            <w:r>
              <w:rPr>
                <w:rFonts w:ascii="Times New Roman" w:hAnsi="Times New Roman" w:cs="Times New Roman" w:eastAsia="Times New Roman" w:hint="default"/>
                <w:sz w:val="18"/>
                <w:szCs w:val="18"/>
              </w:rPr>
              <w:t>2017</w:t>
            </w:r>
            <w:r>
              <w:rPr>
                <w:rFonts w:ascii="宋体" w:hAnsi="宋体" w:cs="宋体" w:eastAsia="宋体" w:hint="default"/>
                <w:sz w:val="18"/>
                <w:szCs w:val="18"/>
              </w:rPr>
              <w:t>）第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725</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号验资报告。截至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日，本公司本年度使用募集资金人民币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33,776,666.57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元，累计使用募集资金总额人民币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188,000,007.62</w:t>
            </w:r>
            <w:r>
              <w:rPr>
                <w:rFonts w:ascii="Times New Roman" w:hAnsi="Times New Roman" w:cs="Times New Roman" w:eastAsia="Times New Roman" w:hint="default"/>
                <w:spacing w:val="20"/>
                <w:sz w:val="18"/>
                <w:szCs w:val="18"/>
              </w:rPr>
              <w:t> </w:t>
            </w:r>
            <w:r>
              <w:rPr>
                <w:rFonts w:ascii="宋体" w:hAnsi="宋体" w:cs="宋体" w:eastAsia="宋体" w:hint="default"/>
                <w:spacing w:val="-4"/>
                <w:sz w:val="18"/>
                <w:szCs w:val="18"/>
              </w:rPr>
              <w:t>元，尚未使用募集</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资金余额人民币 </w:t>
            </w:r>
            <w:r>
              <w:rPr>
                <w:rFonts w:ascii="Times New Roman" w:hAnsi="Times New Roman" w:cs="Times New Roman" w:eastAsia="Times New Roman" w:hint="default"/>
                <w:sz w:val="18"/>
                <w:szCs w:val="18"/>
              </w:rPr>
              <w:t>12,679,292.38 </w:t>
            </w:r>
            <w:r>
              <w:rPr>
                <w:rFonts w:ascii="宋体" w:hAnsi="宋体" w:cs="宋体" w:eastAsia="宋体" w:hint="default"/>
                <w:sz w:val="18"/>
                <w:szCs w:val="18"/>
              </w:rPr>
              <w:t>元；与募集资金专户中募集资金余额的差异为人民币 </w:t>
            </w:r>
            <w:r>
              <w:rPr>
                <w:rFonts w:ascii="Times New Roman" w:hAnsi="Times New Roman" w:cs="Times New Roman" w:eastAsia="Times New Roman" w:hint="default"/>
                <w:sz w:val="18"/>
                <w:szCs w:val="18"/>
              </w:rPr>
              <w:t>13,943,018.40 </w:t>
            </w:r>
            <w:r>
              <w:rPr>
                <w:rFonts w:ascii="宋体" w:hAnsi="宋体" w:cs="宋体" w:eastAsia="宋体" w:hint="default"/>
                <w:spacing w:val="-5"/>
                <w:sz w:val="18"/>
                <w:szCs w:val="18"/>
              </w:rPr>
              <w:t>元，其中</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13,760,007.62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元为尚未置换的已使用募集资金的金额，另外</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183,010.78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元为收到的银行存款利息扣除银行手续费等的净额。</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3"/>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1338"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20" w:right="71"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50"/>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4" w:lineRule="auto" w:before="50"/>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下一代电力营销</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8,667.93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8,667.93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2,162.51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21,280.01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技术研发中心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284.59</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营销网络建设</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930.56</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20,067.93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20,067.93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3,377.66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18,800</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21,280.01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20,067.93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20,067.93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3,377.66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18,800</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21,280.01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4"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1" w:type="dxa"/>
            <w:vMerge/>
            <w:tcBorders>
              <w:left w:val="single" w:sz="4" w:space="0" w:color="000000"/>
              <w:bottom w:val="single" w:sz="4" w:space="0" w:color="000000"/>
              <w:right w:val="single" w:sz="4" w:space="0" w:color="000000"/>
            </w:tcBorders>
            <w:shd w:val="clear" w:color="auto" w:fill="D4D4D4"/>
          </w:tcPr>
          <w:p>
            <w:pPr/>
          </w:p>
        </w:tc>
        <w:tc>
          <w:tcPr>
            <w:tcW w:w="7798" w:type="dxa"/>
            <w:gridSpan w:val="10"/>
            <w:tcBorders>
              <w:top w:val="single" w:sz="4" w:space="0" w:color="000000"/>
              <w:left w:val="single" w:sz="13" w:space="0" w:color="D4D4D4"/>
              <w:bottom w:val="single" w:sz="4" w:space="0" w:color="000000"/>
              <w:right w:val="single" w:sz="4" w:space="0" w:color="000000"/>
            </w:tcBorders>
          </w:tcPr>
          <w:p>
            <w:pPr/>
          </w:p>
        </w:tc>
      </w:tr>
      <w:tr>
        <w:trPr>
          <w:trHeight w:val="252" w:hRule="exact"/>
        </w:trPr>
        <w:tc>
          <w:tcPr>
            <w:tcW w:w="1771" w:type="dxa"/>
            <w:tcBorders>
              <w:top w:val="single" w:sz="4" w:space="0" w:color="000000"/>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1"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10" w:space="0" w:color="D4D4D4"/>
              <w:bottom w:val="single" w:sz="4" w:space="0" w:color="000000"/>
              <w:right w:val="single" w:sz="4" w:space="0" w:color="000000"/>
            </w:tcBorders>
          </w:tcPr>
          <w:p>
            <w:pPr/>
          </w:p>
        </w:tc>
      </w:tr>
      <w:tr>
        <w:trPr>
          <w:trHeight w:val="401" w:hRule="exact"/>
        </w:trPr>
        <w:tc>
          <w:tcPr>
            <w:tcW w:w="1771" w:type="dxa"/>
            <w:vMerge/>
            <w:tcBorders>
              <w:left w:val="single" w:sz="4" w:space="0" w:color="000000"/>
              <w:right w:val="single" w:sz="4" w:space="0" w:color="000000"/>
            </w:tcBorders>
            <w:shd w:val="clear" w:color="auto" w:fill="D4D4D4"/>
          </w:tcPr>
          <w:p>
            <w:pPr/>
          </w:p>
        </w:tc>
        <w:tc>
          <w:tcPr>
            <w:tcW w:w="7798" w:type="dxa"/>
            <w:gridSpan w:val="10"/>
            <w:tcBorders>
              <w:top w:val="single" w:sz="4" w:space="0" w:color="000000"/>
              <w:left w:val="single" w:sz="13" w:space="0" w:color="D4D4D4"/>
              <w:bottom w:val="single" w:sz="4" w:space="0" w:color="000000"/>
              <w:right w:val="single" w:sz="4" w:space="0" w:color="000000"/>
            </w:tcBorders>
          </w:tcPr>
          <w:p>
            <w:pPr/>
          </w:p>
        </w:tc>
      </w:tr>
      <w:tr>
        <w:trPr>
          <w:trHeight w:val="151" w:hRule="exact"/>
        </w:trPr>
        <w:tc>
          <w:tcPr>
            <w:tcW w:w="1771" w:type="dxa"/>
            <w:vMerge/>
            <w:tcBorders>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
        </w:tc>
      </w:tr>
      <w:tr>
        <w:trPr>
          <w:trHeight w:val="252" w:hRule="exact"/>
        </w:trPr>
        <w:tc>
          <w:tcPr>
            <w:tcW w:w="177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98" w:type="dxa"/>
            <w:gridSpan w:val="10"/>
            <w:vMerge/>
            <w:tcBorders>
              <w:left w:val="single" w:sz="10" w:space="0" w:color="D4D4D4"/>
              <w:bottom w:val="single" w:sz="4" w:space="0" w:color="000000"/>
              <w:right w:val="single" w:sz="4" w:space="0" w:color="000000"/>
            </w:tcBorders>
          </w:tcPr>
          <w:p>
            <w:pPr/>
          </w:p>
        </w:tc>
      </w:tr>
      <w:tr>
        <w:trPr>
          <w:trHeight w:val="252" w:hRule="exact"/>
        </w:trPr>
        <w:tc>
          <w:tcPr>
            <w:tcW w:w="1771" w:type="dxa"/>
            <w:tcBorders>
              <w:top w:val="single" w:sz="4" w:space="0" w:color="000000"/>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 w:hRule="exact"/>
        </w:trPr>
        <w:tc>
          <w:tcPr>
            <w:tcW w:w="1771"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10" w:space="0" w:color="D4D4D4"/>
              <w:bottom w:val="single" w:sz="4" w:space="0" w:color="000000"/>
              <w:right w:val="single" w:sz="4" w:space="0" w:color="000000"/>
            </w:tcBorders>
          </w:tcPr>
          <w:p>
            <w:pPr/>
          </w:p>
        </w:tc>
      </w:tr>
      <w:tr>
        <w:trPr>
          <w:trHeight w:val="403" w:hRule="exact"/>
        </w:trPr>
        <w:tc>
          <w:tcPr>
            <w:tcW w:w="1771" w:type="dxa"/>
            <w:vMerge/>
            <w:tcBorders>
              <w:left w:val="single" w:sz="4" w:space="0" w:color="000000"/>
              <w:right w:val="single" w:sz="4" w:space="0" w:color="000000"/>
            </w:tcBorders>
            <w:shd w:val="clear" w:color="auto" w:fill="D4D4D4"/>
          </w:tcPr>
          <w:p>
            <w:pPr/>
          </w:p>
        </w:tc>
        <w:tc>
          <w:tcPr>
            <w:tcW w:w="7798" w:type="dxa"/>
            <w:gridSpan w:val="10"/>
            <w:tcBorders>
              <w:top w:val="single" w:sz="4" w:space="0" w:color="000000"/>
              <w:left w:val="single" w:sz="13" w:space="0" w:color="D4D4D4"/>
              <w:bottom w:val="single" w:sz="4" w:space="0" w:color="000000"/>
              <w:right w:val="single" w:sz="4" w:space="0" w:color="000000"/>
            </w:tcBorders>
          </w:tcPr>
          <w:p>
            <w:pPr/>
          </w:p>
        </w:tc>
      </w:tr>
      <w:tr>
        <w:trPr>
          <w:trHeight w:val="151" w:hRule="exact"/>
        </w:trPr>
        <w:tc>
          <w:tcPr>
            <w:tcW w:w="1771" w:type="dxa"/>
            <w:vMerge/>
            <w:tcBorders>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
        </w:tc>
      </w:tr>
      <w:tr>
        <w:trPr>
          <w:trHeight w:val="250" w:hRule="exact"/>
        </w:trPr>
        <w:tc>
          <w:tcPr>
            <w:tcW w:w="177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98" w:type="dxa"/>
            <w:gridSpan w:val="10"/>
            <w:vMerge/>
            <w:tcBorders>
              <w:left w:val="single" w:sz="10" w:space="0" w:color="D4D4D4"/>
              <w:bottom w:val="single" w:sz="4" w:space="0" w:color="000000"/>
              <w:right w:val="single" w:sz="4" w:space="0" w:color="000000"/>
            </w:tcBorders>
          </w:tcPr>
          <w:p>
            <w:pP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4D4D4"/>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5" w:hRule="exact"/>
        </w:trPr>
        <w:tc>
          <w:tcPr>
            <w:tcW w:w="1771" w:type="dxa"/>
            <w:vMerge/>
            <w:tcBorders>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日，本公司以自筹资金预先投入募集资金投资项目的实际投资金额为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18,202.36</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日，本公司第二届董事会第五次会议、第二次监事会第四次会议审议通过了</w:t>
            </w:r>
          </w:p>
          <w:p>
            <w:pPr>
              <w:pStyle w:val="TableParagraph"/>
              <w:spacing w:line="316" w:lineRule="auto" w:before="63"/>
              <w:ind w:left="16" w:right="19"/>
              <w:jc w:val="left"/>
              <w:rPr>
                <w:rFonts w:ascii="宋体" w:hAnsi="宋体" w:cs="宋体" w:eastAsia="宋体" w:hint="default"/>
                <w:sz w:val="18"/>
                <w:szCs w:val="18"/>
              </w:rPr>
            </w:pPr>
            <w:r>
              <w:rPr>
                <w:rFonts w:ascii="宋体" w:hAnsi="宋体" w:cs="宋体" w:eastAsia="宋体" w:hint="default"/>
                <w:spacing w:val="-5"/>
                <w:sz w:val="18"/>
                <w:szCs w:val="18"/>
              </w:rPr>
              <w:t>《关于使用募集资金置换预先已投入募投项目的自筹资金的议案》。本公司计划以募集资金置换预先</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已投入募集资金投资项目自筹资金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17,424 </w:t>
            </w:r>
            <w:r>
              <w:rPr>
                <w:rFonts w:ascii="宋体" w:hAnsi="宋体" w:cs="宋体" w:eastAsia="宋体" w:hint="default"/>
                <w:sz w:val="18"/>
                <w:szCs w:val="18"/>
              </w:rPr>
              <w:t>万元。</w:t>
            </w:r>
          </w:p>
        </w:tc>
      </w:tr>
      <w:tr>
        <w:trPr>
          <w:trHeight w:val="706" w:hRule="exact"/>
        </w:trPr>
        <w:tc>
          <w:tcPr>
            <w:tcW w:w="177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vMerge/>
            <w:tcBorders>
              <w:left w:val="single" w:sz="10" w:space="0" w:color="D4D4D4"/>
              <w:right w:val="single" w:sz="4" w:space="0" w:color="000000"/>
            </w:tcBorders>
          </w:tcPr>
          <w:p>
            <w:pPr/>
          </w:p>
        </w:tc>
      </w:tr>
      <w:tr>
        <w:trPr>
          <w:trHeight w:val="516" w:hRule="exact"/>
        </w:trPr>
        <w:tc>
          <w:tcPr>
            <w:tcW w:w="177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98" w:type="dxa"/>
            <w:gridSpan w:val="10"/>
            <w:vMerge/>
            <w:tcBorders>
              <w:left w:val="single" w:sz="10" w:space="0" w:color="D4D4D4"/>
              <w:bottom w:val="single" w:sz="4" w:space="0" w:color="000000"/>
              <w:right w:val="single" w:sz="4" w:space="0" w:color="000000"/>
            </w:tcBorders>
          </w:tcPr>
          <w:p>
            <w:pP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4"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1" w:type="dxa"/>
            <w:vMerge/>
            <w:tcBorders>
              <w:left w:val="single" w:sz="4" w:space="0" w:color="000000"/>
              <w:bottom w:val="single" w:sz="4" w:space="0" w:color="000000"/>
              <w:right w:val="single" w:sz="4" w:space="0" w:color="000000"/>
            </w:tcBorders>
            <w:shd w:val="clear" w:color="auto" w:fill="D4D4D4"/>
          </w:tcPr>
          <w:p>
            <w:pPr/>
          </w:p>
        </w:tc>
        <w:tc>
          <w:tcPr>
            <w:tcW w:w="7798" w:type="dxa"/>
            <w:gridSpan w:val="10"/>
            <w:tcBorders>
              <w:top w:val="single" w:sz="4" w:space="0" w:color="000000"/>
              <w:left w:val="single" w:sz="13" w:space="0" w:color="D4D4D4"/>
              <w:bottom w:val="single" w:sz="4" w:space="0" w:color="000000"/>
              <w:right w:val="single" w:sz="4" w:space="0" w:color="000000"/>
            </w:tcBorders>
          </w:tcPr>
          <w:p>
            <w:pP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4"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1" w:type="dxa"/>
            <w:vMerge/>
            <w:tcBorders>
              <w:left w:val="single" w:sz="4" w:space="0" w:color="000000"/>
              <w:bottom w:val="single" w:sz="4" w:space="0" w:color="000000"/>
              <w:right w:val="single" w:sz="4" w:space="0" w:color="000000"/>
            </w:tcBorders>
            <w:shd w:val="clear" w:color="auto" w:fill="D4D4D4"/>
          </w:tcPr>
          <w:p>
            <w:pPr/>
          </w:p>
        </w:tc>
        <w:tc>
          <w:tcPr>
            <w:tcW w:w="7798" w:type="dxa"/>
            <w:gridSpan w:val="10"/>
            <w:tcBorders>
              <w:top w:val="single" w:sz="4" w:space="0" w:color="000000"/>
              <w:left w:val="single" w:sz="13" w:space="0" w:color="D4D4D4"/>
              <w:bottom w:val="single" w:sz="4" w:space="0" w:color="000000"/>
              <w:right w:val="single" w:sz="4" w:space="0" w:color="000000"/>
            </w:tcBorders>
          </w:tcPr>
          <w:p>
            <w:pPr/>
          </w:p>
        </w:tc>
      </w:tr>
      <w:tr>
        <w:trPr>
          <w:trHeight w:val="943" w:hRule="exact"/>
        </w:trPr>
        <w:tc>
          <w:tcPr>
            <w:tcW w:w="1771" w:type="dxa"/>
            <w:tcBorders>
              <w:top w:val="single" w:sz="4" w:space="0" w:color="000000"/>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日召开了第二届董事会第四次会议、第二届监事会第三次会议，审议通过了</w:t>
            </w:r>
          </w:p>
          <w:p>
            <w:pPr>
              <w:pStyle w:val="TableParagraph"/>
              <w:spacing w:line="240" w:lineRule="auto" w:before="60"/>
              <w:ind w:left="16" w:right="0"/>
              <w:jc w:val="left"/>
              <w:rPr>
                <w:rFonts w:ascii="宋体" w:hAnsi="宋体" w:cs="宋体" w:eastAsia="宋体" w:hint="default"/>
                <w:sz w:val="18"/>
                <w:szCs w:val="18"/>
              </w:rPr>
            </w:pPr>
            <w:r>
              <w:rPr>
                <w:rFonts w:ascii="宋体" w:hAnsi="宋体" w:cs="宋体" w:eastAsia="宋体" w:hint="default"/>
                <w:sz w:val="18"/>
                <w:szCs w:val="18"/>
              </w:rPr>
              <w:t>《关于使用闲置募集资金及自有资金购买理财产品的议案</w:t>
            </w:r>
            <w:r>
              <w:rPr>
                <w:rFonts w:ascii="宋体" w:hAnsi="宋体" w:cs="宋体" w:eastAsia="宋体" w:hint="default"/>
                <w:spacing w:val="-92"/>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同意使用不超过人民币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亿</w:t>
            </w:r>
            <w:r>
              <w:rPr>
                <w:rFonts w:ascii="宋体" w:hAnsi="宋体" w:cs="宋体" w:eastAsia="宋体" w:hint="default"/>
                <w:sz w:val="18"/>
                <w:szCs w:val="18"/>
              </w:rPr>
              <w:t>元购买理</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财产品，其中以闲置募集资金购买额度不超过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亿元投资短期（不超过十二个月）银行保本型产</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品，以自有资金购买额度不超过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亿元投资短期（不超过十二个月）安全性高、流动性好的低风险</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投资产品，期限自董事会审议通过之日起不超过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个月，在上述额度内，资金可以滚动使用。于</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日，本公司未使用闲置募集资金购买理财产品，尚未使用的募集资金均存放于中国</w:t>
            </w:r>
          </w:p>
          <w:p>
            <w:pPr>
              <w:pStyle w:val="TableParagraph"/>
              <w:spacing w:line="300" w:lineRule="auto" w:before="63"/>
              <w:ind w:left="16" w:right="31"/>
              <w:jc w:val="left"/>
              <w:rPr>
                <w:rFonts w:ascii="宋体" w:hAnsi="宋体" w:cs="宋体" w:eastAsia="宋体" w:hint="default"/>
                <w:sz w:val="18"/>
                <w:szCs w:val="18"/>
              </w:rPr>
            </w:pPr>
            <w:r>
              <w:rPr>
                <w:rFonts w:ascii="宋体" w:hAnsi="宋体" w:cs="宋体" w:eastAsia="宋体" w:hint="default"/>
                <w:sz w:val="18"/>
                <w:szCs w:val="18"/>
              </w:rPr>
              <w:t>银行股份有限公司北京分行的活期账户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320766626305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中，将继续用于</w:t>
            </w:r>
            <w:r>
              <w:rPr>
                <w:rFonts w:ascii="Times New Roman" w:hAnsi="Times New Roman" w:cs="Times New Roman" w:eastAsia="Times New Roman" w:hint="default"/>
                <w:sz w:val="18"/>
                <w:szCs w:val="18"/>
              </w:rPr>
              <w:t>“</w:t>
            </w:r>
            <w:r>
              <w:rPr>
                <w:rFonts w:ascii="宋体" w:hAnsi="宋体" w:cs="宋体" w:eastAsia="宋体" w:hint="default"/>
                <w:sz w:val="18"/>
                <w:szCs w:val="18"/>
              </w:rPr>
              <w:t>下一代电力营销系统建设项 目</w:t>
            </w:r>
            <w:r>
              <w:rPr>
                <w:rFonts w:ascii="Times New Roman" w:hAnsi="Times New Roman" w:cs="Times New Roman" w:eastAsia="Times New Roman" w:hint="default"/>
                <w:sz w:val="18"/>
                <w:szCs w:val="18"/>
              </w:rPr>
              <w:t>”</w:t>
            </w:r>
            <w:r>
              <w:rPr>
                <w:rFonts w:ascii="宋体" w:hAnsi="宋体" w:cs="宋体" w:eastAsia="宋体" w:hint="default"/>
                <w:sz w:val="18"/>
                <w:szCs w:val="18"/>
              </w:rPr>
              <w:t>的投资或根据上述董事会议案购买理财产品。</w:t>
            </w:r>
          </w:p>
        </w:tc>
      </w:tr>
      <w:tr>
        <w:trPr>
          <w:trHeight w:val="703" w:hRule="exact"/>
        </w:trPr>
        <w:tc>
          <w:tcPr>
            <w:tcW w:w="177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4"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gridSpan w:val="10"/>
            <w:vMerge/>
            <w:tcBorders>
              <w:left w:val="single" w:sz="10" w:space="0" w:color="D4D4D4"/>
              <w:right w:val="single" w:sz="4" w:space="0" w:color="000000"/>
            </w:tcBorders>
          </w:tcPr>
          <w:p>
            <w:pPr/>
          </w:p>
        </w:tc>
      </w:tr>
      <w:tr>
        <w:trPr>
          <w:trHeight w:val="941" w:hRule="exact"/>
        </w:trPr>
        <w:tc>
          <w:tcPr>
            <w:tcW w:w="177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98" w:type="dxa"/>
            <w:gridSpan w:val="10"/>
            <w:vMerge/>
            <w:tcBorders>
              <w:left w:val="single" w:sz="10" w:space="0" w:color="D4D4D4"/>
              <w:bottom w:val="single" w:sz="4" w:space="0" w:color="000000"/>
              <w:right w:val="single" w:sz="4" w:space="0" w:color="000000"/>
            </w:tcBorders>
          </w:tcPr>
          <w:p>
            <w:pP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5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8"/>
        <w:rPr>
          <w:rFonts w:ascii="宋体" w:hAnsi="宋体" w:cs="宋体" w:eastAsia="宋体" w:hint="default"/>
          <w:sz w:val="19"/>
          <w:szCs w:val="19"/>
        </w:rPr>
      </w:pPr>
    </w:p>
    <w:p>
      <w:pPr>
        <w:pStyle w:val="Heading2"/>
        <w:spacing w:line="240" w:lineRule="auto"/>
        <w:ind w:right="15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right="15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2" w:top="1060" w:bottom="118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8"/>
        <w:jc w:val="left"/>
      </w:pPr>
      <w:r>
        <w:rPr/>
        <w:t>主要子公司及对公司净利润影响达</w:t>
      </w:r>
      <w:r>
        <w:rPr>
          <w:spacing w:val="-45"/>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2" w:equalWidth="0">
            <w:col w:w="4850" w:space="4068"/>
            <w:col w:w="103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19"/>
              <w:jc w:val="left"/>
              <w:rPr>
                <w:rFonts w:ascii="宋体" w:hAnsi="宋体" w:cs="宋体" w:eastAsia="宋体" w:hint="default"/>
                <w:sz w:val="18"/>
                <w:szCs w:val="18"/>
              </w:rPr>
            </w:pPr>
            <w:r>
              <w:rPr>
                <w:rFonts w:ascii="宋体" w:hAnsi="宋体" w:cs="宋体" w:eastAsia="宋体" w:hint="default"/>
                <w:sz w:val="18"/>
                <w:szCs w:val="18"/>
              </w:rPr>
              <w:t>北京朗新科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08"/>
              <w:jc w:val="left"/>
              <w:rPr>
                <w:rFonts w:ascii="宋体" w:hAnsi="宋体" w:cs="宋体" w:eastAsia="宋体" w:hint="default"/>
                <w:sz w:val="18"/>
                <w:szCs w:val="18"/>
              </w:rPr>
            </w:pPr>
            <w:r>
              <w:rPr>
                <w:rFonts w:ascii="宋体" w:hAnsi="宋体" w:cs="宋体" w:eastAsia="宋体" w:hint="default"/>
                <w:sz w:val="18"/>
                <w:szCs w:val="18"/>
              </w:rPr>
              <w:t>技术开发及 系统服务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46,917,886.7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42,361,998.8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7,574,678.67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-1,434,951.2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-1,434,951.2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w:t>
            </w:r>
          </w:p>
        </w:tc>
      </w:tr>
      <w:tr>
        <w:trPr>
          <w:trHeight w:val="165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9"/>
              <w:jc w:val="both"/>
              <w:rPr>
                <w:rFonts w:ascii="宋体" w:hAnsi="宋体" w:cs="宋体" w:eastAsia="宋体" w:hint="default"/>
                <w:sz w:val="18"/>
                <w:szCs w:val="18"/>
              </w:rPr>
            </w:pPr>
            <w:r>
              <w:rPr>
                <w:rFonts w:ascii="宋体" w:hAnsi="宋体" w:cs="宋体" w:eastAsia="宋体" w:hint="default"/>
                <w:sz w:val="18"/>
                <w:szCs w:val="18"/>
              </w:rPr>
              <w:t>无锡朗新金 关信息科技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网络信息技 术服务、计 算机软硬件 的研发与销 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366.5306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11,496,047.8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10,361,788.2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3,978,241.92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-1,810,867.5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-1,810,902.2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r>
        <w:trPr>
          <w:trHeight w:val="227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4" w:right="119"/>
              <w:jc w:val="left"/>
              <w:rPr>
                <w:rFonts w:ascii="宋体" w:hAnsi="宋体" w:cs="宋体" w:eastAsia="宋体" w:hint="default"/>
                <w:sz w:val="18"/>
                <w:szCs w:val="18"/>
              </w:rPr>
            </w:pPr>
            <w:r>
              <w:rPr>
                <w:rFonts w:ascii="宋体" w:hAnsi="宋体" w:cs="宋体" w:eastAsia="宋体" w:hint="default"/>
                <w:sz w:val="18"/>
                <w:szCs w:val="18"/>
              </w:rPr>
              <w:t>邦道科技有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公共事业行 业专业化 </w:t>
            </w:r>
            <w:r>
              <w:rPr>
                <w:rFonts w:ascii="Times New Roman" w:hAnsi="Times New Roman" w:cs="Times New Roman" w:eastAsia="Times New Roman" w:hint="default"/>
                <w:sz w:val="18"/>
                <w:szCs w:val="18"/>
              </w:rPr>
              <w:t>EBPP</w:t>
            </w:r>
            <w:r>
              <w:rPr>
                <w:rFonts w:ascii="宋体" w:hAnsi="宋体" w:cs="宋体" w:eastAsia="宋体" w:hint="default"/>
                <w:sz w:val="18"/>
                <w:szCs w:val="18"/>
              </w:rPr>
              <w:t>（电子 账单处理及 支付系统） 技术与运营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173,071,429.</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144,428,106.</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128,321,520.</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90,148,567.2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90,367,137.9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49"/>
        <w:ind w:right="150"/>
        <w:jc w:val="left"/>
      </w:pPr>
      <w:r>
        <w:rPr/>
        <w:t>报告期内取得和处置子公司的情况</w:t>
      </w:r>
    </w:p>
    <w:p>
      <w:pPr>
        <w:pStyle w:val="BodyText"/>
        <w:spacing w:line="240" w:lineRule="auto" w:before="117"/>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无锡朗新金关信息科技有限公司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影响不重大</w:t>
            </w:r>
          </w:p>
        </w:tc>
      </w:tr>
    </w:tbl>
    <w:p>
      <w:pPr>
        <w:pStyle w:val="BodyText"/>
        <w:spacing w:line="240" w:lineRule="auto" w:before="49"/>
        <w:ind w:right="150"/>
        <w:jc w:val="left"/>
      </w:pPr>
      <w:r>
        <w:rPr/>
        <w:t>主要控股参股公司情况说明</w:t>
      </w:r>
    </w:p>
    <w:p>
      <w:pPr>
        <w:spacing w:after="0" w:line="24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4"/>
        <w:spacing w:line="273" w:lineRule="auto"/>
        <w:ind w:right="186"/>
        <w:jc w:val="both"/>
      </w:pPr>
      <w:r>
        <w:rPr>
          <w:spacing w:val="-7"/>
        </w:rPr>
        <w:t>报告期内，参股公司邦道科技有限公司全面扩大和客户支付宝（中国）网络技术有限公司之间的业务合作，</w:t>
      </w:r>
      <w:r>
        <w:rPr>
          <w:spacing w:val="-20"/>
        </w:rPr>
        <w:t> </w:t>
      </w:r>
      <w:r>
        <w:rPr>
          <w:spacing w:val="-20"/>
        </w:rPr>
      </w:r>
      <w:r>
        <w:rPr>
          <w:spacing w:val="-2"/>
        </w:rPr>
        <w:t>盈利能力较上年有大幅攀升。控股子公司朗新数据、朗新云商、新耀能源目前正处于业务发展的初期，暂</w:t>
      </w:r>
      <w:r>
        <w:rPr>
          <w:spacing w:val="-44"/>
        </w:rPr>
        <w:t> </w:t>
      </w:r>
      <w:r>
        <w:rPr>
          <w:spacing w:val="-44"/>
        </w:rPr>
      </w:r>
      <w:r>
        <w:rPr/>
        <w:t>时为亏损或略有盈利。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2"/>
        <w:spacing w:line="240" w:lineRule="auto"/>
        <w:ind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2" w:right="189" w:hanging="360"/>
        <w:jc w:val="left"/>
      </w:pPr>
      <w:r>
        <w:rPr/>
        <w:t>（一）公司所处行业格局和发展趋势 </w:t>
      </w:r>
      <w:r>
        <w:rPr>
          <w:spacing w:val="-2"/>
        </w:rPr>
        <w:t>电力行业是国民经济的基础能源产业，随着我国社会主要矛盾的转变，电力行业也在积极转变产业结构和发展方式。电</w:t>
      </w:r>
    </w:p>
    <w:p>
      <w:pPr>
        <w:pStyle w:val="BodyText"/>
        <w:spacing w:line="222" w:lineRule="exact"/>
        <w:ind w:right="0"/>
        <w:jc w:val="both"/>
      </w:pPr>
      <w:r>
        <w:rPr/>
        <w:t>网连接能源生产和消费，是能源输送和转换利用的网络枢纽，处于能源革命的中心环节。未来的电网，从技术特征上看，将</w:t>
      </w:r>
    </w:p>
    <w:p>
      <w:pPr>
        <w:pStyle w:val="BodyText"/>
        <w:spacing w:line="309" w:lineRule="auto" w:before="76"/>
        <w:ind w:right="190"/>
        <w:jc w:val="both"/>
      </w:pPr>
      <w:r>
        <w:rPr>
          <w:spacing w:val="-2"/>
        </w:rPr>
        <w:t>向新一代电力系统演进；从功能形态上看，将向能源互联网演进。加快电网建设，解决发展不平衡与不充分的问题是保障社</w:t>
      </w:r>
      <w:r>
        <w:rPr>
          <w:spacing w:val="-64"/>
        </w:rPr>
        <w:t> </w:t>
      </w:r>
      <w:r>
        <w:rPr>
          <w:spacing w:val="-64"/>
        </w:rPr>
      </w:r>
      <w:r>
        <w:rPr>
          <w:spacing w:val="-2"/>
        </w:rPr>
        <w:t>会经济稳定与良好发展的关键，因此，国家电网公司提出</w:t>
      </w:r>
      <w:r>
        <w:rPr>
          <w:rFonts w:ascii="Times New Roman" w:hAnsi="Times New Roman" w:cs="Times New Roman" w:eastAsia="Times New Roman" w:hint="default"/>
          <w:spacing w:val="-2"/>
        </w:rPr>
        <w:t>“</w:t>
      </w:r>
      <w:r>
        <w:rPr>
          <w:spacing w:val="-2"/>
        </w:rPr>
        <w:t>建设具有卓越竞争力的世界一流能源互联网企业</w:t>
      </w:r>
      <w:r>
        <w:rPr>
          <w:rFonts w:ascii="Times New Roman" w:hAnsi="Times New Roman" w:cs="Times New Roman" w:eastAsia="Times New Roman" w:hint="default"/>
          <w:spacing w:val="-2"/>
        </w:rPr>
        <w:t>”</w:t>
      </w:r>
      <w:r>
        <w:rPr>
          <w:spacing w:val="-2"/>
        </w:rPr>
        <w:t>的新时代的战略</w:t>
      </w:r>
      <w:r>
        <w:rPr>
          <w:spacing w:val="-44"/>
        </w:rPr>
        <w:t> </w:t>
      </w:r>
      <w:r>
        <w:rPr>
          <w:spacing w:val="-2"/>
        </w:rPr>
        <w:t>目标。以新能源大规模开发利用为标志，以再电气化为根本路径的新一轮能源革命，正在全球范围深入发展，建设以坚强智</w:t>
      </w:r>
      <w:r>
        <w:rPr>
          <w:spacing w:val="-65"/>
        </w:rPr>
        <w:t> </w:t>
      </w:r>
      <w:r>
        <w:rPr>
          <w:spacing w:val="-65"/>
        </w:rPr>
      </w:r>
      <w:r>
        <w:rPr>
          <w:spacing w:val="-2"/>
        </w:rPr>
        <w:t>能电网为核心的新一代电力系统，进而构建融合多能转换技术、智能控制技术和现代信息技术，广域泛在、开放共享的能源</w:t>
      </w:r>
      <w:r>
        <w:rPr>
          <w:spacing w:val="-64"/>
        </w:rPr>
        <w:t> </w:t>
      </w:r>
      <w:r>
        <w:rPr>
          <w:spacing w:val="-64"/>
        </w:rPr>
      </w:r>
      <w:r>
        <w:rPr>
          <w:spacing w:val="-1"/>
        </w:rPr>
        <w:t>互联网，是电网发展的必然趋势。南方电网为</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期间智能电网实施计划的落实落地提出了智能电网架构体系，涵盖</w:t>
      </w:r>
      <w:r>
        <w:rPr>
          <w:rFonts w:ascii="Times New Roman" w:hAnsi="Times New Roman" w:cs="Times New Roman" w:eastAsia="Times New Roman" w:hint="default"/>
          <w:spacing w:val="-1"/>
        </w:rPr>
        <w:t>“5 </w:t>
      </w:r>
      <w:r>
        <w:rPr>
          <w:spacing w:val="-5"/>
        </w:rPr>
        <w:t>个环节</w:t>
      </w:r>
      <w:r>
        <w:rPr>
          <w:rFonts w:ascii="Times New Roman" w:hAnsi="Times New Roman" w:cs="Times New Roman" w:eastAsia="Times New Roman" w:hint="default"/>
          <w:spacing w:val="-5"/>
        </w:rPr>
        <w:t>+4</w:t>
      </w:r>
      <w:r>
        <w:rPr>
          <w:spacing w:val="-5"/>
        </w:rPr>
        <w:t>个支撑体</w:t>
      </w:r>
      <w:r>
        <w:rPr>
          <w:rFonts w:ascii="Times New Roman" w:hAnsi="Times New Roman" w:cs="Times New Roman" w:eastAsia="Times New Roman" w:hint="default"/>
          <w:spacing w:val="-5"/>
        </w:rPr>
        <w:t>”</w:t>
      </w:r>
      <w:r>
        <w:rPr>
          <w:spacing w:val="-5"/>
        </w:rPr>
        <w:t>等九大领域。</w:t>
      </w:r>
      <w:r>
        <w:rPr>
          <w:rFonts w:ascii="Times New Roman" w:hAnsi="Times New Roman" w:cs="Times New Roman" w:eastAsia="Times New Roman" w:hint="default"/>
          <w:spacing w:val="-5"/>
        </w:rPr>
        <w:t>5</w:t>
      </w:r>
      <w:r>
        <w:rPr>
          <w:spacing w:val="-5"/>
        </w:rPr>
        <w:t>个环节分别为：清洁友好的发电、安全高效的输变电、灵活可靠的配电、多样互动的用电、</w:t>
      </w:r>
      <w:r>
        <w:rPr>
          <w:spacing w:val="-70"/>
        </w:rPr>
        <w:t> </w:t>
      </w:r>
      <w:r>
        <w:rPr>
          <w:spacing w:val="-70"/>
        </w:rPr>
      </w:r>
      <w:r>
        <w:rPr/>
        <w:t>智慧能源与能源互联网。</w:t>
      </w:r>
      <w:r>
        <w:rPr>
          <w:rFonts w:ascii="Times New Roman" w:hAnsi="Times New Roman" w:cs="Times New Roman" w:eastAsia="Times New Roman" w:hint="default"/>
        </w:rPr>
        <w:t>4</w:t>
      </w:r>
      <w:r>
        <w:rPr/>
        <w:t>个支撑体系分别为：全面贯通的通信网络、高效互动的调度及控制体系、集成共享的信息平台、 </w:t>
      </w:r>
      <w:r>
        <w:rPr>
          <w:spacing w:val="-2"/>
        </w:rPr>
        <w:t>全面覆盖的技术保障体系等。智能电网的建设离不开信息化的投入，公司作为服务于智能电网建设的信息化服务提供商，所</w:t>
      </w:r>
      <w:r>
        <w:rPr>
          <w:spacing w:val="-63"/>
        </w:rPr>
        <w:t> </w:t>
      </w:r>
      <w:r>
        <w:rPr>
          <w:spacing w:val="-63"/>
        </w:rPr>
      </w:r>
      <w:r>
        <w:rPr/>
        <w:t>处行业格局和发展趋势如下：</w:t>
      </w:r>
    </w:p>
    <w:p>
      <w:pPr>
        <w:pStyle w:val="BodyText"/>
        <w:spacing w:line="340" w:lineRule="auto" w:before="62"/>
        <w:ind w:left="512" w:right="229"/>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年用电需求好转，结构持续优化 纵观</w:t>
      </w:r>
      <w:r>
        <w:rPr>
          <w:rFonts w:ascii="Times New Roman" w:hAnsi="Times New Roman" w:cs="Times New Roman" w:eastAsia="Times New Roman" w:hint="default"/>
        </w:rPr>
        <w:t>2017</w:t>
      </w:r>
      <w:r>
        <w:rPr/>
        <w:t>年我国电力需求情况，自</w:t>
      </w:r>
      <w:r>
        <w:rPr>
          <w:rFonts w:ascii="Times New Roman" w:hAnsi="Times New Roman" w:cs="Times New Roman" w:eastAsia="Times New Roman" w:hint="default"/>
        </w:rPr>
        <w:t>1</w:t>
      </w:r>
      <w:r>
        <w:rPr/>
        <w:t>月份以来就出现明显好转。统计数据显示，前</w:t>
      </w:r>
      <w:r>
        <w:rPr>
          <w:rFonts w:ascii="Times New Roman" w:hAnsi="Times New Roman" w:cs="Times New Roman" w:eastAsia="Times New Roman" w:hint="default"/>
        </w:rPr>
        <w:t>11</w:t>
      </w:r>
      <w:r>
        <w:rPr/>
        <w:t>个月全社会用电量为</w:t>
      </w:r>
      <w:r>
        <w:rPr>
          <w:rFonts w:ascii="Times New Roman" w:hAnsi="Times New Roman" w:cs="Times New Roman" w:eastAsia="Times New Roman" w:hint="default"/>
        </w:rPr>
        <w:t>5.73</w:t>
      </w:r>
      <w:r>
        <w:rPr/>
        <w:t>万亿千瓦</w:t>
      </w:r>
    </w:p>
    <w:p>
      <w:pPr>
        <w:pStyle w:val="BodyText"/>
        <w:spacing w:line="228" w:lineRule="exact"/>
        <w:ind w:right="0"/>
        <w:jc w:val="both"/>
      </w:pPr>
      <w:r>
        <w:rPr/>
        <w:t>时，同比增长</w:t>
      </w:r>
      <w:r>
        <w:rPr>
          <w:rFonts w:ascii="Times New Roman" w:hAnsi="Times New Roman" w:cs="Times New Roman" w:eastAsia="Times New Roman" w:hint="default"/>
        </w:rPr>
        <w:t>6.5%</w:t>
      </w:r>
      <w:r>
        <w:rPr/>
        <w:t>，为</w:t>
      </w:r>
      <w:r>
        <w:rPr>
          <w:rFonts w:ascii="Times New Roman" w:hAnsi="Times New Roman" w:cs="Times New Roman" w:eastAsia="Times New Roman" w:hint="default"/>
        </w:rPr>
        <w:t>2013</w:t>
      </w:r>
      <w:r>
        <w:rPr/>
        <w:t>年以来最好水平。从各用电领域的用电量占比来看，电力需求结构持续优化。其中第一产业用</w:t>
      </w:r>
    </w:p>
    <w:p>
      <w:pPr>
        <w:pStyle w:val="BodyText"/>
        <w:spacing w:line="307" w:lineRule="auto" w:before="62"/>
        <w:ind w:right="193"/>
        <w:jc w:val="both"/>
      </w:pPr>
      <w:r>
        <w:rPr>
          <w:spacing w:val="-2"/>
        </w:rPr>
        <w:t>电量占比较小，且始终稳定在</w:t>
      </w:r>
      <w:r>
        <w:rPr>
          <w:rFonts w:ascii="Times New Roman" w:hAnsi="Times New Roman" w:cs="Times New Roman" w:eastAsia="Times New Roman" w:hint="default"/>
          <w:spacing w:val="-2"/>
        </w:rPr>
        <w:t>2%</w:t>
      </w:r>
      <w:r>
        <w:rPr>
          <w:spacing w:val="-2"/>
        </w:rPr>
        <w:t>左右，而第二产业用电量占比从</w:t>
      </w:r>
      <w:r>
        <w:rPr>
          <w:rFonts w:ascii="Times New Roman" w:hAnsi="Times New Roman" w:cs="Times New Roman" w:eastAsia="Times New Roman" w:hint="default"/>
          <w:spacing w:val="-2"/>
        </w:rPr>
        <w:t>12</w:t>
      </w:r>
      <w:r>
        <w:rPr>
          <w:spacing w:val="-2"/>
        </w:rPr>
        <w:t>年的</w:t>
      </w:r>
      <w:r>
        <w:rPr>
          <w:rFonts w:ascii="Times New Roman" w:hAnsi="Times New Roman" w:cs="Times New Roman" w:eastAsia="Times New Roman" w:hint="default"/>
          <w:spacing w:val="-2"/>
        </w:rPr>
        <w:t>74.0%</w:t>
      </w:r>
      <w:r>
        <w:rPr>
          <w:spacing w:val="-2"/>
        </w:rPr>
        <w:t>下降至</w:t>
      </w:r>
      <w:r>
        <w:rPr>
          <w:rFonts w:ascii="Times New Roman" w:hAnsi="Times New Roman" w:cs="Times New Roman" w:eastAsia="Times New Roman" w:hint="default"/>
          <w:spacing w:val="-2"/>
        </w:rPr>
        <w:t>17</w:t>
      </w:r>
      <w:r>
        <w:rPr>
          <w:spacing w:val="-2"/>
        </w:rPr>
        <w:t>年的</w:t>
      </w:r>
      <w:r>
        <w:rPr>
          <w:rFonts w:ascii="Times New Roman" w:hAnsi="Times New Roman" w:cs="Times New Roman" w:eastAsia="Times New Roman" w:hint="default"/>
          <w:spacing w:val="-2"/>
        </w:rPr>
        <w:t>69.7%</w:t>
      </w:r>
      <w:r>
        <w:rPr>
          <w:spacing w:val="-2"/>
        </w:rPr>
        <w:t>，第三产业占比则从</w:t>
      </w:r>
      <w:r>
        <w:rPr>
          <w:rFonts w:ascii="Times New Roman" w:hAnsi="Times New Roman" w:cs="Times New Roman" w:eastAsia="Times New Roman" w:hint="default"/>
          <w:spacing w:val="-2"/>
        </w:rPr>
        <w:t>11.5%</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1"/>
        </w:rPr>
        <w:t>上升至</w:t>
      </w:r>
      <w:r>
        <w:rPr>
          <w:rFonts w:ascii="Times New Roman" w:hAnsi="Times New Roman" w:cs="Times New Roman" w:eastAsia="Times New Roman" w:hint="default"/>
          <w:spacing w:val="-1"/>
        </w:rPr>
        <w:t>14.2%</w:t>
      </w:r>
      <w:r>
        <w:rPr>
          <w:spacing w:val="-1"/>
        </w:rPr>
        <w:t>，居民生活用电也从</w:t>
      </w:r>
      <w:r>
        <w:rPr>
          <w:rFonts w:ascii="Times New Roman" w:hAnsi="Times New Roman" w:cs="Times New Roman" w:eastAsia="Times New Roman" w:hint="default"/>
          <w:spacing w:val="-1"/>
        </w:rPr>
        <w:t>12.5%</w:t>
      </w:r>
      <w:r>
        <w:rPr>
          <w:spacing w:val="-1"/>
        </w:rPr>
        <w:t>小幅上升至</w:t>
      </w:r>
      <w:r>
        <w:rPr>
          <w:rFonts w:ascii="Times New Roman" w:hAnsi="Times New Roman" w:cs="Times New Roman" w:eastAsia="Times New Roman" w:hint="default"/>
          <w:spacing w:val="-1"/>
        </w:rPr>
        <w:t>14.2%</w:t>
      </w:r>
      <w:r>
        <w:rPr>
          <w:spacing w:val="-1"/>
        </w:rPr>
        <w:t>。一般来说，第二产业以高能耗、高污染等工业为主，如有色、钢</w:t>
      </w:r>
      <w:r>
        <w:rPr>
          <w:spacing w:val="-74"/>
        </w:rPr>
        <w:t> </w:t>
      </w:r>
      <w:r>
        <w:rPr>
          <w:spacing w:val="-74"/>
        </w:rPr>
      </w:r>
      <w:r>
        <w:rPr>
          <w:spacing w:val="-2"/>
        </w:rPr>
        <w:t>铁、化工等，第三产业则以交运、通讯等服务业为主，两者用电量占比的变化说明在电力需求向好的同时，我国经济结构也</w:t>
      </w:r>
      <w:r>
        <w:rPr>
          <w:spacing w:val="-67"/>
        </w:rPr>
        <w:t> </w:t>
      </w:r>
      <w:r>
        <w:rPr>
          <w:spacing w:val="-67"/>
        </w:rPr>
      </w:r>
      <w:r>
        <w:rPr/>
        <w:t>正逐步优化。</w:t>
      </w:r>
    </w:p>
    <w:p>
      <w:pPr>
        <w:pStyle w:val="BodyText"/>
        <w:spacing w:line="338" w:lineRule="auto" w:before="67"/>
        <w:ind w:left="512" w:right="204"/>
        <w:jc w:val="left"/>
      </w:pPr>
      <w:r>
        <w:rPr>
          <w:rFonts w:ascii="Times New Roman" w:hAnsi="Times New Roman" w:cs="Times New Roman" w:eastAsia="Times New Roman" w:hint="default"/>
        </w:rPr>
        <w:t>2</w:t>
      </w:r>
      <w:r>
        <w:rPr/>
        <w:t>、国家积极推进电力体制改革，配售电侧市场广阔 </w:t>
      </w:r>
      <w:r>
        <w:rPr>
          <w:spacing w:val="-2"/>
        </w:rPr>
        <w:t>新一轮电力体制改革取得了重要突破，市场化改革方向更加明确。一是多模式试点格局初步形成，截至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月，电</w:t>
      </w:r>
      <w:r>
        <w:rPr/>
      </w:r>
    </w:p>
    <w:p>
      <w:pPr>
        <w:pStyle w:val="BodyText"/>
        <w:spacing w:line="230" w:lineRule="exact"/>
        <w:ind w:right="0"/>
        <w:jc w:val="both"/>
      </w:pPr>
      <w:r>
        <w:rPr>
          <w:spacing w:val="-5"/>
        </w:rPr>
        <w:t>力体制改革试点已经覆盖我国绝大多数省（区、市），全国已有</w:t>
      </w:r>
      <w:r>
        <w:rPr>
          <w:rFonts w:ascii="Times New Roman" w:hAnsi="Times New Roman" w:cs="Times New Roman" w:eastAsia="Times New Roman" w:hint="default"/>
          <w:spacing w:val="-5"/>
        </w:rPr>
        <w:t>23</w:t>
      </w:r>
      <w:r>
        <w:rPr>
          <w:spacing w:val="-5"/>
        </w:rPr>
        <w:t>个省（区、市）开展电力改革综合试点，</w:t>
      </w:r>
      <w:r>
        <w:rPr>
          <w:rFonts w:ascii="Times New Roman" w:hAnsi="Times New Roman" w:cs="Times New Roman" w:eastAsia="Times New Roman" w:hint="default"/>
          <w:spacing w:val="-5"/>
        </w:rPr>
        <w:t>12</w:t>
      </w:r>
      <w:r>
        <w:rPr>
          <w:spacing w:val="-5"/>
        </w:rPr>
        <w:t>个省（区、市）</w:t>
      </w:r>
    </w:p>
    <w:p>
      <w:pPr>
        <w:pStyle w:val="BodyText"/>
        <w:spacing w:line="302" w:lineRule="auto" w:before="62"/>
        <w:ind w:right="94"/>
        <w:jc w:val="left"/>
      </w:pPr>
      <w:r>
        <w:rPr/>
        <w:t>开展售电侧改革试点，东北等地区电力辅助服务市场取得良好成效，启动了</w:t>
      </w:r>
      <w:r>
        <w:rPr>
          <w:rFonts w:ascii="Times New Roman" w:hAnsi="Times New Roman" w:cs="Times New Roman" w:eastAsia="Times New Roman" w:hint="default"/>
        </w:rPr>
        <w:t>8</w:t>
      </w:r>
      <w:r>
        <w:rPr/>
        <w:t>个地区电力现货市场建设试点。二是输配电价 </w:t>
      </w:r>
      <w:r>
        <w:rPr>
          <w:spacing w:val="-2"/>
        </w:rPr>
        <w:t>改革实现了省级电网全覆盖，并在此基础上出台《全面推进跨省跨区和区域电网输电价格改革工作的通知》，开展跨省跨区</w:t>
      </w:r>
      <w:r>
        <w:rPr>
          <w:spacing w:val="-64"/>
        </w:rPr>
        <w:t> </w:t>
      </w:r>
      <w:r>
        <w:rPr>
          <w:spacing w:val="-64"/>
        </w:rPr>
      </w:r>
      <w:r>
        <w:rPr/>
        <w:t>输电价格核定工作，促进跨省跨区电力市场化交易。三是交易机构组建工作基本完成，成立</w:t>
      </w:r>
      <w:r>
        <w:rPr>
          <w:rFonts w:ascii="Times New Roman" w:hAnsi="Times New Roman" w:cs="Times New Roman" w:eastAsia="Times New Roman" w:hint="default"/>
        </w:rPr>
        <w:t>34</w:t>
      </w:r>
      <w:r>
        <w:rPr/>
        <w:t>家相对独立的电力交易中心，</w:t>
      </w:r>
      <w:r>
        <w:rPr>
          <w:spacing w:val="-86"/>
        </w:rPr>
        <w:t> </w:t>
      </w:r>
      <w:r>
        <w:rPr>
          <w:spacing w:val="-86"/>
        </w:rPr>
      </w:r>
      <w:r>
        <w:rPr/>
        <w:t>包括区域层面的北京、广州电力交易中心和省级层面的电力交易中心。四是加快放开配售电业务，推出两批共</w:t>
      </w:r>
      <w:r>
        <w:rPr>
          <w:rFonts w:ascii="Times New Roman" w:hAnsi="Times New Roman" w:cs="Times New Roman" w:eastAsia="Times New Roman" w:hint="default"/>
        </w:rPr>
        <w:t>195</w:t>
      </w:r>
      <w:r>
        <w:rPr/>
        <w:t>个增量配 </w:t>
      </w:r>
      <w:r>
        <w:rPr>
          <w:spacing w:val="-2"/>
        </w:rPr>
        <w:t>电业务试点，全国注册的售电公司约</w:t>
      </w:r>
      <w:r>
        <w:rPr>
          <w:rFonts w:ascii="Times New Roman" w:hAnsi="Times New Roman" w:cs="Times New Roman" w:eastAsia="Times New Roman" w:hint="default"/>
          <w:spacing w:val="-2"/>
        </w:rPr>
        <w:t>2600</w:t>
      </w:r>
      <w:r>
        <w:rPr>
          <w:spacing w:val="-2"/>
        </w:rPr>
        <w:t>家，售电侧市场竞争机制初步建立。五是市场化交易规模大幅提升，全年预计市场</w:t>
      </w:r>
      <w:r>
        <w:rPr>
          <w:spacing w:val="-62"/>
        </w:rPr>
        <w:t> </w:t>
      </w:r>
      <w:r>
        <w:rPr>
          <w:spacing w:val="-62"/>
        </w:rPr>
      </w:r>
      <w:r>
        <w:rPr/>
        <w:t>化交易电量</w:t>
      </w:r>
      <w:r>
        <w:rPr>
          <w:rFonts w:ascii="Times New Roman" w:hAnsi="Times New Roman" w:cs="Times New Roman" w:eastAsia="Times New Roman" w:hint="default"/>
        </w:rPr>
        <w:t>1.6</w:t>
      </w:r>
      <w:r>
        <w:rPr/>
        <w:t>万亿</w:t>
      </w:r>
      <w:r>
        <w:rPr>
          <w:rFonts w:ascii="Times New Roman" w:hAnsi="Times New Roman" w:cs="Times New Roman" w:eastAsia="Times New Roman" w:hint="default"/>
        </w:rPr>
        <w:t>kWh</w:t>
      </w:r>
      <w:r>
        <w:rPr/>
        <w:t>，同比增长</w:t>
      </w:r>
      <w:r>
        <w:rPr>
          <w:rFonts w:ascii="Times New Roman" w:hAnsi="Times New Roman" w:cs="Times New Roman" w:eastAsia="Times New Roman" w:hint="default"/>
        </w:rPr>
        <w:t>60%</w:t>
      </w:r>
      <w:r>
        <w:rPr/>
        <w:t>，约占全社会用电量的</w:t>
      </w:r>
      <w:r>
        <w:rPr>
          <w:rFonts w:ascii="Times New Roman" w:hAnsi="Times New Roman" w:cs="Times New Roman" w:eastAsia="Times New Roman" w:hint="default"/>
        </w:rPr>
        <w:t>25%</w:t>
      </w:r>
      <w:r>
        <w:rPr/>
        <w:t>，为实体经济降低用电成本约</w:t>
      </w:r>
      <w:r>
        <w:rPr>
          <w:rFonts w:ascii="Times New Roman" w:hAnsi="Times New Roman" w:cs="Times New Roman" w:eastAsia="Times New Roman" w:hint="default"/>
        </w:rPr>
        <w:t>700</w:t>
      </w:r>
      <w:r>
        <w:rPr/>
        <w:t>亿元。六是规范燃煤自 备电厂，开展了燃煤自备电厂规范建设及运行专项督查工作。</w:t>
      </w:r>
    </w:p>
    <w:p>
      <w:pPr>
        <w:pStyle w:val="BodyText"/>
        <w:spacing w:line="300" w:lineRule="auto" w:before="70"/>
        <w:ind w:right="190" w:firstLine="360"/>
        <w:jc w:val="both"/>
      </w:pPr>
      <w:r>
        <w:rPr>
          <w:rFonts w:ascii="Times New Roman" w:hAnsi="Times New Roman" w:cs="Times New Roman" w:eastAsia="Times New Roman" w:hint="default"/>
          <w:spacing w:val="-2"/>
        </w:rPr>
        <w:t>2018</w:t>
      </w:r>
      <w:r>
        <w:rPr>
          <w:spacing w:val="-2"/>
        </w:rPr>
        <w:t>年电力体制改革将会加大推动力度，建立完善的相关配套政策，建立科学合理的市场化定价机制，以大幅提高发用</w:t>
      </w:r>
      <w:r>
        <w:rPr/>
        <w:t> 电计划放开比例，促进清洁能源消纳，提高市场化水平。</w:t>
      </w:r>
      <w:r>
        <w:rPr>
          <w:rFonts w:ascii="Times New Roman" w:hAnsi="Times New Roman" w:cs="Times New Roman" w:eastAsia="Times New Roman" w:hint="default"/>
        </w:rPr>
        <w:t>2018</w:t>
      </w:r>
      <w:r>
        <w:rPr/>
        <w:t>年，国家将重点加快推进增量配电业务改革试点工作、</w:t>
      </w:r>
      <w:r>
        <w:rPr>
          <w:rFonts w:ascii="Times New Roman" w:hAnsi="Times New Roman" w:cs="Times New Roman" w:eastAsia="Times New Roman" w:hint="default"/>
        </w:rPr>
        <w:t>8</w:t>
      </w:r>
      <w:r>
        <w:rPr/>
        <w:t>个地 区电力现货市场交易试点，进一步扩大电力市场化交易规模，电力行业将迎来新机遇。</w:t>
      </w:r>
    </w:p>
    <w:p>
      <w:pPr>
        <w:spacing w:after="0" w:line="300" w:lineRule="auto"/>
        <w:jc w:val="both"/>
        <w:sectPr>
          <w:footerReference w:type="default" r:id="rId12"/>
          <w:pgSz w:w="11910" w:h="16840"/>
          <w:pgMar w:footer="982" w:header="745" w:top="1060" w:bottom="1180" w:left="980" w:right="940"/>
          <w:pgNumType w:start="26"/>
        </w:sectPr>
      </w:pPr>
    </w:p>
    <w:p>
      <w:pPr>
        <w:spacing w:line="240" w:lineRule="auto" w:before="9"/>
        <w:rPr>
          <w:rFonts w:ascii="宋体" w:hAnsi="宋体" w:cs="宋体" w:eastAsia="宋体" w:hint="default"/>
          <w:sz w:val="25"/>
          <w:szCs w:val="25"/>
        </w:rPr>
      </w:pPr>
    </w:p>
    <w:p>
      <w:pPr>
        <w:pStyle w:val="BodyText"/>
        <w:spacing w:line="340" w:lineRule="auto" w:before="44"/>
        <w:ind w:left="512" w:right="189"/>
        <w:jc w:val="left"/>
      </w:pPr>
      <w:r>
        <w:rPr>
          <w:rFonts w:ascii="Times New Roman" w:hAnsi="Times New Roman" w:cs="Times New Roman" w:eastAsia="Times New Roman" w:hint="default"/>
        </w:rPr>
        <w:t>3</w:t>
      </w:r>
      <w:r>
        <w:rPr/>
        <w:t>、智能电网建设拉动电力信息化投资快速增长 </w:t>
      </w:r>
      <w:r>
        <w:rPr>
          <w:spacing w:val="-2"/>
        </w:rPr>
        <w:t>近年来，随着经济增长的放缓，电力信息化需求已经逐步从快速增加供应量向精细化供配和深化服务方向发展，电厂信</w:t>
      </w:r>
    </w:p>
    <w:p>
      <w:pPr>
        <w:pStyle w:val="BodyText"/>
        <w:spacing w:line="307" w:lineRule="auto"/>
        <w:ind w:right="190"/>
        <w:jc w:val="both"/>
      </w:pPr>
      <w:r>
        <w:rPr>
          <w:spacing w:val="-2"/>
        </w:rPr>
        <w:t>息化投资增速逐步放缓，而电网信息化投资尤其是智能电网建设，已成为拉动电力信息化投资保持快速增长的主要动力。预</w:t>
      </w:r>
      <w:r>
        <w:rPr>
          <w:spacing w:val="-63"/>
        </w:rPr>
        <w:t> </w:t>
      </w:r>
      <w:r>
        <w:rPr>
          <w:spacing w:val="-63"/>
        </w:rPr>
      </w:r>
      <w:r>
        <w:rPr>
          <w:spacing w:val="-2"/>
        </w:rPr>
        <w:t>计到</w:t>
      </w:r>
      <w:r>
        <w:rPr>
          <w:rFonts w:ascii="Times New Roman" w:hAnsi="Times New Roman" w:cs="Times New Roman" w:eastAsia="Times New Roman" w:hint="default"/>
          <w:spacing w:val="-2"/>
        </w:rPr>
        <w:t>2018</w:t>
      </w:r>
      <w:r>
        <w:rPr>
          <w:spacing w:val="-2"/>
        </w:rPr>
        <w:t>年电力行业</w:t>
      </w:r>
      <w:r>
        <w:rPr>
          <w:rFonts w:ascii="Times New Roman" w:hAnsi="Times New Roman" w:cs="Times New Roman" w:eastAsia="Times New Roman" w:hint="default"/>
          <w:spacing w:val="-2"/>
        </w:rPr>
        <w:t>IT</w:t>
      </w:r>
      <w:r>
        <w:rPr>
          <w:spacing w:val="-2"/>
        </w:rPr>
        <w:t>规模将达到</w:t>
      </w:r>
      <w:r>
        <w:rPr>
          <w:rFonts w:ascii="Times New Roman" w:hAnsi="Times New Roman" w:cs="Times New Roman" w:eastAsia="Times New Roman" w:hint="default"/>
          <w:spacing w:val="-2"/>
        </w:rPr>
        <w:t>436</w:t>
      </w:r>
      <w:r>
        <w:rPr>
          <w:spacing w:val="-2"/>
        </w:rPr>
        <w:t>亿元，</w:t>
      </w:r>
      <w:r>
        <w:rPr>
          <w:rFonts w:ascii="Times New Roman" w:hAnsi="Times New Roman" w:cs="Times New Roman" w:eastAsia="Times New Roman" w:hint="default"/>
          <w:spacing w:val="-2"/>
        </w:rPr>
        <w:t>2013</w:t>
      </w:r>
      <w:r>
        <w:rPr>
          <w:spacing w:val="-2"/>
        </w:rPr>
        <w:t>至</w:t>
      </w:r>
      <w:r>
        <w:rPr>
          <w:rFonts w:ascii="Times New Roman" w:hAnsi="Times New Roman" w:cs="Times New Roman" w:eastAsia="Times New Roman" w:hint="default"/>
          <w:spacing w:val="-2"/>
        </w:rPr>
        <w:t>2018</w:t>
      </w:r>
      <w:r>
        <w:rPr>
          <w:spacing w:val="-2"/>
        </w:rPr>
        <w:t>年的复合增长率为</w:t>
      </w:r>
      <w:r>
        <w:rPr>
          <w:rFonts w:ascii="Times New Roman" w:hAnsi="Times New Roman" w:cs="Times New Roman" w:eastAsia="Times New Roman" w:hint="default"/>
          <w:spacing w:val="-2"/>
        </w:rPr>
        <w:t>11.2%</w:t>
      </w:r>
      <w:r>
        <w:rPr>
          <w:spacing w:val="-2"/>
        </w:rPr>
        <w:t>。届时，软件产品占整体</w:t>
      </w:r>
      <w:r>
        <w:rPr>
          <w:rFonts w:ascii="Times New Roman" w:hAnsi="Times New Roman" w:cs="Times New Roman" w:eastAsia="Times New Roman" w:hint="default"/>
          <w:spacing w:val="-2"/>
        </w:rPr>
        <w:t>IT</w:t>
      </w:r>
      <w:r>
        <w:rPr>
          <w:spacing w:val="-2"/>
        </w:rPr>
        <w:t>花费的比重将上</w:t>
      </w:r>
      <w:r>
        <w:rPr>
          <w:spacing w:val="-45"/>
        </w:rPr>
        <w:t> </w:t>
      </w:r>
      <w:r>
        <w:rPr>
          <w:spacing w:val="-45"/>
        </w:rPr>
      </w:r>
      <w:r>
        <w:rPr/>
        <w:t>升到</w:t>
      </w:r>
      <w:r>
        <w:rPr>
          <w:rFonts w:ascii="Times New Roman" w:hAnsi="Times New Roman" w:cs="Times New Roman" w:eastAsia="Times New Roman" w:hint="default"/>
        </w:rPr>
        <w:t>17.6%</w:t>
      </w:r>
      <w:r>
        <w:rPr/>
        <w:t>，服务上升到</w:t>
      </w:r>
      <w:r>
        <w:rPr>
          <w:rFonts w:ascii="Times New Roman" w:hAnsi="Times New Roman" w:cs="Times New Roman" w:eastAsia="Times New Roman" w:hint="default"/>
        </w:rPr>
        <w:t>29.9%</w:t>
      </w:r>
      <w:r>
        <w:rPr/>
        <w:t>，而</w:t>
      </w:r>
      <w:r>
        <w:rPr>
          <w:rFonts w:ascii="Times New Roman" w:hAnsi="Times New Roman" w:cs="Times New Roman" w:eastAsia="Times New Roman" w:hint="default"/>
        </w:rPr>
        <w:t>IT</w:t>
      </w:r>
      <w:r>
        <w:rPr/>
        <w:t>硬件比例降至</w:t>
      </w:r>
      <w:r>
        <w:rPr>
          <w:rFonts w:ascii="Times New Roman" w:hAnsi="Times New Roman" w:cs="Times New Roman" w:eastAsia="Times New Roman" w:hint="default"/>
        </w:rPr>
        <w:t>40.9%</w:t>
      </w:r>
      <w:r>
        <w:rPr/>
        <w:t>，网络设备比例下降到</w:t>
      </w:r>
      <w:r>
        <w:rPr>
          <w:rFonts w:ascii="Times New Roman" w:hAnsi="Times New Roman" w:cs="Times New Roman" w:eastAsia="Times New Roman" w:hint="default"/>
        </w:rPr>
        <w:t>10.6%</w:t>
      </w:r>
      <w:r>
        <w:rPr/>
        <w:t>。到</w:t>
      </w:r>
      <w:r>
        <w:rPr>
          <w:rFonts w:ascii="Times New Roman" w:hAnsi="Times New Roman" w:cs="Times New Roman" w:eastAsia="Times New Roman" w:hint="default"/>
        </w:rPr>
        <w:t>2019</w:t>
      </w:r>
      <w:r>
        <w:rPr/>
        <w:t>年，电力行业信息化投资规 模将达到</w:t>
      </w:r>
      <w:r>
        <w:rPr>
          <w:rFonts w:ascii="Times New Roman" w:hAnsi="Times New Roman" w:cs="Times New Roman" w:eastAsia="Times New Roman" w:hint="default"/>
        </w:rPr>
        <w:t>507.7</w:t>
      </w:r>
      <w:r>
        <w:rPr/>
        <w:t>亿元，保持持续稳定增长态势。</w:t>
      </w:r>
    </w:p>
    <w:p>
      <w:pPr>
        <w:pStyle w:val="BodyText"/>
        <w:spacing w:line="340" w:lineRule="auto" w:before="45"/>
        <w:ind w:left="513" w:right="189"/>
        <w:jc w:val="left"/>
      </w:pPr>
      <w:r>
        <w:rPr>
          <w:rFonts w:ascii="Times New Roman" w:hAnsi="Times New Roman" w:cs="Times New Roman" w:eastAsia="Times New Roman" w:hint="default"/>
        </w:rPr>
        <w:t>4</w:t>
      </w:r>
      <w:r>
        <w:rPr/>
        <w:t>、公共事业信息化迎来快速发展 </w:t>
      </w:r>
      <w:r>
        <w:rPr>
          <w:spacing w:val="-2"/>
        </w:rPr>
        <w:t>此外，随着国家加强新一轮对公共事业的投入，公用事业信息化也迎来了快速发展。随着业务系统建设的不断完善及管</w:t>
      </w:r>
    </w:p>
    <w:p>
      <w:pPr>
        <w:pStyle w:val="BodyText"/>
        <w:spacing w:line="316" w:lineRule="auto"/>
        <w:ind w:left="153" w:right="192"/>
        <w:jc w:val="both"/>
      </w:pPr>
      <w:r>
        <w:rPr>
          <w:spacing w:val="-2"/>
        </w:rPr>
        <w:t>网建设的不断推进，公用事业单位中业务系统的融合与管网的精细化控制成为了重点投资方向，累计占比将达到信息化投资</w:t>
      </w:r>
      <w:r>
        <w:rPr>
          <w:spacing w:val="-64"/>
        </w:rPr>
        <w:t> </w:t>
      </w:r>
      <w:r>
        <w:rPr>
          <w:spacing w:val="-64"/>
        </w:rPr>
      </w:r>
      <w:r>
        <w:rPr/>
        <w:t>的</w:t>
      </w:r>
      <w:r>
        <w:rPr>
          <w:rFonts w:ascii="Times New Roman" w:hAnsi="Times New Roman" w:cs="Times New Roman" w:eastAsia="Times New Roman" w:hint="default"/>
        </w:rPr>
        <w:t>75%</w:t>
      </w:r>
      <w:r>
        <w:rPr/>
        <w:t>以上。</w:t>
      </w:r>
    </w:p>
    <w:p>
      <w:pPr>
        <w:pStyle w:val="BodyText"/>
        <w:spacing w:line="309" w:lineRule="auto" w:before="40"/>
        <w:ind w:left="153" w:right="190" w:firstLine="360"/>
        <w:jc w:val="both"/>
      </w:pPr>
      <w:r>
        <w:rPr/>
        <w:t>在创新业务领域，技术改变世界进入了新时代，</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为代表的新模式、</w:t>
      </w:r>
      <w:r>
        <w:rPr>
          <w:rFonts w:ascii="Times New Roman" w:hAnsi="Times New Roman" w:cs="Times New Roman" w:eastAsia="Times New Roman" w:hint="default"/>
        </w:rPr>
        <w:t>“</w:t>
      </w:r>
      <w:r>
        <w:rPr/>
        <w:t>云大物智</w:t>
      </w:r>
      <w:r>
        <w:rPr>
          <w:rFonts w:ascii="Times New Roman" w:hAnsi="Times New Roman" w:cs="Times New Roman" w:eastAsia="Times New Roman" w:hint="default"/>
        </w:rPr>
        <w:t>”</w:t>
      </w:r>
      <w:r>
        <w:rPr/>
        <w:t>为代表的新技术正在逐渐一个 </w:t>
      </w:r>
      <w:r>
        <w:rPr>
          <w:spacing w:val="-2"/>
        </w:rPr>
        <w:t>一个行业、一个一个领域施以创新的</w:t>
      </w:r>
      <w:r>
        <w:rPr>
          <w:rFonts w:ascii="Times New Roman" w:hAnsi="Times New Roman" w:cs="Times New Roman" w:eastAsia="Times New Roman" w:hint="default"/>
          <w:spacing w:val="-2"/>
        </w:rPr>
        <w:t>“</w:t>
      </w:r>
      <w:r>
        <w:rPr>
          <w:spacing w:val="-2"/>
        </w:rPr>
        <w:t>魔法</w:t>
      </w:r>
      <w:r>
        <w:rPr>
          <w:rFonts w:ascii="Times New Roman" w:hAnsi="Times New Roman" w:cs="Times New Roman" w:eastAsia="Times New Roman" w:hint="default"/>
          <w:spacing w:val="-2"/>
        </w:rPr>
        <w:t>”</w:t>
      </w:r>
      <w:r>
        <w:rPr>
          <w:spacing w:val="-2"/>
        </w:rPr>
        <w:t>，改变着人们的生活和生产方式，反过来，人们又在期待和积极推动着这些改变</w:t>
      </w:r>
      <w:r>
        <w:rPr>
          <w:spacing w:val="-45"/>
        </w:rPr>
        <w:t> </w:t>
      </w:r>
      <w:r>
        <w:rPr>
          <w:spacing w:val="-45"/>
        </w:rPr>
      </w:r>
      <w:r>
        <w:rPr>
          <w:spacing w:val="-2"/>
        </w:rPr>
        <w:t>的发生与改变的速度。如上海地铁手机扫码进站模式在人们宁愿选择排队的热情推动下几乎是瞬间得到了普及。互联网也因</w:t>
      </w:r>
      <w:r>
        <w:rPr>
          <w:spacing w:val="-64"/>
        </w:rPr>
        <w:t> </w:t>
      </w:r>
      <w:r>
        <w:rPr>
          <w:spacing w:val="-64"/>
        </w:rPr>
      </w:r>
      <w:r>
        <w:rPr>
          <w:spacing w:val="-5"/>
        </w:rPr>
        <w:t>此迅速从以消费、娱乐领域应用为主进入到了席卷生产、服务领域的下半场，互联网的下半场势将更加气势磅礴、影响深远，</w:t>
      </w:r>
      <w:r>
        <w:rPr>
          <w:spacing w:val="-75"/>
        </w:rPr>
        <w:t> </w:t>
      </w:r>
      <w:r>
        <w:rPr>
          <w:spacing w:val="-75"/>
        </w:rPr>
      </w:r>
      <w:r>
        <w:rPr/>
        <w:t>也将带来经济发展的巨大机遇。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60" w:lineRule="auto"/>
        <w:ind w:left="441" w:right="94" w:hanging="288"/>
        <w:jc w:val="left"/>
      </w:pPr>
      <w:r>
        <w:rPr/>
        <w:t>（二）公司发展战略 公司将自己的事业理论定义为：面向企业和机构，在技术改变世界的新时代，创造性地整合技术与服务，为客户赋能，</w:t>
      </w:r>
    </w:p>
    <w:p>
      <w:pPr>
        <w:pStyle w:val="BodyText"/>
        <w:spacing w:line="222" w:lineRule="exact"/>
        <w:ind w:left="153" w:right="0"/>
        <w:jc w:val="both"/>
      </w:pPr>
      <w:r>
        <w:rPr/>
        <w:t>在成就客户中成就我们自己。在这一事业理论指引下，公司在过去十多年专注于电力能源等公用事业领域，提供领先高效的</w:t>
      </w:r>
    </w:p>
    <w:p>
      <w:pPr>
        <w:pStyle w:val="BodyText"/>
        <w:spacing w:line="300" w:lineRule="auto" w:before="76"/>
        <w:ind w:left="153" w:right="192"/>
        <w:jc w:val="both"/>
      </w:pPr>
      <w:r>
        <w:rPr>
          <w:rFonts w:ascii="Times New Roman" w:hAnsi="Times New Roman" w:cs="Times New Roman" w:eastAsia="Times New Roman" w:hint="default"/>
          <w:spacing w:val="-2"/>
        </w:rPr>
        <w:t>IT</w:t>
      </w:r>
      <w:r>
        <w:rPr>
          <w:spacing w:val="-2"/>
        </w:rPr>
        <w:t>端到端解决方案与服务，成为了智能电网和新能源时代领先的技术与服务提供商。在新的技术变革时代，公司的发展战略</w:t>
      </w:r>
      <w:r>
        <w:rPr>
          <w:spacing w:val="-53"/>
        </w:rPr>
        <w:t> </w:t>
      </w:r>
      <w:r>
        <w:rPr>
          <w:spacing w:val="-53"/>
        </w:rPr>
      </w:r>
      <w:r>
        <w:rPr>
          <w:spacing w:val="-3"/>
        </w:rPr>
        <w:t>为，创造性应用</w:t>
      </w:r>
      <w:r>
        <w:rPr>
          <w:rFonts w:ascii="Times New Roman" w:hAnsi="Times New Roman" w:cs="Times New Roman" w:eastAsia="Times New Roman" w:hint="default"/>
          <w:spacing w:val="-3"/>
        </w:rPr>
        <w:t>“</w:t>
      </w:r>
      <w:r>
        <w:rPr>
          <w:spacing w:val="-3"/>
        </w:rPr>
        <w:t>云大物智</w:t>
      </w:r>
      <w:r>
        <w:rPr>
          <w:rFonts w:ascii="Times New Roman" w:hAnsi="Times New Roman" w:cs="Times New Roman" w:eastAsia="Times New Roman" w:hint="default"/>
          <w:spacing w:val="-3"/>
        </w:rPr>
        <w:t>”</w:t>
      </w:r>
      <w:r>
        <w:rPr>
          <w:spacing w:val="-3"/>
        </w:rPr>
        <w:t>等先进技术，以</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形式助力社会治理与产业升级，在公用事业、公共服务、工业互联网、</w:t>
      </w:r>
      <w:r>
        <w:rPr>
          <w:spacing w:val="-65"/>
        </w:rPr>
        <w:t> </w:t>
      </w:r>
      <w:r>
        <w:rPr>
          <w:spacing w:val="-65"/>
        </w:rPr>
      </w:r>
      <w:r>
        <w:rPr/>
        <w:t>新能源、智慧城市、新外贸、新金融、工业互联网等领域积极拓展，做新时代、新技术、新价值的奉献者。</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60" w:lineRule="auto"/>
        <w:ind w:left="441" w:right="189" w:hanging="288"/>
        <w:jc w:val="left"/>
      </w:pPr>
      <w:r>
        <w:rPr/>
        <w:t>（三）经营计划 </w:t>
      </w:r>
      <w:r>
        <w:rPr>
          <w:spacing w:val="-1"/>
        </w:rPr>
        <w:t>党的十九大提出，我国社会主要矛盾已经转化为人民日益增长的美好生活需要和不平衡不充分的发展之间的矛盾，我国</w:t>
      </w:r>
    </w:p>
    <w:p>
      <w:pPr>
        <w:pStyle w:val="BodyText"/>
        <w:spacing w:line="236" w:lineRule="exact"/>
        <w:ind w:left="153" w:right="0"/>
        <w:jc w:val="both"/>
      </w:pPr>
      <w:r>
        <w:rPr/>
        <w:t>经济已由高速增长阶段转向高质量发展阶段，正处在转变发展方式、优化经济结构、转换增长动力的攻关期。</w:t>
      </w:r>
      <w:r>
        <w:rPr>
          <w:rFonts w:ascii="Times New Roman" w:hAnsi="Times New Roman" w:cs="Times New Roman" w:eastAsia="Times New Roman" w:hint="default"/>
        </w:rPr>
        <w:t>“</w:t>
      </w:r>
      <w:r>
        <w:rPr/>
        <w:t>转向高质量</w:t>
      </w:r>
    </w:p>
    <w:p>
      <w:pPr>
        <w:pStyle w:val="BodyText"/>
        <w:spacing w:line="309" w:lineRule="auto" w:before="62"/>
        <w:ind w:left="153" w:right="190"/>
        <w:jc w:val="both"/>
      </w:pPr>
      <w:r>
        <w:rPr/>
        <w:t>发展</w:t>
      </w:r>
      <w:r>
        <w:rPr>
          <w:rFonts w:ascii="Times New Roman" w:hAnsi="Times New Roman" w:cs="Times New Roman" w:eastAsia="Times New Roman" w:hint="default"/>
        </w:rPr>
        <w:t>”</w:t>
      </w:r>
      <w:r>
        <w:rPr/>
        <w:t>的本质含义，就是我国经济已经从主要依靠增加物质资源消耗实现的粗放型高速增长，转变为主要依靠技术进步、改</w:t>
      </w:r>
      <w:r>
        <w:rPr>
          <w:spacing w:val="-76"/>
        </w:rPr>
        <w:t> </w:t>
      </w:r>
      <w:r>
        <w:rPr>
          <w:spacing w:val="-76"/>
        </w:rPr>
      </w:r>
      <w:r>
        <w:rPr>
          <w:spacing w:val="-2"/>
        </w:rPr>
        <w:t>善管理和提高劳动者素质实现的集约型增长。公司的业务发展战略非常贴合十九大对经济发展阶段的判断以及转换经济增长</w:t>
      </w:r>
      <w:r>
        <w:rPr>
          <w:spacing w:val="-64"/>
        </w:rPr>
        <w:t> </w:t>
      </w:r>
      <w:r>
        <w:rPr>
          <w:spacing w:val="-64"/>
        </w:rPr>
      </w:r>
      <w:r>
        <w:rPr>
          <w:spacing w:val="-2"/>
        </w:rPr>
        <w:t>动力的要求。一方面，构成目前公司收入主要部分的基础业务不能再指望客户投资的快速增长，我们要与客户一起采用技术</w:t>
      </w:r>
      <w:r>
        <w:rPr>
          <w:spacing w:val="-66"/>
        </w:rPr>
        <w:t> </w:t>
      </w:r>
      <w:r>
        <w:rPr>
          <w:spacing w:val="-66"/>
        </w:rPr>
      </w:r>
      <w:r>
        <w:rPr>
          <w:spacing w:val="-2"/>
        </w:rPr>
        <w:t>创新和模式创新推进业务创新，改变管理与服务模式、提升效率和用户体验；另一方面，面向社会治理和产业升级的创新业</w:t>
      </w:r>
      <w:r>
        <w:rPr>
          <w:spacing w:val="-66"/>
        </w:rPr>
        <w:t> </w:t>
      </w:r>
      <w:r>
        <w:rPr>
          <w:spacing w:val="-66"/>
        </w:rPr>
      </w:r>
      <w:r>
        <w:rPr>
          <w:spacing w:val="-2"/>
        </w:rPr>
        <w:t>务群将迎来巨大的发展机遇。为此，公司在</w:t>
      </w:r>
      <w:r>
        <w:rPr>
          <w:rFonts w:ascii="Times New Roman" w:hAnsi="Times New Roman" w:cs="Times New Roman" w:eastAsia="Times New Roman" w:hint="default"/>
          <w:spacing w:val="-2"/>
        </w:rPr>
        <w:t>2018</w:t>
      </w:r>
      <w:r>
        <w:rPr>
          <w:spacing w:val="-2"/>
        </w:rPr>
        <w:t>年度将加强基础业务技术与业务创新，同时提升产品化水平，继续巩固领先</w:t>
      </w:r>
      <w:r>
        <w:rPr>
          <w:spacing w:val="-62"/>
        </w:rPr>
        <w:t> </w:t>
      </w:r>
      <w:r>
        <w:rPr>
          <w:spacing w:val="-62"/>
        </w:rPr>
      </w:r>
      <w:r>
        <w:rPr>
          <w:spacing w:val="-2"/>
        </w:rPr>
        <w:t>优势，提升盈利能力；同时，创新业务将抓住发展机遇，力争培育出更多的公司业务新的增长极。</w:t>
      </w:r>
      <w:r>
        <w:rPr>
          <w:rFonts w:ascii="Times New Roman" w:hAnsi="Times New Roman" w:cs="Times New Roman" w:eastAsia="Times New Roman" w:hint="default"/>
          <w:spacing w:val="-2"/>
        </w:rPr>
        <w:t>2018</w:t>
      </w:r>
      <w:r>
        <w:rPr>
          <w:spacing w:val="-2"/>
        </w:rPr>
        <w:t>年公司还将加强人才</w:t>
      </w:r>
      <w:r>
        <w:rPr>
          <w:spacing w:val="-63"/>
        </w:rPr>
        <w:t> </w:t>
      </w:r>
      <w:r>
        <w:rPr>
          <w:spacing w:val="-63"/>
        </w:rPr>
      </w:r>
      <w:r>
        <w:rPr/>
        <w:t>队伍建设，尤其是业务拓展与技术领军人才的培养与引进。</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60" w:lineRule="auto"/>
        <w:ind w:left="441" w:right="189" w:hanging="288"/>
        <w:jc w:val="left"/>
      </w:pPr>
      <w:r>
        <w:rPr/>
        <w:t>（四）可能面对的风险 </w:t>
      </w:r>
      <w:r>
        <w:rPr>
          <w:spacing w:val="-1"/>
        </w:rPr>
        <w:t>经过十多年的发展，公司已形成了非常稳健的经营管理风格，面对不断出现的发展机遇，公司持续在理念、机制和组织</w:t>
      </w:r>
    </w:p>
    <w:p>
      <w:pPr>
        <w:pStyle w:val="BodyText"/>
        <w:spacing w:line="222" w:lineRule="exact"/>
        <w:ind w:left="153" w:right="0"/>
        <w:jc w:val="both"/>
      </w:pPr>
      <w:r>
        <w:rPr/>
        <w:t>上进行创新变革，以求公司能够抓住每一个时代发展机遇，实现永续经营。但机遇总是与挑战并存，公司在发展的过程中总</w:t>
      </w:r>
    </w:p>
    <w:p>
      <w:pPr>
        <w:pStyle w:val="BodyText"/>
        <w:spacing w:line="348" w:lineRule="auto" w:before="76"/>
        <w:ind w:left="513" w:right="189" w:hanging="360"/>
        <w:jc w:val="left"/>
      </w:pPr>
      <w:r>
        <w:rPr/>
        <w:t>将面临诸多的风险因素，当前阶段，公司面临的主要风险因素为以下几个方面，特此提示广大投资者重点关注： </w:t>
      </w:r>
      <w:r>
        <w:rPr>
          <w:rFonts w:ascii="Times New Roman" w:hAnsi="Times New Roman" w:cs="Times New Roman" w:eastAsia="Times New Roman" w:hint="default"/>
        </w:rPr>
        <w:t>1</w:t>
      </w:r>
      <w:r>
        <w:rPr/>
        <w:t>、对少数集团客户依赖的风险 </w:t>
      </w:r>
      <w:r>
        <w:rPr>
          <w:spacing w:val="-2"/>
        </w:rPr>
        <w:t>公司目前的主要收入来自于为国家电网、南方电网提供定制化软件开发的收入，这部分收入占公司报告期主营业务收入</w:t>
      </w:r>
    </w:p>
    <w:p>
      <w:pPr>
        <w:pStyle w:val="BodyText"/>
        <w:spacing w:line="300" w:lineRule="auto"/>
        <w:ind w:left="153" w:right="190"/>
        <w:jc w:val="both"/>
      </w:pPr>
      <w:r>
        <w:rPr>
          <w:spacing w:val="-1"/>
        </w:rPr>
        <w:t>的</w:t>
      </w:r>
      <w:r>
        <w:rPr>
          <w:rFonts w:ascii="Times New Roman" w:hAnsi="Times New Roman" w:cs="Times New Roman" w:eastAsia="Times New Roman" w:hint="default"/>
          <w:spacing w:val="-1"/>
        </w:rPr>
        <w:t>80%</w:t>
      </w:r>
      <w:r>
        <w:rPr>
          <w:spacing w:val="-1"/>
        </w:rPr>
        <w:t>以上。尽管为了减弱对少数集团客户的依赖，公司正在积极开拓地方电力公司、海外电力市场、燃气行业市场和其它</w:t>
      </w:r>
      <w:r>
        <w:rPr>
          <w:spacing w:val="-86"/>
        </w:rPr>
        <w:t> </w:t>
      </w:r>
      <w:r>
        <w:rPr>
          <w:spacing w:val="-86"/>
        </w:rPr>
      </w:r>
      <w:r>
        <w:rPr>
          <w:spacing w:val="-2"/>
        </w:rPr>
        <w:t>创新业务市场，但新市场、新业务开拓前期投入大、时间长，且存在不确定性，因此，短期之内公司对少数集团客户存在较</w:t>
      </w:r>
    </w:p>
    <w:p>
      <w:pPr>
        <w:spacing w:after="0" w:line="30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04"/>
        <w:jc w:val="both"/>
      </w:pPr>
      <w:r>
        <w:rPr/>
        <w:t>强的依赖。</w:t>
      </w:r>
      <w:r>
        <w:rPr>
          <w:spacing w:val="-18"/>
        </w:rPr>
        <w:t> </w:t>
      </w:r>
      <w:r>
        <w:rPr/>
        <w:t>如国家电网、南方电网调整公司所在业务领域的投资计划、采购模式或公司产品服务不能满足客户需求，将可</w:t>
      </w:r>
      <w:r>
        <w:rPr/>
        <w:t> </w:t>
      </w:r>
      <w:r>
        <w:rPr>
          <w:spacing w:val="-4"/>
        </w:rPr>
        <w:t>能导致国家电网、南方电网向公司采购规模下降或公司已投入开发的项目不能实现销售，最终对公司盈利能力产生不利影响。</w:t>
      </w:r>
    </w:p>
    <w:p>
      <w:pPr>
        <w:pStyle w:val="BodyText"/>
        <w:spacing w:line="316" w:lineRule="auto" w:before="59"/>
        <w:ind w:right="94" w:firstLine="360"/>
        <w:jc w:val="left"/>
      </w:pPr>
      <w:r>
        <w:rPr/>
        <w:t>对此，公司将在已进入的燃气行业市场以及地方电力和海外电力市场积极拓展，尽快提升新市场营业收入比重。同时， </w:t>
      </w:r>
      <w:r>
        <w:rPr>
          <w:spacing w:val="-2"/>
        </w:rPr>
        <w:t>公司将在公用事业缴费、城市运营、工业互联网、新能源、新外贸、新金融、智慧城市、智慧社区等领域积极开拓。在国家</w:t>
      </w:r>
      <w:r>
        <w:rPr>
          <w:spacing w:val="-66"/>
        </w:rPr>
        <w:t> </w:t>
      </w:r>
      <w:r>
        <w:rPr>
          <w:spacing w:val="-66"/>
        </w:rPr>
      </w:r>
      <w:r>
        <w:rPr>
          <w:spacing w:val="-2"/>
        </w:rPr>
        <w:t>电网、南方电网市场，公司作为领先的技术与服务提供商，将继续加强研究与研发投入，保持业务与技术的领先，以成就客</w:t>
      </w:r>
      <w:r>
        <w:rPr>
          <w:spacing w:val="-67"/>
        </w:rPr>
        <w:t> </w:t>
      </w:r>
      <w:r>
        <w:rPr>
          <w:spacing w:val="-67"/>
        </w:rPr>
      </w:r>
      <w:r>
        <w:rPr/>
        <w:t>户为导向，积极创新。</w:t>
      </w:r>
    </w:p>
    <w:p>
      <w:pPr>
        <w:pStyle w:val="BodyText"/>
        <w:spacing w:line="340" w:lineRule="auto" w:before="57"/>
        <w:ind w:left="512" w:right="189"/>
        <w:jc w:val="left"/>
      </w:pPr>
      <w:r>
        <w:rPr>
          <w:rFonts w:ascii="Times New Roman" w:hAnsi="Times New Roman" w:cs="Times New Roman" w:eastAsia="Times New Roman" w:hint="default"/>
        </w:rPr>
        <w:t>2</w:t>
      </w:r>
      <w:r>
        <w:rPr/>
        <w:t>、经营业绩季节性波动风险 </w:t>
      </w:r>
      <w:r>
        <w:rPr>
          <w:spacing w:val="-2"/>
        </w:rPr>
        <w:t>由于公司主要客户为电网公司及其下属企业，电网公司垂直管理的特性，决定了电网公司内部投资审批决策、管理流程</w:t>
      </w:r>
    </w:p>
    <w:p>
      <w:pPr>
        <w:pStyle w:val="BodyText"/>
        <w:spacing w:line="316" w:lineRule="auto"/>
        <w:ind w:right="190"/>
        <w:jc w:val="both"/>
      </w:pPr>
      <w:r>
        <w:rPr>
          <w:spacing w:val="-5"/>
        </w:rPr>
        <w:t>都有较强的计划性。一般来看，电网公司在前一年年底制订下一年的各类（含信息化）项目，经集团公司总部各部门审批后，</w:t>
      </w:r>
      <w:r>
        <w:rPr>
          <w:spacing w:val="-78"/>
        </w:rPr>
        <w:t> </w:t>
      </w:r>
      <w:r>
        <w:rPr>
          <w:spacing w:val="-78"/>
        </w:rPr>
      </w:r>
      <w:r>
        <w:rPr>
          <w:spacing w:val="-2"/>
        </w:rPr>
        <w:t>第二年分批逐步开展项目招标和项目启动及建设。对于提供技术服务的业务，公司根据不同类别合同在客户验收后确认收入</w:t>
      </w:r>
      <w:r>
        <w:rPr>
          <w:spacing w:val="-64"/>
        </w:rPr>
        <w:t> </w:t>
      </w:r>
      <w:r>
        <w:rPr>
          <w:spacing w:val="-64"/>
        </w:rPr>
      </w:r>
      <w:r>
        <w:rPr>
          <w:spacing w:val="-2"/>
        </w:rPr>
        <w:t>或在签订合同后按完工百分比法或根据服务期确认收入。受电网公司内部合同流程管理的限制，第四季度签署合同并取得上</w:t>
      </w:r>
      <w:r>
        <w:rPr>
          <w:spacing w:val="-64"/>
        </w:rPr>
        <w:t> </w:t>
      </w:r>
      <w:r>
        <w:rPr>
          <w:spacing w:val="-64"/>
        </w:rPr>
      </w:r>
      <w:r>
        <w:rPr>
          <w:spacing w:val="-2"/>
        </w:rPr>
        <w:t>线报告或完工验收报告较多，造成第四季度确认收入较多。公司经营业绩呈现较强的季节性波动风险。这也导致了公司第一</w:t>
      </w:r>
      <w:r>
        <w:rPr>
          <w:spacing w:val="-63"/>
        </w:rPr>
        <w:t> </w:t>
      </w:r>
      <w:r>
        <w:rPr>
          <w:spacing w:val="-63"/>
        </w:rPr>
      </w:r>
      <w:r>
        <w:rPr/>
        <w:t>季度、上半年甚至前三季度净利润有可能为负，对投资者投资决策可能产生不利影响。</w:t>
      </w:r>
    </w:p>
    <w:p>
      <w:pPr>
        <w:pStyle w:val="BodyText"/>
        <w:spacing w:line="316" w:lineRule="auto" w:before="59"/>
        <w:ind w:right="106" w:firstLine="360"/>
        <w:jc w:val="both"/>
      </w:pPr>
      <w:r>
        <w:rPr/>
        <w:t>对此，公司将积极对接电网客户计划和流程，主动沟通，与电网客户建立紧密的协作机制，增加业务计划的可预期性。 同时，公司将积极拓展新的客户与新的业务领域，逐步平滑经营业绩的季节性波动。</w:t>
      </w:r>
    </w:p>
    <w:p>
      <w:pPr>
        <w:pStyle w:val="BodyText"/>
        <w:spacing w:line="340" w:lineRule="auto" w:before="57"/>
        <w:ind w:left="512" w:right="189"/>
        <w:jc w:val="left"/>
      </w:pPr>
      <w:r>
        <w:rPr>
          <w:rFonts w:ascii="Times New Roman" w:hAnsi="Times New Roman" w:cs="Times New Roman" w:eastAsia="Times New Roman" w:hint="default"/>
        </w:rPr>
        <w:t>3</w:t>
      </w:r>
      <w:r>
        <w:rPr/>
        <w:t>、行业竞争加剧风险 </w:t>
      </w:r>
      <w:r>
        <w:rPr>
          <w:spacing w:val="-2"/>
        </w:rPr>
        <w:t>随着行业技术的不断成熟和行业管理的日益规范，公用事业信息化行业进入壁垒日益提高，对行业内企业规模和资金实</w:t>
      </w:r>
    </w:p>
    <w:p>
      <w:pPr>
        <w:pStyle w:val="BodyText"/>
        <w:spacing w:line="316" w:lineRule="auto"/>
        <w:ind w:right="94"/>
        <w:jc w:val="left"/>
      </w:pPr>
      <w:r>
        <w:rPr>
          <w:spacing w:val="-2"/>
        </w:rPr>
        <w:t>力的要求越来越高，缺乏业绩和技术支撑的企业将被市场淘汰。随着行业市场竞争的逐步加剧，如果本公司不能保持现有的</w:t>
      </w:r>
      <w:r>
        <w:rPr>
          <w:spacing w:val="-63"/>
        </w:rPr>
        <w:t> </w:t>
      </w:r>
      <w:r>
        <w:rPr>
          <w:spacing w:val="-63"/>
        </w:rPr>
      </w:r>
      <w:r>
        <w:rPr/>
        <w:t>竞争优势和品牌效应，则有可能导致本公司的市场份额减少。同时随着行业竞争的加剧，公司产品和服务的价格可能下降，</w:t>
      </w:r>
      <w:r>
        <w:rPr>
          <w:spacing w:val="-86"/>
        </w:rPr>
        <w:t> </w:t>
      </w:r>
      <w:r>
        <w:rPr>
          <w:spacing w:val="-86"/>
        </w:rPr>
      </w:r>
      <w:r>
        <w:rPr/>
        <w:t>将导致公司毛利率和盈利能力的下降。</w:t>
      </w:r>
    </w:p>
    <w:p>
      <w:pPr>
        <w:pStyle w:val="BodyText"/>
        <w:spacing w:line="316" w:lineRule="auto" w:before="59"/>
        <w:ind w:right="190" w:firstLine="360"/>
        <w:jc w:val="both"/>
      </w:pPr>
      <w:r>
        <w:rPr>
          <w:spacing w:val="-2"/>
        </w:rPr>
        <w:t>对此，公司将紧密关注行业竞争格局的变化，通过技术与业务创新以及优秀人才的培养与引进，加强公司质量管理，确</w:t>
      </w:r>
      <w:r>
        <w:rPr/>
        <w:t> </w:t>
      </w:r>
      <w:r>
        <w:rPr>
          <w:spacing w:val="-2"/>
        </w:rPr>
        <w:t>保公司技术和业务能力持续在行业里的领先，同时，公司将基于对行业的深刻理解，加强与合作伙伴的深度合作，共同推动</w:t>
      </w:r>
      <w:r>
        <w:rPr>
          <w:spacing w:val="-64"/>
        </w:rPr>
        <w:t> </w:t>
      </w:r>
      <w:r>
        <w:rPr>
          <w:spacing w:val="-64"/>
        </w:rPr>
      </w:r>
      <w:r>
        <w:rPr/>
        <w:t>行业的创新发展。</w:t>
      </w:r>
    </w:p>
    <w:p>
      <w:pPr>
        <w:pStyle w:val="BodyText"/>
        <w:spacing w:line="340" w:lineRule="auto" w:before="57"/>
        <w:ind w:left="512" w:right="177"/>
        <w:jc w:val="left"/>
      </w:pPr>
      <w:r>
        <w:rPr>
          <w:rFonts w:ascii="Times New Roman" w:hAnsi="Times New Roman" w:cs="Times New Roman" w:eastAsia="Times New Roman" w:hint="default"/>
        </w:rPr>
        <w:t>4</w:t>
      </w:r>
      <w:r>
        <w:rPr/>
        <w:t>、创新业务带来的成本费用上升风险 </w:t>
      </w:r>
      <w:r>
        <w:rPr>
          <w:spacing w:val="-1"/>
        </w:rPr>
        <w:t>公司一贯重视技术与业务创新，每年研发费用占总收入比一直保持在</w:t>
      </w:r>
      <w:r>
        <w:rPr>
          <w:rFonts w:ascii="Times New Roman" w:hAnsi="Times New Roman" w:cs="Times New Roman" w:eastAsia="Times New Roman" w:hint="default"/>
          <w:spacing w:val="-1"/>
        </w:rPr>
        <w:t>10%</w:t>
      </w:r>
      <w:r>
        <w:rPr>
          <w:spacing w:val="-1"/>
        </w:rPr>
        <w:t>左右，通过大力度的创新投入公司在行业里保</w:t>
      </w:r>
    </w:p>
    <w:p>
      <w:pPr>
        <w:pStyle w:val="BodyText"/>
        <w:spacing w:line="215" w:lineRule="exact"/>
        <w:ind w:right="0"/>
        <w:jc w:val="both"/>
      </w:pPr>
      <w:r>
        <w:rPr/>
        <w:t>持了技术引领和业务创新的良好口碑，同时也在不断培育出新的具有巨大发展前景的创新业务，为公司的持续发展打下了坚</w:t>
      </w:r>
    </w:p>
    <w:p>
      <w:pPr>
        <w:pStyle w:val="BodyText"/>
        <w:spacing w:line="316" w:lineRule="auto" w:before="76"/>
        <w:ind w:right="190"/>
        <w:jc w:val="both"/>
      </w:pPr>
      <w:r>
        <w:rPr>
          <w:spacing w:val="-2"/>
        </w:rPr>
        <w:t>实的基础。未来公司仍将会加大创新业务研发和技术研发投入，必将产生一定的成本和费用，如果相关业务短期之内不能为</w:t>
      </w:r>
      <w:r>
        <w:rPr>
          <w:spacing w:val="-63"/>
        </w:rPr>
        <w:t> </w:t>
      </w:r>
      <w:r>
        <w:rPr>
          <w:spacing w:val="-63"/>
        </w:rPr>
      </w:r>
      <w:r>
        <w:rPr/>
        <w:t>公司带来收入，将对公司盈利能力产生不利影响。</w:t>
      </w:r>
    </w:p>
    <w:p>
      <w:pPr>
        <w:pStyle w:val="BodyText"/>
        <w:spacing w:line="316" w:lineRule="auto" w:before="59"/>
        <w:ind w:right="190" w:firstLine="360"/>
        <w:jc w:val="both"/>
      </w:pPr>
      <w:r>
        <w:rPr>
          <w:spacing w:val="-2"/>
        </w:rPr>
        <w:t>对此，公司将紧密跟踪技术变革和行业发展趋势，确保公司处于行业技术领先又不至于造成研发浪费，公司在创新业务</w:t>
      </w:r>
      <w:r>
        <w:rPr/>
        <w:t> </w:t>
      </w:r>
      <w:r>
        <w:rPr>
          <w:spacing w:val="-2"/>
        </w:rPr>
        <w:t>拓展领域将采取稳健的模式，一方面公司将加强产业政策研究、行业发展趋势研究和新技术发展趋势研究，提高创新业务的</w:t>
      </w:r>
      <w:r>
        <w:rPr>
          <w:spacing w:val="-63"/>
        </w:rPr>
        <w:t> </w:t>
      </w:r>
      <w:r>
        <w:rPr>
          <w:spacing w:val="-63"/>
        </w:rPr>
      </w:r>
      <w:r>
        <w:rPr>
          <w:spacing w:val="-2"/>
        </w:rPr>
        <w:t>方向性和成功率，另一方面公司在创新业务上将采取轻模式探索和试点的方式，在树立标杆后再大规模推广，降低创新业务</w:t>
      </w:r>
      <w:r>
        <w:rPr>
          <w:spacing w:val="-63"/>
        </w:rPr>
        <w:t> </w:t>
      </w:r>
      <w:r>
        <w:rPr>
          <w:spacing w:val="-63"/>
        </w:rPr>
      </w:r>
      <w:r>
        <w:rPr/>
        <w:t>高度不确定性所带来的投入风险。</w:t>
      </w:r>
    </w:p>
    <w:p>
      <w:pPr>
        <w:pStyle w:val="BodyText"/>
        <w:spacing w:line="340" w:lineRule="auto" w:before="57"/>
        <w:ind w:left="512" w:right="94"/>
        <w:jc w:val="left"/>
      </w:pPr>
      <w:r>
        <w:rPr>
          <w:rFonts w:ascii="Times New Roman" w:hAnsi="Times New Roman" w:cs="Times New Roman" w:eastAsia="Times New Roman" w:hint="default"/>
        </w:rPr>
        <w:t>5</w:t>
      </w:r>
      <w:r>
        <w:rPr/>
        <w:t>、劳动力成本上升风险 公司是一家轻资产型公司，人力资源相关费用是公司成本费用的重要组成部分，如相关领域人员劳动力成本持续提升，</w:t>
      </w:r>
    </w:p>
    <w:p>
      <w:pPr>
        <w:pStyle w:val="BodyText"/>
        <w:spacing w:line="360" w:lineRule="auto"/>
        <w:ind w:left="512" w:right="189" w:hanging="360"/>
        <w:jc w:val="left"/>
      </w:pPr>
      <w:r>
        <w:rPr/>
        <w:t>将对公司盈利能力产生不利影响。 </w:t>
      </w:r>
      <w:r>
        <w:rPr>
          <w:spacing w:val="-2"/>
        </w:rPr>
        <w:t>对此，公司将持续优化业务结构，优化内部组织结构与机制，提高软件产品化、模块化、组件化水平，加强人员培养与</w:t>
      </w:r>
    </w:p>
    <w:p>
      <w:pPr>
        <w:pStyle w:val="BodyText"/>
        <w:spacing w:line="222" w:lineRule="exact"/>
        <w:ind w:right="0"/>
        <w:jc w:val="both"/>
      </w:pPr>
      <w:r>
        <w:rPr/>
        <w:t>培训，持续提升人员生产效率，从而在不断提升员工待遇的同时，确保公司盈利能力不受影响甚至逐步增强。</w:t>
      </w:r>
    </w:p>
    <w:p>
      <w:pPr>
        <w:pStyle w:val="BodyText"/>
        <w:spacing w:line="340" w:lineRule="auto" w:before="115"/>
        <w:ind w:left="512" w:right="189"/>
        <w:jc w:val="left"/>
      </w:pPr>
      <w:r>
        <w:rPr>
          <w:rFonts w:ascii="Times New Roman" w:hAnsi="Times New Roman" w:cs="Times New Roman" w:eastAsia="Times New Roman" w:hint="default"/>
        </w:rPr>
        <w:t>6</w:t>
      </w:r>
      <w:r>
        <w:rPr/>
        <w:t>、应收账款无法回收风险 </w:t>
      </w:r>
      <w:r>
        <w:rPr>
          <w:spacing w:val="-2"/>
        </w:rPr>
        <w:t>报告期内，公司随着业务规模不断扩大、营业收入快速增长，应收账款也相应增长较快。尽管公司主要客户是电网公司</w:t>
      </w:r>
    </w:p>
    <w:p>
      <w:pPr>
        <w:pStyle w:val="BodyText"/>
        <w:spacing w:line="316" w:lineRule="auto"/>
        <w:ind w:right="190"/>
        <w:jc w:val="both"/>
      </w:pPr>
      <w:r>
        <w:rPr>
          <w:spacing w:val="-2"/>
        </w:rPr>
        <w:t>及相关企业，该类客户实力雄厚，信誉良好，应收账款的收回有可靠保障，且从历史经验看相关应收账款回收良好。但是应</w:t>
      </w:r>
      <w:r>
        <w:rPr>
          <w:spacing w:val="-67"/>
        </w:rPr>
        <w:t> </w:t>
      </w:r>
      <w:r>
        <w:rPr>
          <w:spacing w:val="-67"/>
        </w:rPr>
      </w:r>
      <w:r>
        <w:rPr>
          <w:spacing w:val="-2"/>
        </w:rPr>
        <w:t>收账款的快速增长对公司现金流状况产生了影响，增加了公司对业务运营资金的需求。随着公司业务规模的扩大，应收账款</w:t>
      </w:r>
      <w:r>
        <w:rPr>
          <w:spacing w:val="-63"/>
        </w:rPr>
        <w:t> </w:t>
      </w:r>
      <w:r>
        <w:rPr>
          <w:spacing w:val="-63"/>
        </w:rPr>
      </w:r>
      <w:r>
        <w:rPr/>
        <w:t>可能会进一步增加，如果出现应收账款不能按期或无法回收发生坏账的情况，公司将面临流动资金短缺的风险。</w:t>
      </w:r>
    </w:p>
    <w:p>
      <w:pPr>
        <w:spacing w:after="0" w:line="316"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50" w:firstLine="360"/>
        <w:jc w:val="left"/>
      </w:pPr>
      <w:r>
        <w:rPr>
          <w:spacing w:val="-2"/>
        </w:rPr>
        <w:t>对此，公司将继续紧密监控应收账款，加强与客户付款流程的互动，促进应收账款的及时回收，确保经营性净现金流为</w:t>
      </w:r>
      <w:r>
        <w:rPr/>
        <w:t> 正。</w:t>
      </w:r>
    </w:p>
    <w:p>
      <w:pPr>
        <w:pStyle w:val="BodyText"/>
        <w:spacing w:line="338" w:lineRule="auto" w:before="59"/>
        <w:ind w:left="512" w:right="139"/>
        <w:jc w:val="left"/>
      </w:pPr>
      <w:r>
        <w:rPr>
          <w:rFonts w:ascii="Times New Roman" w:hAnsi="Times New Roman" w:cs="Times New Roman" w:eastAsia="Times New Roman" w:hint="default"/>
        </w:rPr>
        <w:t>7</w:t>
      </w:r>
      <w:r>
        <w:rPr/>
        <w:t>、人才流失风险 </w:t>
      </w:r>
      <w:r>
        <w:rPr>
          <w:spacing w:val="-5"/>
        </w:rPr>
        <w:t>高素质的人才是公司事业成功的根本，随着行业竞争的日趋激烈，对人才的争夺亦趋于白热化，一旦公司核心人才流失，</w:t>
      </w:r>
    </w:p>
    <w:p>
      <w:pPr>
        <w:pStyle w:val="BodyText"/>
        <w:spacing w:line="338" w:lineRule="auto" w:before="2"/>
        <w:ind w:right="150"/>
        <w:jc w:val="left"/>
      </w:pPr>
      <w:r>
        <w:rPr/>
        <w:t>且不能及时获得相应补充，将对公司的盈利能力产生不利影响。 </w:t>
      </w:r>
      <w:r>
        <w:rPr>
          <w:spacing w:val="-2"/>
        </w:rPr>
        <w:t>对此，公司通过搭建结合了工作与事业追求的平台机制，并提供有竞争力的薪酬、福利以及股权激励，建立公平的竞争晋升</w:t>
      </w:r>
      <w:r>
        <w:rPr>
          <w:spacing w:val="-65"/>
        </w:rPr>
        <w:t> </w:t>
      </w:r>
      <w:r>
        <w:rPr>
          <w:spacing w:val="-65"/>
        </w:rPr>
      </w:r>
      <w:r>
        <w:rPr/>
        <w:t>机制，让优秀的人才既有良好的短期工作与生活保障，又有长远的事业追求，从而保证人才稳定性。</w:t>
      </w:r>
    </w:p>
    <w:p>
      <w:pPr>
        <w:spacing w:line="240" w:lineRule="auto" w:before="8"/>
        <w:rPr>
          <w:rFonts w:ascii="宋体" w:hAnsi="宋体" w:cs="宋体" w:eastAsia="宋体" w:hint="default"/>
          <w:sz w:val="19"/>
          <w:szCs w:val="19"/>
        </w:rPr>
      </w:pPr>
    </w:p>
    <w:p>
      <w:pPr>
        <w:pStyle w:val="Heading2"/>
        <w:spacing w:line="240" w:lineRule="auto"/>
        <w:ind w:right="150"/>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4"/>
              <w:jc w:val="left"/>
              <w:rPr>
                <w:rFonts w:ascii="Times New Roman" w:hAnsi="Times New Roman" w:cs="Times New Roman" w:eastAsia="Times New Roman" w:hint="default"/>
                <w:sz w:val="18"/>
                <w:szCs w:val="18"/>
              </w:rPr>
            </w:pPr>
            <w:hyperlink r:id="rId13">
              <w:r>
                <w:rPr>
                  <w:rFonts w:ascii="Times New Roman"/>
                  <w:sz w:val="18"/>
                </w:rPr>
                <w:t>http://www.cninfo.com.cn/information/c</w:t>
              </w:r>
            </w:hyperlink>
            <w:r>
              <w:rPr>
                <w:rFonts w:ascii="Times New Roman"/>
                <w:sz w:val="18"/>
              </w:rPr>
              <w:t> ompanyinfo_n.html?fulltext?szcn300682</w:t>
            </w:r>
          </w:p>
        </w:tc>
      </w:tr>
      <w:tr>
        <w:trPr>
          <w:trHeight w:val="7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4"/>
              <w:jc w:val="left"/>
              <w:rPr>
                <w:rFonts w:ascii="Times New Roman" w:hAnsi="Times New Roman" w:cs="Times New Roman" w:eastAsia="Times New Roman" w:hint="default"/>
                <w:sz w:val="18"/>
                <w:szCs w:val="18"/>
              </w:rPr>
            </w:pPr>
            <w:hyperlink r:id="rId13">
              <w:r>
                <w:rPr>
                  <w:rFonts w:ascii="Times New Roman"/>
                  <w:sz w:val="18"/>
                </w:rPr>
                <w:t>http://www.cninfo.com.cn/information/c</w:t>
              </w:r>
            </w:hyperlink>
            <w:r>
              <w:rPr>
                <w:rFonts w:ascii="Times New Roman"/>
                <w:sz w:val="18"/>
              </w:rPr>
              <w:t> ompanyinfo_n.html?fulltext?szcn300682</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4"/>
              <w:jc w:val="left"/>
              <w:rPr>
                <w:rFonts w:ascii="Times New Roman" w:hAnsi="Times New Roman" w:cs="Times New Roman" w:eastAsia="Times New Roman" w:hint="default"/>
                <w:sz w:val="18"/>
                <w:szCs w:val="18"/>
              </w:rPr>
            </w:pPr>
            <w:hyperlink r:id="rId13">
              <w:r>
                <w:rPr>
                  <w:rFonts w:ascii="Times New Roman"/>
                  <w:sz w:val="18"/>
                </w:rPr>
                <w:t>http://www.cninfo.com.cn/information/c</w:t>
              </w:r>
            </w:hyperlink>
            <w:r>
              <w:rPr>
                <w:rFonts w:ascii="Times New Roman"/>
                <w:sz w:val="18"/>
              </w:rPr>
              <w:t> ompanyinfo_n.html?fulltext?szcn300682</w:t>
            </w:r>
          </w:p>
        </w:tc>
      </w:tr>
      <w:tr>
        <w:trPr>
          <w:trHeight w:val="7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4"/>
              <w:jc w:val="left"/>
              <w:rPr>
                <w:rFonts w:ascii="Times New Roman" w:hAnsi="Times New Roman" w:cs="Times New Roman" w:eastAsia="Times New Roman" w:hint="default"/>
                <w:sz w:val="18"/>
                <w:szCs w:val="18"/>
              </w:rPr>
            </w:pPr>
            <w:hyperlink r:id="rId13">
              <w:r>
                <w:rPr>
                  <w:rFonts w:ascii="Times New Roman"/>
                  <w:sz w:val="18"/>
                </w:rPr>
                <w:t>http://www.cninfo.com.cn/information/c</w:t>
              </w:r>
            </w:hyperlink>
            <w:r>
              <w:rPr>
                <w:rFonts w:ascii="Times New Roman"/>
                <w:sz w:val="18"/>
              </w:rPr>
              <w:t> ompanyinfo_n.html?fulltext?szcn300682</w:t>
            </w:r>
          </w:p>
        </w:tc>
      </w:tr>
    </w:tbl>
    <w:p>
      <w:pPr>
        <w:spacing w:after="0" w:line="362"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64" w:right="3164"/>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4"/>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t>报告期内普通股利润分配政策，特别是现金分红政策的制定、执行或调整情况</w:t>
      </w:r>
    </w:p>
    <w:p>
      <w:pPr>
        <w:pStyle w:val="BodyText"/>
        <w:spacing w:line="338" w:lineRule="auto" w:before="117"/>
        <w:ind w:right="2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公司报告期利润分配预案及资本公积金转增股本预案与公司章程和分红管理办法等的相关规定一致</w:t>
      </w:r>
    </w:p>
    <w:p>
      <w:pPr>
        <w:pStyle w:val="BodyText"/>
        <w:spacing w:line="348" w:lineRule="auto" w:before="43"/>
        <w:ind w:right="329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44"/>
        <w:ind w:left="0" w:right="158"/>
        <w:jc w:val="right"/>
      </w:pPr>
      <w:r>
        <w:rPr/>
        <w:pict>
          <v:shape style="position:absolute;margin-left:56.400002pt;margin-top:-217.328278pt;width:479.2pt;height:299.65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7"/>
                    <w:gridCol w:w="5862"/>
                  </w:tblGrid>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0.51</w:t>
                        </w:r>
                        <w:r>
                          <w:rPr>
                            <w:rFonts w:ascii="Times New Roman"/>
                            <w:sz w:val="18"/>
                          </w:rPr>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416,760,300</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21,254,775.30</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381,986,961.71</w:t>
                        </w:r>
                        <w:r>
                          <w:rPr>
                            <w:rFonts w:ascii="Times New Roman"/>
                            <w:sz w:val="18"/>
                          </w:rPr>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8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经普华永道中天会计师事务所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审计确认，</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年归属于上市公司股东的净利润为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139,136,836.46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《上市公司监管指引第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上市公司现金分红》和《公司章程》的有关规定，提取法定盈余公积金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14,281,738.50 </w:t>
                        </w:r>
                        <w:r>
                          <w:rPr>
                            <w:rFonts w:ascii="宋体" w:hAnsi="宋体" w:cs="宋体" w:eastAsia="宋体" w:hint="default"/>
                            <w:sz w:val="18"/>
                            <w:szCs w:val="18"/>
                          </w:rPr>
                          <w:t>元后</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年实现可分配利润为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381,986,961.71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元。结合公司发展与未来资金需求，公司拟以总股本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416,760,300 </w:t>
                        </w:r>
                        <w:r>
                          <w:rPr>
                            <w:rFonts w:ascii="宋体" w:hAnsi="宋体" w:cs="宋体" w:eastAsia="宋体" w:hint="default"/>
                            <w:sz w:val="18"/>
                            <w:szCs w:val="18"/>
                          </w:rPr>
                          <w:t>股为基数</w:t>
                        </w:r>
                      </w:p>
                      <w:p>
                        <w:pPr>
                          <w:pStyle w:val="TableParagraph"/>
                          <w:spacing w:line="300" w:lineRule="auto" w:before="63"/>
                          <w:ind w:left="24" w:right="23"/>
                          <w:jc w:val="both"/>
                          <w:rPr>
                            <w:rFonts w:ascii="宋体" w:hAnsi="宋体" w:cs="宋体" w:eastAsia="宋体" w:hint="default"/>
                            <w:sz w:val="18"/>
                            <w:szCs w:val="18"/>
                          </w:rPr>
                        </w:pPr>
                        <w:r>
                          <w:rPr>
                            <w:rFonts w:ascii="宋体" w:hAnsi="宋体" w:cs="宋体" w:eastAsia="宋体" w:hint="default"/>
                            <w:sz w:val="18"/>
                            <w:szCs w:val="18"/>
                          </w:rPr>
                          <w:t>向全体股东每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股派发现金股利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0.51</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元（含税），送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股，转增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股，总计派发现金股利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21,254,775.30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元，占归属于上</w:t>
                        </w:r>
                        <w:r>
                          <w:rPr>
                            <w:rFonts w:ascii="宋体" w:hAnsi="宋体" w:cs="宋体" w:eastAsia="宋体" w:hint="default"/>
                            <w:spacing w:val="-87"/>
                            <w:sz w:val="18"/>
                            <w:szCs w:val="18"/>
                          </w:rPr>
                          <w:t> </w:t>
                        </w:r>
                        <w:r>
                          <w:rPr>
                            <w:rFonts w:ascii="宋体" w:hAnsi="宋体" w:cs="宋体" w:eastAsia="宋体" w:hint="default"/>
                            <w:sz w:val="18"/>
                            <w:szCs w:val="18"/>
                          </w:rPr>
                          <w:t>市公司股东</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年实现可分配利润的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15.28%</w:t>
                        </w:r>
                        <w:r>
                          <w:rPr>
                            <w:rFonts w:ascii="宋体" w:hAnsi="宋体" w:cs="宋体" w:eastAsia="宋体" w:hint="default"/>
                            <w:sz w:val="18"/>
                            <w:szCs w:val="18"/>
                          </w:rPr>
                          <w:t>。若在分配方案实施前公司总股本由于再融资新增股份上市、可转债转股、 股份回购、股权激励行权等原因而发生变化的，分配比例将按分派总额不变的原则相应调整。</w:t>
                        </w:r>
                      </w:p>
                    </w:tc>
                  </w:tr>
                </w:tbl>
                <w:p>
                  <w:pPr/>
                </w:p>
              </w:txbxContent>
            </v:textbox>
            <w10:wrap type="none"/>
          </v:shape>
        </w:pict>
      </w:r>
      <w:r>
        <w:rPr/>
        <w:t>，</w:t>
      </w:r>
    </w:p>
    <w:p>
      <w:pPr>
        <w:pStyle w:val="BodyText"/>
        <w:spacing w:line="240" w:lineRule="auto" w:before="76"/>
        <w:ind w:left="0"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319" w:lineRule="auto" w:before="44"/>
        <w:ind w:right="15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年度利润分配方案：</w:t>
      </w:r>
      <w:r>
        <w:rPr>
          <w:spacing w:val="-31"/>
        </w:rPr>
        <w:t> </w:t>
      </w:r>
      <w:r>
        <w:rPr>
          <w:rFonts w:ascii="Times New Roman" w:hAnsi="Times New Roman" w:cs="Times New Roman" w:eastAsia="Times New Roman" w:hint="default"/>
        </w:rPr>
        <w:t>2015</w:t>
      </w:r>
      <w:r>
        <w:rPr/>
        <w:t>年度实现净利润为人民币</w:t>
      </w:r>
      <w:r>
        <w:rPr>
          <w:rFonts w:ascii="Times New Roman" w:hAnsi="Times New Roman" w:cs="Times New Roman" w:eastAsia="Times New Roman" w:hint="default"/>
        </w:rPr>
        <w:t>71,713,687.60</w:t>
      </w:r>
      <w:r>
        <w:rPr/>
        <w:t>元，提议将其中的</w:t>
      </w:r>
      <w:r>
        <w:rPr>
          <w:rFonts w:ascii="Times New Roman" w:hAnsi="Times New Roman" w:cs="Times New Roman" w:eastAsia="Times New Roman" w:hint="default"/>
        </w:rPr>
        <w:t>36.89%</w:t>
      </w:r>
      <w:r>
        <w:rPr/>
        <w:t>折合人民币</w:t>
      </w:r>
      <w:r>
        <w:rPr>
          <w:rFonts w:ascii="Times New Roman" w:hAnsi="Times New Roman" w:cs="Times New Roman" w:eastAsia="Times New Roman" w:hint="default"/>
        </w:rPr>
        <w:t>26,456,786.71 </w:t>
      </w:r>
      <w:r>
        <w:rPr/>
        <w:t>元按照各股东的持股比例进行分配。</w:t>
      </w:r>
    </w:p>
    <w:p>
      <w:pPr>
        <w:pStyle w:val="BodyText"/>
        <w:spacing w:line="300" w:lineRule="auto" w:before="58"/>
        <w:ind w:right="14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年度利润分配方案：结合公司年度经营情况与未来发展需要，</w:t>
      </w:r>
      <w:r>
        <w:rPr>
          <w:rFonts w:ascii="Times New Roman" w:hAnsi="Times New Roman" w:cs="Times New Roman" w:eastAsia="Times New Roman" w:hint="default"/>
        </w:rPr>
        <w:t>2016</w:t>
      </w:r>
      <w:r>
        <w:rPr/>
        <w:t>年度公司不派发现金红利，不送红股，不以公积 金转增股本，剩余未分配利润结转至以后年度。</w:t>
      </w:r>
    </w:p>
    <w:p>
      <w:pPr>
        <w:pStyle w:val="BodyText"/>
        <w:spacing w:line="240" w:lineRule="auto" w:before="70"/>
        <w:ind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年度利润分配预案为：公司拟以总股本</w:t>
      </w:r>
      <w:r>
        <w:rPr>
          <w:rFonts w:ascii="Times New Roman" w:hAnsi="Times New Roman" w:cs="Times New Roman" w:eastAsia="Times New Roman" w:hint="default"/>
        </w:rPr>
        <w:t>416,760,300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0.51</w:t>
      </w:r>
      <w:r>
        <w:rPr/>
        <w:t>元（含税），送</w:t>
      </w:r>
      <w:r>
        <w:rPr>
          <w:rFonts w:ascii="Times New Roman" w:hAnsi="Times New Roman" w:cs="Times New Roman" w:eastAsia="Times New Roman" w:hint="default"/>
        </w:rPr>
        <w:t>0</w:t>
      </w:r>
    </w:p>
    <w:p>
      <w:pPr>
        <w:pStyle w:val="BodyText"/>
        <w:spacing w:line="240" w:lineRule="auto" w:before="62"/>
        <w:ind w:right="150"/>
        <w:jc w:val="left"/>
      </w:pPr>
      <w:r>
        <w:rPr/>
        <w:t>股，转增</w:t>
      </w:r>
      <w:r>
        <w:rPr>
          <w:rFonts w:ascii="Times New Roman" w:hAnsi="Times New Roman" w:cs="Times New Roman" w:eastAsia="Times New Roman" w:hint="default"/>
        </w:rPr>
        <w:t>0</w:t>
      </w:r>
      <w:r>
        <w:rPr/>
        <w:t>股，合计分配现金</w:t>
      </w:r>
      <w:r>
        <w:rPr>
          <w:rFonts w:ascii="Times New Roman" w:hAnsi="Times New Roman" w:cs="Times New Roman" w:eastAsia="Times New Roman" w:hint="default"/>
        </w:rPr>
        <w:t>21,254,775.30</w:t>
      </w:r>
      <w:r>
        <w:rPr/>
        <w:t>元，剩余未分配利润结转至以后年度。</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right="150"/>
        <w:jc w:val="left"/>
      </w:pPr>
      <w:r>
        <w:rPr/>
        <w:t>公司近三年（包括本报告期）普通股现金分红情况表</w:t>
      </w:r>
    </w:p>
    <w:p>
      <w:pPr>
        <w:pStyle w:val="BodyText"/>
        <w:spacing w:line="240" w:lineRule="auto" w:before="115"/>
        <w:ind w:left="0" w:right="153"/>
        <w:jc w:val="right"/>
      </w:pPr>
      <w:r>
        <w:rPr/>
        <w:t>单位：元</w:t>
      </w:r>
    </w:p>
    <w:p>
      <w:pPr>
        <w:spacing w:line="240" w:lineRule="auto" w:before="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4"/>
        <w:gridCol w:w="1595"/>
        <w:gridCol w:w="1594"/>
        <w:gridCol w:w="1583"/>
      </w:tblGrid>
      <w:tr>
        <w:trPr>
          <w:trHeight w:val="382" w:hRule="exact"/>
        </w:trPr>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8"/>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9"/>
              <w:ind w:left="70" w:right="0"/>
              <w:jc w:val="left"/>
              <w:rPr>
                <w:rFonts w:ascii="宋体" w:hAnsi="宋体" w:cs="宋体" w:eastAsia="宋体" w:hint="default"/>
                <w:sz w:val="18"/>
                <w:szCs w:val="18"/>
              </w:rPr>
            </w:pPr>
            <w:r>
              <w:rPr>
                <w:rFonts w:ascii="宋体" w:hAnsi="宋体" w:cs="宋体" w:eastAsia="宋体" w:hint="default"/>
                <w:sz w:val="18"/>
                <w:szCs w:val="18"/>
              </w:rPr>
              <w:t>现金分红金额（含</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9"/>
              <w:ind w:left="70" w:right="0"/>
              <w:jc w:val="lef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9"/>
              <w:ind w:left="70"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9"/>
              <w:ind w:left="71"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9"/>
              <w:ind w:left="72"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85"/>
        <w:gridCol w:w="1604"/>
        <w:gridCol w:w="1594"/>
        <w:gridCol w:w="1596"/>
        <w:gridCol w:w="1594"/>
        <w:gridCol w:w="1594"/>
      </w:tblGrid>
      <w:tr>
        <w:trPr>
          <w:trHeight w:val="358" w:hRule="exact"/>
        </w:trPr>
        <w:tc>
          <w:tcPr>
            <w:tcW w:w="1585" w:type="dxa"/>
            <w:vMerge w:val="restart"/>
            <w:tcBorders>
              <w:top w:val="single" w:sz="4" w:space="0" w:color="000000"/>
              <w:left w:val="single" w:sz="4" w:space="0" w:color="000000"/>
              <w:right w:val="single" w:sz="4" w:space="0" w:color="000000"/>
            </w:tcBorders>
            <w:shd w:val="clear" w:color="auto" w:fill="D4D4D4"/>
          </w:tcPr>
          <w:p>
            <w:pPr/>
          </w:p>
        </w:tc>
        <w:tc>
          <w:tcPr>
            <w:tcW w:w="1604" w:type="dxa"/>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税）</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8"/>
              <w:ind w:left="72" w:right="71"/>
              <w:jc w:val="center"/>
              <w:rPr>
                <w:rFonts w:ascii="宋体" w:hAnsi="宋体" w:cs="宋体" w:eastAsia="宋体" w:hint="default"/>
                <w:sz w:val="18"/>
                <w:szCs w:val="18"/>
              </w:rPr>
            </w:pPr>
            <w:r>
              <w:rPr>
                <w:rFonts w:ascii="宋体" w:hAnsi="宋体" w:cs="宋体" w:eastAsia="宋体" w:hint="default"/>
                <w:sz w:val="18"/>
                <w:szCs w:val="18"/>
              </w:rPr>
              <w:t>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8"/>
              <w:ind w:left="71" w:right="72"/>
              <w:jc w:val="center"/>
              <w:rPr>
                <w:rFonts w:ascii="宋体" w:hAnsi="宋体" w:cs="宋体" w:eastAsia="宋体" w:hint="default"/>
                <w:sz w:val="18"/>
                <w:szCs w:val="18"/>
              </w:rPr>
            </w:pPr>
            <w:r>
              <w:rPr>
                <w:rFonts w:ascii="宋体" w:hAnsi="宋体" w:cs="宋体" w:eastAsia="宋体" w:hint="default"/>
                <w:sz w:val="18"/>
                <w:szCs w:val="18"/>
              </w:rPr>
              <w:t>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红的金额</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红的比例</w:t>
            </w:r>
          </w:p>
        </w:tc>
      </w:tr>
      <w:tr>
        <w:trPr>
          <w:trHeight w:val="629" w:hRule="exact"/>
        </w:trPr>
        <w:tc>
          <w:tcPr>
            <w:tcW w:w="1585" w:type="dxa"/>
            <w:vMerge/>
            <w:tcBorders>
              <w:left w:val="single" w:sz="4" w:space="0" w:color="000000"/>
              <w:bottom w:val="single" w:sz="4" w:space="0" w:color="000000"/>
              <w:right w:val="single" w:sz="4" w:space="0" w:color="000000"/>
            </w:tcBorders>
            <w:shd w:val="clear" w:color="auto" w:fill="D4D4D4"/>
          </w:tcPr>
          <w:p>
            <w:pPr/>
          </w:p>
        </w:tc>
        <w:tc>
          <w:tcPr>
            <w:tcW w:w="160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21,254,775.30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139,136,836.46</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122,086,980.58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26,456,786.71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71,713,687.60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0"/>
        <w:jc w:val="left"/>
      </w:pPr>
      <w:r>
        <w:rPr/>
        <w:t>公司报告期内盈利且母公司可供普通股股东分配利润为正但未提出普通股现金红利分配预案</w:t>
      </w:r>
    </w:p>
    <w:p>
      <w:pPr>
        <w:pStyle w:val="BodyText"/>
        <w:spacing w:line="240" w:lineRule="auto" w:before="117"/>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15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8"/>
        <w:gridCol w:w="850"/>
        <w:gridCol w:w="708"/>
        <w:gridCol w:w="4536"/>
        <w:gridCol w:w="852"/>
        <w:gridCol w:w="566"/>
        <w:gridCol w:w="636"/>
      </w:tblGrid>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4D4D4"/>
          </w:tcPr>
          <w:p>
            <w:pPr/>
          </w:p>
        </w:tc>
        <w:tc>
          <w:tcPr>
            <w:tcW w:w="850" w:type="dxa"/>
            <w:tcBorders>
              <w:top w:val="single" w:sz="4" w:space="0" w:color="000000"/>
              <w:left w:val="single" w:sz="4" w:space="0" w:color="000000"/>
              <w:bottom w:val="nil" w:sz="6" w:space="0" w:color="auto"/>
              <w:right w:val="single" w:sz="4" w:space="0" w:color="000000"/>
            </w:tcBorders>
            <w:shd w:val="clear" w:color="auto" w:fill="D4D4D4"/>
          </w:tcPr>
          <w:p>
            <w:pPr/>
          </w:p>
        </w:tc>
        <w:tc>
          <w:tcPr>
            <w:tcW w:w="70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536" w:type="dxa"/>
            <w:tcBorders>
              <w:top w:val="single" w:sz="4" w:space="0" w:color="000000"/>
              <w:left w:val="single" w:sz="4" w:space="0" w:color="000000"/>
              <w:bottom w:val="nil" w:sz="6" w:space="0" w:color="auto"/>
              <w:right w:val="single" w:sz="4" w:space="0" w:color="000000"/>
            </w:tcBorders>
            <w:shd w:val="clear" w:color="auto" w:fill="D4D4D4"/>
          </w:tcPr>
          <w:p>
            <w:pPr/>
          </w:p>
        </w:tc>
        <w:tc>
          <w:tcPr>
            <w:tcW w:w="852" w:type="dxa"/>
            <w:tcBorders>
              <w:top w:val="single" w:sz="4" w:space="0" w:color="000000"/>
              <w:left w:val="single" w:sz="4" w:space="0" w:color="000000"/>
              <w:bottom w:val="nil" w:sz="6" w:space="0" w:color="auto"/>
              <w:right w:val="single" w:sz="4" w:space="0" w:color="000000"/>
            </w:tcBorders>
            <w:shd w:val="clear" w:color="auto" w:fill="D4D4D4"/>
          </w:tcPr>
          <w:p>
            <w:pPr/>
          </w:p>
        </w:tc>
        <w:tc>
          <w:tcPr>
            <w:tcW w:w="5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6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23" w:right="41" w:hanging="180"/>
              <w:jc w:val="left"/>
              <w:rPr>
                <w:rFonts w:ascii="宋体" w:hAnsi="宋体" w:cs="宋体" w:eastAsia="宋体" w:hint="default"/>
                <w:sz w:val="18"/>
                <w:szCs w:val="18"/>
              </w:rPr>
            </w:pPr>
            <w:r>
              <w:rPr>
                <w:rFonts w:ascii="宋体" w:hAnsi="宋体" w:cs="宋体" w:eastAsia="宋体" w:hint="default"/>
                <w:sz w:val="18"/>
                <w:szCs w:val="18"/>
              </w:rPr>
              <w:t>履行情 况</w:t>
            </w:r>
          </w:p>
        </w:tc>
      </w:tr>
      <w:tr>
        <w:trPr>
          <w:trHeight w:val="394" w:hRule="exact"/>
        </w:trPr>
        <w:tc>
          <w:tcPr>
            <w:tcW w:w="14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08" w:type="dxa"/>
            <w:vMerge/>
            <w:tcBorders>
              <w:left w:val="single" w:sz="4" w:space="0" w:color="000000"/>
              <w:right w:val="single" w:sz="4" w:space="0" w:color="000000"/>
            </w:tcBorders>
            <w:shd w:val="clear" w:color="auto" w:fill="D4D4D4"/>
          </w:tcPr>
          <w:p>
            <w:pPr/>
          </w:p>
        </w:tc>
        <w:tc>
          <w:tcPr>
            <w:tcW w:w="453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566" w:type="dxa"/>
            <w:vMerge/>
            <w:tcBorders>
              <w:left w:val="single" w:sz="4" w:space="0" w:color="000000"/>
              <w:right w:val="single" w:sz="4" w:space="0" w:color="000000"/>
            </w:tcBorders>
            <w:shd w:val="clear" w:color="auto" w:fill="D4D4D4"/>
          </w:tcPr>
          <w:p>
            <w:pPr/>
          </w:p>
        </w:tc>
        <w:tc>
          <w:tcPr>
            <w:tcW w:w="636" w:type="dxa"/>
            <w:vMerge/>
            <w:tcBorders>
              <w:left w:val="single" w:sz="4" w:space="0" w:color="000000"/>
              <w:right w:val="single" w:sz="4" w:space="0" w:color="000000"/>
            </w:tcBorders>
            <w:shd w:val="clear" w:color="auto" w:fill="D4D4D4"/>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4D4D4"/>
          </w:tcPr>
          <w:p>
            <w:pPr/>
          </w:p>
        </w:tc>
        <w:tc>
          <w:tcPr>
            <w:tcW w:w="850" w:type="dxa"/>
            <w:tcBorders>
              <w:top w:val="nil" w:sz="6" w:space="0" w:color="auto"/>
              <w:left w:val="single" w:sz="4" w:space="0" w:color="000000"/>
              <w:bottom w:val="single" w:sz="4" w:space="0" w:color="000000"/>
              <w:right w:val="single" w:sz="4" w:space="0" w:color="000000"/>
            </w:tcBorders>
            <w:shd w:val="clear" w:color="auto" w:fill="D4D4D4"/>
          </w:tcPr>
          <w:p>
            <w:pPr/>
          </w:p>
        </w:tc>
        <w:tc>
          <w:tcPr>
            <w:tcW w:w="708" w:type="dxa"/>
            <w:vMerge/>
            <w:tcBorders>
              <w:left w:val="single" w:sz="4" w:space="0" w:color="000000"/>
              <w:bottom w:val="single" w:sz="4" w:space="0" w:color="000000"/>
              <w:right w:val="single" w:sz="4" w:space="0" w:color="000000"/>
            </w:tcBorders>
            <w:shd w:val="clear" w:color="auto" w:fill="D4D4D4"/>
          </w:tcPr>
          <w:p>
            <w:pPr/>
          </w:p>
        </w:tc>
        <w:tc>
          <w:tcPr>
            <w:tcW w:w="4536" w:type="dxa"/>
            <w:tcBorders>
              <w:top w:val="nil" w:sz="6" w:space="0" w:color="auto"/>
              <w:left w:val="single" w:sz="4" w:space="0" w:color="000000"/>
              <w:bottom w:val="single" w:sz="4" w:space="0" w:color="000000"/>
              <w:right w:val="single" w:sz="4" w:space="0" w:color="000000"/>
            </w:tcBorders>
            <w:shd w:val="clear" w:color="auto" w:fill="D4D4D4"/>
          </w:tcPr>
          <w:p>
            <w:pPr/>
          </w:p>
        </w:tc>
        <w:tc>
          <w:tcPr>
            <w:tcW w:w="852" w:type="dxa"/>
            <w:tcBorders>
              <w:top w:val="nil" w:sz="6" w:space="0" w:color="auto"/>
              <w:left w:val="single" w:sz="4" w:space="0" w:color="000000"/>
              <w:bottom w:val="single" w:sz="4" w:space="0" w:color="000000"/>
              <w:right w:val="single" w:sz="4" w:space="0" w:color="000000"/>
            </w:tcBorders>
            <w:shd w:val="clear" w:color="auto" w:fill="D4D4D4"/>
          </w:tcPr>
          <w:p>
            <w:pPr/>
          </w:p>
        </w:tc>
        <w:tc>
          <w:tcPr>
            <w:tcW w:w="566" w:type="dxa"/>
            <w:vMerge/>
            <w:tcBorders>
              <w:left w:val="single" w:sz="4" w:space="0" w:color="000000"/>
              <w:bottom w:val="single" w:sz="4" w:space="0" w:color="000000"/>
              <w:right w:val="single" w:sz="4" w:space="0" w:color="000000"/>
            </w:tcBorders>
            <w:shd w:val="clear" w:color="auto" w:fill="D4D4D4"/>
          </w:tcPr>
          <w:p>
            <w:pPr/>
          </w:p>
        </w:tc>
        <w:tc>
          <w:tcPr>
            <w:tcW w:w="636"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22"/>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850" w:type="dxa"/>
            <w:tcBorders>
              <w:top w:val="single" w:sz="4" w:space="0" w:color="000000"/>
              <w:left w:val="single" w:sz="12" w:space="0" w:color="D4D4D4"/>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850" w:type="dxa"/>
            <w:tcBorders>
              <w:top w:val="single" w:sz="4" w:space="0" w:color="000000"/>
              <w:left w:val="single" w:sz="12" w:space="0" w:color="D4D4D4"/>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635" w:hRule="exact"/>
        </w:trPr>
        <w:tc>
          <w:tcPr>
            <w:tcW w:w="1418" w:type="dxa"/>
            <w:tcBorders>
              <w:top w:val="single" w:sz="4" w:space="0" w:color="000000"/>
              <w:left w:val="single" w:sz="4" w:space="0" w:color="000000"/>
              <w:bottom w:val="nil" w:sz="6" w:space="0" w:color="auto"/>
              <w:right w:val="single" w:sz="4" w:space="0" w:color="000000"/>
            </w:tcBorders>
            <w:shd w:val="clear" w:color="auto" w:fill="D4D4D4"/>
          </w:tcPr>
          <w:p>
            <w:pPr/>
          </w:p>
        </w:tc>
        <w:tc>
          <w:tcPr>
            <w:tcW w:w="850"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8" w:right="95"/>
              <w:jc w:val="both"/>
              <w:rPr>
                <w:rFonts w:ascii="宋体" w:hAnsi="宋体" w:cs="宋体" w:eastAsia="宋体" w:hint="default"/>
                <w:sz w:val="18"/>
                <w:szCs w:val="18"/>
              </w:rPr>
            </w:pPr>
            <w:r>
              <w:rPr>
                <w:rFonts w:ascii="宋体" w:hAnsi="宋体" w:cs="宋体" w:eastAsia="宋体" w:hint="default"/>
                <w:sz w:val="18"/>
                <w:szCs w:val="18"/>
              </w:rPr>
              <w:t>无锡朴华 股权投资 合伙企业</w:t>
            </w:r>
          </w:p>
          <w:p>
            <w:pPr>
              <w:pStyle w:val="TableParagraph"/>
              <w:spacing w:line="309" w:lineRule="auto" w:before="19"/>
              <w:ind w:left="18" w:right="43"/>
              <w:jc w:val="both"/>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无锡 群英股权 投资合伙 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徐长军</w:t>
            </w:r>
            <w:r>
              <w:rPr>
                <w:rFonts w:ascii="Times New Roman" w:hAnsi="Times New Roman" w:cs="Times New Roman" w:eastAsia="Times New Roman" w:hint="default"/>
                <w:sz w:val="18"/>
                <w:szCs w:val="18"/>
              </w:rPr>
              <w:t>;</w:t>
            </w:r>
            <w:r>
              <w:rPr>
                <w:rFonts w:ascii="宋体" w:hAnsi="宋体" w:cs="宋体" w:eastAsia="宋体" w:hint="default"/>
                <w:sz w:val="18"/>
                <w:szCs w:val="18"/>
              </w:rPr>
              <w:t>郑 新标</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536" w:type="dxa"/>
            <w:vMerge w:val="restart"/>
            <w:tcBorders>
              <w:top w:val="single" w:sz="4" w:space="0" w:color="000000"/>
              <w:left w:val="single" w:sz="4" w:space="0" w:color="000000"/>
              <w:right w:val="single" w:sz="4" w:space="0" w:color="000000"/>
            </w:tcBorders>
          </w:tcPr>
          <w:p>
            <w:pPr>
              <w:pStyle w:val="TableParagraph"/>
              <w:spacing w:line="300" w:lineRule="auto" w:before="49"/>
              <w:ind w:left="26"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自公司股票上市之日起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个月内，不转让或者委托他人 </w:t>
            </w:r>
            <w:r>
              <w:rPr>
                <w:rFonts w:ascii="宋体" w:hAnsi="宋体" w:cs="宋体" w:eastAsia="宋体" w:hint="default"/>
                <w:spacing w:val="-3"/>
                <w:sz w:val="18"/>
                <w:szCs w:val="18"/>
              </w:rPr>
              <w:t>管理本企业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本人直接或间接持有的公司股份，也不由公司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回购本企业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本人所直接或间接持有的公司股份；在锁定期</w:t>
            </w:r>
          </w:p>
          <w:p>
            <w:pPr>
              <w:pStyle w:val="TableParagraph"/>
              <w:spacing w:line="302" w:lineRule="auto" w:before="13"/>
              <w:ind w:left="26" w:right="17"/>
              <w:jc w:val="both"/>
              <w:rPr>
                <w:rFonts w:ascii="宋体" w:hAnsi="宋体" w:cs="宋体" w:eastAsia="宋体" w:hint="default"/>
                <w:sz w:val="18"/>
                <w:szCs w:val="18"/>
              </w:rPr>
            </w:pPr>
            <w:r>
              <w:rPr>
                <w:rFonts w:ascii="宋体" w:hAnsi="宋体" w:cs="宋体" w:eastAsia="宋体" w:hint="default"/>
                <w:spacing w:val="-3"/>
                <w:sz w:val="18"/>
                <w:szCs w:val="18"/>
              </w:rPr>
              <w:t>（包括延长的锁定期）届满后，关于减持本企业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本人于本</w:t>
            </w:r>
            <w:r>
              <w:rPr>
                <w:rFonts w:ascii="宋体" w:hAnsi="宋体" w:cs="宋体" w:eastAsia="宋体" w:hint="default"/>
                <w:spacing w:val="-82"/>
                <w:sz w:val="18"/>
                <w:szCs w:val="18"/>
              </w:rPr>
              <w:t> </w:t>
            </w:r>
            <w:r>
              <w:rPr>
                <w:rFonts w:ascii="宋体" w:hAnsi="宋体" w:cs="宋体" w:eastAsia="宋体" w:hint="default"/>
                <w:spacing w:val="-3"/>
                <w:sz w:val="18"/>
                <w:szCs w:val="18"/>
              </w:rPr>
              <w:t>次发行前已直接或间接持有的老股（不包括本企业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本人在</w:t>
            </w:r>
            <w:r>
              <w:rPr>
                <w:rFonts w:ascii="宋体" w:hAnsi="宋体" w:cs="宋体" w:eastAsia="宋体" w:hint="default"/>
                <w:spacing w:val="-82"/>
                <w:sz w:val="18"/>
                <w:szCs w:val="18"/>
              </w:rPr>
              <w:t> </w:t>
            </w:r>
            <w:r>
              <w:rPr>
                <w:rFonts w:ascii="宋体" w:hAnsi="宋体" w:cs="宋体" w:eastAsia="宋体" w:hint="default"/>
                <w:spacing w:val="-1"/>
                <w:sz w:val="18"/>
                <w:szCs w:val="18"/>
              </w:rPr>
              <w:t>本次发行股票后从公开市场中新买入的股份）事项，本企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本人承诺如下：在锁定期（包括延长的锁定期）届满后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本人直接或间接转让所持老股不超 过本企业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本人持有公司老股的</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15%</w:t>
            </w:r>
            <w:r>
              <w:rPr>
                <w:rFonts w:ascii="宋体" w:hAnsi="宋体" w:cs="宋体" w:eastAsia="宋体" w:hint="default"/>
                <w:spacing w:val="-7"/>
                <w:sz w:val="18"/>
                <w:szCs w:val="18"/>
              </w:rPr>
              <w:t>，在锁定期（包括延长</w:t>
            </w:r>
            <w:r>
              <w:rPr>
                <w:rFonts w:ascii="宋体" w:hAnsi="宋体" w:cs="宋体" w:eastAsia="宋体" w:hint="default"/>
                <w:sz w:val="18"/>
                <w:szCs w:val="18"/>
              </w:rPr>
              <w:t> </w:t>
            </w:r>
            <w:r>
              <w:rPr>
                <w:rFonts w:ascii="宋体" w:hAnsi="宋体" w:cs="宋体" w:eastAsia="宋体" w:hint="default"/>
                <w:spacing w:val="-4"/>
                <w:sz w:val="18"/>
                <w:szCs w:val="18"/>
              </w:rPr>
              <w:t>的锁定期）届满后的第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个月内，本企业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本人直接</w:t>
            </w:r>
          </w:p>
          <w:p>
            <w:pPr>
              <w:pStyle w:val="TableParagraph"/>
              <w:spacing w:line="307" w:lineRule="auto" w:before="11"/>
              <w:ind w:left="26" w:right="-1"/>
              <w:jc w:val="left"/>
              <w:rPr>
                <w:rFonts w:ascii="宋体" w:hAnsi="宋体" w:cs="宋体" w:eastAsia="宋体" w:hint="default"/>
                <w:sz w:val="18"/>
                <w:szCs w:val="18"/>
              </w:rPr>
            </w:pPr>
            <w:r>
              <w:rPr>
                <w:rFonts w:ascii="宋体" w:hAnsi="宋体" w:cs="宋体" w:eastAsia="宋体" w:hint="default"/>
                <w:sz w:val="18"/>
                <w:szCs w:val="18"/>
              </w:rPr>
              <w:t>或间接转让所持老股不超过在锁定期届满后第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个月初 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本人直接或间接持有老股的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 有的公司股份的锁定期限（包括延长的锁定期）届满后， </w:t>
            </w:r>
            <w:r>
              <w:rPr>
                <w:rFonts w:ascii="宋体" w:hAnsi="宋体" w:cs="宋体" w:eastAsia="宋体" w:hint="default"/>
                <w:spacing w:val="-3"/>
                <w:sz w:val="18"/>
                <w:szCs w:val="18"/>
              </w:rPr>
              <w:t>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本人减持直接或间接所持公司股份时，应提前将减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持意向和拟减持数量等信息以书面方式通知公司，并由公</w:t>
            </w:r>
            <w:r>
              <w:rPr>
                <w:rFonts w:ascii="宋体" w:hAnsi="宋体" w:cs="宋体" w:eastAsia="宋体" w:hint="default"/>
                <w:sz w:val="18"/>
                <w:szCs w:val="18"/>
              </w:rPr>
              <w:t> 司及时予以公告，自公告之日起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个交易日后，本企业</w:t>
            </w:r>
            <w:r>
              <w:rPr>
                <w:rFonts w:ascii="Times New Roman" w:hAnsi="Times New Roman" w:cs="Times New Roman" w:eastAsia="Times New Roman" w:hint="default"/>
                <w:sz w:val="18"/>
                <w:szCs w:val="18"/>
              </w:rPr>
              <w:t>/ </w:t>
            </w:r>
            <w:r>
              <w:rPr>
                <w:rFonts w:ascii="宋体" w:hAnsi="宋体" w:cs="宋体" w:eastAsia="宋体" w:hint="default"/>
                <w:sz w:val="18"/>
                <w:szCs w:val="18"/>
              </w:rPr>
              <w:t>本人方可减持股份。此外，徐长军、郑新标在担任公司董 事、监事、高级管理人员期间，每年转让直接或间接持有 的股份不超过本人所持有公司股份总数的</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；离职后半</w:t>
            </w:r>
            <w:r>
              <w:rPr>
                <w:rFonts w:ascii="宋体" w:hAnsi="宋体" w:cs="宋体" w:eastAsia="宋体" w:hint="default"/>
                <w:sz w:val="18"/>
                <w:szCs w:val="18"/>
              </w:rPr>
              <w:t> 年内，不转让本人直接或间接持有的公司股份。如在公司</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00" w:lineRule="auto"/>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正在履 行中</w:t>
            </w:r>
          </w:p>
        </w:tc>
      </w:tr>
      <w:tr>
        <w:trPr>
          <w:trHeight w:val="1018" w:hRule="exact"/>
        </w:trPr>
        <w:tc>
          <w:tcPr>
            <w:tcW w:w="14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22"/>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850" w:type="dxa"/>
            <w:vMerge/>
            <w:tcBorders>
              <w:left w:val="single" w:sz="9" w:space="0" w:color="D4D4D4"/>
              <w:right w:val="single" w:sz="4" w:space="0" w:color="000000"/>
            </w:tcBorders>
          </w:tcPr>
          <w:p>
            <w:pPr/>
          </w:p>
        </w:tc>
        <w:tc>
          <w:tcPr>
            <w:tcW w:w="708"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2638" w:hRule="exact"/>
        </w:trPr>
        <w:tc>
          <w:tcPr>
            <w:tcW w:w="1418" w:type="dxa"/>
            <w:tcBorders>
              <w:top w:val="nil" w:sz="6" w:space="0" w:color="auto"/>
              <w:left w:val="single" w:sz="4" w:space="0" w:color="000000"/>
              <w:bottom w:val="single" w:sz="4" w:space="0" w:color="000000"/>
              <w:right w:val="single" w:sz="4" w:space="0" w:color="000000"/>
            </w:tcBorders>
            <w:shd w:val="clear" w:color="auto" w:fill="D4D4D4"/>
          </w:tcPr>
          <w:p>
            <w:pPr/>
          </w:p>
        </w:tc>
        <w:tc>
          <w:tcPr>
            <w:tcW w:w="850" w:type="dxa"/>
            <w:vMerge/>
            <w:tcBorders>
              <w:left w:val="single" w:sz="9" w:space="0" w:color="D4D4D4"/>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53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7"/>
        <w:gridCol w:w="850"/>
        <w:gridCol w:w="708"/>
        <w:gridCol w:w="4536"/>
        <w:gridCol w:w="852"/>
        <w:gridCol w:w="566"/>
        <w:gridCol w:w="638"/>
      </w:tblGrid>
      <w:tr>
        <w:trPr>
          <w:trHeight w:val="1610" w:hRule="exact"/>
        </w:trPr>
        <w:tc>
          <w:tcPr>
            <w:tcW w:w="1417" w:type="dxa"/>
            <w:vMerge w:val="restart"/>
            <w:tcBorders>
              <w:top w:val="single" w:sz="4" w:space="0" w:color="000000"/>
              <w:left w:val="single" w:sz="4" w:space="0" w:color="000000"/>
              <w:right w:val="single" w:sz="4" w:space="0" w:color="000000"/>
            </w:tcBorders>
            <w:shd w:val="clear" w:color="auto" w:fill="D4D4D4"/>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股票上市交易之日起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个月内申报离职，则自申报离职之</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个月内，不转让其直接或间接持有的公司股份；</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如在股票上市交易之日起第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个月之间申报</w:t>
            </w:r>
          </w:p>
          <w:p>
            <w:pPr>
              <w:pStyle w:val="TableParagraph"/>
              <w:spacing w:line="300" w:lineRule="auto" w:before="63"/>
              <w:ind w:left="26" w:right="86"/>
              <w:jc w:val="left"/>
              <w:rPr>
                <w:rFonts w:ascii="宋体" w:hAnsi="宋体" w:cs="宋体" w:eastAsia="宋体" w:hint="default"/>
                <w:sz w:val="18"/>
                <w:szCs w:val="18"/>
              </w:rPr>
            </w:pPr>
            <w:r>
              <w:rPr>
                <w:rFonts w:ascii="宋体" w:hAnsi="宋体" w:cs="宋体" w:eastAsia="宋体" w:hint="default"/>
                <w:sz w:val="18"/>
                <w:szCs w:val="18"/>
              </w:rPr>
              <w:t>离职，则自申报离职之日起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个月内不转让其直接或间 接持有的公司股份。</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6953" w:hRule="exact"/>
        </w:trPr>
        <w:tc>
          <w:tcPr>
            <w:tcW w:w="1417" w:type="dxa"/>
            <w:vMerge/>
            <w:tcBorders>
              <w:left w:val="single" w:sz="4" w:space="0" w:color="000000"/>
              <w:right w:val="single" w:sz="4" w:space="0" w:color="000000"/>
            </w:tcBorders>
            <w:shd w:val="clear" w:color="auto" w:fill="D4D4D4"/>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无锡道元 股权投资 合伙企业</w:t>
            </w:r>
          </w:p>
          <w:p>
            <w:pPr>
              <w:pStyle w:val="TableParagraph"/>
              <w:spacing w:line="314" w:lineRule="auto" w:before="19"/>
              <w:ind w:left="23" w:right="43"/>
              <w:jc w:val="both"/>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无锡 富赡股权 投资合伙 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无锡羲华 股权投资 合伙企业</w:t>
            </w:r>
          </w:p>
          <w:p>
            <w:pPr>
              <w:pStyle w:val="TableParagraph"/>
              <w:spacing w:line="316" w:lineRule="auto" w:before="20"/>
              <w:ind w:left="23" w:right="95"/>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
              <w:jc w:val="left"/>
              <w:rPr>
                <w:rFonts w:ascii="宋体" w:hAnsi="宋体" w:cs="宋体" w:eastAsia="宋体" w:hint="default"/>
                <w:sz w:val="18"/>
                <w:szCs w:val="18"/>
              </w:rPr>
            </w:pPr>
            <w:r>
              <w:rPr>
                <w:rFonts w:ascii="宋体" w:hAnsi="宋体" w:cs="宋体" w:eastAsia="宋体" w:hint="default"/>
                <w:sz w:val="18"/>
                <w:szCs w:val="18"/>
              </w:rPr>
              <w:t>自朗新科技首次向社会公开发行的股票上市之日起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月内，不转让或者委托他人管理本单位所持有的朗新科技 股份，也不由朗新科技回购本单位所持有的股份。此外， 申报前一年新增股东上海云鑫还承诺，自本公司取得朗新 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股份的工商变更完成之日起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 或者委托他人管理本公司所持有的发行人股份，也不由发 行人回购本公司所持有的股份。持有公司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 上海云鑫、国开博裕、天津诚柏承诺：在锁定期（包括延 长的锁定期）届满后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年内，本企业将根据公司经营、资 本市场、自身资金需求等情况综合分析决定减持数量。本 单位的减持价格将均不低于公司上一年度经审计的每股 净资产值及股票首次公开发行的价格。若公司已发生派 息、送股、资本公积转增股本等除权除息事项，则上述减 持价格指公司股票复权后的价格；本单位持有的朗新科技 </w:t>
            </w:r>
            <w:r>
              <w:rPr>
                <w:rFonts w:ascii="宋体" w:hAnsi="宋体" w:cs="宋体" w:eastAsia="宋体" w:hint="default"/>
                <w:spacing w:val="-1"/>
                <w:sz w:val="18"/>
                <w:szCs w:val="18"/>
              </w:rPr>
              <w:t>股份的锁定期限（包括延长的锁定期）届满后，本单位减</w:t>
            </w:r>
            <w:r>
              <w:rPr>
                <w:rFonts w:ascii="宋体" w:hAnsi="宋体" w:cs="宋体" w:eastAsia="宋体" w:hint="default"/>
                <w:sz w:val="18"/>
                <w:szCs w:val="18"/>
              </w:rPr>
              <w:t> 持持有的朗新科技股份时，应提前将减持意向和拟减持数 量等信息以书面方式通知朗新科技，并由朗新科技及时予 以公告，自朗新科技公告之日起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个交易日后，本单位方 可以减持股份；如本单位违反上述承诺或法律强制性规定 减持股份的，本单位承诺违规减持股票所得归朗新科技所 有，同时本单位所持有的剩余股份的锁定期在原股份锁定 期届满后自动延长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00" w:lineRule="auto"/>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正在履 行中</w:t>
            </w:r>
          </w:p>
        </w:tc>
      </w:tr>
      <w:tr>
        <w:trPr>
          <w:trHeight w:val="5042"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362" w:lineRule="auto"/>
              <w:ind w:left="23" w:right="246"/>
              <w:jc w:val="both"/>
              <w:rPr>
                <w:rFonts w:ascii="Times New Roman" w:hAnsi="Times New Roman" w:cs="Times New Roman" w:eastAsia="Times New Roman" w:hint="default"/>
                <w:sz w:val="18"/>
                <w:szCs w:val="18"/>
              </w:rPr>
            </w:pPr>
            <w:r>
              <w:rPr>
                <w:rFonts w:ascii="Times New Roman"/>
                <w:spacing w:val="-7"/>
                <w:sz w:val="18"/>
              </w:rPr>
              <w:t>Yue</w:t>
            </w:r>
            <w:r>
              <w:rPr>
                <w:rFonts w:ascii="Times New Roman"/>
                <w:spacing w:val="-1"/>
                <w:sz w:val="18"/>
              </w:rPr>
              <w:t> </w:t>
            </w:r>
            <w:r>
              <w:rPr>
                <w:rFonts w:ascii="Times New Roman"/>
                <w:sz w:val="18"/>
              </w:rPr>
              <w:t>Qi</w:t>
            </w:r>
            <w:r>
              <w:rPr>
                <w:rFonts w:ascii="Times New Roman"/>
                <w:sz w:val="18"/>
              </w:rPr>
              <w:t> Capital Limited</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3" w:right="132"/>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4"/>
              <w:jc w:val="left"/>
              <w:rPr>
                <w:rFonts w:ascii="宋体" w:hAnsi="宋体" w:cs="宋体" w:eastAsia="宋体" w:hint="default"/>
                <w:sz w:val="18"/>
                <w:szCs w:val="18"/>
              </w:rPr>
            </w:pPr>
            <w:r>
              <w:rPr>
                <w:rFonts w:ascii="宋体" w:hAnsi="宋体" w:cs="宋体" w:eastAsia="宋体" w:hint="default"/>
                <w:sz w:val="18"/>
                <w:szCs w:val="18"/>
              </w:rPr>
              <w:t>自朗新科技首次向社会公开发行的股票上市之日起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1"/>
                <w:sz w:val="18"/>
                <w:szCs w:val="18"/>
              </w:rPr>
              <w:t>月内，不转让或者委托他人管理本单位所持有的朗新科技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股份，也不由朗新科技回购本单位所持有的股份。在锁定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期（包括延长的锁定期）届满后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年内，本企业将根据公 </w:t>
            </w:r>
            <w:r>
              <w:rPr>
                <w:rFonts w:ascii="宋体" w:hAnsi="宋体" w:cs="宋体" w:eastAsia="宋体" w:hint="default"/>
                <w:spacing w:val="-1"/>
                <w:sz w:val="18"/>
                <w:szCs w:val="18"/>
              </w:rPr>
              <w:t>司经营、资本市场、自身资金需求等情况综合分析决定减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持数量。本单位的减持价格将均不低于公司上一年度经审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计的每股净资产值及股票首次公开发行的价格。若公司已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发生派息、送股、资本公积转增股本等除权除息事项，则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上述减持价格指公司股票复权后的价格；本单位持有的朗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新科技股份的锁定期限（包括延长的锁定期）届满后，本</w:t>
            </w:r>
            <w:r>
              <w:rPr>
                <w:rFonts w:ascii="宋体" w:hAnsi="宋体" w:cs="宋体" w:eastAsia="宋体" w:hint="default"/>
                <w:sz w:val="18"/>
                <w:szCs w:val="18"/>
              </w:rPr>
              <w:t> </w:t>
            </w:r>
            <w:r>
              <w:rPr>
                <w:rFonts w:ascii="宋体" w:hAnsi="宋体" w:cs="宋体" w:eastAsia="宋体" w:hint="default"/>
                <w:spacing w:val="-1"/>
                <w:sz w:val="18"/>
                <w:szCs w:val="18"/>
              </w:rPr>
              <w:t>单位减持持有的朗新科技股份时，应提前将减持意向和拟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减持数量等信息以书面方式通知朗新科技，并由朗新科技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及时予以公告，自朗新科技公告之日起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个交易日后，本 </w:t>
            </w:r>
            <w:r>
              <w:rPr>
                <w:rFonts w:ascii="宋体" w:hAnsi="宋体" w:cs="宋体" w:eastAsia="宋体" w:hint="default"/>
                <w:spacing w:val="-1"/>
                <w:sz w:val="18"/>
                <w:szCs w:val="18"/>
              </w:rPr>
              <w:t>单位方可以减持股份；如本单位违反上述承诺或法律强制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性规定减持股份的，本单位承诺违规减持股票所得归朗新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科技所有，同时本单位所持有的剩余股份的锁定期在原股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4"/>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3" w:right="62"/>
              <w:jc w:val="left"/>
              <w:rPr>
                <w:rFonts w:ascii="宋体" w:hAnsi="宋体" w:cs="宋体" w:eastAsia="宋体" w:hint="default"/>
                <w:sz w:val="18"/>
                <w:szCs w:val="18"/>
              </w:rPr>
            </w:pPr>
            <w:r>
              <w:rPr>
                <w:rFonts w:ascii="宋体" w:hAnsi="宋体" w:cs="宋体" w:eastAsia="宋体" w:hint="default"/>
                <w:sz w:val="18"/>
                <w:szCs w:val="18"/>
              </w:rPr>
              <w:t>正在履 行中</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7"/>
        <w:gridCol w:w="850"/>
        <w:gridCol w:w="708"/>
        <w:gridCol w:w="4536"/>
        <w:gridCol w:w="852"/>
        <w:gridCol w:w="566"/>
        <w:gridCol w:w="636"/>
      </w:tblGrid>
      <w:tr>
        <w:trPr>
          <w:trHeight w:val="362" w:hRule="exact"/>
        </w:trPr>
        <w:tc>
          <w:tcPr>
            <w:tcW w:w="1417" w:type="dxa"/>
            <w:vMerge w:val="restart"/>
            <w:tcBorders>
              <w:top w:val="single" w:sz="4" w:space="0" w:color="000000"/>
              <w:left w:val="single" w:sz="4" w:space="0" w:color="000000"/>
              <w:right w:val="single" w:sz="4" w:space="0" w:color="000000"/>
            </w:tcBorders>
            <w:shd w:val="clear" w:color="auto" w:fill="D4D4D4"/>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份锁定期届满后自动延长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705" w:hRule="exact"/>
        </w:trPr>
        <w:tc>
          <w:tcPr>
            <w:tcW w:w="1417" w:type="dxa"/>
            <w:vMerge/>
            <w:tcBorders>
              <w:left w:val="single" w:sz="4" w:space="0" w:color="000000"/>
              <w:right w:val="single" w:sz="4" w:space="0" w:color="000000"/>
            </w:tcBorders>
            <w:shd w:val="clear" w:color="auto" w:fill="D4D4D4"/>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5"/>
              <w:jc w:val="both"/>
              <w:rPr>
                <w:rFonts w:ascii="宋体" w:hAnsi="宋体" w:cs="宋体" w:eastAsia="宋体" w:hint="default"/>
                <w:sz w:val="18"/>
                <w:szCs w:val="18"/>
              </w:rPr>
            </w:pPr>
            <w:r>
              <w:rPr>
                <w:rFonts w:ascii="宋体" w:hAnsi="宋体" w:cs="宋体" w:eastAsia="宋体" w:hint="default"/>
                <w:sz w:val="18"/>
                <w:szCs w:val="18"/>
              </w:rPr>
              <w:t>国开博裕 一期（上 海）股权 投资合伙 企业（有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海南华兴 合创创业 投资中心</w:t>
            </w:r>
          </w:p>
          <w:p>
            <w:pPr>
              <w:pStyle w:val="TableParagraph"/>
              <w:spacing w:line="314" w:lineRule="auto" w:before="19"/>
              <w:ind w:left="23" w:right="43"/>
              <w:jc w:val="both"/>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上海 云鑫创业 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 诚柏股权 投资合伙 企业（有 限合伙）</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9"/>
              <w:ind w:left="26" w:right="-1"/>
              <w:jc w:val="left"/>
              <w:rPr>
                <w:rFonts w:ascii="宋体" w:hAnsi="宋体" w:cs="宋体" w:eastAsia="宋体" w:hint="default"/>
                <w:sz w:val="18"/>
                <w:szCs w:val="18"/>
              </w:rPr>
            </w:pPr>
            <w:r>
              <w:rPr>
                <w:rFonts w:ascii="宋体" w:hAnsi="宋体" w:cs="宋体" w:eastAsia="宋体" w:hint="default"/>
                <w:sz w:val="18"/>
                <w:szCs w:val="18"/>
              </w:rPr>
              <w:t>自朗新科技首次向社会公开发行的股票上市之日起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月内，不转让或者委托他人管理本单位所持有的朗新科技 股份，也不由朗新科技回购本单位所持有的股份。此外， 申报前一年新增股东上海云鑫还承诺，自本公司取得朗新 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股份的工商变更完成之日起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 或者委托他人管理本公司所持有的发行人股份，也不由发 行人回购本公司所持有的股份。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00" w:lineRule="auto"/>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正在履 行中</w:t>
            </w:r>
          </w:p>
        </w:tc>
      </w:tr>
      <w:tr>
        <w:trPr>
          <w:trHeight w:val="7267" w:hRule="exact"/>
        </w:trPr>
        <w:tc>
          <w:tcPr>
            <w:tcW w:w="1417" w:type="dxa"/>
            <w:vMerge/>
            <w:tcBorders>
              <w:left w:val="single" w:sz="4" w:space="0" w:color="000000"/>
              <w:right w:val="single" w:sz="4" w:space="0" w:color="000000"/>
            </w:tcBorders>
            <w:shd w:val="clear" w:color="auto" w:fill="D4D4D4"/>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00" w:lineRule="auto"/>
              <w:ind w:left="23" w:right="43"/>
              <w:jc w:val="both"/>
              <w:rPr>
                <w:rFonts w:ascii="宋体" w:hAnsi="宋体" w:cs="宋体" w:eastAsia="宋体" w:hint="default"/>
                <w:sz w:val="18"/>
                <w:szCs w:val="18"/>
              </w:rPr>
            </w:pPr>
            <w:r>
              <w:rPr>
                <w:rFonts w:ascii="宋体" w:hAnsi="宋体" w:cs="宋体" w:eastAsia="宋体" w:hint="default"/>
                <w:sz w:val="18"/>
                <w:szCs w:val="18"/>
              </w:rPr>
              <w:t>焦国云</w:t>
            </w:r>
            <w:r>
              <w:rPr>
                <w:rFonts w:ascii="Times New Roman" w:hAnsi="Times New Roman" w:cs="Times New Roman" w:eastAsia="Times New Roman" w:hint="default"/>
                <w:sz w:val="18"/>
                <w:szCs w:val="18"/>
              </w:rPr>
              <w:t>;</w:t>
            </w:r>
            <w:r>
              <w:rPr>
                <w:rFonts w:ascii="宋体" w:hAnsi="宋体" w:cs="宋体" w:eastAsia="宋体" w:hint="default"/>
                <w:sz w:val="18"/>
                <w:szCs w:val="18"/>
              </w:rPr>
              <w:t>鲁 清芳</w:t>
            </w:r>
            <w:r>
              <w:rPr>
                <w:rFonts w:ascii="Times New Roman" w:hAnsi="Times New Roman" w:cs="Times New Roman" w:eastAsia="Times New Roman" w:hint="default"/>
                <w:sz w:val="18"/>
                <w:szCs w:val="18"/>
              </w:rPr>
              <w:t>;</w:t>
            </w:r>
            <w:r>
              <w:rPr>
                <w:rFonts w:ascii="宋体" w:hAnsi="宋体" w:cs="宋体" w:eastAsia="宋体" w:hint="default"/>
                <w:sz w:val="18"/>
                <w:szCs w:val="18"/>
              </w:rPr>
              <w:t>彭知 平</w:t>
            </w:r>
            <w:r>
              <w:rPr>
                <w:rFonts w:ascii="Times New Roman" w:hAnsi="Times New Roman" w:cs="Times New Roman" w:eastAsia="Times New Roman" w:hint="default"/>
                <w:sz w:val="18"/>
                <w:szCs w:val="18"/>
              </w:rPr>
              <w:t>;</w:t>
            </w:r>
            <w:r>
              <w:rPr>
                <w:rFonts w:ascii="宋体" w:hAnsi="宋体" w:cs="宋体" w:eastAsia="宋体" w:hint="default"/>
                <w:sz w:val="18"/>
                <w:szCs w:val="18"/>
              </w:rPr>
              <w:t>王慎勇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自公司股票上市之日起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个月内，本人不转让或者委托 </w:t>
            </w:r>
            <w:r>
              <w:rPr>
                <w:rFonts w:ascii="宋体" w:hAnsi="宋体" w:cs="宋体" w:eastAsia="宋体" w:hint="default"/>
                <w:spacing w:val="-1"/>
                <w:sz w:val="18"/>
                <w:szCs w:val="18"/>
              </w:rPr>
              <w:t>他人管理本人持有的公司股份，也不由公司回购本人所持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有的公司股份。在本人任职期间每年转让直接或间接持有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的公司股份不超过本人所持有公司股份总数的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25%</w:t>
            </w:r>
            <w:r>
              <w:rPr>
                <w:rFonts w:ascii="宋体" w:hAnsi="宋体" w:cs="宋体" w:eastAsia="宋体" w:hint="default"/>
                <w:spacing w:val="-6"/>
                <w:sz w:val="18"/>
                <w:szCs w:val="18"/>
              </w:rPr>
              <w:t>；离职</w:t>
            </w:r>
            <w:r>
              <w:rPr>
                <w:rFonts w:ascii="宋体" w:hAnsi="宋体" w:cs="宋体" w:eastAsia="宋体" w:hint="default"/>
                <w:sz w:val="18"/>
                <w:szCs w:val="18"/>
              </w:rPr>
              <w:t> </w:t>
            </w:r>
            <w:r>
              <w:rPr>
                <w:rFonts w:ascii="宋体" w:hAnsi="宋体" w:cs="宋体" w:eastAsia="宋体" w:hint="default"/>
                <w:spacing w:val="-1"/>
                <w:sz w:val="18"/>
                <w:szCs w:val="18"/>
              </w:rPr>
              <w:t>后半年内，不转让本人直接或间接持有的公司股份。如在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公司股票上市交易之日起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个月内申报离职，则自申报离</w:t>
            </w:r>
          </w:p>
          <w:p>
            <w:pPr>
              <w:pStyle w:val="TableParagraph"/>
              <w:spacing w:line="240" w:lineRule="auto" w:before="3"/>
              <w:ind w:left="26" w:right="0"/>
              <w:jc w:val="left"/>
              <w:rPr>
                <w:rFonts w:ascii="宋体" w:hAnsi="宋体" w:cs="宋体" w:eastAsia="宋体" w:hint="default"/>
                <w:sz w:val="18"/>
                <w:szCs w:val="18"/>
              </w:rPr>
            </w:pPr>
            <w:r>
              <w:rPr>
                <w:rFonts w:ascii="宋体" w:hAnsi="宋体" w:cs="宋体" w:eastAsia="宋体" w:hint="default"/>
                <w:sz w:val="18"/>
                <w:szCs w:val="18"/>
              </w:rPr>
              <w:t>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个月内，不转让其直接或间接持有的公司股</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份；如在股票上市交易之日起第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个月之间</w:t>
            </w:r>
          </w:p>
          <w:p>
            <w:pPr>
              <w:pStyle w:val="TableParagraph"/>
              <w:spacing w:line="312" w:lineRule="auto" w:before="63"/>
              <w:ind w:left="26" w:right="-1"/>
              <w:jc w:val="left"/>
              <w:rPr>
                <w:rFonts w:ascii="宋体" w:hAnsi="宋体" w:cs="宋体" w:eastAsia="宋体" w:hint="default"/>
                <w:sz w:val="18"/>
                <w:szCs w:val="18"/>
              </w:rPr>
            </w:pPr>
            <w:r>
              <w:rPr>
                <w:rFonts w:ascii="宋体" w:hAnsi="宋体" w:cs="宋体" w:eastAsia="宋体" w:hint="default"/>
                <w:sz w:val="18"/>
                <w:szCs w:val="18"/>
              </w:rPr>
              <w:t>申报离职，则自申报离职之日起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个月内不转让其直接 或间接持有的公司股份。持有公司股份的其它董事、监事 和高级管理人员彭知平、焦国云、王慎勇、鲁清芳承诺： 锁定期届满后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年内，本企业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本人减持公司股票的，减持</w:t>
            </w:r>
            <w:r>
              <w:rPr>
                <w:rFonts w:ascii="宋体" w:hAnsi="宋体" w:cs="宋体" w:eastAsia="宋体" w:hint="default"/>
                <w:sz w:val="18"/>
                <w:szCs w:val="18"/>
              </w:rPr>
              <w:t> 价格不低于本次发行并上市时公司股票的发行价（以下简 </w:t>
            </w:r>
            <w:r>
              <w:rPr>
                <w:rFonts w:ascii="宋体" w:hAnsi="宋体" w:cs="宋体" w:eastAsia="宋体" w:hint="default"/>
                <w:spacing w:val="-8"/>
                <w:w w:val="99"/>
                <w:sz w:val="18"/>
                <w:szCs w:val="18"/>
              </w:rPr>
              <w:t>称</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发行价</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）；公司上市后</w:t>
            </w:r>
            <w:r>
              <w:rPr>
                <w:rFonts w:ascii="宋体" w:hAnsi="宋体" w:cs="宋体" w:eastAsia="宋体" w:hint="default"/>
                <w:spacing w:val="-43"/>
                <w:w w:val="9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p>
            <w:pPr>
              <w:pStyle w:val="TableParagraph"/>
              <w:spacing w:line="307" w:lineRule="auto" w:before="3"/>
              <w:ind w:left="26" w:right="14"/>
              <w:jc w:val="left"/>
              <w:rPr>
                <w:rFonts w:ascii="宋体" w:hAnsi="宋体" w:cs="宋体" w:eastAsia="宋体" w:hint="default"/>
                <w:sz w:val="18"/>
                <w:szCs w:val="18"/>
              </w:rPr>
            </w:pPr>
            <w:r>
              <w:rPr>
                <w:rFonts w:ascii="宋体" w:hAnsi="宋体" w:cs="宋体" w:eastAsia="宋体" w:hint="default"/>
                <w:spacing w:val="-5"/>
                <w:sz w:val="18"/>
                <w:szCs w:val="18"/>
              </w:rPr>
              <w:t>交易日的收盘价均低于发行价，或者上市后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16"/>
                <w:sz w:val="18"/>
                <w:szCs w:val="18"/>
              </w:rPr>
              <w:t>个月期末（如</w:t>
            </w:r>
            <w:r>
              <w:rPr>
                <w:rFonts w:ascii="宋体" w:hAnsi="宋体" w:cs="宋体" w:eastAsia="宋体" w:hint="default"/>
                <w:sz w:val="18"/>
                <w:szCs w:val="18"/>
              </w:rPr>
              <w:t> </w:t>
            </w:r>
            <w:r>
              <w:rPr>
                <w:rFonts w:ascii="宋体" w:hAnsi="宋体" w:cs="宋体" w:eastAsia="宋体" w:hint="default"/>
                <w:spacing w:val="-1"/>
                <w:sz w:val="18"/>
                <w:szCs w:val="18"/>
              </w:rPr>
              <w:t>该日不是交易日，则该日后第一个交易日）收盘价低于发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行价，本企业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本人持有股票的锁定期限将自动延长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1"/>
                <w:sz w:val="18"/>
                <w:szCs w:val="18"/>
              </w:rPr>
              <w:t>月。若公司在本次发行并上市后有派息、送股、资本公积</w:t>
            </w:r>
            <w:r>
              <w:rPr>
                <w:rFonts w:ascii="宋体" w:hAnsi="宋体" w:cs="宋体" w:eastAsia="宋体" w:hint="default"/>
                <w:sz w:val="18"/>
                <w:szCs w:val="18"/>
              </w:rPr>
              <w:t> </w:t>
            </w:r>
            <w:r>
              <w:rPr>
                <w:rFonts w:ascii="宋体" w:hAnsi="宋体" w:cs="宋体" w:eastAsia="宋体" w:hint="default"/>
                <w:spacing w:val="-1"/>
                <w:sz w:val="18"/>
                <w:szCs w:val="18"/>
              </w:rPr>
              <w:t>转增股本等除权除息事项的，应对发行价进行除权除息处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理；如本企业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本人违反上述承诺或法律强制性规定减持股</w:t>
            </w:r>
            <w:r>
              <w:rPr>
                <w:rFonts w:ascii="宋体" w:hAnsi="宋体" w:cs="宋体" w:eastAsia="宋体" w:hint="default"/>
                <w:spacing w:val="-82"/>
                <w:sz w:val="18"/>
                <w:szCs w:val="18"/>
              </w:rPr>
              <w:t> </w:t>
            </w:r>
            <w:r>
              <w:rPr>
                <w:rFonts w:ascii="宋体" w:hAnsi="宋体" w:cs="宋体" w:eastAsia="宋体" w:hint="default"/>
                <w:sz w:val="18"/>
                <w:szCs w:val="18"/>
              </w:rPr>
              <w:t>份的，本企业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本人承诺违规减持股票所得归朗新科技所 </w:t>
            </w:r>
            <w:r>
              <w:rPr>
                <w:rFonts w:ascii="宋体" w:hAnsi="宋体" w:cs="宋体" w:eastAsia="宋体" w:hint="default"/>
                <w:spacing w:val="-3"/>
                <w:sz w:val="18"/>
                <w:szCs w:val="18"/>
              </w:rPr>
              <w:t>有，同时本企业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本人持有剩余股份的锁定期在原股份锁定</w:t>
            </w:r>
            <w:r>
              <w:rPr>
                <w:rFonts w:ascii="宋体" w:hAnsi="宋体" w:cs="宋体" w:eastAsia="宋体" w:hint="default"/>
                <w:spacing w:val="-82"/>
                <w:sz w:val="18"/>
                <w:szCs w:val="18"/>
              </w:rPr>
              <w:t> </w:t>
            </w:r>
            <w:r>
              <w:rPr>
                <w:rFonts w:ascii="宋体" w:hAnsi="宋体" w:cs="宋体" w:eastAsia="宋体" w:hint="default"/>
                <w:sz w:val="18"/>
                <w:szCs w:val="18"/>
              </w:rPr>
              <w:t>期（包括延长后的锁定期）届满后自动延长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00" w:lineRule="auto"/>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正在履 行中</w:t>
            </w:r>
          </w:p>
        </w:tc>
      </w:tr>
      <w:tr>
        <w:trPr>
          <w:trHeight w:val="362"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无锡朴华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股份减</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pacing w:val="-1"/>
                <w:sz w:val="18"/>
                <w:szCs w:val="18"/>
              </w:rPr>
              <w:t>在锁定期（包括延长的锁定期）届满后，关于减持本企业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正在履</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08"/>
        <w:gridCol w:w="860"/>
        <w:gridCol w:w="708"/>
        <w:gridCol w:w="4536"/>
        <w:gridCol w:w="852"/>
        <w:gridCol w:w="566"/>
        <w:gridCol w:w="636"/>
      </w:tblGrid>
      <w:tr>
        <w:trPr>
          <w:trHeight w:val="2858" w:hRule="exact"/>
        </w:trPr>
        <w:tc>
          <w:tcPr>
            <w:tcW w:w="140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 w:right="95"/>
              <w:jc w:val="both"/>
              <w:rPr>
                <w:rFonts w:ascii="宋体" w:hAnsi="宋体" w:cs="宋体" w:eastAsia="宋体" w:hint="default"/>
                <w:sz w:val="18"/>
                <w:szCs w:val="18"/>
              </w:rPr>
            </w:pPr>
            <w:r>
              <w:rPr>
                <w:rFonts w:ascii="宋体" w:hAnsi="宋体" w:cs="宋体" w:eastAsia="宋体" w:hint="default"/>
                <w:sz w:val="18"/>
                <w:szCs w:val="18"/>
              </w:rPr>
              <w:t>股权投资 合伙企业</w:t>
            </w:r>
          </w:p>
          <w:p>
            <w:pPr>
              <w:pStyle w:val="TableParagraph"/>
              <w:spacing w:line="314" w:lineRule="auto" w:before="19"/>
              <w:ind w:left="34" w:right="43"/>
              <w:jc w:val="both"/>
              <w:rPr>
                <w:rFonts w:ascii="宋体" w:hAnsi="宋体" w:cs="宋体" w:eastAsia="宋体"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无锡 群英股权 投资合伙 企业（有 限合伙）</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持承诺</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6" w:right="1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于发行人本次发行前已直接或间接持有的发行人老股（不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包括本企业在发行人本次发行股票后从公开市场中新买 入的股份）事项，本企业承诺如下：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、在锁定期（包括 延长的锁定期）届满后的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个月内，本企业直接或间接 转让所持发行人老股不超过本企业持有发行人老股的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、在锁定期（包括延长的锁定期）届满后的第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3"/>
              <w:ind w:left="26"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个月内，本企业直接或间接转让所持发行人老股不</w:t>
            </w:r>
          </w:p>
          <w:p>
            <w:pPr>
              <w:pStyle w:val="TableParagraph"/>
              <w:spacing w:line="300" w:lineRule="auto" w:before="63"/>
              <w:ind w:left="26" w:right="86"/>
              <w:jc w:val="left"/>
              <w:rPr>
                <w:rFonts w:ascii="宋体" w:hAnsi="宋体" w:cs="宋体" w:eastAsia="宋体" w:hint="default"/>
                <w:sz w:val="18"/>
                <w:szCs w:val="18"/>
              </w:rPr>
            </w:pPr>
            <w:r>
              <w:rPr>
                <w:rFonts w:ascii="宋体" w:hAnsi="宋体" w:cs="宋体" w:eastAsia="宋体" w:hint="default"/>
                <w:sz w:val="18"/>
                <w:szCs w:val="18"/>
              </w:rPr>
              <w:t>超过在锁定期届满后第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个月初本企业直接或间接持有 发行人老股的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4" w:right="0"/>
              <w:jc w:val="left"/>
              <w:rPr>
                <w:rFonts w:ascii="宋体" w:hAnsi="宋体" w:cs="宋体" w:eastAsia="宋体" w:hint="default"/>
                <w:sz w:val="18"/>
                <w:szCs w:val="18"/>
              </w:rPr>
            </w:pPr>
            <w:r>
              <w:rPr>
                <w:rFonts w:ascii="宋体" w:hAnsi="宋体" w:cs="宋体" w:eastAsia="宋体" w:hint="default"/>
                <w:sz w:val="18"/>
                <w:szCs w:val="18"/>
              </w:rPr>
              <w:t>行中</w:t>
            </w:r>
          </w:p>
        </w:tc>
      </w:tr>
      <w:tr>
        <w:trPr>
          <w:trHeight w:val="401" w:hRule="exact"/>
        </w:trPr>
        <w:tc>
          <w:tcPr>
            <w:tcW w:w="14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60" w:type="dxa"/>
            <w:tcBorders>
              <w:top w:val="single" w:sz="4" w:space="0" w:color="000000"/>
              <w:left w:val="single" w:sz="12" w:space="0" w:color="D4D4D4"/>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860" w:type="dxa"/>
            <w:tcBorders>
              <w:top w:val="single" w:sz="4" w:space="0" w:color="000000"/>
              <w:left w:val="single" w:sz="12" w:space="0" w:color="D4D4D4"/>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0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860" w:type="dxa"/>
            <w:vMerge w:val="restart"/>
            <w:tcBorders>
              <w:top w:val="single" w:sz="4" w:space="0" w:color="000000"/>
              <w:left w:val="single" w:sz="12" w:space="0" w:color="D4D4D4"/>
              <w:right w:val="single" w:sz="9" w:space="0" w:color="D4D4D4"/>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nil" w:sz="6" w:space="0" w:color="auto"/>
              <w:right w:val="single" w:sz="4" w:space="0" w:color="000000"/>
            </w:tcBorders>
            <w:shd w:val="clear" w:color="auto" w:fill="D4D4D4"/>
          </w:tcPr>
          <w:p>
            <w:pPr/>
          </w:p>
        </w:tc>
        <w:tc>
          <w:tcPr>
            <w:tcW w:w="4536" w:type="dxa"/>
            <w:tcBorders>
              <w:top w:val="single" w:sz="4" w:space="0" w:color="000000"/>
              <w:left w:val="single" w:sz="4" w:space="0" w:color="000000"/>
              <w:bottom w:val="nil" w:sz="6" w:space="0" w:color="auto"/>
              <w:right w:val="single" w:sz="4" w:space="0" w:color="000000"/>
            </w:tcBorders>
            <w:shd w:val="clear" w:color="auto" w:fill="D4D4D4"/>
          </w:tcPr>
          <w:p>
            <w:pPr/>
          </w:p>
        </w:tc>
        <w:tc>
          <w:tcPr>
            <w:tcW w:w="852" w:type="dxa"/>
            <w:tcBorders>
              <w:top w:val="single" w:sz="4" w:space="0" w:color="000000"/>
              <w:left w:val="single" w:sz="4" w:space="0" w:color="000000"/>
              <w:bottom w:val="nil" w:sz="6" w:space="0" w:color="auto"/>
              <w:right w:val="single" w:sz="4" w:space="0" w:color="000000"/>
            </w:tcBorders>
            <w:shd w:val="clear" w:color="auto" w:fill="D4D4D4"/>
          </w:tcPr>
          <w:p>
            <w:pPr/>
          </w:p>
        </w:tc>
        <w:tc>
          <w:tcPr>
            <w:tcW w:w="566" w:type="dxa"/>
            <w:tcBorders>
              <w:top w:val="single" w:sz="4" w:space="0" w:color="000000"/>
              <w:left w:val="single" w:sz="4" w:space="0" w:color="000000"/>
              <w:bottom w:val="nil" w:sz="6" w:space="0" w:color="auto"/>
              <w:right w:val="single" w:sz="4" w:space="0" w:color="000000"/>
            </w:tcBorders>
            <w:shd w:val="clear" w:color="auto" w:fill="D4D4D4"/>
          </w:tcPr>
          <w:p>
            <w:pPr/>
          </w:p>
        </w:tc>
        <w:tc>
          <w:tcPr>
            <w:tcW w:w="63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408" w:type="dxa"/>
            <w:vMerge/>
            <w:tcBorders>
              <w:left w:val="single" w:sz="4" w:space="0" w:color="000000"/>
              <w:right w:val="single" w:sz="4" w:space="0" w:color="000000"/>
            </w:tcBorders>
            <w:shd w:val="clear" w:color="auto" w:fill="D4D4D4"/>
          </w:tcPr>
          <w:p>
            <w:pPr/>
          </w:p>
        </w:tc>
        <w:tc>
          <w:tcPr>
            <w:tcW w:w="860" w:type="dxa"/>
            <w:vMerge/>
            <w:tcBorders>
              <w:left w:val="single" w:sz="12" w:space="0" w:color="D4D4D4"/>
              <w:right w:val="single" w:sz="9" w:space="0" w:color="D4D4D4"/>
            </w:tcBorders>
          </w:tcPr>
          <w:p>
            <w:pPr/>
          </w:p>
        </w:tc>
        <w:tc>
          <w:tcPr>
            <w:tcW w:w="708" w:type="dxa"/>
            <w:tcBorders>
              <w:top w:val="nil" w:sz="6" w:space="0" w:color="auto"/>
              <w:left w:val="single" w:sz="4" w:space="0" w:color="000000"/>
              <w:bottom w:val="nil" w:sz="6" w:space="0" w:color="auto"/>
              <w:right w:val="single" w:sz="4" w:space="0" w:color="000000"/>
            </w:tcBorders>
            <w:shd w:val="clear" w:color="auto" w:fill="D4D4D4"/>
          </w:tcPr>
          <w:p>
            <w:pPr/>
          </w:p>
        </w:tc>
        <w:tc>
          <w:tcPr>
            <w:tcW w:w="4536" w:type="dxa"/>
            <w:tcBorders>
              <w:top w:val="nil" w:sz="6" w:space="0" w:color="auto"/>
              <w:left w:val="single" w:sz="4" w:space="0" w:color="000000"/>
              <w:bottom w:val="nil" w:sz="6" w:space="0" w:color="auto"/>
              <w:right w:val="single" w:sz="4" w:space="0" w:color="000000"/>
            </w:tcBorders>
            <w:shd w:val="clear" w:color="auto" w:fill="D4D4D4"/>
          </w:tcPr>
          <w:p>
            <w:pPr/>
          </w:p>
        </w:tc>
        <w:tc>
          <w:tcPr>
            <w:tcW w:w="852" w:type="dxa"/>
            <w:tcBorders>
              <w:top w:val="nil" w:sz="6" w:space="0" w:color="auto"/>
              <w:left w:val="single" w:sz="4" w:space="0" w:color="000000"/>
              <w:bottom w:val="nil" w:sz="6" w:space="0" w:color="auto"/>
              <w:right w:val="single" w:sz="4" w:space="0" w:color="000000"/>
            </w:tcBorders>
            <w:shd w:val="clear" w:color="auto" w:fill="D4D4D4"/>
          </w:tcPr>
          <w:p>
            <w:pPr/>
          </w:p>
        </w:tc>
        <w:tc>
          <w:tcPr>
            <w:tcW w:w="566" w:type="dxa"/>
            <w:tcBorders>
              <w:top w:val="nil" w:sz="6" w:space="0" w:color="auto"/>
              <w:left w:val="single" w:sz="4" w:space="0" w:color="000000"/>
              <w:bottom w:val="nil" w:sz="6" w:space="0" w:color="auto"/>
              <w:right w:val="single" w:sz="4" w:space="0" w:color="000000"/>
            </w:tcBorders>
            <w:shd w:val="clear" w:color="auto" w:fill="D4D4D4"/>
          </w:tcPr>
          <w:p>
            <w:pPr/>
          </w:p>
        </w:tc>
        <w:tc>
          <w:tcPr>
            <w:tcW w:w="636" w:type="dxa"/>
            <w:tcBorders>
              <w:top w:val="nil" w:sz="6" w:space="0" w:color="auto"/>
              <w:left w:val="single" w:sz="4" w:space="0" w:color="000000"/>
              <w:bottom w:val="nil" w:sz="6" w:space="0" w:color="auto"/>
              <w:right w:val="single" w:sz="4" w:space="0" w:color="000000"/>
            </w:tcBorders>
            <w:shd w:val="clear" w:color="auto" w:fill="D4D4D4"/>
          </w:tcPr>
          <w:p>
            <w:pPr/>
          </w:p>
        </w:tc>
      </w:tr>
      <w:tr>
        <w:trPr>
          <w:trHeight w:val="161" w:hRule="exact"/>
        </w:trPr>
        <w:tc>
          <w:tcPr>
            <w:tcW w:w="1408" w:type="dxa"/>
            <w:vMerge/>
            <w:tcBorders>
              <w:left w:val="single" w:sz="4" w:space="0" w:color="000000"/>
              <w:bottom w:val="single" w:sz="4" w:space="0" w:color="000000"/>
              <w:right w:val="single" w:sz="4" w:space="0" w:color="000000"/>
            </w:tcBorders>
            <w:shd w:val="clear" w:color="auto" w:fill="D4D4D4"/>
          </w:tcPr>
          <w:p>
            <w:pPr/>
          </w:p>
        </w:tc>
        <w:tc>
          <w:tcPr>
            <w:tcW w:w="860" w:type="dxa"/>
            <w:vMerge/>
            <w:tcBorders>
              <w:left w:val="single" w:sz="12" w:space="0" w:color="D4D4D4"/>
              <w:bottom w:val="single" w:sz="4" w:space="0" w:color="000000"/>
              <w:right w:val="single" w:sz="9" w:space="0" w:color="D4D4D4"/>
            </w:tcBorders>
          </w:tcPr>
          <w:p>
            <w:pPr/>
          </w:p>
        </w:tc>
        <w:tc>
          <w:tcPr>
            <w:tcW w:w="708" w:type="dxa"/>
            <w:tcBorders>
              <w:top w:val="nil" w:sz="6" w:space="0" w:color="auto"/>
              <w:left w:val="single" w:sz="4" w:space="0" w:color="000000"/>
              <w:bottom w:val="single" w:sz="4" w:space="0" w:color="000000"/>
              <w:right w:val="single" w:sz="4" w:space="0" w:color="000000"/>
            </w:tcBorders>
            <w:shd w:val="clear" w:color="auto" w:fill="D4D4D4"/>
          </w:tcPr>
          <w:p>
            <w:pPr/>
          </w:p>
        </w:tc>
        <w:tc>
          <w:tcPr>
            <w:tcW w:w="4536" w:type="dxa"/>
            <w:tcBorders>
              <w:top w:val="nil" w:sz="6" w:space="0" w:color="auto"/>
              <w:left w:val="single" w:sz="4" w:space="0" w:color="000000"/>
              <w:bottom w:val="single" w:sz="4" w:space="0" w:color="000000"/>
              <w:right w:val="single" w:sz="4" w:space="0" w:color="000000"/>
            </w:tcBorders>
            <w:shd w:val="clear" w:color="auto" w:fill="D4D4D4"/>
          </w:tcPr>
          <w:p>
            <w:pPr/>
          </w:p>
        </w:tc>
        <w:tc>
          <w:tcPr>
            <w:tcW w:w="852" w:type="dxa"/>
            <w:tcBorders>
              <w:top w:val="nil" w:sz="6" w:space="0" w:color="auto"/>
              <w:left w:val="single" w:sz="4" w:space="0" w:color="000000"/>
              <w:bottom w:val="single" w:sz="4" w:space="0" w:color="000000"/>
              <w:right w:val="single" w:sz="4" w:space="0" w:color="000000"/>
            </w:tcBorders>
            <w:shd w:val="clear" w:color="auto" w:fill="D4D4D4"/>
          </w:tcPr>
          <w:p>
            <w:pPr/>
          </w:p>
        </w:tc>
        <w:tc>
          <w:tcPr>
            <w:tcW w:w="566" w:type="dxa"/>
            <w:tcBorders>
              <w:top w:val="nil" w:sz="6" w:space="0" w:color="auto"/>
              <w:left w:val="single" w:sz="4" w:space="0" w:color="000000"/>
              <w:bottom w:val="single" w:sz="4" w:space="0" w:color="000000"/>
              <w:right w:val="single" w:sz="4" w:space="0" w:color="000000"/>
            </w:tcBorders>
            <w:shd w:val="clear" w:color="auto" w:fill="D4D4D4"/>
          </w:tcPr>
          <w:p>
            <w:pPr/>
          </w:p>
        </w:tc>
        <w:tc>
          <w:tcPr>
            <w:tcW w:w="63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40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159" w:type="dxa"/>
            <w:gridSpan w:val="6"/>
            <w:tcBorders>
              <w:top w:val="single" w:sz="4" w:space="0" w:color="000000"/>
              <w:left w:val="single" w:sz="4" w:space="0" w:color="000000"/>
              <w:bottom w:val="single" w:sz="4" w:space="0" w:color="000000"/>
              <w:right w:val="single" w:sz="4" w:space="0" w:color="000000"/>
            </w:tcBorders>
            <w:shd w:val="clear" w:color="auto" w:fill="D4D4D4"/>
          </w:tcPr>
          <w:p>
            <w:pPr/>
          </w:p>
        </w:tc>
      </w:tr>
    </w:tbl>
    <w:p>
      <w:pPr>
        <w:pStyle w:val="BodyText"/>
        <w:spacing w:line="240" w:lineRule="auto" w:before="49"/>
        <w:ind w:right="150"/>
        <w:jc w:val="left"/>
      </w:pPr>
      <w:r>
        <w:rPr/>
        <w:t>注：其他承诺事项相关内容请详见公司于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3"/>
        </w:rPr>
        <w:t>日</w:t>
      </w:r>
      <w:r>
        <w:rPr/>
        <w:t>在巨潮资讯网披露的《招股说明书</w:t>
      </w:r>
      <w:r>
        <w:rPr>
          <w:spacing w:val="-92"/>
        </w:rPr>
        <w:t>》</w:t>
      </w:r>
      <w:r>
        <w:rPr/>
        <w:t>。</w:t>
      </w:r>
    </w:p>
    <w:p>
      <w:pPr>
        <w:spacing w:line="240" w:lineRule="auto" w:before="13"/>
        <w:rPr>
          <w:rFonts w:ascii="宋体" w:hAnsi="宋体" w:cs="宋体" w:eastAsia="宋体" w:hint="default"/>
          <w:sz w:val="25"/>
          <w:szCs w:val="25"/>
        </w:rPr>
      </w:pPr>
    </w:p>
    <w:p>
      <w:pPr>
        <w:pStyle w:val="Heading3"/>
        <w:spacing w:line="259" w:lineRule="auto"/>
        <w:ind w:right="15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15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财政部于</w:t>
      </w:r>
      <w:r>
        <w:rPr>
          <w:rFonts w:ascii="Times New Roman" w:hAnsi="Times New Roman" w:cs="Times New Roman" w:eastAsia="Times New Roman" w:hint="default"/>
          <w:spacing w:val="-2"/>
        </w:rPr>
        <w:t>2017</w:t>
      </w:r>
      <w:r>
        <w:rPr>
          <w:spacing w:val="-2"/>
        </w:rPr>
        <w:t>年颁布了《企业会计准则第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持有待售的非流动资产、处置组和终止经营》、修订后的《企业会计准则</w:t>
      </w:r>
      <w:r>
        <w:rPr>
          <w:spacing w:val="-62"/>
        </w:rPr>
        <w:t> </w:t>
      </w:r>
      <w:r>
        <w:rPr>
          <w:spacing w:val="-62"/>
        </w:rPr>
      </w:r>
      <w:r>
        <w:rPr>
          <w:spacing w:val="-1"/>
        </w:rPr>
        <w:t>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政府补助》和《关于修订印发一般企业财务报表格式的通知》（财会</w:t>
      </w:r>
      <w:r>
        <w:rPr>
          <w:rFonts w:ascii="Times New Roman" w:hAnsi="Times New Roman" w:cs="Times New Roman" w:eastAsia="Times New Roman" w:hint="default"/>
          <w:spacing w:val="-1"/>
        </w:rPr>
        <w:t>(2017)30</w:t>
      </w:r>
      <w:r>
        <w:rPr>
          <w:spacing w:val="-1"/>
        </w:rPr>
        <w:t>号），本集团已采用上述准则和通</w:t>
      </w:r>
    </w:p>
    <w:p>
      <w:pPr>
        <w:pStyle w:val="BodyText"/>
        <w:spacing w:line="246" w:lineRule="exact"/>
        <w:ind w:right="150"/>
        <w:jc w:val="left"/>
      </w:pPr>
      <w:r>
        <w:rPr/>
        <w:t>知编制</w:t>
      </w:r>
      <w:r>
        <w:rPr>
          <w:rFonts w:ascii="Times New Roman" w:hAnsi="Times New Roman" w:cs="Times New Roman" w:eastAsia="Times New Roman" w:hint="default"/>
        </w:rPr>
        <w:t>2017</w:t>
      </w:r>
      <w:r>
        <w:rPr/>
        <w:t>年度财务报表，对本集团财务报表的影响列示如下：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995"/>
        <w:gridCol w:w="2978"/>
        <w:gridCol w:w="2976"/>
      </w:tblGrid>
      <w:tr>
        <w:trPr>
          <w:trHeight w:val="348" w:hRule="exact"/>
        </w:trPr>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8" w:hRule="exact"/>
        </w:trPr>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在利润表中分别列示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持续经营净利润</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122,086,980.58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995"/>
        <w:gridCol w:w="2978"/>
        <w:gridCol w:w="2976"/>
      </w:tblGrid>
      <w:tr>
        <w:trPr>
          <w:trHeight w:val="660" w:hRule="exact"/>
        </w:trPr>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4"/>
              <w:jc w:val="left"/>
              <w:rPr>
                <w:rFonts w:ascii="宋体" w:hAnsi="宋体" w:cs="宋体" w:eastAsia="宋体" w:hint="default"/>
                <w:sz w:val="18"/>
                <w:szCs w:val="18"/>
              </w:rPr>
            </w:pPr>
            <w:r>
              <w:rPr>
                <w:rFonts w:ascii="宋体" w:hAnsi="宋体" w:cs="宋体" w:eastAsia="宋体" w:hint="default"/>
                <w:sz w:val="18"/>
                <w:szCs w:val="18"/>
              </w:rPr>
              <w:t>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 相应调整。</w:t>
            </w:r>
          </w:p>
        </w:tc>
        <w:tc>
          <w:tcPr>
            <w:tcW w:w="2978" w:type="dxa"/>
            <w:tcBorders>
              <w:top w:val="single" w:sz="6" w:space="0" w:color="000000"/>
              <w:left w:val="single" w:sz="6" w:space="0" w:color="000000"/>
              <w:bottom w:val="single" w:sz="6" w:space="0" w:color="000000"/>
              <w:right w:val="single" w:sz="6" w:space="0" w:color="000000"/>
            </w:tcBorders>
          </w:tcPr>
          <w:p>
            <w:pPr/>
          </w:p>
        </w:tc>
        <w:tc>
          <w:tcPr>
            <w:tcW w:w="2976" w:type="dxa"/>
            <w:tcBorders>
              <w:top w:val="single" w:sz="6" w:space="0" w:color="000000"/>
              <w:left w:val="single" w:sz="6" w:space="0" w:color="000000"/>
              <w:bottom w:val="single" w:sz="6" w:space="0" w:color="000000"/>
              <w:right w:val="single" w:sz="6" w:space="0" w:color="000000"/>
            </w:tcBorders>
          </w:tcPr>
          <w:p>
            <w:pPr/>
          </w:p>
        </w:tc>
      </w:tr>
      <w:tr>
        <w:trPr>
          <w:trHeight w:val="970" w:hRule="exact"/>
        </w:trPr>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6"/>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本公司将</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年度获得的增值税返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w w:val="99"/>
                <w:sz w:val="18"/>
                <w:szCs w:val="18"/>
              </w:rPr>
              <w:t>还计入其他收益项目。</w:t>
            </w:r>
            <w:r>
              <w:rPr>
                <w:rFonts w:ascii="Times New Roman" w:hAnsi="Times New Roman" w:cs="Times New Roman" w:eastAsia="Times New Roman" w:hint="default"/>
                <w:spacing w:val="-5"/>
                <w:w w:val="99"/>
                <w:sz w:val="18"/>
                <w:szCs w:val="18"/>
              </w:rPr>
              <w:t>2016</w:t>
            </w:r>
            <w:r>
              <w:rPr>
                <w:rFonts w:ascii="宋体" w:hAnsi="宋体" w:cs="宋体" w:eastAsia="宋体" w:hint="default"/>
                <w:spacing w:val="-5"/>
                <w:w w:val="99"/>
                <w:sz w:val="18"/>
                <w:szCs w:val="18"/>
              </w:rPr>
              <w:t>年度的比较</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财务报表未重列。</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72" w:hRule="exact"/>
        </w:trPr>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本公司将与日常活动相关的政府补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助纳入营业利润并计入其他收益项目</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年度的比较财务报表未重列。</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before="76"/>
              <w:ind w:left="-111" w:right="0"/>
              <w:jc w:val="left"/>
              <w:rPr>
                <w:rFonts w:ascii="宋体" w:hAnsi="宋体" w:cs="宋体" w:eastAsia="宋体" w:hint="default"/>
                <w:sz w:val="18"/>
                <w:szCs w:val="18"/>
              </w:rPr>
            </w:pPr>
            <w:r>
              <w:rPr>
                <w:rFonts w:ascii="宋体" w:hAnsi="宋体" w:cs="宋体" w:eastAsia="宋体" w:hint="default"/>
                <w:sz w:val="18"/>
                <w:szCs w:val="18"/>
              </w:rPr>
              <w:t>，</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84" w:hRule="exact"/>
        </w:trPr>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7"/>
              <w:ind w:left="4" w:right="-1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本公司将</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年度处置固定资产和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无形资产产生的利得和损失计入资产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w w:val="99"/>
                <w:sz w:val="18"/>
                <w:szCs w:val="18"/>
              </w:rPr>
              <w:t>处置收益项目。</w:t>
            </w:r>
            <w:r>
              <w:rPr>
                <w:rFonts w:ascii="Times New Roman" w:hAnsi="Times New Roman" w:cs="Times New Roman" w:eastAsia="Times New Roman" w:hint="default"/>
                <w:spacing w:val="-5"/>
                <w:w w:val="99"/>
                <w:sz w:val="18"/>
                <w:szCs w:val="18"/>
              </w:rPr>
              <w:t>2016</w:t>
            </w:r>
            <w:r>
              <w:rPr>
                <w:rFonts w:ascii="宋体" w:hAnsi="宋体" w:cs="宋体" w:eastAsia="宋体" w:hint="default"/>
                <w:spacing w:val="-5"/>
                <w:w w:val="99"/>
                <w:sz w:val="18"/>
                <w:szCs w:val="18"/>
              </w:rPr>
              <w:t>年度的比较财务报</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表已相应调整。</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877"/>
              <w:jc w:val="left"/>
              <w:rPr>
                <w:rFonts w:ascii="宋体" w:hAnsi="宋体" w:cs="宋体" w:eastAsia="宋体" w:hint="default"/>
                <w:sz w:val="18"/>
                <w:szCs w:val="18"/>
              </w:rPr>
            </w:pPr>
            <w:r>
              <w:rPr>
                <w:rFonts w:ascii="宋体" w:hAnsi="宋体" w:cs="宋体" w:eastAsia="宋体" w:hint="default"/>
                <w:sz w:val="18"/>
                <w:szCs w:val="18"/>
              </w:rPr>
              <w:t>资产处置收益 营业外收入 营业外支出</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154,518.34</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-162,972.04</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8,453.70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2"/>
        <w:spacing w:line="240" w:lineRule="auto" w:before="26"/>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4"/>
        <w:spacing w:line="256" w:lineRule="auto" w:before="83"/>
        <w:ind w:right="0"/>
        <w:jc w:val="left"/>
      </w:pPr>
      <w:r>
        <w:rPr/>
        <w:t>本年纳入合并财务报表范围的主体共</w:t>
      </w:r>
      <w:r>
        <w:rPr>
          <w:rFonts w:ascii="Times New Roman" w:hAnsi="Times New Roman" w:cs="Times New Roman" w:eastAsia="Times New Roman" w:hint="default"/>
        </w:rPr>
        <w:t>10</w:t>
      </w:r>
      <w:r>
        <w:rPr/>
        <w:t>家，与上年相比新增合并单位</w:t>
      </w:r>
      <w:r>
        <w:rPr>
          <w:rFonts w:ascii="Times New Roman" w:hAnsi="Times New Roman" w:cs="Times New Roman" w:eastAsia="Times New Roman" w:hint="default"/>
        </w:rPr>
        <w:t>4</w:t>
      </w:r>
      <w:r>
        <w:rPr/>
        <w:t>家，原因为报告期本公司新设子公</w:t>
      </w:r>
      <w:r>
        <w:rPr>
          <w:spacing w:val="-3"/>
          <w:w w:val="100"/>
        </w:rPr>
        <w:t> </w:t>
      </w:r>
      <w:r>
        <w:rPr>
          <w:spacing w:val="-8"/>
          <w:w w:val="100"/>
        </w:rPr>
        <w:t>司朗新云商科技有限公司、朗新数据科技有限公司、朗新科技投资管理无锡有限公司，持股比例分别为</w:t>
      </w:r>
      <w:r>
        <w:rPr>
          <w:rFonts w:ascii="Times New Roman" w:hAnsi="Times New Roman" w:cs="Times New Roman" w:eastAsia="Times New Roman" w:hint="default"/>
          <w:spacing w:val="-8"/>
          <w:w w:val="100"/>
        </w:rPr>
        <w:t>51%</w:t>
      </w:r>
      <w:r>
        <w:rPr>
          <w:spacing w:val="-8"/>
          <w:w w:val="100"/>
        </w:rPr>
        <w:t>、</w:t>
      </w:r>
      <w:r>
        <w:rPr>
          <w:spacing w:val="-85"/>
          <w:w w:val="100"/>
        </w:rPr>
        <w:t> </w:t>
      </w:r>
      <w:r>
        <w:rPr>
          <w:rFonts w:ascii="Times New Roman" w:hAnsi="Times New Roman" w:cs="Times New Roman" w:eastAsia="Times New Roman" w:hint="default"/>
        </w:rPr>
        <w:t>60%</w:t>
      </w:r>
      <w:r>
        <w:rPr/>
        <w:t>及</w:t>
      </w:r>
      <w:r>
        <w:rPr>
          <w:rFonts w:ascii="Times New Roman" w:hAnsi="Times New Roman" w:cs="Times New Roman" w:eastAsia="Times New Roman" w:hint="default"/>
        </w:rPr>
        <w:t>100%</w:t>
      </w:r>
      <w:r>
        <w:rPr/>
        <w:t>；收购取得子公司无锡朗新金关信息科技有限公司</w:t>
      </w:r>
      <w:r>
        <w:rPr>
          <w:rFonts w:ascii="Times New Roman" w:hAnsi="Times New Roman" w:cs="Times New Roman" w:eastAsia="Times New Roman" w:hint="default"/>
        </w:rPr>
        <w:t>51%</w:t>
      </w:r>
      <w:r>
        <w:rPr/>
        <w:t>股权。</w:t>
      </w:r>
      <w:r>
        <w:rPr>
          <w:spacing w:val="-3"/>
          <w:w w:val="100"/>
        </w:rPr>
        <w:t> </w:t>
      </w:r>
      <w:r>
        <w:rPr>
          <w:spacing w:val="-3"/>
        </w:rPr>
        <w:t>新耀能源科技有限公司和合肥新耀科技有限公司由去年</w:t>
      </w:r>
      <w:r>
        <w:rPr>
          <w:rFonts w:ascii="Times New Roman" w:hAnsi="Times New Roman" w:cs="Times New Roman" w:eastAsia="Times New Roman" w:hint="default"/>
          <w:spacing w:val="-3"/>
        </w:rPr>
        <w:t>100%</w:t>
      </w:r>
      <w:r>
        <w:rPr>
          <w:spacing w:val="-3"/>
        </w:rPr>
        <w:t>股权减少为</w:t>
      </w:r>
      <w:r>
        <w:rPr>
          <w:rFonts w:ascii="Times New Roman" w:hAnsi="Times New Roman" w:cs="Times New Roman" w:eastAsia="Times New Roman" w:hint="default"/>
          <w:spacing w:val="-3"/>
        </w:rPr>
        <w:t>60%</w:t>
      </w:r>
      <w:r>
        <w:rPr>
          <w:spacing w:val="-3"/>
        </w:rPr>
        <w:t>股权，具体见第十一节八合并</w:t>
      </w:r>
      <w:r>
        <w:rPr>
          <w:spacing w:val="-22"/>
        </w:rPr>
        <w:t> </w:t>
      </w:r>
      <w:r>
        <w:rPr>
          <w:spacing w:val="-22"/>
        </w:rPr>
      </w:r>
      <w:r>
        <w:rPr/>
        <w:t>范围的变更</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9"/>
        <w:gridCol w:w="4778"/>
      </w:tblGrid>
      <w:tr>
        <w:trPr>
          <w:trHeight w:val="402"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402"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李雪梅、李莎</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0"/>
        <w:jc w:val="left"/>
      </w:pPr>
      <w:r>
        <w:rPr/>
        <w:t>是否改聘会计师事务所</w:t>
      </w:r>
    </w:p>
    <w:p>
      <w:pPr>
        <w:pStyle w:val="BodyText"/>
        <w:spacing w:line="340" w:lineRule="auto" w:before="115"/>
        <w:ind w:right="5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189"/>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89"/>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189"/>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89"/>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89"/>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一、限制性股票激励计划概述</w:t>
      </w:r>
    </w:p>
    <w:p>
      <w:pPr>
        <w:pStyle w:val="BodyText"/>
        <w:spacing w:line="300" w:lineRule="auto" w:before="43"/>
        <w:ind w:right="262"/>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日，公司召开了</w:t>
      </w:r>
      <w:r>
        <w:rPr>
          <w:rFonts w:ascii="Times New Roman" w:hAnsi="Times New Roman" w:cs="Times New Roman" w:eastAsia="Times New Roman" w:hint="default"/>
        </w:rPr>
        <w:t>2017</w:t>
      </w:r>
      <w:r>
        <w:rPr/>
        <w:t>年第二次临时股东大会，审议通过了《关于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2017</w:t>
      </w:r>
      <w:r>
        <w:rPr/>
        <w:t>年度限制性股票 激励计划（草案）</w:t>
      </w:r>
      <w:r>
        <w:rPr>
          <w:rFonts w:ascii="Times New Roman" w:hAnsi="Times New Roman" w:cs="Times New Roman" w:eastAsia="Times New Roman" w:hint="default"/>
        </w:rPr>
        <w:t>&gt;</w:t>
      </w:r>
      <w:r>
        <w:rPr/>
        <w:t>及其摘要的议案》，其主要内容如下：</w:t>
      </w:r>
    </w:p>
    <w:p>
      <w:pPr>
        <w:pStyle w:val="BodyText"/>
        <w:spacing w:line="348" w:lineRule="auto" w:before="53"/>
        <w:ind w:right="5764"/>
        <w:jc w:val="left"/>
      </w:pPr>
      <w:r>
        <w:rPr/>
        <w:t>（一）激励对象的范围 本激励计划首次授予的激励对象共计</w:t>
      </w:r>
      <w:r>
        <w:rPr>
          <w:rFonts w:ascii="Times New Roman" w:hAnsi="Times New Roman" w:cs="Times New Roman" w:eastAsia="Times New Roman" w:hint="default"/>
        </w:rPr>
        <w:t>334</w:t>
      </w:r>
      <w:r>
        <w:rPr/>
        <w:t>人，包括：</w:t>
      </w:r>
      <w:r>
        <w:rPr>
          <w:spacing w:val="-87"/>
        </w:rPr>
        <w:t> </w:t>
      </w:r>
      <w:r>
        <w:rPr>
          <w:rFonts w:ascii="Times New Roman" w:hAnsi="Times New Roman" w:cs="Times New Roman" w:eastAsia="Times New Roman" w:hint="default"/>
        </w:rPr>
        <w:t>1</w:t>
      </w:r>
      <w:r>
        <w:rPr/>
        <w:t>、公司董事、高级管理人员；</w:t>
      </w:r>
    </w:p>
    <w:p>
      <w:pPr>
        <w:pStyle w:val="BodyText"/>
        <w:spacing w:line="240" w:lineRule="auto" w:before="14"/>
        <w:ind w:right="189"/>
        <w:jc w:val="left"/>
      </w:pPr>
      <w:r>
        <w:rPr>
          <w:rFonts w:ascii="Times New Roman" w:hAnsi="Times New Roman" w:cs="Times New Roman" w:eastAsia="Times New Roman" w:hint="default"/>
        </w:rPr>
        <w:t>2</w:t>
      </w:r>
      <w:r>
        <w:rPr/>
        <w:t>、公司中层管理人员；</w:t>
      </w:r>
    </w:p>
    <w:p>
      <w:pPr>
        <w:pStyle w:val="BodyText"/>
        <w:spacing w:line="240" w:lineRule="auto" w:before="101"/>
        <w:ind w:right="189"/>
        <w:jc w:val="left"/>
      </w:pPr>
      <w:r>
        <w:rPr>
          <w:rFonts w:ascii="Times New Roman" w:hAnsi="Times New Roman" w:cs="Times New Roman" w:eastAsia="Times New Roman" w:hint="default"/>
        </w:rPr>
        <w:t>3</w:t>
      </w:r>
      <w:r>
        <w:rPr/>
        <w:t>、核心技术</w:t>
      </w:r>
      <w:r>
        <w:rPr>
          <w:rFonts w:ascii="Times New Roman" w:hAnsi="Times New Roman" w:cs="Times New Roman" w:eastAsia="Times New Roman" w:hint="default"/>
        </w:rPr>
        <w:t>/</w:t>
      </w:r>
      <w:r>
        <w:rPr/>
        <w:t>业务人员；</w:t>
      </w:r>
    </w:p>
    <w:p>
      <w:pPr>
        <w:pStyle w:val="BodyText"/>
        <w:spacing w:line="360" w:lineRule="auto" w:before="103"/>
        <w:ind w:right="6444"/>
        <w:jc w:val="left"/>
      </w:pPr>
      <w:r>
        <w:rPr/>
        <w:t>（二）激励计划的股票来源 公司向激励对象定向发行公司</w:t>
      </w:r>
      <w:r>
        <w:rPr>
          <w:rFonts w:ascii="Times New Roman" w:hAnsi="Times New Roman" w:cs="Times New Roman" w:eastAsia="Times New Roman" w:hint="default"/>
        </w:rPr>
        <w:t>A</w:t>
      </w:r>
      <w:r>
        <w:rPr/>
        <w:t>股普通股。</w:t>
      </w:r>
    </w:p>
    <w:p>
      <w:pPr>
        <w:pStyle w:val="BodyText"/>
        <w:spacing w:line="240" w:lineRule="auto" w:before="1"/>
        <w:ind w:right="189"/>
        <w:jc w:val="left"/>
      </w:pPr>
      <w:r>
        <w:rPr/>
        <w:t>（三）激励计划标的股票的数量</w:t>
      </w:r>
    </w:p>
    <w:p>
      <w:pPr>
        <w:pStyle w:val="BodyText"/>
        <w:spacing w:line="300" w:lineRule="auto" w:before="117"/>
        <w:ind w:left="153" w:right="192" w:hanging="1"/>
        <w:jc w:val="both"/>
      </w:pPr>
      <w:r>
        <w:rPr>
          <w:spacing w:val="-1"/>
        </w:rPr>
        <w:t>公司拟向激励对象授予</w:t>
      </w:r>
      <w:r>
        <w:rPr>
          <w:rFonts w:ascii="Times New Roman" w:hAnsi="Times New Roman" w:cs="Times New Roman" w:eastAsia="Times New Roman" w:hint="default"/>
          <w:spacing w:val="-1"/>
        </w:rPr>
        <w:t>1,215</w:t>
      </w:r>
      <w:r>
        <w:rPr>
          <w:spacing w:val="-1"/>
        </w:rPr>
        <w:t>万股公司限制性股票，约占草案公告时公司股份总额</w:t>
      </w:r>
      <w:r>
        <w:rPr>
          <w:rFonts w:ascii="Times New Roman" w:hAnsi="Times New Roman" w:cs="Times New Roman" w:eastAsia="Times New Roman" w:hint="default"/>
          <w:spacing w:val="-1"/>
        </w:rPr>
        <w:t>40,500</w:t>
      </w:r>
      <w:r>
        <w:rPr>
          <w:spacing w:val="-1"/>
        </w:rPr>
        <w:t>万股的</w:t>
      </w:r>
      <w:r>
        <w:rPr>
          <w:rFonts w:ascii="Times New Roman" w:hAnsi="Times New Roman" w:cs="Times New Roman" w:eastAsia="Times New Roman" w:hint="default"/>
          <w:spacing w:val="-1"/>
        </w:rPr>
        <w:t>3.0000%</w:t>
      </w:r>
      <w:r>
        <w:rPr>
          <w:spacing w:val="-1"/>
        </w:rPr>
        <w:t>。在确定授予日后的</w:t>
      </w:r>
      <w:r>
        <w:rPr>
          <w:spacing w:val="-45"/>
        </w:rPr>
        <w:t> </w:t>
      </w:r>
      <w:r>
        <w:rPr>
          <w:spacing w:val="-45"/>
        </w:rPr>
      </w:r>
      <w:r>
        <w:rPr/>
        <w:t>资金缴纳、股份登记过程中，有</w:t>
      </w:r>
      <w:r>
        <w:rPr>
          <w:rFonts w:ascii="Times New Roman" w:hAnsi="Times New Roman" w:cs="Times New Roman" w:eastAsia="Times New Roman" w:hint="default"/>
        </w:rPr>
        <w:t>66</w:t>
      </w:r>
      <w:r>
        <w:rPr/>
        <w:t>名激励对象因个人原因自动放弃认购其对应的限制性股票</w:t>
      </w:r>
      <w:r>
        <w:rPr>
          <w:rFonts w:ascii="Times New Roman" w:hAnsi="Times New Roman" w:cs="Times New Roman" w:eastAsia="Times New Roman" w:hint="default"/>
        </w:rPr>
        <w:t>37.97</w:t>
      </w:r>
      <w:r>
        <w:rPr/>
        <w:t>万股，因而公司本次限制 性股票实际授予对象为</w:t>
      </w:r>
      <w:r>
        <w:rPr>
          <w:rFonts w:ascii="Times New Roman" w:hAnsi="Times New Roman" w:cs="Times New Roman" w:eastAsia="Times New Roman" w:hint="default"/>
        </w:rPr>
        <w:t>334</w:t>
      </w:r>
      <w:r>
        <w:rPr/>
        <w:t>人，实际授予数量为</w:t>
      </w:r>
      <w:r>
        <w:rPr>
          <w:rFonts w:ascii="Times New Roman" w:hAnsi="Times New Roman" w:cs="Times New Roman" w:eastAsia="Times New Roman" w:hint="default"/>
        </w:rPr>
        <w:t>1176.03</w:t>
      </w:r>
      <w:r>
        <w:rPr/>
        <w:t>万股，占授予前公司总股本</w:t>
      </w:r>
      <w:r>
        <w:rPr>
          <w:rFonts w:ascii="Times New Roman" w:hAnsi="Times New Roman" w:cs="Times New Roman" w:eastAsia="Times New Roman" w:hint="default"/>
        </w:rPr>
        <w:t>40,500.00</w:t>
      </w:r>
      <w:r>
        <w:rPr/>
        <w:t>万股的</w:t>
      </w:r>
      <w:r>
        <w:rPr>
          <w:rFonts w:ascii="Times New Roman" w:hAnsi="Times New Roman" w:cs="Times New Roman" w:eastAsia="Times New Roman" w:hint="default"/>
        </w:rPr>
        <w:t>2.9038%</w:t>
      </w:r>
      <w:r>
        <w:rPr/>
        <w:t>。</w:t>
      </w:r>
    </w:p>
    <w:p>
      <w:pPr>
        <w:pStyle w:val="BodyText"/>
        <w:spacing w:line="348" w:lineRule="auto" w:before="53"/>
        <w:ind w:left="153" w:right="6838"/>
        <w:jc w:val="left"/>
      </w:pPr>
      <w:r>
        <w:rPr/>
        <w:t>（四）限制性股票的授予价格 限制性股票的授予价格为</w:t>
      </w:r>
      <w:r>
        <w:rPr>
          <w:rFonts w:ascii="Times New Roman" w:hAnsi="Times New Roman" w:cs="Times New Roman" w:eastAsia="Times New Roman" w:hint="default"/>
        </w:rPr>
        <w:t>13.03</w:t>
      </w:r>
      <w:r>
        <w:rPr/>
        <w:t>元</w:t>
      </w:r>
      <w:r>
        <w:rPr>
          <w:rFonts w:ascii="Times New Roman" w:hAnsi="Times New Roman" w:cs="Times New Roman" w:eastAsia="Times New Roman" w:hint="default"/>
        </w:rPr>
        <w:t>/</w:t>
      </w:r>
      <w:r>
        <w:rPr/>
        <w:t>股。 二、已履行的相关审批程序</w:t>
      </w:r>
    </w:p>
    <w:p>
      <w:pPr>
        <w:pStyle w:val="BodyText"/>
        <w:spacing w:line="300" w:lineRule="auto" w:before="36"/>
        <w:ind w:left="153" w:right="189" w:hanging="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日，公司第二届董事会第五次会议审议通过了《关于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2017</w:t>
      </w:r>
      <w:r>
        <w:rPr/>
        <w:t>年度限制性股票激励计 </w:t>
      </w:r>
      <w:r>
        <w:rPr>
          <w:spacing w:val="-4"/>
        </w:rPr>
        <w:t>划（草案）</w:t>
      </w:r>
      <w:r>
        <w:rPr>
          <w:rFonts w:ascii="Times New Roman" w:hAnsi="Times New Roman" w:cs="Times New Roman" w:eastAsia="Times New Roman" w:hint="default"/>
          <w:spacing w:val="-4"/>
        </w:rPr>
        <w:t>&gt;</w:t>
      </w:r>
      <w:r>
        <w:rPr>
          <w:spacing w:val="-4"/>
        </w:rPr>
        <w:t>及其摘要的议案》、《关于</w:t>
      </w:r>
      <w:r>
        <w:rPr>
          <w:rFonts w:ascii="Times New Roman" w:hAnsi="Times New Roman" w:cs="Times New Roman" w:eastAsia="Times New Roman" w:hint="default"/>
          <w:spacing w:val="-4"/>
        </w:rPr>
        <w:t>&lt;</w:t>
      </w:r>
      <w:r>
        <w:rPr>
          <w:spacing w:val="-4"/>
        </w:rPr>
        <w:t>朗新科技股份有限公司</w:t>
      </w:r>
      <w:r>
        <w:rPr>
          <w:rFonts w:ascii="Times New Roman" w:hAnsi="Times New Roman" w:cs="Times New Roman" w:eastAsia="Times New Roman" w:hint="default"/>
          <w:spacing w:val="-4"/>
        </w:rPr>
        <w:t>2017</w:t>
      </w:r>
      <w:r>
        <w:rPr>
          <w:spacing w:val="-4"/>
        </w:rPr>
        <w:t>年度限制性股票激励计划实施考核管理办法</w:t>
      </w:r>
      <w:r>
        <w:rPr>
          <w:rFonts w:ascii="Times New Roman" w:hAnsi="Times New Roman" w:cs="Times New Roman" w:eastAsia="Times New Roman" w:hint="default"/>
          <w:spacing w:val="-4"/>
        </w:rPr>
        <w:t>&gt;</w:t>
      </w:r>
      <w:r>
        <w:rPr>
          <w:spacing w:val="-4"/>
        </w:rPr>
        <w:t>的议案》、</w:t>
      </w:r>
    </w:p>
    <w:p>
      <w:pPr>
        <w:pStyle w:val="BodyText"/>
        <w:spacing w:line="240" w:lineRule="auto" w:before="13"/>
        <w:ind w:left="153" w:right="0"/>
        <w:jc w:val="left"/>
      </w:pPr>
      <w:r>
        <w:rPr/>
        <w:t>《关于提请股东大会授权董事会办理限制性股票激励相关事宜的议案》，公司第二届监事会第四次会议审议通过上述议案。</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3"/>
        <w:jc w:val="both"/>
      </w:pPr>
      <w:r>
        <w:rPr>
          <w:spacing w:val="-2"/>
        </w:rPr>
        <w:t>公司已对激励对象名单在公司内部进行了公示，公示期满后，监事会对本次股权激励计划授予激励对象名单进行了核查并对</w:t>
      </w:r>
      <w:r>
        <w:rPr>
          <w:spacing w:val="-64"/>
        </w:rPr>
        <w:t> </w:t>
      </w:r>
      <w:r>
        <w:rPr>
          <w:spacing w:val="-64"/>
        </w:rPr>
      </w:r>
      <w:r>
        <w:rPr>
          <w:spacing w:val="-2"/>
        </w:rPr>
        <w:t>公示情况进行了说明，公司独立董事就本次股权激励计划是否有利于公司的持续发展及是否存在损害公司及全体股东利益的</w:t>
      </w:r>
      <w:r>
        <w:rPr>
          <w:spacing w:val="-64"/>
        </w:rPr>
        <w:t> </w:t>
      </w:r>
      <w:r>
        <w:rPr>
          <w:spacing w:val="-64"/>
        </w:rPr>
      </w:r>
      <w:r>
        <w:rPr/>
        <w:t>情形发表了独立意见。</w:t>
      </w:r>
    </w:p>
    <w:p>
      <w:pPr>
        <w:pStyle w:val="BodyText"/>
        <w:spacing w:line="240" w:lineRule="auto" w:before="59"/>
        <w:ind w:right="18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日，公司第二届董事会第五次会议审议通过了《关于召开</w:t>
      </w:r>
      <w:r>
        <w:rPr>
          <w:rFonts w:ascii="Times New Roman" w:hAnsi="Times New Roman" w:cs="Times New Roman" w:eastAsia="Times New Roman" w:hint="default"/>
        </w:rPr>
        <w:t>2017</w:t>
      </w:r>
      <w:r>
        <w:rPr/>
        <w:t>年第二次临时股东大会的议案》。</w:t>
      </w:r>
    </w:p>
    <w:p>
      <w:pPr>
        <w:pStyle w:val="BodyText"/>
        <w:spacing w:line="300" w:lineRule="auto" w:before="101"/>
        <w:ind w:right="189"/>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日，公司</w:t>
      </w:r>
      <w:r>
        <w:rPr>
          <w:rFonts w:ascii="Times New Roman" w:hAnsi="Times New Roman" w:cs="Times New Roman" w:eastAsia="Times New Roman" w:hint="default"/>
          <w:spacing w:val="-1"/>
        </w:rPr>
        <w:t>2017</w:t>
      </w:r>
      <w:r>
        <w:rPr>
          <w:spacing w:val="-1"/>
        </w:rPr>
        <w:t>年第二次临时股东大会审议并通过了《关于</w:t>
      </w:r>
      <w:r>
        <w:rPr>
          <w:rFonts w:ascii="Times New Roman" w:hAnsi="Times New Roman" w:cs="Times New Roman" w:eastAsia="Times New Roman" w:hint="default"/>
          <w:spacing w:val="-1"/>
        </w:rPr>
        <w:t>&lt;</w:t>
      </w:r>
      <w:r>
        <w:rPr>
          <w:spacing w:val="-1"/>
        </w:rPr>
        <w:t>朗新科技股份有限公司</w:t>
      </w:r>
      <w:r>
        <w:rPr>
          <w:rFonts w:ascii="Times New Roman" w:hAnsi="Times New Roman" w:cs="Times New Roman" w:eastAsia="Times New Roman" w:hint="default"/>
          <w:spacing w:val="-1"/>
        </w:rPr>
        <w:t>2017</w:t>
      </w:r>
      <w:r>
        <w:rPr>
          <w:spacing w:val="-1"/>
        </w:rPr>
        <w:t>年度限制性股票激励</w:t>
      </w:r>
      <w:r>
        <w:rPr>
          <w:spacing w:val="-40"/>
        </w:rPr>
        <w:t> </w:t>
      </w:r>
      <w:r>
        <w:rPr>
          <w:spacing w:val="-40"/>
        </w:rPr>
      </w:r>
      <w:r>
        <w:rPr>
          <w:spacing w:val="-7"/>
        </w:rPr>
        <w:t>计划（草案）</w:t>
      </w:r>
      <w:r>
        <w:rPr>
          <w:rFonts w:ascii="Times New Roman" w:hAnsi="Times New Roman" w:cs="Times New Roman" w:eastAsia="Times New Roman" w:hint="default"/>
          <w:spacing w:val="-7"/>
        </w:rPr>
        <w:t>&gt;</w:t>
      </w:r>
      <w:r>
        <w:rPr>
          <w:spacing w:val="-7"/>
        </w:rPr>
        <w:t>及其摘要的议案》、《关于</w:t>
      </w:r>
      <w:r>
        <w:rPr>
          <w:rFonts w:ascii="Times New Roman" w:hAnsi="Times New Roman" w:cs="Times New Roman" w:eastAsia="Times New Roman" w:hint="default"/>
          <w:spacing w:val="-7"/>
        </w:rPr>
        <w:t>&lt;</w:t>
      </w:r>
      <w:r>
        <w:rPr>
          <w:spacing w:val="-7"/>
        </w:rPr>
        <w:t>朗新科技股份有限公司</w:t>
      </w:r>
      <w:r>
        <w:rPr>
          <w:rFonts w:ascii="Times New Roman" w:hAnsi="Times New Roman" w:cs="Times New Roman" w:eastAsia="Times New Roman" w:hint="default"/>
          <w:spacing w:val="-7"/>
        </w:rPr>
        <w:t>2017</w:t>
      </w:r>
      <w:r>
        <w:rPr>
          <w:spacing w:val="-7"/>
        </w:rPr>
        <w:t>年度限制性股票激励计划实施考核管理办法</w:t>
      </w:r>
      <w:r>
        <w:rPr>
          <w:rFonts w:ascii="Times New Roman" w:hAnsi="Times New Roman" w:cs="Times New Roman" w:eastAsia="Times New Roman" w:hint="default"/>
          <w:spacing w:val="-7"/>
        </w:rPr>
        <w:t>&gt;</w:t>
      </w:r>
      <w:r>
        <w:rPr>
          <w:spacing w:val="-7"/>
        </w:rPr>
        <w:t>的议案》、</w:t>
      </w:r>
    </w:p>
    <w:p>
      <w:pPr>
        <w:pStyle w:val="BodyText"/>
        <w:spacing w:line="300" w:lineRule="auto" w:before="13"/>
        <w:ind w:right="94"/>
        <w:jc w:val="left"/>
      </w:pPr>
      <w:r>
        <w:rPr/>
        <w:t>《关于提请股东大会授权董事会办理限制性股票激励相关事宜的议案》。公司实施</w:t>
      </w:r>
      <w:r>
        <w:rPr>
          <w:rFonts w:ascii="Times New Roman" w:hAnsi="Times New Roman" w:cs="Times New Roman" w:eastAsia="Times New Roman" w:hint="default"/>
        </w:rPr>
        <w:t>2017</w:t>
      </w:r>
      <w:r>
        <w:rPr/>
        <w:t>年度限制性股票激励计划获得批准， 董事会被授权确定授予日、在激励对象符合条件时向激励对象授予限制性股票，并办理授予所必需的全部事宜。</w:t>
      </w:r>
    </w:p>
    <w:p>
      <w:pPr>
        <w:pStyle w:val="BodyText"/>
        <w:spacing w:line="309" w:lineRule="auto" w:before="72"/>
        <w:ind w:right="94"/>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日，公司第二届董事会第七次会议和第二届监事会第六次会议审议通过了《关于调整 </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t>年度限制性股票 </w:t>
      </w:r>
      <w:r>
        <w:rPr>
          <w:spacing w:val="-2"/>
        </w:rPr>
        <w:t>激励计划激励对象名单及授予权益数量的议案》、《关于向激励对象授予限制性股票的议案》。公司独立董事对此发表了独</w:t>
      </w:r>
      <w:r>
        <w:rPr>
          <w:spacing w:val="-65"/>
        </w:rPr>
        <w:t> </w:t>
      </w:r>
      <w:r>
        <w:rPr>
          <w:spacing w:val="-65"/>
        </w:rPr>
      </w:r>
      <w:r>
        <w:rPr/>
        <w:t>立意见，认为激励对象主体资格合法、有效，确定的授予日符合相关规定。在确定授予日后的资金缴纳、股份登记过程中，</w:t>
      </w:r>
      <w:r>
        <w:rPr>
          <w:spacing w:val="-86"/>
        </w:rPr>
        <w:t> </w:t>
      </w:r>
      <w:r>
        <w:rPr>
          <w:spacing w:val="-86"/>
        </w:rPr>
      </w:r>
      <w:r>
        <w:rPr/>
        <w:t>有</w:t>
      </w:r>
      <w:r>
        <w:rPr>
          <w:rFonts w:ascii="Times New Roman" w:hAnsi="Times New Roman" w:cs="Times New Roman" w:eastAsia="Times New Roman" w:hint="default"/>
        </w:rPr>
        <w:t>66</w:t>
      </w:r>
      <w:r>
        <w:rPr/>
        <w:t>名激励对象因个人原因自动放弃认购其对应的限制性股票</w:t>
      </w:r>
      <w:r>
        <w:rPr>
          <w:rFonts w:ascii="Times New Roman" w:hAnsi="Times New Roman" w:cs="Times New Roman" w:eastAsia="Times New Roman" w:hint="default"/>
        </w:rPr>
        <w:t>37.97</w:t>
      </w:r>
      <w:r>
        <w:rPr/>
        <w:t>万股，因而公司本次限制性股票实际授予对象为</w:t>
      </w:r>
      <w:r>
        <w:rPr>
          <w:rFonts w:ascii="Times New Roman" w:hAnsi="Times New Roman" w:cs="Times New Roman" w:eastAsia="Times New Roman" w:hint="default"/>
        </w:rPr>
        <w:t>334</w:t>
      </w:r>
      <w:r>
        <w:rPr/>
        <w:t>人，</w:t>
      </w:r>
      <w:r>
        <w:rPr>
          <w:spacing w:val="-51"/>
        </w:rPr>
        <w:t> </w:t>
      </w:r>
      <w:r>
        <w:rPr/>
        <w:t>实际授予数量为</w:t>
      </w:r>
      <w:r>
        <w:rPr>
          <w:rFonts w:ascii="Times New Roman" w:hAnsi="Times New Roman" w:cs="Times New Roman" w:eastAsia="Times New Roman" w:hint="default"/>
        </w:rPr>
        <w:t>1176.03</w:t>
      </w:r>
      <w:r>
        <w:rPr/>
        <w:t>万股。</w:t>
      </w:r>
    </w:p>
    <w:p>
      <w:pPr>
        <w:pStyle w:val="BodyText"/>
        <w:spacing w:line="300" w:lineRule="auto" w:before="46"/>
        <w:ind w:right="184"/>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日，公司</w:t>
      </w:r>
      <w:r>
        <w:rPr>
          <w:rFonts w:ascii="Times New Roman" w:hAnsi="Times New Roman" w:cs="Times New Roman" w:eastAsia="Times New Roman" w:hint="default"/>
        </w:rPr>
        <w:t>2017</w:t>
      </w:r>
      <w:r>
        <w:rPr/>
        <w:t>年限制性股票激励计划授予登记完成，并在中国证监会指定创业板信息披露网站公告了《关 于</w:t>
      </w:r>
      <w:r>
        <w:rPr>
          <w:rFonts w:ascii="Times New Roman" w:hAnsi="Times New Roman" w:cs="Times New Roman" w:eastAsia="Times New Roman" w:hint="default"/>
        </w:rPr>
        <w:t>2017</w:t>
      </w:r>
      <w:r>
        <w:rPr/>
        <w:t>年度限制性股票授予登记完成公告》，并于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日上市。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6"/>
        <w:ind w:right="189"/>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89"/>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799"/>
        <w:gridCol w:w="677"/>
        <w:gridCol w:w="677"/>
        <w:gridCol w:w="703"/>
        <w:gridCol w:w="682"/>
        <w:gridCol w:w="672"/>
        <w:gridCol w:w="674"/>
        <w:gridCol w:w="674"/>
        <w:gridCol w:w="674"/>
        <w:gridCol w:w="674"/>
        <w:gridCol w:w="674"/>
        <w:gridCol w:w="672"/>
        <w:gridCol w:w="672"/>
        <w:gridCol w:w="643"/>
      </w:tblGrid>
      <w:tr>
        <w:trPr>
          <w:trHeight w:val="1337"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31" w:hanging="269"/>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4"/>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p>
            <w:pPr>
              <w:pStyle w:val="TableParagraph"/>
              <w:spacing w:line="240" w:lineRule="auto" w:before="19"/>
              <w:ind w:left="6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0" w:right="60"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7"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本公司 之合营 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平台管 理费收 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成本定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Arial" w:hAnsi="Arial" w:cs="Arial" w:eastAsia="Arial" w:hint="default"/>
                <w:sz w:val="18"/>
                <w:szCs w:val="18"/>
              </w:rPr>
            </w:pPr>
            <w:r>
              <w:rPr>
                <w:rFonts w:ascii="Arial"/>
                <w:sz w:val="18"/>
              </w:rPr>
              <w:t>1,214,1</w:t>
            </w:r>
          </w:p>
          <w:p>
            <w:pPr>
              <w:pStyle w:val="TableParagraph"/>
              <w:spacing w:line="240" w:lineRule="auto" w:before="105"/>
              <w:ind w:left="23" w:right="0"/>
              <w:jc w:val="left"/>
              <w:rPr>
                <w:rFonts w:ascii="Arial" w:hAnsi="Arial" w:cs="Arial" w:eastAsia="Arial" w:hint="default"/>
                <w:sz w:val="18"/>
                <w:szCs w:val="18"/>
              </w:rPr>
            </w:pPr>
            <w:r>
              <w:rPr>
                <w:rFonts w:ascii="Arial"/>
                <w:sz w:val="18"/>
              </w:rPr>
              <w:t>90.26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121.42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银行结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本公司 之合营 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定制软 件开发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Arial" w:hAnsi="Arial" w:cs="Arial" w:eastAsia="Arial" w:hint="default"/>
                <w:sz w:val="18"/>
                <w:szCs w:val="18"/>
              </w:rPr>
            </w:pPr>
            <w:r>
              <w:rPr>
                <w:rFonts w:ascii="Arial"/>
                <w:sz w:val="18"/>
              </w:rPr>
              <w:t>530,32</w:t>
            </w:r>
          </w:p>
          <w:p>
            <w:pPr>
              <w:pStyle w:val="TableParagraph"/>
              <w:spacing w:line="240" w:lineRule="auto" w:before="105"/>
              <w:ind w:left="23" w:right="0"/>
              <w:jc w:val="left"/>
              <w:rPr>
                <w:rFonts w:ascii="Arial" w:hAnsi="Arial" w:cs="Arial" w:eastAsia="Arial" w:hint="default"/>
                <w:sz w:val="18"/>
                <w:szCs w:val="18"/>
              </w:rPr>
            </w:pPr>
            <w:r>
              <w:rPr>
                <w:rFonts w:ascii="Arial"/>
                <w:sz w:val="18"/>
              </w:rPr>
              <w:t>6.31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53.03</w:t>
            </w:r>
            <w:r>
              <w:rPr>
                <w:rFonts w:ascii="Arial"/>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0.079%</w:t>
            </w:r>
          </w:p>
        </w:tc>
        <w:tc>
          <w:tcPr>
            <w:tcW w:w="674" w:type="dxa"/>
            <w:vMerge/>
            <w:tcBorders>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2" w:right="60" w:hanging="180"/>
              <w:jc w:val="left"/>
              <w:rPr>
                <w:rFonts w:ascii="宋体" w:hAnsi="宋体" w:cs="宋体" w:eastAsia="宋体" w:hint="default"/>
                <w:sz w:val="18"/>
                <w:szCs w:val="18"/>
              </w:rPr>
            </w:pPr>
            <w:r>
              <w:rPr>
                <w:rFonts w:ascii="宋体" w:hAnsi="宋体" w:cs="宋体" w:eastAsia="宋体" w:hint="default"/>
                <w:sz w:val="18"/>
                <w:szCs w:val="18"/>
              </w:rPr>
              <w:t>银行结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7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支付宝</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与本公 司股东 上海云 鑫受同 一最终 控制人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27"/>
              <w:jc w:val="left"/>
              <w:rPr>
                <w:rFonts w:ascii="宋体" w:hAnsi="宋体" w:cs="宋体" w:eastAsia="宋体" w:hint="default"/>
                <w:sz w:val="18"/>
                <w:szCs w:val="18"/>
              </w:rPr>
            </w:pPr>
            <w:r>
              <w:rPr>
                <w:rFonts w:ascii="宋体" w:hAnsi="宋体" w:cs="宋体" w:eastAsia="宋体" w:hint="default"/>
                <w:sz w:val="18"/>
                <w:szCs w:val="18"/>
              </w:rPr>
              <w:t>维护服 务收入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Arial" w:hAnsi="Arial" w:cs="Arial" w:eastAsia="Arial" w:hint="default"/>
                <w:sz w:val="18"/>
                <w:szCs w:val="18"/>
              </w:rPr>
            </w:pPr>
            <w:r>
              <w:rPr>
                <w:rFonts w:ascii="Arial"/>
                <w:sz w:val="18"/>
              </w:rPr>
              <w:t>268,74</w:t>
            </w:r>
          </w:p>
          <w:p>
            <w:pPr>
              <w:pStyle w:val="TableParagraph"/>
              <w:spacing w:line="240" w:lineRule="auto" w:before="105"/>
              <w:ind w:left="23" w:right="0"/>
              <w:jc w:val="left"/>
              <w:rPr>
                <w:rFonts w:ascii="Arial" w:hAnsi="Arial" w:cs="Arial" w:eastAsia="Arial" w:hint="default"/>
                <w:sz w:val="18"/>
                <w:szCs w:val="18"/>
              </w:rPr>
            </w:pPr>
            <w:r>
              <w:rPr>
                <w:rFonts w:ascii="Arial"/>
                <w:sz w:val="18"/>
              </w:rPr>
              <w:t>4.29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Arial" w:hAnsi="Arial" w:cs="Arial" w:eastAsia="Arial" w:hint="default"/>
                <w:sz w:val="18"/>
                <w:szCs w:val="18"/>
              </w:rPr>
            </w:pPr>
            <w:r>
              <w:rPr>
                <w:rFonts w:ascii="Arial"/>
                <w:w w:val="95"/>
                <w:sz w:val="18"/>
              </w:rPr>
              <w:t>26.87</w:t>
            </w:r>
            <w:r>
              <w:rPr>
                <w:rFonts w:ascii="Arial"/>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0.377%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2" w:right="60" w:hanging="180"/>
              <w:jc w:val="left"/>
              <w:rPr>
                <w:rFonts w:ascii="宋体" w:hAnsi="宋体" w:cs="宋体" w:eastAsia="宋体" w:hint="default"/>
                <w:sz w:val="18"/>
                <w:szCs w:val="18"/>
              </w:rPr>
            </w:pPr>
            <w:r>
              <w:rPr>
                <w:rFonts w:ascii="宋体" w:hAnsi="宋体" w:cs="宋体" w:eastAsia="宋体" w:hint="default"/>
                <w:sz w:val="18"/>
                <w:szCs w:val="18"/>
              </w:rPr>
              <w:t>银行结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3" w:right="29"/>
              <w:jc w:val="left"/>
              <w:rPr>
                <w:rFonts w:ascii="Times New Roman" w:hAnsi="Times New Roman" w:cs="Times New Roman" w:eastAsia="Times New Roman" w:hint="default"/>
                <w:sz w:val="18"/>
                <w:szCs w:val="18"/>
              </w:rPr>
            </w:pPr>
            <w:r>
              <w:rPr>
                <w:rFonts w:ascii="Times New Roman"/>
                <w:sz w:val="18"/>
              </w:rPr>
              <w:t>ttp://w</w:t>
            </w:r>
            <w:r>
              <w:rPr>
                <w:rFonts w:ascii="Times New Roman"/>
                <w:w w:val="99"/>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w:t>
            </w:r>
            <w:r>
              <w:rPr>
                <w:rFonts w:ascii="Times New Roman"/>
                <w:sz w:val="18"/>
              </w:rPr>
              <w:t> m.cn/cn</w:t>
            </w:r>
            <w:r>
              <w:rPr>
                <w:rFonts w:ascii="Times New Roman"/>
                <w:spacing w:val="-1"/>
                <w:sz w:val="18"/>
              </w:rPr>
              <w:t> </w:t>
            </w:r>
            <w:r>
              <w:rPr>
                <w:rFonts w:ascii="Times New Roman"/>
                <w:sz w:val="18"/>
              </w:rPr>
              <w:t>info-ne</w:t>
            </w:r>
            <w:r>
              <w:rPr>
                <w:rFonts w:ascii="Times New Roman"/>
                <w:spacing w:val="1"/>
                <w:sz w:val="18"/>
              </w:rPr>
              <w:t> </w:t>
            </w:r>
            <w:r>
              <w:rPr>
                <w:rFonts w:ascii="Times New Roman"/>
                <w:sz w:val="18"/>
              </w:rPr>
              <w:t>w/index</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朗新天霁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01"/>
              <w:jc w:val="left"/>
              <w:rPr>
                <w:rFonts w:ascii="宋体" w:hAnsi="宋体" w:cs="宋体" w:eastAsia="宋体" w:hint="default"/>
                <w:sz w:val="18"/>
                <w:szCs w:val="18"/>
              </w:rPr>
            </w:pPr>
            <w:r>
              <w:rPr>
                <w:rFonts w:ascii="宋体" w:hAnsi="宋体" w:cs="宋体" w:eastAsia="宋体" w:hint="default"/>
                <w:sz w:val="18"/>
                <w:szCs w:val="18"/>
              </w:rPr>
              <w:t>同受实 际控制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01"/>
              <w:jc w:val="left"/>
              <w:rPr>
                <w:rFonts w:ascii="宋体" w:hAnsi="宋体" w:cs="宋体" w:eastAsia="宋体" w:hint="default"/>
                <w:sz w:val="18"/>
                <w:szCs w:val="18"/>
              </w:rPr>
            </w:pPr>
            <w:r>
              <w:rPr>
                <w:rFonts w:ascii="宋体" w:hAnsi="宋体" w:cs="宋体" w:eastAsia="宋体" w:hint="default"/>
                <w:sz w:val="18"/>
                <w:szCs w:val="18"/>
              </w:rPr>
              <w:t>采购商 品、接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接受系 统服务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28,301.</w:t>
            </w:r>
          </w:p>
          <w:p>
            <w:pPr>
              <w:pStyle w:val="TableParagraph"/>
              <w:spacing w:line="240" w:lineRule="auto" w:before="105"/>
              <w:ind w:left="23" w:right="0"/>
              <w:jc w:val="left"/>
              <w:rPr>
                <w:rFonts w:ascii="Arial" w:hAnsi="Arial" w:cs="Arial" w:eastAsia="Arial" w:hint="default"/>
                <w:sz w:val="18"/>
                <w:szCs w:val="18"/>
              </w:rPr>
            </w:pPr>
            <w:r>
              <w:rPr>
                <w:rFonts w:ascii="Arial"/>
                <w:sz w:val="18"/>
              </w:rPr>
              <w:t>89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w w:val="95"/>
                <w:sz w:val="18"/>
              </w:rPr>
              <w:t>2.83</w:t>
            </w:r>
            <w:r>
              <w:rPr>
                <w:rFonts w:ascii="Arial"/>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2" w:right="60" w:hanging="180"/>
              <w:jc w:val="left"/>
              <w:rPr>
                <w:rFonts w:ascii="宋体" w:hAnsi="宋体" w:cs="宋体" w:eastAsia="宋体" w:hint="default"/>
                <w:sz w:val="18"/>
                <w:szCs w:val="18"/>
              </w:rPr>
            </w:pPr>
            <w:r>
              <w:rPr>
                <w:rFonts w:ascii="宋体" w:hAnsi="宋体" w:cs="宋体" w:eastAsia="宋体" w:hint="default"/>
                <w:sz w:val="18"/>
                <w:szCs w:val="18"/>
              </w:rPr>
              <w:t>银行结 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253" w:type="dxa"/>
        <w:tblLayout w:type="fixed"/>
        <w:tblCellMar>
          <w:top w:w="0" w:type="dxa"/>
          <w:left w:w="0" w:type="dxa"/>
          <w:bottom w:w="0" w:type="dxa"/>
          <w:right w:w="0" w:type="dxa"/>
        </w:tblCellMar>
        <w:tblLook w:val="01E0"/>
      </w:tblPr>
      <w:tblGrid>
        <w:gridCol w:w="787"/>
        <w:gridCol w:w="677"/>
        <w:gridCol w:w="677"/>
        <w:gridCol w:w="692"/>
        <w:gridCol w:w="692"/>
        <w:gridCol w:w="672"/>
        <w:gridCol w:w="674"/>
        <w:gridCol w:w="674"/>
        <w:gridCol w:w="674"/>
        <w:gridCol w:w="674"/>
        <w:gridCol w:w="674"/>
        <w:gridCol w:w="672"/>
        <w:gridCol w:w="672"/>
        <w:gridCol w:w="643"/>
      </w:tblGrid>
      <w:tr>
        <w:trPr>
          <w:trHeight w:val="362" w:hRule="exact"/>
        </w:trPr>
        <w:tc>
          <w:tcPr>
            <w:tcW w:w="78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受劳务</w:t>
            </w:r>
          </w:p>
        </w:tc>
        <w:tc>
          <w:tcPr>
            <w:tcW w:w="692"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0" w:space="0" w:color="D4D4D4"/>
              <w:bottom w:val="single" w:sz="4" w:space="0" w:color="000000"/>
              <w:right w:val="single" w:sz="13" w:space="0" w:color="D4D4D4"/>
            </w:tcBorders>
          </w:tcPr>
          <w:p>
            <w:pPr>
              <w:pStyle w:val="TableParagraph"/>
              <w:spacing w:line="240" w:lineRule="auto" w:before="90"/>
              <w:ind w:left="83" w:right="0"/>
              <w:jc w:val="left"/>
              <w:rPr>
                <w:rFonts w:ascii="Arial" w:hAnsi="Arial" w:cs="Arial" w:eastAsia="Arial" w:hint="default"/>
                <w:sz w:val="18"/>
                <w:szCs w:val="18"/>
              </w:rPr>
            </w:pPr>
            <w:r>
              <w:rPr>
                <w:rFonts w:ascii="Arial"/>
                <w:sz w:val="18"/>
              </w:rPr>
              <w:t>204.16</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620</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3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24" w:type="dxa"/>
            <w:gridSpan w:val="10"/>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3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 w:right="8"/>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24" w:type="dxa"/>
            <w:gridSpan w:val="10"/>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3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 w:right="109"/>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24" w:type="dxa"/>
            <w:gridSpan w:val="10"/>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left="212"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850"/>
        <w:gridCol w:w="751"/>
        <w:gridCol w:w="799"/>
        <w:gridCol w:w="802"/>
        <w:gridCol w:w="797"/>
        <w:gridCol w:w="965"/>
        <w:gridCol w:w="850"/>
        <w:gridCol w:w="708"/>
        <w:gridCol w:w="850"/>
        <w:gridCol w:w="710"/>
        <w:gridCol w:w="698"/>
        <w:gridCol w:w="792"/>
      </w:tblGrid>
      <w:tr>
        <w:trPr>
          <w:trHeight w:val="133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92" w:right="187"/>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27" w:right="12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24" w:right="12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4" w:right="120"/>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13"/>
                <w:sz w:val="18"/>
                <w:szCs w:val="18"/>
              </w:rPr>
              <w:t>值（万元）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48" w:right="149"/>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8"/>
              <w:ind w:left="10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68" w:right="168"/>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316" w:lineRule="auto" w:before="20"/>
              <w:ind w:left="168" w:right="168"/>
              <w:jc w:val="left"/>
              <w:rPr>
                <w:rFonts w:ascii="宋体" w:hAnsi="宋体" w:cs="宋体" w:eastAsia="宋体" w:hint="default"/>
                <w:sz w:val="18"/>
                <w:szCs w:val="18"/>
              </w:rPr>
            </w:pPr>
            <w:r>
              <w:rPr>
                <w:rFonts w:ascii="宋体" w:hAnsi="宋体" w:cs="宋体" w:eastAsia="宋体" w:hint="default"/>
                <w:sz w:val="18"/>
                <w:szCs w:val="18"/>
              </w:rPr>
              <w:t>（万 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151" w:right="146"/>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8"/>
              <w:ind w:left="170" w:right="168"/>
              <w:jc w:val="left"/>
              <w:rPr>
                <w:rFonts w:ascii="宋体" w:hAnsi="宋体" w:cs="宋体" w:eastAsia="宋体" w:hint="default"/>
                <w:sz w:val="18"/>
                <w:szCs w:val="18"/>
              </w:rPr>
            </w:pPr>
            <w:r>
              <w:rPr>
                <w:rFonts w:ascii="宋体" w:hAnsi="宋体" w:cs="宋体" w:eastAsia="宋体" w:hint="default"/>
                <w:sz w:val="18"/>
                <w:szCs w:val="18"/>
              </w:rPr>
              <w:t>交易 损益</w:t>
            </w:r>
          </w:p>
          <w:p>
            <w:pPr>
              <w:pStyle w:val="TableParagraph"/>
              <w:spacing w:line="316" w:lineRule="auto" w:before="20"/>
              <w:ind w:left="170" w:right="168"/>
              <w:jc w:val="left"/>
              <w:rPr>
                <w:rFonts w:ascii="宋体" w:hAnsi="宋体" w:cs="宋体" w:eastAsia="宋体" w:hint="default"/>
                <w:sz w:val="18"/>
                <w:szCs w:val="18"/>
              </w:rPr>
            </w:pPr>
            <w:r>
              <w:rPr>
                <w:rFonts w:ascii="宋体" w:hAnsi="宋体" w:cs="宋体" w:eastAsia="宋体" w:hint="default"/>
                <w:sz w:val="18"/>
                <w:szCs w:val="18"/>
              </w:rPr>
              <w:t>（万 元）</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8"/>
              <w:ind w:left="163" w:right="163"/>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8"/>
              <w:ind w:left="300" w:right="12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5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4"/>
              <w:jc w:val="left"/>
              <w:rPr>
                <w:rFonts w:ascii="宋体" w:hAnsi="宋体" w:cs="宋体" w:eastAsia="宋体" w:hint="default"/>
                <w:sz w:val="18"/>
                <w:szCs w:val="18"/>
              </w:rPr>
            </w:pPr>
            <w:r>
              <w:rPr>
                <w:rFonts w:ascii="宋体" w:hAnsi="宋体" w:cs="宋体" w:eastAsia="宋体" w:hint="default"/>
                <w:sz w:val="18"/>
                <w:szCs w:val="18"/>
              </w:rPr>
              <w:t>无锡智 丰</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74"/>
              <w:jc w:val="both"/>
              <w:rPr>
                <w:rFonts w:ascii="宋体" w:hAnsi="宋体" w:cs="宋体" w:eastAsia="宋体" w:hint="default"/>
                <w:sz w:val="18"/>
                <w:szCs w:val="18"/>
              </w:rPr>
            </w:pPr>
            <w:r>
              <w:rPr>
                <w:rFonts w:ascii="宋体" w:hAnsi="宋体" w:cs="宋体" w:eastAsia="宋体" w:hint="default"/>
                <w:sz w:val="18"/>
                <w:szCs w:val="18"/>
              </w:rPr>
              <w:t>共同 出资 设立 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105" w:right="142"/>
              <w:jc w:val="left"/>
              <w:rPr>
                <w:rFonts w:ascii="宋体" w:hAnsi="宋体" w:cs="宋体" w:eastAsia="宋体" w:hint="default"/>
                <w:sz w:val="18"/>
                <w:szCs w:val="18"/>
              </w:rPr>
            </w:pPr>
            <w:r>
              <w:rPr>
                <w:rFonts w:ascii="宋体" w:hAnsi="宋体" w:cs="宋体" w:eastAsia="宋体" w:hint="default"/>
                <w:sz w:val="18"/>
                <w:szCs w:val="18"/>
              </w:rPr>
              <w:t>出售股 权</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103" w:right="127"/>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公司转 让嘉兴 新耀股 权</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103" w:right="142"/>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9" w:right="0"/>
              <w:jc w:val="left"/>
              <w:rPr>
                <w:rFonts w:ascii="Times New Roman" w:hAnsi="Times New Roman" w:cs="Times New Roman" w:eastAsia="Times New Roman" w:hint="default"/>
                <w:sz w:val="18"/>
                <w:szCs w:val="18"/>
              </w:rPr>
            </w:pPr>
            <w:r>
              <w:rPr>
                <w:rFonts w:ascii="Times New Roman"/>
                <w:sz w:val="18"/>
              </w:rPr>
              <w:t>1,116.5</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1,290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193.5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331" w:right="146" w:hanging="180"/>
              <w:jc w:val="left"/>
              <w:rPr>
                <w:rFonts w:ascii="宋体" w:hAnsi="宋体" w:cs="宋体" w:eastAsia="宋体" w:hint="default"/>
                <w:sz w:val="18"/>
                <w:szCs w:val="18"/>
              </w:rPr>
            </w:pPr>
            <w:r>
              <w:rPr>
                <w:rFonts w:ascii="宋体" w:hAnsi="宋体" w:cs="宋体" w:eastAsia="宋体" w:hint="default"/>
                <w:sz w:val="18"/>
                <w:szCs w:val="18"/>
              </w:rPr>
              <w:t>银行结 算</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94"/>
              <w:jc w:val="left"/>
              <w:rPr>
                <w:rFonts w:ascii="宋体" w:hAnsi="宋体" w:cs="宋体" w:eastAsia="宋体" w:hint="default"/>
                <w:sz w:val="18"/>
                <w:szCs w:val="18"/>
              </w:rPr>
            </w:pPr>
            <w:r>
              <w:rPr>
                <w:rFonts w:ascii="宋体" w:hAnsi="宋体" w:cs="宋体" w:eastAsia="宋体" w:hint="default"/>
                <w:sz w:val="18"/>
                <w:szCs w:val="18"/>
              </w:rPr>
              <w:t>无锡智 丰</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85"/>
                <w:sz w:val="18"/>
                <w:szCs w:val="18"/>
              </w:rPr>
              <w:t> </w:t>
            </w:r>
            <w:r>
              <w:rPr>
                <w:rFonts w:ascii="宋体" w:hAnsi="宋体" w:cs="宋体" w:eastAsia="宋体" w:hint="default"/>
                <w:sz w:val="18"/>
                <w:szCs w:val="18"/>
              </w:rPr>
              <w:t>同</w:t>
            </w:r>
          </w:p>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出</w:t>
            </w:r>
            <w:r>
              <w:rPr>
                <w:rFonts w:ascii="宋体" w:hAnsi="宋体" w:cs="宋体" w:eastAsia="宋体" w:hint="default"/>
                <w:spacing w:val="85"/>
                <w:sz w:val="18"/>
                <w:szCs w:val="18"/>
              </w:rPr>
              <w:t> </w:t>
            </w:r>
            <w:r>
              <w:rPr>
                <w:rFonts w:ascii="宋体" w:hAnsi="宋体" w:cs="宋体" w:eastAsia="宋体" w:hint="default"/>
                <w:sz w:val="18"/>
                <w:szCs w:val="18"/>
              </w:rPr>
              <w:t>资</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设</w:t>
            </w:r>
            <w:r>
              <w:rPr>
                <w:rFonts w:ascii="宋体" w:hAnsi="宋体" w:cs="宋体" w:eastAsia="宋体" w:hint="default"/>
                <w:spacing w:val="85"/>
                <w:sz w:val="18"/>
                <w:szCs w:val="18"/>
              </w:rPr>
              <w:t> </w:t>
            </w:r>
            <w:r>
              <w:rPr>
                <w:rFonts w:ascii="宋体" w:hAnsi="宋体" w:cs="宋体" w:eastAsia="宋体" w:hint="default"/>
                <w:sz w:val="18"/>
                <w:szCs w:val="18"/>
              </w:rPr>
              <w:t>立</w:t>
            </w:r>
          </w:p>
          <w:p>
            <w:pPr>
              <w:pStyle w:val="TableParagraph"/>
              <w:spacing w:line="316" w:lineRule="auto" w:before="76"/>
              <w:ind w:left="105" w:right="98"/>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pacing w:val="85"/>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42"/>
              <w:jc w:val="left"/>
              <w:rPr>
                <w:rFonts w:ascii="宋体" w:hAnsi="宋体" w:cs="宋体" w:eastAsia="宋体" w:hint="default"/>
                <w:sz w:val="18"/>
                <w:szCs w:val="18"/>
              </w:rPr>
            </w:pPr>
            <w:r>
              <w:rPr>
                <w:rFonts w:ascii="宋体" w:hAnsi="宋体" w:cs="宋体" w:eastAsia="宋体" w:hint="default"/>
                <w:sz w:val="18"/>
                <w:szCs w:val="18"/>
              </w:rPr>
              <w:t>出售股 权</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7"/>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公司转 让朗新 数据股 权</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8"/>
              <w:ind w:left="103" w:right="142"/>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489.85</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484.13</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8"/>
              <w:ind w:left="331" w:right="146" w:hanging="180"/>
              <w:jc w:val="left"/>
              <w:rPr>
                <w:rFonts w:ascii="宋体" w:hAnsi="宋体" w:cs="宋体" w:eastAsia="宋体" w:hint="default"/>
                <w:sz w:val="18"/>
                <w:szCs w:val="18"/>
              </w:rPr>
            </w:pPr>
            <w:r>
              <w:rPr>
                <w:rFonts w:ascii="宋体" w:hAnsi="宋体" w:cs="宋体" w:eastAsia="宋体" w:hint="default"/>
                <w:sz w:val="18"/>
                <w:szCs w:val="18"/>
              </w:rPr>
              <w:t>银行结 算</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4"/>
              <w:jc w:val="left"/>
              <w:rPr>
                <w:rFonts w:ascii="宋体" w:hAnsi="宋体" w:cs="宋体" w:eastAsia="宋体" w:hint="default"/>
                <w:sz w:val="18"/>
                <w:szCs w:val="18"/>
              </w:rPr>
            </w:pPr>
            <w:r>
              <w:rPr>
                <w:rFonts w:ascii="宋体" w:hAnsi="宋体" w:cs="宋体" w:eastAsia="宋体" w:hint="default"/>
                <w:sz w:val="18"/>
                <w:szCs w:val="18"/>
              </w:rPr>
              <w:t>无锡智 丰</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85"/>
                <w:sz w:val="18"/>
                <w:szCs w:val="18"/>
              </w:rPr>
              <w:t> </w:t>
            </w:r>
            <w:r>
              <w:rPr>
                <w:rFonts w:ascii="宋体" w:hAnsi="宋体" w:cs="宋体" w:eastAsia="宋体" w:hint="default"/>
                <w:sz w:val="18"/>
                <w:szCs w:val="18"/>
              </w:rPr>
              <w:t>同</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出</w:t>
            </w:r>
            <w:r>
              <w:rPr>
                <w:rFonts w:ascii="宋体" w:hAnsi="宋体" w:cs="宋体" w:eastAsia="宋体" w:hint="default"/>
                <w:spacing w:val="85"/>
                <w:sz w:val="18"/>
                <w:szCs w:val="18"/>
              </w:rPr>
              <w:t> </w:t>
            </w:r>
            <w:r>
              <w:rPr>
                <w:rFonts w:ascii="宋体" w:hAnsi="宋体" w:cs="宋体" w:eastAsia="宋体" w:hint="default"/>
                <w:sz w:val="18"/>
                <w:szCs w:val="18"/>
              </w:rPr>
              <w:t>资</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设</w:t>
            </w:r>
            <w:r>
              <w:rPr>
                <w:rFonts w:ascii="宋体" w:hAnsi="宋体" w:cs="宋体" w:eastAsia="宋体" w:hint="default"/>
                <w:spacing w:val="85"/>
                <w:sz w:val="18"/>
                <w:szCs w:val="18"/>
              </w:rPr>
              <w:t> </w:t>
            </w:r>
            <w:r>
              <w:rPr>
                <w:rFonts w:ascii="宋体" w:hAnsi="宋体" w:cs="宋体" w:eastAsia="宋体" w:hint="default"/>
                <w:sz w:val="18"/>
                <w:szCs w:val="18"/>
              </w:rPr>
              <w:t>立</w:t>
            </w:r>
          </w:p>
          <w:p>
            <w:pPr>
              <w:pStyle w:val="TableParagraph"/>
              <w:spacing w:line="316" w:lineRule="auto" w:before="76"/>
              <w:ind w:left="105" w:right="98"/>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pacing w:val="85"/>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42"/>
              <w:jc w:val="left"/>
              <w:rPr>
                <w:rFonts w:ascii="宋体" w:hAnsi="宋体" w:cs="宋体" w:eastAsia="宋体" w:hint="default"/>
                <w:sz w:val="18"/>
                <w:szCs w:val="18"/>
              </w:rPr>
            </w:pPr>
            <w:r>
              <w:rPr>
                <w:rFonts w:ascii="宋体" w:hAnsi="宋体" w:cs="宋体" w:eastAsia="宋体" w:hint="default"/>
                <w:sz w:val="18"/>
                <w:szCs w:val="18"/>
              </w:rPr>
              <w:t>出售股 权</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7"/>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公司转 让朗新 云商股 权</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2"/>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486.70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487.96</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1" w:right="146" w:hanging="180"/>
              <w:jc w:val="left"/>
              <w:rPr>
                <w:rFonts w:ascii="宋体" w:hAnsi="宋体" w:cs="宋体" w:eastAsia="宋体" w:hint="default"/>
                <w:sz w:val="18"/>
                <w:szCs w:val="18"/>
              </w:rPr>
            </w:pPr>
            <w:r>
              <w:rPr>
                <w:rFonts w:ascii="宋体" w:hAnsi="宋体" w:cs="宋体" w:eastAsia="宋体" w:hint="default"/>
                <w:sz w:val="18"/>
                <w:szCs w:val="18"/>
              </w:rPr>
              <w:t>银行结 算</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6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0" w:type="dxa"/>
            <w:gridSpan w:val="8"/>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2" w:top="1060" w:bottom="1180" w:left="92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15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15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15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3"/>
        <w:spacing w:line="240" w:lineRule="auto"/>
        <w:ind w:right="15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15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7"/>
        <w:rPr>
          <w:rFonts w:ascii="宋体" w:hAnsi="宋体" w:cs="宋体" w:eastAsia="宋体" w:hint="default"/>
          <w:sz w:val="21"/>
          <w:szCs w:val="21"/>
        </w:rPr>
      </w:pPr>
    </w:p>
    <w:p>
      <w:pPr>
        <w:pStyle w:val="Heading3"/>
        <w:spacing w:line="240" w:lineRule="auto"/>
        <w:ind w:right="15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3"/>
        <w:rPr>
          <w:rFonts w:ascii="宋体" w:hAnsi="宋体" w:cs="宋体" w:eastAsia="宋体" w:hint="default"/>
          <w:sz w:val="21"/>
          <w:szCs w:val="21"/>
        </w:rPr>
      </w:pPr>
    </w:p>
    <w:p>
      <w:pPr>
        <w:pStyle w:val="Heading3"/>
        <w:spacing w:line="240" w:lineRule="auto"/>
        <w:ind w:right="15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0"/>
        <w:jc w:val="left"/>
      </w:pPr>
      <w:r>
        <w:rPr/>
        <w:t>报告期内委托理财概况</w:t>
      </w:r>
    </w:p>
    <w:p>
      <w:pPr>
        <w:pStyle w:val="BodyText"/>
        <w:spacing w:line="240" w:lineRule="auto" w:before="117"/>
        <w:ind w:left="0" w:right="153"/>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7"/>
        <w:gridCol w:w="1963"/>
        <w:gridCol w:w="1980"/>
        <w:gridCol w:w="1910"/>
        <w:gridCol w:w="1846"/>
      </w:tblGrid>
      <w:tr>
        <w:trPr>
          <w:trHeight w:val="403" w:hRule="exact"/>
        </w:trPr>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61,365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61,365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50"/>
        <w:jc w:val="left"/>
      </w:pPr>
      <w:r>
        <w:rPr/>
        <w:t>单项金额重大或安全性较低、流动性较差、不保本的高风险委托理财具体情况</w:t>
      </w:r>
    </w:p>
    <w:p>
      <w:pPr>
        <w:pStyle w:val="BodyText"/>
        <w:spacing w:line="240" w:lineRule="auto" w:before="115"/>
        <w:ind w:left="0" w:right="153"/>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71"/>
        <w:gridCol w:w="590"/>
        <w:gridCol w:w="607"/>
        <w:gridCol w:w="574"/>
        <w:gridCol w:w="562"/>
        <w:gridCol w:w="559"/>
        <w:gridCol w:w="562"/>
        <w:gridCol w:w="562"/>
        <w:gridCol w:w="562"/>
        <w:gridCol w:w="559"/>
        <w:gridCol w:w="562"/>
        <w:gridCol w:w="562"/>
        <w:gridCol w:w="562"/>
        <w:gridCol w:w="547"/>
        <w:gridCol w:w="547"/>
        <w:gridCol w:w="547"/>
        <w:gridCol w:w="538"/>
      </w:tblGrid>
      <w:tr>
        <w:trPr>
          <w:trHeight w:val="2273" w:hRule="exact"/>
        </w:trPr>
        <w:tc>
          <w:tcPr>
            <w:tcW w:w="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0" w:right="98"/>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100" w:right="98"/>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24" w:right="29" w:firstLine="7"/>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6"/>
                <w:sz w:val="18"/>
                <w:szCs w:val="18"/>
              </w:rPr>
              <w:t>人）类</w:t>
            </w:r>
            <w:r>
              <w:rPr>
                <w:rFonts w:ascii="宋体" w:hAnsi="宋体" w:cs="宋体" w:eastAsia="宋体" w:hint="default"/>
                <w:spacing w:val="-8"/>
                <w:sz w:val="18"/>
                <w:szCs w:val="18"/>
              </w:rPr>
              <w:t> </w:t>
            </w:r>
            <w:r>
              <w:rPr>
                <w:rFonts w:ascii="宋体" w:hAnsi="宋体" w:cs="宋体" w:eastAsia="宋体" w:hint="default"/>
                <w:sz w:val="18"/>
                <w:szCs w:val="18"/>
              </w:rPr>
              <w:t>型</w:t>
            </w:r>
          </w:p>
        </w:tc>
        <w:tc>
          <w:tcPr>
            <w:tcW w:w="6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6"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6"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6"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5"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5"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6"/>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963"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both"/>
              <w:rPr>
                <w:rFonts w:ascii="宋体" w:hAnsi="宋体" w:cs="宋体" w:eastAsia="宋体" w:hint="default"/>
                <w:sz w:val="18"/>
                <w:szCs w:val="18"/>
              </w:rPr>
            </w:pPr>
            <w:r>
              <w:rPr>
                <w:rFonts w:ascii="宋体" w:hAnsi="宋体" w:cs="宋体" w:eastAsia="宋体" w:hint="default"/>
                <w:sz w:val="18"/>
                <w:szCs w:val="18"/>
              </w:rPr>
              <w:t>招商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2,030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38" w:lineRule="auto"/>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聚益 生金 </w:t>
            </w:r>
            <w:r>
              <w:rPr>
                <w:rFonts w:ascii="Times New Roman" w:hAnsi="Times New Roman" w:cs="Times New Roman" w:eastAsia="Times New Roman" w:hint="default"/>
                <w:sz w:val="18"/>
                <w:szCs w:val="18"/>
              </w:rPr>
              <w:t>98063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16.01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16.01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招商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38" w:lineRule="auto"/>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聚益 生金 </w:t>
            </w:r>
            <w:r>
              <w:rPr>
                <w:rFonts w:ascii="Times New Roman" w:hAnsi="Times New Roman" w:cs="Times New Roman" w:eastAsia="Times New Roman" w:hint="default"/>
                <w:sz w:val="18"/>
                <w:szCs w:val="18"/>
              </w:rPr>
              <w:t>98063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7.89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7.89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both"/>
              <w:rPr>
                <w:rFonts w:ascii="宋体" w:hAnsi="宋体" w:cs="宋体" w:eastAsia="宋体" w:hint="default"/>
                <w:sz w:val="18"/>
                <w:szCs w:val="18"/>
              </w:rPr>
            </w:pPr>
            <w:r>
              <w:rPr>
                <w:rFonts w:ascii="宋体" w:hAnsi="宋体" w:cs="宋体" w:eastAsia="宋体" w:hint="default"/>
                <w:sz w:val="18"/>
                <w:szCs w:val="18"/>
              </w:rPr>
              <w:t>招商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2,040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38" w:lineRule="auto"/>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日益 月鑫 </w:t>
            </w:r>
            <w:r>
              <w:rPr>
                <w:rFonts w:ascii="Times New Roman" w:hAnsi="Times New Roman" w:cs="Times New Roman" w:eastAsia="Times New Roman" w:hint="default"/>
                <w:sz w:val="18"/>
                <w:szCs w:val="18"/>
              </w:rPr>
              <w:t>90014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3.22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3.22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上海 浦发 银行 无锡 新区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8,890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23" w:right="21"/>
              <w:jc w:val="left"/>
              <w:rPr>
                <w:rFonts w:ascii="宋体" w:hAnsi="宋体" w:cs="宋体" w:eastAsia="宋体" w:hint="default"/>
                <w:sz w:val="18"/>
                <w:szCs w:val="18"/>
              </w:rPr>
            </w:pPr>
            <w:r>
              <w:rPr>
                <w:rFonts w:ascii="宋体" w:hAnsi="宋体" w:cs="宋体" w:eastAsia="宋体" w:hint="default"/>
                <w:sz w:val="18"/>
                <w:szCs w:val="18"/>
              </w:rPr>
              <w:t>利多 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 </w:t>
            </w:r>
            <w:r>
              <w:rPr>
                <w:rFonts w:ascii="宋体" w:hAnsi="宋体" w:cs="宋体" w:eastAsia="宋体" w:hint="default"/>
                <w:sz w:val="18"/>
                <w:szCs w:val="18"/>
              </w:rPr>
              <w:t>路发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2.78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2.78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75"/>
              <w:jc w:val="both"/>
              <w:rPr>
                <w:rFonts w:ascii="宋体" w:hAnsi="宋体" w:cs="宋体" w:eastAsia="宋体" w:hint="default"/>
                <w:sz w:val="18"/>
                <w:szCs w:val="18"/>
              </w:rPr>
            </w:pPr>
            <w:r>
              <w:rPr>
                <w:rFonts w:ascii="宋体" w:hAnsi="宋体" w:cs="宋体" w:eastAsia="宋体" w:hint="default"/>
                <w:sz w:val="18"/>
                <w:szCs w:val="18"/>
              </w:rPr>
              <w:t>上海 浦发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8,890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0"/>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利多 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 </w:t>
            </w:r>
            <w:r>
              <w:rPr>
                <w:rFonts w:ascii="宋体" w:hAnsi="宋体" w:cs="宋体" w:eastAsia="宋体" w:hint="default"/>
                <w:sz w:val="18"/>
                <w:szCs w:val="18"/>
              </w:rPr>
              <w:t>路发</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B</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12.96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12.96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71"/>
        <w:gridCol w:w="590"/>
        <w:gridCol w:w="607"/>
        <w:gridCol w:w="574"/>
        <w:gridCol w:w="562"/>
        <w:gridCol w:w="559"/>
        <w:gridCol w:w="562"/>
        <w:gridCol w:w="562"/>
        <w:gridCol w:w="562"/>
        <w:gridCol w:w="559"/>
        <w:gridCol w:w="562"/>
        <w:gridCol w:w="562"/>
        <w:gridCol w:w="562"/>
        <w:gridCol w:w="547"/>
        <w:gridCol w:w="547"/>
        <w:gridCol w:w="547"/>
        <w:gridCol w:w="538"/>
      </w:tblGrid>
      <w:tr>
        <w:trPr>
          <w:trHeight w:val="986"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5"/>
              <w:jc w:val="both"/>
              <w:rPr>
                <w:rFonts w:ascii="宋体" w:hAnsi="宋体" w:cs="宋体" w:eastAsia="宋体" w:hint="default"/>
                <w:sz w:val="18"/>
                <w:szCs w:val="18"/>
              </w:rPr>
            </w:pPr>
            <w:r>
              <w:rPr>
                <w:rFonts w:ascii="宋体" w:hAnsi="宋体" w:cs="宋体" w:eastAsia="宋体" w:hint="default"/>
                <w:sz w:val="18"/>
                <w:szCs w:val="18"/>
              </w:rPr>
              <w:t>无锡 新区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上海 浦发 银行 无锡 新区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月添 利</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上海 浦发 银行 无锡 新区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月添 利</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75"/>
              <w:jc w:val="both"/>
              <w:rPr>
                <w:rFonts w:ascii="宋体" w:hAnsi="宋体" w:cs="宋体" w:eastAsia="宋体" w:hint="default"/>
                <w:sz w:val="18"/>
                <w:szCs w:val="18"/>
              </w:rPr>
            </w:pPr>
            <w:r>
              <w:rPr>
                <w:rFonts w:ascii="宋体" w:hAnsi="宋体" w:cs="宋体" w:eastAsia="宋体" w:hint="default"/>
                <w:sz w:val="18"/>
                <w:szCs w:val="18"/>
              </w:rPr>
              <w:t>中国 银行 北京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8"/>
              <w:jc w:val="right"/>
              <w:rPr>
                <w:rFonts w:ascii="Times New Roman" w:hAnsi="Times New Roman" w:cs="Times New Roman" w:eastAsia="Times New Roman" w:hint="default"/>
                <w:sz w:val="18"/>
                <w:szCs w:val="18"/>
              </w:rPr>
            </w:pPr>
            <w:r>
              <w:rPr>
                <w:rFonts w:ascii="Times New Roman"/>
                <w:spacing w:val="-1"/>
                <w:sz w:val="18"/>
              </w:rPr>
              <w:t>18,655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搏弈 睿选 </w:t>
            </w:r>
            <w:r>
              <w:rPr>
                <w:rFonts w:ascii="Times New Roman" w:hAnsi="Times New Roman" w:cs="Times New Roman" w:eastAsia="Times New Roman" w:hint="default"/>
                <w:sz w:val="18"/>
                <w:szCs w:val="18"/>
              </w:rPr>
              <w:t>17232</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沪深</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指</w:t>
            </w:r>
          </w:p>
          <w:p>
            <w:pPr>
              <w:pStyle w:val="TableParagraph"/>
              <w:spacing w:line="316" w:lineRule="auto" w:before="63"/>
              <w:ind w:left="23" w:right="167"/>
              <w:jc w:val="both"/>
              <w:rPr>
                <w:rFonts w:ascii="宋体" w:hAnsi="宋体" w:cs="宋体" w:eastAsia="宋体" w:hint="default"/>
                <w:sz w:val="18"/>
                <w:szCs w:val="18"/>
              </w:rPr>
            </w:pPr>
            <w:r>
              <w:rPr>
                <w:rFonts w:ascii="宋体" w:hAnsi="宋体" w:cs="宋体" w:eastAsia="宋体" w:hint="default"/>
                <w:sz w:val="18"/>
                <w:szCs w:val="18"/>
              </w:rPr>
              <w:t>数期 末看 涨二 元型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3" w:right="0"/>
              <w:jc w:val="center"/>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78.71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78.71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招商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23"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日益 月鑫 进取 型 </w:t>
            </w:r>
            <w:r>
              <w:rPr>
                <w:rFonts w:ascii="Times New Roman" w:hAnsi="Times New Roman" w:cs="Times New Roman" w:eastAsia="Times New Roman" w:hint="default"/>
                <w:sz w:val="18"/>
                <w:szCs w:val="18"/>
              </w:rPr>
              <w:t>91060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招商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38" w:lineRule="auto"/>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日益 月鑫 </w:t>
            </w:r>
            <w:r>
              <w:rPr>
                <w:rFonts w:ascii="Times New Roman" w:hAnsi="Times New Roman" w:cs="Times New Roman" w:eastAsia="Times New Roman" w:hint="default"/>
                <w:sz w:val="18"/>
                <w:szCs w:val="18"/>
              </w:rPr>
              <w:t>92060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61,365</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204.89</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204.89</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13" w:space="0" w:color="D4D4D4"/>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0"/>
        <w:jc w:val="left"/>
      </w:pPr>
      <w:r>
        <w:rPr/>
        <w:t>委托理财出现预期无法收回本金或存在其他可能导致减值的情形</w:t>
      </w:r>
    </w:p>
    <w:p>
      <w:pPr>
        <w:pStyle w:val="BodyText"/>
        <w:spacing w:line="240" w:lineRule="auto" w:before="115"/>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15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50"/>
        <w:jc w:val="left"/>
        <w:rPr>
          <w:b w:val="0"/>
          <w:bCs w:val="0"/>
        </w:rPr>
      </w:pPr>
      <w:bookmarkStart w:name="十七、社会责任情况" w:id="94"/>
      <w:bookmarkEnd w:id="94"/>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0"/>
        <w:jc w:val="left"/>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firstLine="360"/>
        <w:jc w:val="both"/>
      </w:pPr>
      <w:r>
        <w:rPr>
          <w:spacing w:val="-2"/>
        </w:rPr>
        <w:t>公司严格按照《公司法》、《证券法》、《公司章程》和《股东大会议事规则》等法律、法规、规范性文件及制度的要</w:t>
      </w:r>
      <w:r>
        <w:rPr/>
        <w:t> </w:t>
      </w:r>
      <w:r>
        <w:rPr>
          <w:spacing w:val="-5"/>
        </w:rPr>
        <w:t>求，规范股东大会召集、召开、表决程序，确保所有股东享有平等的股东地位、平等的股东权利；充分保护股东的合法权益，</w:t>
      </w:r>
      <w:r>
        <w:rPr>
          <w:spacing w:val="-81"/>
        </w:rPr>
        <w:t> </w:t>
      </w:r>
      <w:r>
        <w:rPr>
          <w:spacing w:val="-81"/>
        </w:rPr>
      </w:r>
      <w:r>
        <w:rPr/>
        <w:t>让中小投资者充分行使自己的权利。</w:t>
      </w:r>
    </w:p>
    <w:p>
      <w:pPr>
        <w:pStyle w:val="BodyText"/>
        <w:spacing w:line="316" w:lineRule="auto" w:before="59"/>
        <w:ind w:right="155" w:firstLine="360"/>
        <w:jc w:val="both"/>
      </w:pPr>
      <w:r>
        <w:rPr>
          <w:spacing w:val="-2"/>
        </w:rPr>
        <w:t>公司严格贯彻执行《劳动合同法》《社会保险法》等各项法律法规，为员工提供福利保障；尊重员工，积极采纳员工合</w:t>
      </w:r>
      <w:r>
        <w:rPr/>
        <w:t> </w:t>
      </w:r>
      <w:r>
        <w:rPr>
          <w:spacing w:val="-2"/>
        </w:rPr>
        <w:t>理化建议，增强公司凝聚力；致力于培养出优秀的人才，帮助每一位员工实现自我价值，与企业共同成长。不断完善人力资</w:t>
      </w:r>
      <w:r>
        <w:rPr>
          <w:spacing w:val="-67"/>
        </w:rPr>
        <w:t> </w:t>
      </w:r>
      <w:r>
        <w:rPr>
          <w:spacing w:val="-67"/>
        </w:rPr>
      </w:r>
      <w:r>
        <w:rPr/>
        <w:t>源管理体系，努力为员工提供更大的发展空间及更多的人文关怀。</w:t>
      </w:r>
    </w:p>
    <w:p>
      <w:pPr>
        <w:pStyle w:val="BodyText"/>
        <w:spacing w:line="316" w:lineRule="auto" w:before="59"/>
        <w:ind w:right="153" w:firstLine="360"/>
        <w:jc w:val="both"/>
      </w:pPr>
      <w:r>
        <w:rPr>
          <w:spacing w:val="-2"/>
        </w:rPr>
        <w:t>公司充分尊重和维护相关利益者的合法权益，加强与各相关利益者的沟通交流，实现与客户、员工、社会等相关利益者</w:t>
      </w:r>
      <w:r>
        <w:rPr/>
        <w:t> 的互利共赢，共同推动公司持续、健康地发展。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150"/>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精准扶贫规划" w:id="97"/>
      <w:bookmarkEnd w:id="97"/>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2）年度精准扶贫概要" w:id="98"/>
      <w:bookmarkEnd w:id="98"/>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3）精准扶贫成效" w:id="99"/>
      <w:bookmarkEnd w:id="99"/>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3"/>
        <w:gridCol w:w="1554"/>
        <w:gridCol w:w="4391"/>
      </w:tblGrid>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623"/>
        <w:gridCol w:w="1554"/>
        <w:gridCol w:w="4391"/>
      </w:tblGrid>
      <w:tr>
        <w:trPr>
          <w:trHeight w:val="402"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50"/>
        <w:jc w:val="left"/>
        <w:rPr>
          <w:b w:val="0"/>
          <w:bCs w:val="0"/>
        </w:rPr>
      </w:pPr>
      <w:bookmarkStart w:name="（4）后续精准扶贫计划" w:id="100"/>
      <w:bookmarkEnd w:id="100"/>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4734"/>
        <w:jc w:val="left"/>
      </w:pPr>
      <w:r>
        <w:rPr/>
        <w:t>上市公司及其子公司是否属于环境保护部门公布的重点排污单位 否</w:t>
      </w:r>
    </w:p>
    <w:p>
      <w:pPr>
        <w:pStyle w:val="BodyText"/>
        <w:spacing w:line="240" w:lineRule="auto" w:before="29"/>
        <w:ind w:right="150"/>
        <w:jc w:val="left"/>
      </w:pPr>
      <w:r>
        <w:rPr/>
        <w:t>公司及子公司不属于环境保护部门公布的重点排污单位。</w:t>
      </w:r>
    </w:p>
    <w:p>
      <w:pPr>
        <w:spacing w:line="240" w:lineRule="auto" w:before="3"/>
        <w:rPr>
          <w:rFonts w:ascii="宋体" w:hAnsi="宋体" w:cs="宋体" w:eastAsia="宋体" w:hint="default"/>
          <w:sz w:val="25"/>
          <w:szCs w:val="25"/>
        </w:rPr>
      </w:pPr>
    </w:p>
    <w:p>
      <w:pPr>
        <w:pStyle w:val="Heading2"/>
        <w:spacing w:line="240" w:lineRule="auto"/>
        <w:ind w:right="150"/>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8"/>
        <w:rPr>
          <w:rFonts w:ascii="宋体" w:hAnsi="宋体" w:cs="宋体" w:eastAsia="宋体" w:hint="default"/>
          <w:sz w:val="19"/>
          <w:szCs w:val="19"/>
        </w:rPr>
      </w:pPr>
    </w:p>
    <w:p>
      <w:pPr>
        <w:pStyle w:val="Heading2"/>
        <w:spacing w:line="240" w:lineRule="auto"/>
        <w:ind w:right="150"/>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50"/>
        <w:jc w:val="left"/>
        <w:rPr>
          <w:b w:val="0"/>
          <w:bCs w:val="0"/>
        </w:rPr>
      </w:pPr>
      <w:bookmarkStart w:name="第六节 股份变动及股东情况" w:id="104"/>
      <w:bookmarkEnd w:id="104"/>
      <w:r>
        <w:rPr>
          <w:b w:val="0"/>
          <w:bCs w:val="0"/>
        </w:rPr>
      </w:r>
      <w:bookmarkStart w:name="_bookmark4" w:id="105"/>
      <w:bookmarkEnd w:id="105"/>
      <w:r>
        <w:rPr>
          <w:b w:val="0"/>
          <w:bCs w:val="0"/>
        </w:rPr>
      </w:r>
      <w:r>
        <w:rPr/>
        <w:t>第六节</w:t>
      </w:r>
      <w:r>
        <w:rPr>
          <w:spacing w:val="-4"/>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0"/>
        <w:jc w:val="left"/>
        <w:rPr>
          <w:b w:val="0"/>
          <w:bCs w:val="0"/>
        </w:rPr>
      </w:pPr>
      <w:bookmarkStart w:name="一、股份变动情况" w:id="106"/>
      <w:bookmarkEnd w:id="106"/>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5"/>
        <w:gridCol w:w="823"/>
        <w:gridCol w:w="823"/>
        <w:gridCol w:w="823"/>
        <w:gridCol w:w="821"/>
        <w:gridCol w:w="823"/>
        <w:gridCol w:w="821"/>
        <w:gridCol w:w="823"/>
        <w:gridCol w:w="794"/>
        <w:gridCol w:w="792"/>
      </w:tblGrid>
      <w:tr>
        <w:trPr>
          <w:trHeight w:val="403"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5" w:type="dxa"/>
            <w:vMerge w:val="restart"/>
            <w:tcBorders>
              <w:top w:val="nil" w:sz="6" w:space="0" w:color="auto"/>
              <w:left w:val="single" w:sz="4" w:space="0" w:color="000000"/>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794" w:type="dxa"/>
            <w:tcBorders>
              <w:top w:val="single" w:sz="4" w:space="0" w:color="000000"/>
              <w:left w:val="single" w:sz="4" w:space="0" w:color="000000"/>
              <w:bottom w:val="nil" w:sz="6" w:space="0" w:color="auto"/>
              <w:right w:val="single" w:sz="4" w:space="0" w:color="000000"/>
            </w:tcBorders>
            <w:shd w:val="clear" w:color="auto" w:fill="D4D4D4"/>
          </w:tcPr>
          <w:p>
            <w:pPr/>
          </w:p>
        </w:tc>
        <w:tc>
          <w:tcPr>
            <w:tcW w:w="79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2215" w:type="dxa"/>
            <w:vMerge/>
            <w:tcBorders>
              <w:left w:val="single" w:sz="4" w:space="0" w:color="000000"/>
              <w:bottom w:val="nil" w:sz="6" w:space="0" w:color="auto"/>
              <w:right w:val="single" w:sz="4" w:space="0" w:color="000000"/>
            </w:tcBorders>
            <w:shd w:val="clear" w:color="auto" w:fill="D4D4D4"/>
          </w:tcPr>
          <w:p>
            <w:pP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4D4D4"/>
          </w:tcPr>
          <w:p>
            <w:pP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5" w:type="dxa"/>
            <w:vMerge w:val="restart"/>
            <w:tcBorders>
              <w:top w:val="nil" w:sz="6" w:space="0" w:color="auto"/>
              <w:left w:val="single" w:sz="4" w:space="0" w:color="000000"/>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794" w:type="dxa"/>
            <w:vMerge/>
            <w:tcBorders>
              <w:left w:val="single" w:sz="4" w:space="0" w:color="000000"/>
              <w:bottom w:val="nil" w:sz="6" w:space="0" w:color="auto"/>
              <w:right w:val="single" w:sz="4" w:space="0" w:color="000000"/>
            </w:tcBorders>
            <w:shd w:val="clear" w:color="auto" w:fill="D4D4D4"/>
          </w:tcPr>
          <w:p>
            <w:pPr/>
          </w:p>
        </w:tc>
        <w:tc>
          <w:tcPr>
            <w:tcW w:w="792"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2215" w:type="dxa"/>
            <w:vMerge/>
            <w:tcBorders>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794" w:type="dxa"/>
            <w:tcBorders>
              <w:top w:val="nil" w:sz="6" w:space="0" w:color="auto"/>
              <w:left w:val="single" w:sz="4" w:space="0" w:color="000000"/>
              <w:bottom w:val="single" w:sz="4" w:space="0" w:color="000000"/>
              <w:right w:val="single" w:sz="4" w:space="0" w:color="000000"/>
            </w:tcBorders>
            <w:shd w:val="clear" w:color="auto" w:fill="D4D4D4"/>
          </w:tcPr>
          <w:p>
            <w:pPr/>
          </w:p>
        </w:tc>
        <w:tc>
          <w:tcPr>
            <w:tcW w:w="79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11,760,30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11,760,30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371,760,3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89.20%</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259,903,4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72.20%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11,760,30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11,760,30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271,663,7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65.18%</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259,903,4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72.20%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259,903,4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62.36%</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11,760,30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11,760,30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11,760,30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2.82%</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100,096,5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27.80%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100,096,5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24.02%</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100,096,5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27.80%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100,096,5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24.02%</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10.80%</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10.80%</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56,760,30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56,760,30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416,760,3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50"/>
        <w:jc w:val="left"/>
      </w:pPr>
      <w:r>
        <w:rPr/>
        <w:t>股份变动的原因</w:t>
      </w:r>
    </w:p>
    <w:p>
      <w:pPr>
        <w:pStyle w:val="BodyText"/>
        <w:spacing w:line="240" w:lineRule="auto" w:before="115"/>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5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日，公司在深圳证券交易所上市，发行新股</w:t>
      </w:r>
      <w:r>
        <w:rPr>
          <w:rFonts w:ascii="Times New Roman" w:hAnsi="Times New Roman" w:cs="Times New Roman" w:eastAsia="Times New Roman" w:hint="default"/>
          <w:spacing w:val="-2"/>
        </w:rPr>
        <w:t>4,500</w:t>
      </w:r>
      <w:r>
        <w:rPr>
          <w:spacing w:val="-2"/>
        </w:rPr>
        <w:t>万股，上市前公司总股本为</w:t>
      </w:r>
      <w:r>
        <w:rPr>
          <w:rFonts w:ascii="Times New Roman" w:hAnsi="Times New Roman" w:cs="Times New Roman" w:eastAsia="Times New Roman" w:hint="default"/>
          <w:spacing w:val="-2"/>
        </w:rPr>
        <w:t>36,000</w:t>
      </w:r>
      <w:r>
        <w:rPr>
          <w:spacing w:val="-2"/>
        </w:rPr>
        <w:t>万股，上市后公司总股本</w:t>
      </w:r>
      <w:r>
        <w:rPr/>
        <w:t> 增至</w:t>
      </w:r>
      <w:r>
        <w:rPr>
          <w:rFonts w:ascii="Times New Roman" w:hAnsi="Times New Roman" w:cs="Times New Roman" w:eastAsia="Times New Roman" w:hint="default"/>
        </w:rPr>
        <w:t>40,500</w:t>
      </w:r>
      <w:r>
        <w:rPr/>
        <w:t>万股。</w:t>
      </w:r>
    </w:p>
    <w:p>
      <w:pPr>
        <w:pStyle w:val="BodyText"/>
        <w:spacing w:line="240" w:lineRule="auto" w:before="53"/>
        <w:ind w:left="512"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22</w:t>
      </w:r>
      <w:r>
        <w:rPr>
          <w:spacing w:val="-4"/>
        </w:rPr>
        <w:t>日，公司完成了股权激励限制性股票的授予登记工作（详见</w:t>
      </w:r>
      <w:r>
        <w:rPr>
          <w:rFonts w:ascii="Times New Roman" w:hAnsi="Times New Roman" w:cs="Times New Roman" w:eastAsia="Times New Roman" w:hint="default"/>
          <w:spacing w:val="-4"/>
        </w:rPr>
        <w:t>2017-040</w:t>
      </w:r>
      <w:r>
        <w:rPr>
          <w:spacing w:val="-4"/>
        </w:rPr>
        <w:t>号公告），公司总股本增加至</w:t>
      </w:r>
      <w:r>
        <w:rPr>
          <w:rFonts w:ascii="Times New Roman" w:hAnsi="Times New Roman" w:cs="Times New Roman" w:eastAsia="Times New Roman" w:hint="default"/>
          <w:spacing w:val="-4"/>
        </w:rPr>
        <w:t>41,676.03</w:t>
      </w:r>
      <w:r>
        <w:rPr>
          <w:rFonts w:ascii="Times New Roman" w:hAnsi="Times New Roman" w:cs="Times New Roman" w:eastAsia="Times New Roman" w:hint="default"/>
        </w:rPr>
      </w:r>
    </w:p>
    <w:p>
      <w:pPr>
        <w:pStyle w:val="BodyText"/>
        <w:spacing w:line="240" w:lineRule="auto" w:before="62"/>
        <w:ind w:right="150"/>
        <w:jc w:val="left"/>
      </w:pPr>
      <w:r>
        <w:rPr/>
        <w:t>万股。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150"/>
        <w:jc w:val="left"/>
      </w:pPr>
      <w:r>
        <w:rPr/>
        <w:t>股份变动的批准情况</w:t>
      </w:r>
    </w:p>
    <w:p>
      <w:pPr>
        <w:pStyle w:val="BodyText"/>
        <w:spacing w:line="338" w:lineRule="auto" w:before="117"/>
        <w:ind w:left="512" w:right="7434" w:hanging="360"/>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一、首次公开发行</w:t>
      </w:r>
      <w:r>
        <w:rPr>
          <w:rFonts w:ascii="宋体" w:hAnsi="宋体" w:cs="宋体" w:eastAsia="宋体" w:hint="default"/>
        </w:rPr>
        <w:t> </w:t>
      </w:r>
    </w:p>
    <w:p>
      <w:pPr>
        <w:spacing w:after="0" w:line="338" w:lineRule="auto"/>
        <w:jc w:val="left"/>
        <w:rPr>
          <w:rFonts w:ascii="宋体" w:hAnsi="宋体" w:cs="宋体" w:eastAsia="宋体" w:hint="default"/>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84" w:firstLine="360"/>
        <w:jc w:val="left"/>
        <w:rPr>
          <w:rFonts w:ascii="宋体" w:hAnsi="宋体" w:cs="宋体" w:eastAsia="宋体" w:hint="default"/>
        </w:rPr>
      </w:pPr>
      <w:r>
        <w:rPr/>
        <w:t>公司经中国证券监督管理委员会“证监许可</w:t>
      </w:r>
      <w:r>
        <w:rPr>
          <w:rFonts w:ascii="宋体" w:hAnsi="宋体" w:cs="宋体" w:eastAsia="宋体" w:hint="default"/>
        </w:rPr>
        <w:t>[2017]1101</w:t>
      </w:r>
      <w:r>
        <w:rPr/>
        <w:t>”文核准，深圳证券交易所“深证上</w:t>
      </w:r>
      <w:r>
        <w:rPr>
          <w:rFonts w:ascii="宋体" w:hAnsi="宋体" w:cs="宋体" w:eastAsia="宋体" w:hint="default"/>
        </w:rPr>
        <w:t>[2017]469</w:t>
      </w:r>
      <w:r>
        <w:rPr/>
        <w:t>号”文同意，首 次向社会公开发行人民币普通股（</w:t>
      </w:r>
      <w:r>
        <w:rPr>
          <w:rFonts w:ascii="宋体" w:hAnsi="宋体" w:cs="宋体" w:eastAsia="宋体" w:hint="default"/>
        </w:rPr>
        <w:t>A</w:t>
      </w:r>
      <w:r>
        <w:rPr>
          <w:rFonts w:ascii="宋体" w:hAnsi="宋体" w:cs="宋体" w:eastAsia="宋体" w:hint="default"/>
          <w:spacing w:val="-5"/>
        </w:rPr>
        <w:t> </w:t>
      </w:r>
      <w:r>
        <w:rPr/>
        <w:t>股）</w:t>
      </w:r>
      <w:r>
        <w:rPr>
          <w:rFonts w:ascii="宋体" w:hAnsi="宋体" w:cs="宋体" w:eastAsia="宋体" w:hint="default"/>
        </w:rPr>
        <w:t>4,500</w:t>
      </w:r>
      <w:r>
        <w:rPr/>
        <w:t>万股，公司股本总额从</w:t>
      </w:r>
      <w:r>
        <w:rPr>
          <w:rFonts w:ascii="宋体" w:hAnsi="宋体" w:cs="宋体" w:eastAsia="宋体" w:hint="default"/>
        </w:rPr>
        <w:t>36,000</w:t>
      </w:r>
      <w:r>
        <w:rPr/>
        <w:t>万股变更为</w:t>
      </w:r>
      <w:r>
        <w:rPr>
          <w:rFonts w:ascii="宋体" w:hAnsi="宋体" w:cs="宋体" w:eastAsia="宋体" w:hint="default"/>
        </w:rPr>
        <w:t>40,500</w:t>
      </w:r>
      <w:r>
        <w:rPr/>
        <w:t>万股。</w:t>
      </w:r>
      <w:r>
        <w:rPr>
          <w:rFonts w:ascii="宋体" w:hAnsi="宋体" w:cs="宋体" w:eastAsia="宋体" w:hint="default"/>
        </w:rPr>
        <w:t> </w:t>
      </w:r>
    </w:p>
    <w:p>
      <w:pPr>
        <w:pStyle w:val="BodyText"/>
        <w:spacing w:line="240" w:lineRule="auto" w:before="59"/>
        <w:ind w:left="512" w:right="189"/>
        <w:jc w:val="left"/>
      </w:pPr>
      <w:r>
        <w:rPr/>
        <w:t>二、股权激励限制性股票</w:t>
      </w:r>
    </w:p>
    <w:p>
      <w:pPr>
        <w:pStyle w:val="BodyText"/>
        <w:spacing w:line="312" w:lineRule="auto" w:before="115"/>
        <w:ind w:right="189"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日，公司第二届董事会第五次会议审议通过了《关于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2017</w:t>
      </w:r>
      <w:r>
        <w:rPr/>
        <w:t>年度限制性股票激 </w:t>
      </w:r>
      <w:r>
        <w:rPr>
          <w:spacing w:val="-1"/>
        </w:rPr>
        <w:t>励计划（草案）</w:t>
      </w:r>
      <w:r>
        <w:rPr>
          <w:rFonts w:ascii="Times New Roman" w:hAnsi="Times New Roman" w:cs="Times New Roman" w:eastAsia="Times New Roman" w:hint="default"/>
          <w:spacing w:val="-1"/>
        </w:rPr>
        <w:t>&gt;</w:t>
      </w:r>
      <w:r>
        <w:rPr>
          <w:spacing w:val="-1"/>
        </w:rPr>
        <w:t>及其摘要的议案》、《关于</w:t>
      </w:r>
      <w:r>
        <w:rPr>
          <w:rFonts w:ascii="Times New Roman" w:hAnsi="Times New Roman" w:cs="Times New Roman" w:eastAsia="Times New Roman" w:hint="default"/>
          <w:spacing w:val="-1"/>
        </w:rPr>
        <w:t>&lt;</w:t>
      </w:r>
      <w:r>
        <w:rPr>
          <w:spacing w:val="-1"/>
        </w:rPr>
        <w:t>朗新科技股份有限公司</w:t>
      </w:r>
      <w:r>
        <w:rPr>
          <w:rFonts w:ascii="Times New Roman" w:hAnsi="Times New Roman" w:cs="Times New Roman" w:eastAsia="Times New Roman" w:hint="default"/>
          <w:spacing w:val="-1"/>
        </w:rPr>
        <w:t>2017</w:t>
      </w:r>
      <w:r>
        <w:rPr>
          <w:spacing w:val="-1"/>
        </w:rPr>
        <w:t>年度限制性股票激励计划实施考核管理办法</w:t>
      </w:r>
      <w:r>
        <w:rPr>
          <w:rFonts w:ascii="Times New Roman" w:hAnsi="Times New Roman" w:cs="Times New Roman" w:eastAsia="Times New Roman" w:hint="default"/>
          <w:spacing w:val="-1"/>
        </w:rPr>
        <w:t>&gt;</w:t>
      </w:r>
      <w:r>
        <w:rPr>
          <w:spacing w:val="-1"/>
        </w:rPr>
        <w:t>的议</w:t>
      </w:r>
      <w:r>
        <w:rPr>
          <w:spacing w:val="-63"/>
        </w:rPr>
        <w:t> </w:t>
      </w:r>
      <w:r>
        <w:rPr>
          <w:spacing w:val="-2"/>
        </w:rPr>
        <w:t>案》、《关于提请股东大会授权董事会办理限制性股票激励相关事宜的议案》，公司第二届监事会第四次会议审议通过上述</w:t>
      </w:r>
      <w:r>
        <w:rPr>
          <w:spacing w:val="-65"/>
        </w:rPr>
        <w:t> </w:t>
      </w:r>
      <w:r>
        <w:rPr>
          <w:spacing w:val="-65"/>
        </w:rPr>
      </w:r>
      <w:r>
        <w:rPr>
          <w:spacing w:val="-2"/>
        </w:rPr>
        <w:t>议案。公司已对激励对象名单在公司内部进行了公示，公示期满后，监事会对本次股权激励计划授予激励对象名单进行了核</w:t>
      </w:r>
      <w:r>
        <w:rPr>
          <w:spacing w:val="-63"/>
        </w:rPr>
        <w:t> </w:t>
      </w:r>
      <w:r>
        <w:rPr>
          <w:spacing w:val="-63"/>
        </w:rPr>
      </w:r>
      <w:r>
        <w:rPr>
          <w:spacing w:val="-2"/>
        </w:rPr>
        <w:t>查并对公示情况进行了说明，公司独立董事就本次股权激励计划是否有利于公司的持续发展及是否存在损害公司及全体股东</w:t>
      </w:r>
      <w:r>
        <w:rPr>
          <w:spacing w:val="-64"/>
        </w:rPr>
        <w:t> </w:t>
      </w:r>
      <w:r>
        <w:rPr>
          <w:spacing w:val="-64"/>
        </w:rPr>
      </w:r>
      <w:r>
        <w:rPr/>
        <w:t>利益的情形发表了独立意见。</w:t>
      </w:r>
    </w:p>
    <w:p>
      <w:pPr>
        <w:pStyle w:val="BodyText"/>
        <w:spacing w:line="240" w:lineRule="auto" w:before="63"/>
        <w:ind w:left="512" w:right="18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日，公司第二届董事会第五次会议审议通过了《关于召开</w:t>
      </w:r>
      <w:r>
        <w:rPr>
          <w:rFonts w:ascii="Times New Roman" w:hAnsi="Times New Roman" w:cs="Times New Roman" w:eastAsia="Times New Roman" w:hint="default"/>
        </w:rPr>
        <w:t>2017</w:t>
      </w:r>
      <w:r>
        <w:rPr/>
        <w:t>年第二次临时股东大会的议案》。</w:t>
      </w:r>
    </w:p>
    <w:p>
      <w:pPr>
        <w:pStyle w:val="BodyText"/>
        <w:spacing w:line="300" w:lineRule="auto" w:before="103"/>
        <w:ind w:right="189"/>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日，公司</w:t>
      </w:r>
      <w:r>
        <w:rPr>
          <w:rFonts w:ascii="Times New Roman" w:hAnsi="Times New Roman" w:cs="Times New Roman" w:eastAsia="Times New Roman" w:hint="default"/>
          <w:spacing w:val="-1"/>
        </w:rPr>
        <w:t>2017</w:t>
      </w:r>
      <w:r>
        <w:rPr>
          <w:spacing w:val="-1"/>
        </w:rPr>
        <w:t>年第二次临时股东大会审议并通过了《关于</w:t>
      </w:r>
      <w:r>
        <w:rPr>
          <w:rFonts w:ascii="Times New Roman" w:hAnsi="Times New Roman" w:cs="Times New Roman" w:eastAsia="Times New Roman" w:hint="default"/>
          <w:spacing w:val="-1"/>
        </w:rPr>
        <w:t>&lt;</w:t>
      </w:r>
      <w:r>
        <w:rPr>
          <w:spacing w:val="-1"/>
        </w:rPr>
        <w:t>朗新科技股份有限公司</w:t>
      </w:r>
      <w:r>
        <w:rPr>
          <w:rFonts w:ascii="Times New Roman" w:hAnsi="Times New Roman" w:cs="Times New Roman" w:eastAsia="Times New Roman" w:hint="default"/>
          <w:spacing w:val="-1"/>
        </w:rPr>
        <w:t>2017</w:t>
      </w:r>
      <w:r>
        <w:rPr>
          <w:spacing w:val="-1"/>
        </w:rPr>
        <w:t>年度限制性股票激励</w:t>
      </w:r>
      <w:r>
        <w:rPr>
          <w:spacing w:val="-40"/>
        </w:rPr>
        <w:t> </w:t>
      </w:r>
      <w:r>
        <w:rPr>
          <w:spacing w:val="-40"/>
        </w:rPr>
      </w:r>
      <w:r>
        <w:rPr>
          <w:spacing w:val="-7"/>
        </w:rPr>
        <w:t>计划（草案）</w:t>
      </w:r>
      <w:r>
        <w:rPr>
          <w:rFonts w:ascii="Times New Roman" w:hAnsi="Times New Roman" w:cs="Times New Roman" w:eastAsia="Times New Roman" w:hint="default"/>
          <w:spacing w:val="-7"/>
        </w:rPr>
        <w:t>&gt;</w:t>
      </w:r>
      <w:r>
        <w:rPr>
          <w:spacing w:val="-7"/>
        </w:rPr>
        <w:t>及其摘要的议案》、《关于</w:t>
      </w:r>
      <w:r>
        <w:rPr>
          <w:rFonts w:ascii="Times New Roman" w:hAnsi="Times New Roman" w:cs="Times New Roman" w:eastAsia="Times New Roman" w:hint="default"/>
          <w:spacing w:val="-7"/>
        </w:rPr>
        <w:t>&lt;</w:t>
      </w:r>
      <w:r>
        <w:rPr>
          <w:spacing w:val="-7"/>
        </w:rPr>
        <w:t>朗新科技股份有限公司</w:t>
      </w:r>
      <w:r>
        <w:rPr>
          <w:rFonts w:ascii="Times New Roman" w:hAnsi="Times New Roman" w:cs="Times New Roman" w:eastAsia="Times New Roman" w:hint="default"/>
          <w:spacing w:val="-7"/>
        </w:rPr>
        <w:t>2017</w:t>
      </w:r>
      <w:r>
        <w:rPr>
          <w:spacing w:val="-7"/>
        </w:rPr>
        <w:t>年度限制性股票激励计划实施考核管理办法</w:t>
      </w:r>
      <w:r>
        <w:rPr>
          <w:rFonts w:ascii="Times New Roman" w:hAnsi="Times New Roman" w:cs="Times New Roman" w:eastAsia="Times New Roman" w:hint="default"/>
          <w:spacing w:val="-7"/>
        </w:rPr>
        <w:t>&gt;</w:t>
      </w:r>
      <w:r>
        <w:rPr>
          <w:spacing w:val="-7"/>
        </w:rPr>
        <w:t>的议案》、</w:t>
      </w:r>
    </w:p>
    <w:p>
      <w:pPr>
        <w:pStyle w:val="BodyText"/>
        <w:spacing w:line="300" w:lineRule="auto" w:before="13"/>
        <w:ind w:right="94"/>
        <w:jc w:val="left"/>
      </w:pPr>
      <w:r>
        <w:rPr/>
        <w:t>《关于提请股东大会授权董事会办理限制性股票激励相关事宜的议案》。公司实施</w:t>
      </w:r>
      <w:r>
        <w:rPr>
          <w:rFonts w:ascii="Times New Roman" w:hAnsi="Times New Roman" w:cs="Times New Roman" w:eastAsia="Times New Roman" w:hint="default"/>
        </w:rPr>
        <w:t>2017</w:t>
      </w:r>
      <w:r>
        <w:rPr/>
        <w:t>年度限制性股票激励计划获得批准，</w:t>
      </w:r>
      <w:r>
        <w:rPr>
          <w:spacing w:val="-84"/>
        </w:rPr>
        <w:t> </w:t>
      </w:r>
      <w:r>
        <w:rPr>
          <w:spacing w:val="-84"/>
        </w:rPr>
      </w:r>
      <w:r>
        <w:rPr/>
        <w:t>董事会被授权确定授予日、在激励对象符合条件时向激励对象授予限制性股票，并办理授予所必需的全部事宜。</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right="189"/>
        <w:jc w:val="left"/>
      </w:pPr>
      <w:r>
        <w:rPr/>
        <w:t>股份变动的过户情况</w:t>
      </w:r>
    </w:p>
    <w:p>
      <w:pPr>
        <w:pStyle w:val="BodyText"/>
        <w:spacing w:line="338" w:lineRule="auto" w:before="117"/>
        <w:ind w:left="512" w:right="801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一、首次公开发行</w:t>
      </w:r>
    </w:p>
    <w:p>
      <w:pPr>
        <w:pStyle w:val="BodyText"/>
        <w:spacing w:line="297" w:lineRule="auto" w:before="125"/>
        <w:ind w:right="189" w:firstLine="419"/>
        <w:jc w:val="left"/>
      </w:pPr>
      <w:r>
        <w:rPr>
          <w:spacing w:val="-1"/>
        </w:rPr>
        <w:t>公司公开发行前的</w:t>
      </w:r>
      <w:r>
        <w:rPr>
          <w:rFonts w:ascii="Times New Roman" w:hAnsi="Times New Roman" w:cs="Times New Roman" w:eastAsia="Times New Roman" w:hint="default"/>
          <w:spacing w:val="-1"/>
        </w:rPr>
        <w:t>36,000</w:t>
      </w:r>
      <w:r>
        <w:rPr>
          <w:spacing w:val="-1"/>
        </w:rPr>
        <w:t>万股及首次公开发行的</w:t>
      </w:r>
      <w:r>
        <w:rPr>
          <w:rFonts w:ascii="Times New Roman" w:hAnsi="Times New Roman" w:cs="Times New Roman" w:eastAsia="Times New Roman" w:hint="default"/>
          <w:spacing w:val="-1"/>
        </w:rPr>
        <w:t>4,500</w:t>
      </w:r>
      <w:r>
        <w:rPr>
          <w:spacing w:val="-1"/>
        </w:rPr>
        <w:t>万股，总股本合计</w:t>
      </w:r>
      <w:r>
        <w:rPr>
          <w:rFonts w:ascii="Times New Roman" w:hAnsi="Times New Roman" w:cs="Times New Roman" w:eastAsia="Times New Roman" w:hint="default"/>
          <w:spacing w:val="-1"/>
        </w:rPr>
        <w:t>40,500</w:t>
      </w:r>
      <w:r>
        <w:rPr>
          <w:spacing w:val="-1"/>
        </w:rPr>
        <w:t>万股已于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27</w:t>
      </w:r>
      <w:r>
        <w:rPr>
          <w:spacing w:val="-1"/>
        </w:rPr>
        <w:t>日在中国证券登记</w:t>
      </w:r>
      <w:r>
        <w:rPr/>
        <w:t> 结算有限责任公司深圳分公司完成证券登记手续。</w:t>
      </w:r>
    </w:p>
    <w:p>
      <w:pPr>
        <w:pStyle w:val="BodyText"/>
        <w:spacing w:line="240" w:lineRule="auto" w:before="153"/>
        <w:ind w:left="512" w:right="189"/>
        <w:jc w:val="left"/>
      </w:pPr>
      <w:r>
        <w:rPr/>
        <w:t>二、股权激励限制性股票</w:t>
      </w:r>
    </w:p>
    <w:p>
      <w:pPr>
        <w:pStyle w:val="BodyText"/>
        <w:spacing w:line="309" w:lineRule="auto" w:before="117"/>
        <w:ind w:right="191"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日，公司第二届董事会第七次会议和第二届监事会第六次会议审议通过了《关于调整</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年度限制性 </w:t>
      </w:r>
      <w:r>
        <w:rPr>
          <w:spacing w:val="-2"/>
        </w:rPr>
        <w:t>股票激励计划激励对象名单及授予权益数量的议案》、《关于向激励对象授予限制性股票的议案》。公司独立董事对此发表</w:t>
      </w:r>
      <w:r>
        <w:rPr>
          <w:spacing w:val="-65"/>
        </w:rPr>
        <w:t> </w:t>
      </w:r>
      <w:r>
        <w:rPr>
          <w:spacing w:val="-65"/>
        </w:rPr>
      </w:r>
      <w:r>
        <w:rPr/>
        <w:t>了独立意见，认为激励对象主体资格合法、有效，确定的授予日符合相关规定。</w:t>
      </w:r>
    </w:p>
    <w:p>
      <w:pPr>
        <w:pStyle w:val="BodyText"/>
        <w:spacing w:line="240" w:lineRule="auto" w:before="65"/>
        <w:ind w:left="512" w:right="9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、在确定授予日后的资金缴纳、股份登记过程中，有</w:t>
      </w:r>
      <w:r>
        <w:rPr>
          <w:rFonts w:ascii="Times New Roman" w:hAnsi="Times New Roman" w:cs="Times New Roman" w:eastAsia="Times New Roman" w:hint="default"/>
        </w:rPr>
        <w:t>66</w:t>
      </w:r>
      <w:r>
        <w:rPr/>
        <w:t>名激励对象因个人原因自动放弃认购其对应的限制性股票</w:t>
      </w:r>
      <w:r>
        <w:rPr>
          <w:rFonts w:ascii="Times New Roman" w:hAnsi="Times New Roman" w:cs="Times New Roman" w:eastAsia="Times New Roman" w:hint="default"/>
        </w:rPr>
        <w:t>37.97</w:t>
      </w:r>
    </w:p>
    <w:p>
      <w:pPr>
        <w:pStyle w:val="BodyText"/>
        <w:spacing w:line="240" w:lineRule="auto" w:before="62"/>
        <w:ind w:right="189"/>
        <w:jc w:val="left"/>
      </w:pPr>
      <w:r>
        <w:rPr/>
        <w:t>万股，因而公司本次限制性股票实际授予对象为</w:t>
      </w:r>
      <w:r>
        <w:rPr>
          <w:rFonts w:ascii="Times New Roman" w:hAnsi="Times New Roman" w:cs="Times New Roman" w:eastAsia="Times New Roman" w:hint="default"/>
        </w:rPr>
        <w:t>334</w:t>
      </w:r>
      <w:r>
        <w:rPr/>
        <w:t>人，实际授予数量为</w:t>
      </w:r>
      <w:r>
        <w:rPr>
          <w:rFonts w:ascii="Times New Roman" w:hAnsi="Times New Roman" w:cs="Times New Roman" w:eastAsia="Times New Roman" w:hint="default"/>
        </w:rPr>
        <w:t>1176.03</w:t>
      </w:r>
      <w:r>
        <w:rPr/>
        <w:t>万股。</w:t>
      </w:r>
    </w:p>
    <w:p>
      <w:pPr>
        <w:pStyle w:val="BodyText"/>
        <w:spacing w:line="240" w:lineRule="auto" w:before="101"/>
        <w:ind w:left="512" w:right="9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日，公司</w:t>
      </w:r>
      <w:r>
        <w:rPr>
          <w:rFonts w:ascii="Times New Roman" w:hAnsi="Times New Roman" w:cs="Times New Roman" w:eastAsia="Times New Roman" w:hint="default"/>
        </w:rPr>
        <w:t>2017</w:t>
      </w:r>
      <w:r>
        <w:rPr/>
        <w:t>年限制性股票激励计划授予登记完成，并在中国证监会指定创业板信息披露网站公告了</w:t>
      </w:r>
    </w:p>
    <w:p>
      <w:pPr>
        <w:pStyle w:val="BodyText"/>
        <w:spacing w:line="240" w:lineRule="auto" w:before="62"/>
        <w:ind w:right="189"/>
        <w:jc w:val="left"/>
      </w:pPr>
      <w:r>
        <w:rPr/>
        <w:t>《关于</w:t>
      </w:r>
      <w:r>
        <w:rPr>
          <w:rFonts w:ascii="Times New Roman" w:hAnsi="Times New Roman" w:cs="Times New Roman" w:eastAsia="Times New Roman" w:hint="default"/>
        </w:rPr>
        <w:t>2017</w:t>
      </w:r>
      <w:r>
        <w:rPr/>
        <w:t>年度限制性股票授予登记完成公告》，并于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日上市。</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189"/>
        <w:jc w:val="left"/>
      </w:pPr>
      <w:r>
        <w:rPr/>
        <w:t>股份变动对最近一年和最近一期基本每股收益和稀释每股收益、归属于公司普通股股东的每股净资产等财务指标的影响</w:t>
      </w:r>
    </w:p>
    <w:p>
      <w:pPr>
        <w:pStyle w:val="BodyText"/>
        <w:spacing w:line="240" w:lineRule="auto" w:before="115"/>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279" w:firstLine="360"/>
        <w:jc w:val="left"/>
      </w:pPr>
      <w:r>
        <w:rPr/>
        <w:t>报告期内，公司完成了公开发行及限制性股票授予登记工作，截至 </w:t>
      </w:r>
      <w:r>
        <w:rPr>
          <w:rFonts w:ascii="Times New Roman" w:hAnsi="Times New Roman" w:cs="Times New Roman" w:eastAsia="Times New Roman" w:hint="default"/>
        </w:rPr>
        <w:t>2017</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日，公司总股本较上市时（</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360,000,000</w:t>
      </w:r>
      <w:r>
        <w:rPr/>
        <w:t>股增加了</w:t>
      </w:r>
      <w:r>
        <w:rPr>
          <w:rFonts w:ascii="Times New Roman" w:hAnsi="Times New Roman" w:cs="Times New Roman" w:eastAsia="Times New Roman" w:hint="default"/>
        </w:rPr>
        <w:t>56,760,300</w:t>
      </w:r>
      <w:r>
        <w:rPr/>
        <w:t>股，将摊薄公司每股收益与每股净资产。</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189"/>
        <w:jc w:val="left"/>
      </w:pPr>
      <w:r>
        <w:rPr/>
        <w:t>公司认为必要或证券监管机构要求披露的其他内容</w:t>
      </w:r>
    </w:p>
    <w:p>
      <w:pPr>
        <w:pStyle w:val="BodyText"/>
        <w:spacing w:line="240" w:lineRule="auto" w:before="117"/>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89"/>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93"/>
        <w:jc w:val="right"/>
      </w:pPr>
      <w:r>
        <w:rPr/>
        <w:t>单位：股</w:t>
      </w:r>
    </w:p>
    <w:p>
      <w:pPr>
        <w:spacing w:after="0" w:line="240" w:lineRule="auto"/>
        <w:jc w:val="right"/>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3"/>
        <w:gridCol w:w="1368"/>
        <w:gridCol w:w="1368"/>
        <w:gridCol w:w="1370"/>
        <w:gridCol w:w="1368"/>
        <w:gridCol w:w="1370"/>
        <w:gridCol w:w="1361"/>
      </w:tblGrid>
      <w:tr>
        <w:trPr>
          <w:trHeight w:val="713" w:hRule="exact"/>
        </w:trPr>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96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股权激励对象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11,760,300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11,760,300</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97" w:lineRule="auto"/>
              <w:ind w:left="23"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票激励计划</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300" w:lineRule="auto" w:before="60"/>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日解禁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300" w:lineRule="auto" w:before="13"/>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日解禁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日解禁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11,760,300</w:t>
            </w:r>
            <w:r>
              <w:rPr>
                <w:rFonts w:ascii="Times New Roman"/>
                <w:sz w:val="18"/>
              </w:rPr>
            </w:r>
          </w:p>
        </w:tc>
        <w:tc>
          <w:tcPr>
            <w:tcW w:w="1368"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11,760,300</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5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1"/>
        <w:gridCol w:w="1294"/>
        <w:gridCol w:w="1296"/>
        <w:gridCol w:w="1294"/>
        <w:gridCol w:w="1296"/>
        <w:gridCol w:w="1296"/>
        <w:gridCol w:w="1682"/>
      </w:tblGrid>
      <w:tr>
        <w:trPr>
          <w:trHeight w:val="714" w:hRule="exact"/>
        </w:trPr>
        <w:tc>
          <w:tcPr>
            <w:tcW w:w="14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公开发行</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股权激励限制性 股票</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11,760,300</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11,760,300</w:t>
            </w:r>
            <w:r>
              <w:rPr>
                <w:rFonts w:ascii="Times New Roman"/>
                <w:sz w:val="18"/>
              </w:rPr>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0"/>
        <w:ind w:right="150"/>
        <w:jc w:val="left"/>
      </w:pPr>
      <w:r>
        <w:rPr/>
        <w:t>报告期内证券发行（不含优先股）情况的说明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报告期内，公司股份总数及股东结构均发生了变化。股份总数及股东结构的变化情况见本节</w:t>
      </w:r>
      <w:r>
        <w:rPr>
          <w:rFonts w:ascii="Times New Roman" w:hAnsi="Times New Roman" w:cs="Times New Roman" w:eastAsia="Times New Roman" w:hint="default"/>
          <w:spacing w:val="-2"/>
        </w:rPr>
        <w:t>“</w:t>
      </w:r>
      <w:r>
        <w:rPr>
          <w:spacing w:val="-2"/>
        </w:rPr>
        <w:t>一、股份变动情况</w:t>
      </w:r>
      <w:r>
        <w:rPr>
          <w:rFonts w:ascii="Times New Roman" w:hAnsi="Times New Roman" w:cs="Times New Roman" w:eastAsia="Times New Roman" w:hint="default"/>
          <w:spacing w:val="-2"/>
        </w:rPr>
        <w:t>”</w:t>
      </w:r>
      <w:r>
        <w:rPr>
          <w:spacing w:val="-2"/>
        </w:rPr>
        <w:t>。本次发行</w:t>
      </w:r>
      <w:r>
        <w:rPr>
          <w:spacing w:val="-42"/>
        </w:rPr>
        <w:t> </w:t>
      </w:r>
      <w:r>
        <w:rPr>
          <w:spacing w:val="-42"/>
        </w:rPr>
      </w:r>
      <w:r>
        <w:rPr>
          <w:spacing w:val="-2"/>
        </w:rPr>
        <w:t>完成后，公司总资产和净资产相应增加，资产负债率有所下降，公司的资本结构、财务状况得到改善，财务风险降低，公司</w:t>
      </w:r>
      <w:r>
        <w:rPr>
          <w:spacing w:val="-67"/>
        </w:rPr>
        <w:t> </w:t>
      </w:r>
      <w:r>
        <w:rPr>
          <w:spacing w:val="-67"/>
        </w:rPr>
      </w:r>
      <w:r>
        <w:rPr/>
        <w:t>抗风险能力得到提高。</w:t>
      </w:r>
    </w:p>
    <w:p>
      <w:pPr>
        <w:spacing w:line="240" w:lineRule="auto" w:before="9"/>
        <w:rPr>
          <w:rFonts w:ascii="宋体" w:hAnsi="宋体" w:cs="宋体" w:eastAsia="宋体" w:hint="default"/>
          <w:sz w:val="22"/>
          <w:szCs w:val="22"/>
        </w:rPr>
      </w:pPr>
    </w:p>
    <w:p>
      <w:pPr>
        <w:pStyle w:val="Heading3"/>
        <w:spacing w:line="240" w:lineRule="auto"/>
        <w:ind w:right="15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单位：股</w:t>
      </w:r>
    </w:p>
    <w:p>
      <w:pPr>
        <w:spacing w:after="0" w:line="240" w:lineRule="auto"/>
        <w:jc w:val="right"/>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449.159698pt;margin-top:123.239983pt;width:85.7pt;height:31.2pt;mso-position-horizontal-relative:page;mso-position-vertical-relative:page;z-index:-931984"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399994pt;margin-top:123.239983pt;width:52.45pt;height:31.2pt;mso-position-horizontal-relative:page;mso-position-vertical-relative:page;z-index:-931960" coordorigin="9648,2465" coordsize="1049,624">
            <v:shape style="position:absolute;left:9648;top:2465;width:1049;height:624" coordorigin="9648,2465" coordsize="1049,624" path="m9648,3089l10697,3089,10697,2465,9648,2465,9648,308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74"/>
        <w:gridCol w:w="737"/>
        <w:gridCol w:w="744"/>
        <w:gridCol w:w="830"/>
        <w:gridCol w:w="346"/>
        <w:gridCol w:w="444"/>
        <w:gridCol w:w="823"/>
        <w:gridCol w:w="802"/>
        <w:gridCol w:w="322"/>
        <w:gridCol w:w="1027"/>
        <w:gridCol w:w="280"/>
        <w:gridCol w:w="512"/>
        <w:gridCol w:w="557"/>
      </w:tblGrid>
      <w:tr>
        <w:trPr>
          <w:trHeight w:val="161" w:hRule="exact"/>
        </w:trPr>
        <w:tc>
          <w:tcPr>
            <w:tcW w:w="1334" w:type="dxa"/>
            <w:vMerge w:val="restart"/>
            <w:tcBorders>
              <w:top w:val="single" w:sz="4" w:space="0" w:color="000000"/>
              <w:left w:val="single" w:sz="4" w:space="0" w:color="000000"/>
              <w:right w:val="single" w:sz="4" w:space="0" w:color="000000"/>
            </w:tcBorders>
            <w:shd w:val="clear" w:color="auto" w:fill="D4D4D4"/>
          </w:tcPr>
          <w:p>
            <w:pPr/>
          </w:p>
        </w:tc>
        <w:tc>
          <w:tcPr>
            <w:tcW w:w="809" w:type="dxa"/>
            <w:gridSpan w:val="2"/>
            <w:vMerge w:val="restart"/>
            <w:tcBorders>
              <w:top w:val="single" w:sz="4" w:space="0" w:color="000000"/>
              <w:left w:val="single" w:sz="9" w:space="0" w:color="D4D4D4"/>
              <w:right w:val="single" w:sz="10" w:space="0" w:color="D4D4D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18,807</w:t>
            </w:r>
          </w:p>
        </w:tc>
        <w:tc>
          <w:tcPr>
            <w:tcW w:w="1481" w:type="dxa"/>
            <w:gridSpan w:val="2"/>
            <w:vMerge w:val="restart"/>
            <w:tcBorders>
              <w:top w:val="single" w:sz="4" w:space="0" w:color="000000"/>
              <w:left w:val="single" w:sz="4" w:space="0" w:color="000000"/>
              <w:right w:val="single" w:sz="4" w:space="0" w:color="000000"/>
            </w:tcBorders>
            <w:shd w:val="clear" w:color="auto" w:fill="D4D4D4"/>
          </w:tcPr>
          <w:p>
            <w:pPr/>
          </w:p>
        </w:tc>
        <w:tc>
          <w:tcPr>
            <w:tcW w:w="1176" w:type="dxa"/>
            <w:gridSpan w:val="2"/>
            <w:vMerge w:val="restart"/>
            <w:tcBorders>
              <w:top w:val="single" w:sz="4" w:space="0" w:color="000000"/>
              <w:left w:val="single" w:sz="10" w:space="0" w:color="D4D4D4"/>
              <w:right w:val="single" w:sz="10" w:space="0" w:color="D4D4D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19,031</w:t>
            </w:r>
          </w:p>
        </w:tc>
        <w:tc>
          <w:tcPr>
            <w:tcW w:w="1267"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124" w:type="dxa"/>
            <w:gridSpan w:val="2"/>
            <w:vMerge w:val="restart"/>
            <w:tcBorders>
              <w:top w:val="single" w:sz="4" w:space="0" w:color="000000"/>
              <w:left w:val="single" w:sz="10" w:space="0" w:color="D4D4D4"/>
              <w:right w:val="single" w:sz="13" w:space="0" w:color="D4D4D4"/>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2"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4D4D4"/>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tcBorders>
              <w:left w:val="single" w:sz="4" w:space="0" w:color="000000"/>
              <w:bottom w:val="nil" w:sz="6" w:space="0" w:color="auto"/>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2" w:right="-16"/>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bottom w:val="nil" w:sz="6" w:space="0" w:color="auto"/>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4D4D4"/>
              <w:right w:val="single" w:sz="10" w:space="0" w:color="D4D4D4"/>
            </w:tcBorders>
          </w:tcPr>
          <w:p>
            <w:pPr/>
          </w:p>
        </w:tc>
        <w:tc>
          <w:tcPr>
            <w:tcW w:w="1481" w:type="dxa"/>
            <w:gridSpan w:val="2"/>
            <w:vMerge/>
            <w:tcBorders>
              <w:left w:val="single" w:sz="4" w:space="0" w:color="000000"/>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4" w:type="dxa"/>
            <w:vMerge w:val="restart"/>
            <w:tcBorders>
              <w:top w:val="nil" w:sz="6" w:space="0" w:color="auto"/>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tcBorders>
              <w:left w:val="single" w:sz="4" w:space="0" w:color="000000"/>
              <w:bottom w:val="nil" w:sz="6" w:space="0" w:color="auto"/>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val="restart"/>
            <w:tcBorders>
              <w:top w:val="nil" w:sz="6" w:space="0" w:color="auto"/>
              <w:left w:val="single" w:sz="4" w:space="0" w:color="000000"/>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bottom w:val="nil" w:sz="6" w:space="0" w:color="auto"/>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8" w:hRule="exact"/>
        </w:trPr>
        <w:tc>
          <w:tcPr>
            <w:tcW w:w="1334" w:type="dxa"/>
            <w:vMerge/>
            <w:tcBorders>
              <w:left w:val="single" w:sz="4" w:space="0" w:color="000000"/>
              <w:bottom w:val="single" w:sz="4" w:space="0" w:color="000000"/>
              <w:right w:val="single" w:sz="4" w:space="0" w:color="000000"/>
            </w:tcBorders>
            <w:shd w:val="clear" w:color="auto" w:fill="D4D4D4"/>
          </w:tcPr>
          <w:p>
            <w:pPr/>
          </w:p>
        </w:tc>
        <w:tc>
          <w:tcPr>
            <w:tcW w:w="809" w:type="dxa"/>
            <w:gridSpan w:val="2"/>
            <w:vMerge/>
            <w:tcBorders>
              <w:left w:val="single" w:sz="9" w:space="0" w:color="D4D4D4"/>
              <w:bottom w:val="single" w:sz="4" w:space="0" w:color="000000"/>
              <w:right w:val="single" w:sz="10" w:space="0" w:color="D4D4D4"/>
            </w:tcBorders>
          </w:tcPr>
          <w:p>
            <w:pPr/>
          </w:p>
        </w:tc>
        <w:tc>
          <w:tcPr>
            <w:tcW w:w="1481" w:type="dxa"/>
            <w:gridSpan w:val="2"/>
            <w:vMerge/>
            <w:tcBorders>
              <w:left w:val="single" w:sz="4" w:space="0" w:color="000000"/>
              <w:bottom w:val="single" w:sz="4" w:space="0" w:color="000000"/>
              <w:right w:val="single" w:sz="4" w:space="0" w:color="000000"/>
            </w:tcBorders>
            <w:shd w:val="clear" w:color="auto" w:fill="D4D4D4"/>
          </w:tcPr>
          <w:p>
            <w:pPr/>
          </w:p>
        </w:tc>
        <w:tc>
          <w:tcPr>
            <w:tcW w:w="1176" w:type="dxa"/>
            <w:gridSpan w:val="2"/>
            <w:vMerge/>
            <w:tcBorders>
              <w:left w:val="single" w:sz="10" w:space="0" w:color="D4D4D4"/>
              <w:bottom w:val="single" w:sz="4" w:space="0" w:color="000000"/>
              <w:right w:val="single" w:sz="10" w:space="0" w:color="D4D4D4"/>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124" w:type="dxa"/>
            <w:gridSpan w:val="2"/>
            <w:vMerge/>
            <w:tcBorders>
              <w:left w:val="single" w:sz="10" w:space="0" w:color="D4D4D4"/>
              <w:bottom w:val="single" w:sz="4" w:space="0" w:color="000000"/>
              <w:right w:val="single" w:sz="13" w:space="0" w:color="D4D4D4"/>
            </w:tcBorders>
          </w:tcPr>
          <w:p>
            <w:pPr/>
          </w:p>
        </w:tc>
        <w:tc>
          <w:tcPr>
            <w:tcW w:w="1307" w:type="dxa"/>
            <w:gridSpan w:val="2"/>
            <w:vMerge/>
            <w:tcBorders>
              <w:left w:val="single" w:sz="4" w:space="0" w:color="000000"/>
              <w:bottom w:val="single" w:sz="4" w:space="0" w:color="000000"/>
              <w:right w:val="single" w:sz="4" w:space="0" w:color="000000"/>
            </w:tcBorders>
            <w:shd w:val="clear" w:color="auto" w:fill="D4D4D4"/>
          </w:tcPr>
          <w:p>
            <w:pPr/>
          </w:p>
        </w:tc>
        <w:tc>
          <w:tcPr>
            <w:tcW w:w="512" w:type="dxa"/>
            <w:vMerge/>
            <w:tcBorders>
              <w:left w:val="single" w:sz="12" w:space="0" w:color="D4D4D4"/>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6" w:type="dxa"/>
            <w:gridSpan w:val="1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4D4D4"/>
          </w:tcPr>
          <w:p>
            <w:pPr/>
          </w:p>
        </w:tc>
        <w:tc>
          <w:tcPr>
            <w:tcW w:w="1411" w:type="dxa"/>
            <w:gridSpan w:val="2"/>
            <w:vMerge w:val="restart"/>
            <w:tcBorders>
              <w:top w:val="single" w:sz="4" w:space="0" w:color="000000"/>
              <w:left w:val="single" w:sz="4" w:space="0" w:color="000000"/>
              <w:right w:val="single" w:sz="4" w:space="0" w:color="000000"/>
            </w:tcBorders>
            <w:shd w:val="clear" w:color="auto" w:fill="D4D4D4"/>
          </w:tcPr>
          <w:p>
            <w:pPr/>
          </w:p>
        </w:tc>
        <w:tc>
          <w:tcPr>
            <w:tcW w:w="744" w:type="dxa"/>
            <w:vMerge w:val="restart"/>
            <w:tcBorders>
              <w:top w:val="single" w:sz="4" w:space="0" w:color="000000"/>
              <w:left w:val="single" w:sz="4" w:space="0" w:color="000000"/>
              <w:right w:val="single" w:sz="4" w:space="0" w:color="000000"/>
            </w:tcBorders>
            <w:shd w:val="clear" w:color="auto" w:fill="D4D4D4"/>
          </w:tcPr>
          <w:p>
            <w:pPr/>
          </w:p>
        </w:tc>
        <w:tc>
          <w:tcPr>
            <w:tcW w:w="830" w:type="dxa"/>
            <w:tcBorders>
              <w:top w:val="single" w:sz="4" w:space="0" w:color="000000"/>
              <w:left w:val="single" w:sz="4" w:space="0" w:color="000000"/>
              <w:bottom w:val="nil" w:sz="6" w:space="0" w:color="auto"/>
              <w:right w:val="single" w:sz="4" w:space="0" w:color="000000"/>
            </w:tcBorders>
            <w:shd w:val="clear" w:color="auto" w:fill="D4D4D4"/>
          </w:tcPr>
          <w:p>
            <w:pPr/>
          </w:p>
        </w:tc>
        <w:tc>
          <w:tcPr>
            <w:tcW w:w="79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4D4D4"/>
          </w:tcPr>
          <w:p>
            <w:pPr/>
          </w:p>
        </w:tc>
        <w:tc>
          <w:tcPr>
            <w:tcW w:w="1411" w:type="dxa"/>
            <w:gridSpan w:val="2"/>
            <w:vMerge/>
            <w:tcBorders>
              <w:left w:val="single" w:sz="4" w:space="0" w:color="000000"/>
              <w:bottom w:val="nil" w:sz="6" w:space="0" w:color="auto"/>
              <w:right w:val="single" w:sz="4" w:space="0" w:color="000000"/>
            </w:tcBorders>
            <w:shd w:val="clear" w:color="auto" w:fill="D4D4D4"/>
          </w:tcPr>
          <w:p>
            <w:pPr/>
          </w:p>
        </w:tc>
        <w:tc>
          <w:tcPr>
            <w:tcW w:w="744" w:type="dxa"/>
            <w:vMerge/>
            <w:tcBorders>
              <w:left w:val="single" w:sz="4" w:space="0" w:color="000000"/>
              <w:bottom w:val="nil" w:sz="6" w:space="0" w:color="auto"/>
              <w:right w:val="single" w:sz="4" w:space="0" w:color="000000"/>
            </w:tcBorders>
            <w:shd w:val="clear" w:color="auto" w:fill="D4D4D4"/>
          </w:tcPr>
          <w:p>
            <w:pPr/>
          </w:p>
        </w:tc>
        <w:tc>
          <w:tcPr>
            <w:tcW w:w="83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72"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2698" w:type="dxa"/>
            <w:gridSpan w:val="5"/>
            <w:vMerge/>
            <w:tcBorders>
              <w:left w:val="single" w:sz="4" w:space="0" w:color="000000"/>
              <w:right w:val="single" w:sz="4" w:space="0" w:color="000000"/>
            </w:tcBorders>
            <w:shd w:val="clear" w:color="auto" w:fill="D4D4D4"/>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2698" w:type="dxa"/>
            <w:gridSpan w:val="5"/>
            <w:vMerge/>
            <w:tcBorders>
              <w:left w:val="single" w:sz="4" w:space="0" w:color="000000"/>
              <w:bottom w:val="single" w:sz="4" w:space="0" w:color="000000"/>
              <w:right w:val="single" w:sz="4" w:space="0" w:color="000000"/>
            </w:tcBorders>
            <w:shd w:val="clear" w:color="auto" w:fill="D4D4D4"/>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4D4D4"/>
          </w:tcPr>
          <w:p>
            <w:pPr/>
          </w:p>
        </w:tc>
        <w:tc>
          <w:tcPr>
            <w:tcW w:w="1411" w:type="dxa"/>
            <w:gridSpan w:val="2"/>
            <w:vMerge/>
            <w:tcBorders>
              <w:left w:val="single" w:sz="4" w:space="0" w:color="000000"/>
              <w:bottom w:val="nil" w:sz="6" w:space="0" w:color="auto"/>
              <w:right w:val="single" w:sz="4" w:space="0" w:color="000000"/>
            </w:tcBorders>
            <w:shd w:val="clear" w:color="auto" w:fill="D4D4D4"/>
          </w:tcPr>
          <w:p>
            <w:pPr/>
          </w:p>
        </w:tc>
        <w:tc>
          <w:tcPr>
            <w:tcW w:w="744" w:type="dxa"/>
            <w:vMerge/>
            <w:tcBorders>
              <w:left w:val="single" w:sz="4" w:space="0" w:color="000000"/>
              <w:bottom w:val="nil" w:sz="6" w:space="0" w:color="auto"/>
              <w:right w:val="single" w:sz="4" w:space="0" w:color="000000"/>
            </w:tcBorders>
            <w:shd w:val="clear" w:color="auto" w:fill="D4D4D4"/>
          </w:tcPr>
          <w:p>
            <w:pPr/>
          </w:p>
        </w:tc>
        <w:tc>
          <w:tcPr>
            <w:tcW w:w="830" w:type="dxa"/>
            <w:vMerge/>
            <w:tcBorders>
              <w:left w:val="single" w:sz="4" w:space="0" w:color="000000"/>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134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5"/>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4D4D4"/>
          </w:tcPr>
          <w:p>
            <w:pPr/>
          </w:p>
        </w:tc>
        <w:tc>
          <w:tcPr>
            <w:tcW w:w="1411" w:type="dxa"/>
            <w:gridSpan w:val="2"/>
            <w:vMerge w:val="restart"/>
            <w:tcBorders>
              <w:top w:val="nil" w:sz="6" w:space="0" w:color="auto"/>
              <w:left w:val="single" w:sz="4" w:space="0" w:color="000000"/>
              <w:right w:val="single" w:sz="4" w:space="0" w:color="000000"/>
            </w:tcBorders>
            <w:shd w:val="clear" w:color="auto" w:fill="D4D4D4"/>
          </w:tcPr>
          <w:p>
            <w:pPr/>
          </w:p>
        </w:tc>
        <w:tc>
          <w:tcPr>
            <w:tcW w:w="744" w:type="dxa"/>
            <w:vMerge w:val="restart"/>
            <w:tcBorders>
              <w:top w:val="nil" w:sz="6" w:space="0" w:color="auto"/>
              <w:left w:val="single" w:sz="4" w:space="0" w:color="000000"/>
              <w:right w:val="single" w:sz="4" w:space="0" w:color="000000"/>
            </w:tcBorders>
            <w:shd w:val="clear" w:color="auto" w:fill="D4D4D4"/>
          </w:tcPr>
          <w:p>
            <w:pPr/>
          </w:p>
        </w:tc>
        <w:tc>
          <w:tcPr>
            <w:tcW w:w="830" w:type="dxa"/>
            <w:vMerge/>
            <w:tcBorders>
              <w:left w:val="single" w:sz="4" w:space="0" w:color="000000"/>
              <w:bottom w:val="nil" w:sz="6" w:space="0" w:color="auto"/>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1349" w:type="dxa"/>
            <w:gridSpan w:val="2"/>
            <w:vMerge/>
            <w:tcBorders>
              <w:left w:val="single" w:sz="4" w:space="0" w:color="000000"/>
              <w:right w:val="single" w:sz="4" w:space="0" w:color="000000"/>
            </w:tcBorders>
            <w:shd w:val="clear" w:color="auto" w:fill="D4D4D4"/>
          </w:tcPr>
          <w:p>
            <w:pPr/>
          </w:p>
        </w:tc>
        <w:tc>
          <w:tcPr>
            <w:tcW w:w="1349" w:type="dxa"/>
            <w:gridSpan w:val="3"/>
            <w:vMerge/>
            <w:tcBorders>
              <w:left w:val="single" w:sz="4" w:space="0" w:color="000000"/>
              <w:right w:val="single" w:sz="4" w:space="0" w:color="000000"/>
            </w:tcBorders>
            <w:shd w:val="clear" w:color="auto" w:fill="D4D4D4"/>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4D4D4"/>
          </w:tcPr>
          <w:p>
            <w:pPr/>
          </w:p>
        </w:tc>
        <w:tc>
          <w:tcPr>
            <w:tcW w:w="1411" w:type="dxa"/>
            <w:gridSpan w:val="2"/>
            <w:vMerge/>
            <w:tcBorders>
              <w:left w:val="single" w:sz="4" w:space="0" w:color="000000"/>
              <w:bottom w:val="single" w:sz="4" w:space="0" w:color="000000"/>
              <w:right w:val="single" w:sz="4" w:space="0" w:color="000000"/>
            </w:tcBorders>
            <w:shd w:val="clear" w:color="auto" w:fill="D4D4D4"/>
          </w:tcPr>
          <w:p>
            <w:pPr/>
          </w:p>
        </w:tc>
        <w:tc>
          <w:tcPr>
            <w:tcW w:w="744" w:type="dxa"/>
            <w:vMerge/>
            <w:tcBorders>
              <w:left w:val="single" w:sz="4" w:space="0" w:color="000000"/>
              <w:bottom w:val="single" w:sz="4" w:space="0" w:color="000000"/>
              <w:right w:val="single" w:sz="4" w:space="0" w:color="000000"/>
            </w:tcBorders>
            <w:shd w:val="clear" w:color="auto" w:fill="D4D4D4"/>
          </w:tcPr>
          <w:p>
            <w:pPr/>
          </w:p>
        </w:tc>
        <w:tc>
          <w:tcPr>
            <w:tcW w:w="830" w:type="dxa"/>
            <w:tcBorders>
              <w:top w:val="nil" w:sz="6" w:space="0" w:color="auto"/>
              <w:left w:val="single" w:sz="4" w:space="0" w:color="000000"/>
              <w:bottom w:val="single" w:sz="4" w:space="0" w:color="000000"/>
              <w:right w:val="single" w:sz="4" w:space="0" w:color="000000"/>
            </w:tcBorders>
            <w:shd w:val="clear" w:color="auto" w:fill="D4D4D4"/>
          </w:tcPr>
          <w:p>
            <w:pPr/>
          </w:p>
        </w:tc>
        <w:tc>
          <w:tcPr>
            <w:tcW w:w="790" w:type="dxa"/>
            <w:gridSpan w:val="2"/>
            <w:vMerge/>
            <w:tcBorders>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02" w:type="dxa"/>
            <w:vMerge/>
            <w:tcBorders>
              <w:left w:val="single" w:sz="4" w:space="0" w:color="000000"/>
              <w:bottom w:val="single" w:sz="4" w:space="0" w:color="000000"/>
              <w:right w:val="single" w:sz="4" w:space="0" w:color="000000"/>
            </w:tcBorders>
            <w:shd w:val="clear" w:color="auto" w:fill="D4D4D4"/>
          </w:tcPr>
          <w:p>
            <w:pPr/>
          </w:p>
        </w:tc>
        <w:tc>
          <w:tcPr>
            <w:tcW w:w="1349" w:type="dxa"/>
            <w:gridSpan w:val="2"/>
            <w:vMerge/>
            <w:tcBorders>
              <w:left w:val="single" w:sz="4" w:space="0" w:color="000000"/>
              <w:bottom w:val="single" w:sz="4" w:space="0" w:color="000000"/>
              <w:right w:val="single" w:sz="4" w:space="0" w:color="000000"/>
            </w:tcBorders>
            <w:shd w:val="clear" w:color="auto" w:fill="D4D4D4"/>
          </w:tcPr>
          <w:p>
            <w:pPr/>
          </w:p>
        </w:tc>
        <w:tc>
          <w:tcPr>
            <w:tcW w:w="1349" w:type="dxa"/>
            <w:gridSpan w:val="3"/>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360"/>
              <w:jc w:val="left"/>
              <w:rPr>
                <w:rFonts w:ascii="Times New Roman" w:hAnsi="Times New Roman" w:cs="Times New Roman" w:eastAsia="Times New Roman" w:hint="default"/>
                <w:sz w:val="18"/>
                <w:szCs w:val="18"/>
              </w:rPr>
            </w:pPr>
            <w:r>
              <w:rPr>
                <w:rFonts w:ascii="Times New Roman"/>
                <w:spacing w:val="-7"/>
                <w:sz w:val="18"/>
              </w:rPr>
              <w:t>Yue </w:t>
            </w:r>
            <w:r>
              <w:rPr>
                <w:rFonts w:ascii="Times New Roman"/>
                <w:sz w:val="18"/>
              </w:rPr>
              <w:t>Qi</w:t>
            </w:r>
            <w:r>
              <w:rPr>
                <w:rFonts w:ascii="Times New Roman"/>
                <w:spacing w:val="5"/>
                <w:sz w:val="18"/>
              </w:rPr>
              <w:t> </w:t>
            </w:r>
            <w:r>
              <w:rPr>
                <w:rFonts w:ascii="Times New Roman"/>
                <w:sz w:val="18"/>
              </w:rPr>
              <w:t>Capital</w:t>
            </w:r>
            <w:r>
              <w:rPr>
                <w:rFonts w:ascii="Times New Roman"/>
                <w:sz w:val="18"/>
              </w:rPr>
              <w:t> Limited</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24.02%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100,096,5</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60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5"/>
              <w:jc w:val="right"/>
              <w:rPr>
                <w:rFonts w:ascii="Times New Roman" w:hAnsi="Times New Roman" w:cs="Times New Roman" w:eastAsia="Times New Roman" w:hint="default"/>
                <w:sz w:val="18"/>
                <w:szCs w:val="18"/>
              </w:rPr>
            </w:pPr>
            <w:r>
              <w:rPr>
                <w:rFonts w:ascii="Times New Roman"/>
                <w:spacing w:val="-1"/>
                <w:sz w:val="18"/>
              </w:rPr>
              <w:t>100,096,5</w:t>
            </w:r>
          </w:p>
          <w:p>
            <w:pPr>
              <w:pStyle w:val="TableParagraph"/>
              <w:spacing w:line="240" w:lineRule="auto" w:before="102"/>
              <w:ind w:right="54"/>
              <w:jc w:val="right"/>
              <w:rPr>
                <w:rFonts w:ascii="Times New Roman" w:hAnsi="Times New Roman" w:cs="Times New Roman" w:eastAsia="Times New Roman" w:hint="default"/>
                <w:sz w:val="18"/>
                <w:szCs w:val="18"/>
              </w:rPr>
            </w:pPr>
            <w:r>
              <w:rPr>
                <w:rFonts w:ascii="Times New Roman"/>
                <w:sz w:val="18"/>
              </w:rPr>
              <w:t>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4D4D4"/>
              <w:left w:val="single" w:sz="4" w:space="0" w:color="000000"/>
              <w:bottom w:val="single" w:sz="4" w:space="0" w:color="000000"/>
              <w:right w:val="single" w:sz="4" w:space="0" w:color="000000"/>
            </w:tcBorders>
          </w:tcPr>
          <w:p>
            <w:pPr/>
          </w:p>
        </w:tc>
        <w:tc>
          <w:tcPr>
            <w:tcW w:w="1349" w:type="dxa"/>
            <w:gridSpan w:val="3"/>
            <w:tcBorders>
              <w:top w:val="single" w:sz="48" w:space="0" w:color="D4D4D4"/>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无锡朴华股权投 </w:t>
            </w:r>
            <w:r>
              <w:rPr>
                <w:rFonts w:ascii="宋体" w:hAnsi="宋体" w:cs="宋体" w:eastAsia="宋体" w:hint="default"/>
                <w:spacing w:val="-4"/>
                <w:sz w:val="18"/>
                <w:szCs w:val="18"/>
              </w:rPr>
              <w:t>资合伙企业（有限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20.22%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84,268,44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84,268,44</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55,550,000</w:t>
            </w: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
              <w:jc w:val="both"/>
              <w:rPr>
                <w:rFonts w:ascii="宋体" w:hAnsi="宋体" w:cs="宋体" w:eastAsia="宋体" w:hint="default"/>
                <w:sz w:val="18"/>
                <w:szCs w:val="18"/>
              </w:rPr>
            </w:pPr>
            <w:r>
              <w:rPr>
                <w:rFonts w:ascii="宋体" w:hAnsi="宋体" w:cs="宋体" w:eastAsia="宋体" w:hint="default"/>
                <w:spacing w:val="-4"/>
                <w:sz w:val="18"/>
                <w:szCs w:val="18"/>
              </w:rPr>
              <w:t>国开博裕一期（上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海）股权投资合伙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企业（有限合伙）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12.94%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53,910,00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53,910,00</w:t>
            </w:r>
          </w:p>
          <w:p>
            <w:pPr>
              <w:pStyle w:val="TableParagraph"/>
              <w:spacing w:line="240" w:lineRule="auto" w:before="102"/>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上海云鑫创业投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8.64%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5"/>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无锡群英股权投 </w:t>
            </w:r>
            <w:r>
              <w:rPr>
                <w:rFonts w:ascii="宋体" w:hAnsi="宋体" w:cs="宋体" w:eastAsia="宋体" w:hint="default"/>
                <w:spacing w:val="-4"/>
                <w:sz w:val="18"/>
                <w:szCs w:val="18"/>
              </w:rPr>
              <w:t>资合伙企业（有限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8.10%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33,760,08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33,760,08</w:t>
            </w:r>
          </w:p>
          <w:p>
            <w:pPr>
              <w:pStyle w:val="TableParagraph"/>
              <w:spacing w:line="240" w:lineRule="auto" w:before="102"/>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17,852,300</w:t>
            </w: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天津诚柏股权投 </w:t>
            </w:r>
            <w:r>
              <w:rPr>
                <w:rFonts w:ascii="宋体" w:hAnsi="宋体" w:cs="宋体" w:eastAsia="宋体" w:hint="default"/>
                <w:spacing w:val="-4"/>
                <w:sz w:val="18"/>
                <w:szCs w:val="18"/>
              </w:rPr>
              <w:t>资合伙企业（有限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4.53%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18,868,68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18,868,68</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无锡富赡股权投 </w:t>
            </w:r>
            <w:r>
              <w:rPr>
                <w:rFonts w:ascii="宋体" w:hAnsi="宋体" w:cs="宋体" w:eastAsia="宋体" w:hint="default"/>
                <w:spacing w:val="-4"/>
                <w:sz w:val="18"/>
                <w:szCs w:val="18"/>
              </w:rPr>
              <w:t>资合伙企业（有限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2.26%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9,430,560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9,430,560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无锡羲华投资合 伙企业（有限合 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1.95%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8,143,560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8,143,560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海南华兴合创创 </w:t>
            </w:r>
            <w:r>
              <w:rPr>
                <w:rFonts w:ascii="宋体" w:hAnsi="宋体" w:cs="宋体" w:eastAsia="宋体" w:hint="default"/>
                <w:spacing w:val="-4"/>
                <w:sz w:val="18"/>
                <w:szCs w:val="18"/>
              </w:rPr>
              <w:t>业投资中心（有限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1.94%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8,086,680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8,086,680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无锡道元投资合 伙企业（有限合 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1.78%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7,435,440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7,435,440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75"/>
        <w:gridCol w:w="3994"/>
        <w:gridCol w:w="1349"/>
        <w:gridCol w:w="1349"/>
      </w:tblGrid>
      <w:tr>
        <w:trPr>
          <w:trHeight w:val="161" w:hRule="exact"/>
        </w:trPr>
        <w:tc>
          <w:tcPr>
            <w:tcW w:w="287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92" w:type="dxa"/>
            <w:gridSpan w:val="3"/>
            <w:vMerge w:val="restart"/>
            <w:tcBorders>
              <w:top w:val="single" w:sz="4" w:space="0" w:color="000000"/>
              <w:left w:val="single" w:sz="9" w:space="0" w:color="D4D4D4"/>
              <w:right w:val="single" w:sz="4" w:space="0" w:color="000000"/>
            </w:tcBorders>
          </w:tcPr>
          <w:p>
            <w:pPr>
              <w:pStyle w:val="TableParagraph"/>
              <w:spacing w:line="316" w:lineRule="auto" w:before="49"/>
              <w:ind w:left="23" w:right="-8"/>
              <w:jc w:val="both"/>
              <w:rPr>
                <w:rFonts w:ascii="宋体" w:hAnsi="宋体" w:cs="宋体" w:eastAsia="宋体" w:hint="default"/>
                <w:sz w:val="18"/>
                <w:szCs w:val="18"/>
              </w:rPr>
            </w:pPr>
            <w:r>
              <w:rPr>
                <w:rFonts w:ascii="宋体" w:hAnsi="宋体" w:cs="宋体" w:eastAsia="宋体" w:hint="default"/>
                <w:spacing w:val="-5"/>
                <w:sz w:val="18"/>
                <w:szCs w:val="18"/>
              </w:rPr>
              <w:t>无锡朴华股权投资合伙企业（有限合伙）、无锡群英股权投资合伙企业（有限合伙）、</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无锡富赡股权投资合伙企业（有限合伙）、无锡羲华投资合伙企业（有限合伙）、无锡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道元投资合伙企业（有限合伙）为一致行动人</w:t>
            </w:r>
          </w:p>
        </w:tc>
      </w:tr>
      <w:tr>
        <w:trPr>
          <w:trHeight w:val="703" w:hRule="exact"/>
        </w:trPr>
        <w:tc>
          <w:tcPr>
            <w:tcW w:w="287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2" w:type="dxa"/>
            <w:gridSpan w:val="3"/>
            <w:vMerge/>
            <w:tcBorders>
              <w:left w:val="single" w:sz="9" w:space="0" w:color="D4D4D4"/>
              <w:right w:val="single" w:sz="4" w:space="0" w:color="000000"/>
            </w:tcBorders>
          </w:tcPr>
          <w:p>
            <w:pPr/>
          </w:p>
        </w:tc>
      </w:tr>
      <w:tr>
        <w:trPr>
          <w:trHeight w:val="162" w:hRule="exact"/>
        </w:trPr>
        <w:tc>
          <w:tcPr>
            <w:tcW w:w="287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92" w:type="dxa"/>
            <w:gridSpan w:val="3"/>
            <w:vMerge/>
            <w:tcBorders>
              <w:left w:val="single" w:sz="9" w:space="0" w:color="D4D4D4"/>
              <w:bottom w:val="single" w:sz="4" w:space="0" w:color="000000"/>
              <w:right w:val="single" w:sz="4" w:space="0" w:color="000000"/>
            </w:tcBorders>
          </w:tcPr>
          <w:p>
            <w:pPr/>
          </w:p>
        </w:tc>
      </w:tr>
      <w:tr>
        <w:trPr>
          <w:trHeight w:val="402"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75" w:type="dxa"/>
            <w:tcBorders>
              <w:top w:val="single" w:sz="4" w:space="0" w:color="000000"/>
              <w:left w:val="single" w:sz="4" w:space="0" w:color="000000"/>
              <w:bottom w:val="nil" w:sz="6" w:space="0" w:color="auto"/>
              <w:right w:val="single" w:sz="4" w:space="0" w:color="000000"/>
            </w:tcBorders>
            <w:shd w:val="clear" w:color="auto" w:fill="D4D4D4"/>
          </w:tcPr>
          <w:p>
            <w:pPr/>
          </w:p>
        </w:tc>
        <w:tc>
          <w:tcPr>
            <w:tcW w:w="3994" w:type="dxa"/>
            <w:tcBorders>
              <w:top w:val="single" w:sz="4" w:space="0" w:color="000000"/>
              <w:left w:val="single" w:sz="4" w:space="0" w:color="000000"/>
              <w:bottom w:val="nil" w:sz="6" w:space="0" w:color="auto"/>
              <w:right w:val="single" w:sz="4" w:space="0" w:color="000000"/>
            </w:tcBorders>
            <w:shd w:val="clear" w:color="auto" w:fill="D4D4D4"/>
          </w:tcPr>
          <w:p>
            <w:pPr/>
          </w:p>
        </w:tc>
        <w:tc>
          <w:tcPr>
            <w:tcW w:w="269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7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4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875" w:type="dxa"/>
            <w:vMerge/>
            <w:tcBorders>
              <w:left w:val="single" w:sz="4" w:space="0" w:color="000000"/>
              <w:bottom w:val="nil" w:sz="6" w:space="0" w:color="auto"/>
              <w:right w:val="single" w:sz="4" w:space="0" w:color="000000"/>
            </w:tcBorders>
            <w:shd w:val="clear" w:color="auto" w:fill="D4D4D4"/>
          </w:tcPr>
          <w:p>
            <w:pPr/>
          </w:p>
        </w:tc>
        <w:tc>
          <w:tcPr>
            <w:tcW w:w="3994" w:type="dxa"/>
            <w:vMerge/>
            <w:tcBorders>
              <w:left w:val="single" w:sz="4" w:space="0" w:color="000000"/>
              <w:bottom w:val="nil" w:sz="6" w:space="0" w:color="auto"/>
              <w:right w:val="single" w:sz="4" w:space="0" w:color="000000"/>
            </w:tcBorders>
            <w:shd w:val="clear" w:color="auto" w:fill="D4D4D4"/>
          </w:tcPr>
          <w:p>
            <w:pPr/>
          </w:p>
        </w:tc>
        <w:tc>
          <w:tcPr>
            <w:tcW w:w="13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5" w:type="dxa"/>
            <w:tcBorders>
              <w:top w:val="nil" w:sz="6" w:space="0" w:color="auto"/>
              <w:left w:val="single" w:sz="4" w:space="0" w:color="000000"/>
              <w:bottom w:val="single" w:sz="4" w:space="0" w:color="000000"/>
              <w:right w:val="single" w:sz="4" w:space="0" w:color="000000"/>
            </w:tcBorders>
            <w:shd w:val="clear" w:color="auto" w:fill="D4D4D4"/>
          </w:tcPr>
          <w:p>
            <w:pPr/>
          </w:p>
        </w:tc>
        <w:tc>
          <w:tcPr>
            <w:tcW w:w="39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349" w:type="dxa"/>
            <w:vMerge/>
            <w:tcBorders>
              <w:left w:val="single" w:sz="4" w:space="0" w:color="000000"/>
              <w:bottom w:val="single" w:sz="4" w:space="0" w:color="000000"/>
              <w:right w:val="single" w:sz="4" w:space="0" w:color="000000"/>
            </w:tcBorders>
            <w:shd w:val="clear" w:color="auto" w:fill="D4D4D4"/>
          </w:tcPr>
          <w:p>
            <w:pPr/>
          </w:p>
        </w:tc>
        <w:tc>
          <w:tcPr>
            <w:tcW w:w="1349"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孙秀花</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880,600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880,600</w:t>
            </w:r>
          </w:p>
        </w:tc>
      </w:tr>
      <w:tr>
        <w:trPr>
          <w:trHeight w:val="403"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国开证券有限责任公司</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681,998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681,998</w:t>
            </w:r>
          </w:p>
        </w:tc>
      </w:tr>
      <w:tr>
        <w:trPr>
          <w:trHeight w:val="401"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李涛</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507,200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507,200</w:t>
            </w:r>
          </w:p>
        </w:tc>
      </w:tr>
      <w:tr>
        <w:trPr>
          <w:trHeight w:val="403"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于兴革</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485,997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485,997</w:t>
            </w:r>
          </w:p>
        </w:tc>
      </w:tr>
      <w:tr>
        <w:trPr>
          <w:trHeight w:val="401"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蒋莉</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477,500</w:t>
            </w:r>
          </w:p>
        </w:tc>
      </w:tr>
      <w:tr>
        <w:trPr>
          <w:trHeight w:val="403"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赵玉霞</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457,800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457,800</w:t>
            </w:r>
          </w:p>
        </w:tc>
      </w:tr>
      <w:tr>
        <w:trPr>
          <w:trHeight w:val="401"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429,300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429,300</w:t>
            </w:r>
          </w:p>
        </w:tc>
      </w:tr>
      <w:tr>
        <w:trPr>
          <w:trHeight w:val="403"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赵萱</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320,200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320,200</w:t>
            </w:r>
          </w:p>
        </w:tc>
      </w:tr>
      <w:tr>
        <w:trPr>
          <w:trHeight w:val="401"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李丰生</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318,317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318,317</w:t>
            </w:r>
          </w:p>
        </w:tc>
      </w:tr>
      <w:tr>
        <w:trPr>
          <w:trHeight w:val="403"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赵德江</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317,700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317,700</w:t>
            </w:r>
          </w:p>
        </w:tc>
      </w:tr>
      <w:tr>
        <w:trPr>
          <w:trHeight w:val="1337" w:hRule="exact"/>
        </w:trPr>
        <w:tc>
          <w:tcPr>
            <w:tcW w:w="28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1"/>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9" w:right="19"/>
              <w:jc w:val="both"/>
              <w:rPr>
                <w:rFonts w:ascii="宋体" w:hAnsi="宋体" w:cs="宋体" w:eastAsia="宋体" w:hint="default"/>
                <w:sz w:val="18"/>
                <w:szCs w:val="18"/>
              </w:rPr>
            </w:pPr>
            <w:r>
              <w:rPr>
                <w:rFonts w:ascii="宋体" w:hAnsi="宋体" w:cs="宋体" w:eastAsia="宋体" w:hint="default"/>
                <w:sz w:val="18"/>
                <w:szCs w:val="18"/>
              </w:rPr>
              <w:t>上述前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名无限售流通股东之间未知是否存在关联系或一致行动人；其与前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w:t>
            </w:r>
            <w:r>
              <w:rPr>
                <w:rFonts w:ascii="宋体" w:hAnsi="宋体" w:cs="宋体" w:eastAsia="宋体" w:hint="default"/>
                <w:spacing w:val="-1"/>
                <w:sz w:val="18"/>
                <w:szCs w:val="18"/>
              </w:rPr>
              <w:t>股东中的公司内部股东之间不存在关联关系或一致行动人关系，与公司外部股东之间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未知是否存在关联关系或一致行动人关系。</w:t>
            </w:r>
          </w:p>
        </w:tc>
      </w:tr>
      <w:tr>
        <w:trPr>
          <w:trHeight w:val="2899" w:hRule="exact"/>
        </w:trPr>
        <w:tc>
          <w:tcPr>
            <w:tcW w:w="28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4" w:right="14"/>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9" w:right="7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）公司股东于兴革通过长城国瑞证券有限公司客户信用交易担保证券账户持有公 司股票</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315,197</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股，实际合计持有公司股票</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485,997</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）公司股东赵玉霞通过渤</w:t>
            </w:r>
          </w:p>
          <w:p>
            <w:pPr>
              <w:pStyle w:val="TableParagraph"/>
              <w:spacing w:line="304" w:lineRule="auto" w:before="15"/>
              <w:ind w:left="29" w:right="35"/>
              <w:jc w:val="left"/>
              <w:rPr>
                <w:rFonts w:ascii="宋体" w:hAnsi="宋体" w:cs="宋体" w:eastAsia="宋体" w:hint="default"/>
                <w:sz w:val="18"/>
                <w:szCs w:val="18"/>
              </w:rPr>
            </w:pPr>
            <w:r>
              <w:rPr>
                <w:rFonts w:ascii="宋体" w:hAnsi="宋体" w:cs="宋体" w:eastAsia="宋体" w:hint="default"/>
                <w:sz w:val="18"/>
                <w:szCs w:val="18"/>
              </w:rPr>
              <w:t>海证券股份有限公司客户信用交易担保证券账户持有公司股票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 持有公司股票</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457,800</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）公司股东刘强通过广发证券股份有限公司客户信用交</w:t>
            </w:r>
            <w:r>
              <w:rPr>
                <w:rFonts w:ascii="宋体" w:hAnsi="宋体" w:cs="宋体" w:eastAsia="宋体" w:hint="default"/>
                <w:spacing w:val="-87"/>
                <w:sz w:val="18"/>
                <w:szCs w:val="18"/>
              </w:rPr>
              <w:t> </w:t>
            </w:r>
            <w:r>
              <w:rPr>
                <w:rFonts w:ascii="宋体" w:hAnsi="宋体" w:cs="宋体" w:eastAsia="宋体" w:hint="default"/>
                <w:sz w:val="18"/>
                <w:szCs w:val="18"/>
              </w:rPr>
              <w:t>易担保证券账户持有公司股票</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428,300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股，实际合计持有公司股票</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429,300</w:t>
            </w:r>
            <w:r>
              <w:rPr>
                <w:rFonts w:ascii="Times New Roman" w:hAnsi="Times New Roman" w:cs="Times New Roman" w:eastAsia="Times New Roman" w:hint="default"/>
                <w:spacing w:val="6"/>
                <w:sz w:val="18"/>
                <w:szCs w:val="18"/>
              </w:rPr>
              <w:t> </w:t>
            </w:r>
            <w:r>
              <w:rPr>
                <w:rFonts w:ascii="宋体" w:hAnsi="宋体" w:cs="宋体" w:eastAsia="宋体" w:hint="default"/>
                <w:spacing w:val="-19"/>
                <w:sz w:val="18"/>
                <w:szCs w:val="18"/>
              </w:rPr>
              <w:t>股。（</w:t>
            </w:r>
            <w:r>
              <w:rPr>
                <w:rFonts w:ascii="Times New Roman" w:hAnsi="Times New Roman" w:cs="Times New Roman" w:eastAsia="Times New Roman" w:hint="default"/>
                <w:spacing w:val="-19"/>
                <w:sz w:val="18"/>
                <w:szCs w:val="18"/>
              </w:rPr>
              <w:t>4</w:t>
            </w:r>
            <w:r>
              <w:rPr>
                <w:rFonts w:ascii="宋体" w:hAnsi="宋体" w:cs="宋体" w:eastAsia="宋体" w:hint="default"/>
                <w:spacing w:val="-19"/>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公司股东李丰生通过国泰君安证券股份有限公司客户信用交易担保证券账户持有公 司股票</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318,317</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股，实际合计持有公司股票</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318,317</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股。（</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）公司股东赵德江通过东</w:t>
            </w:r>
          </w:p>
          <w:p>
            <w:pPr>
              <w:pStyle w:val="TableParagraph"/>
              <w:spacing w:line="240" w:lineRule="auto" w:before="9"/>
              <w:ind w:left="29" w:right="0"/>
              <w:jc w:val="left"/>
              <w:rPr>
                <w:rFonts w:ascii="宋体" w:hAnsi="宋体" w:cs="宋体" w:eastAsia="宋体" w:hint="default"/>
                <w:sz w:val="18"/>
                <w:szCs w:val="18"/>
              </w:rPr>
            </w:pPr>
            <w:r>
              <w:rPr>
                <w:rFonts w:ascii="宋体" w:hAnsi="宋体" w:cs="宋体" w:eastAsia="宋体" w:hint="default"/>
                <w:sz w:val="18"/>
                <w:szCs w:val="18"/>
              </w:rPr>
              <w:t>方证券股份有限公司客户信用交易担保证券账户持有公司股票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75"/>
                <w:sz w:val="18"/>
                <w:szCs w:val="18"/>
              </w:rPr>
              <w:t>，</w:t>
            </w:r>
            <w:r>
              <w:rPr>
                <w:rFonts w:ascii="宋体" w:hAnsi="宋体" w:cs="宋体" w:eastAsia="宋体" w:hint="default"/>
                <w:sz w:val="18"/>
                <w:szCs w:val="18"/>
              </w:rPr>
              <w:t>实际合计持</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317,700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49"/>
        <w:ind w:right="15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5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15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434"/>
        <w:jc w:val="left"/>
      </w:pPr>
      <w:r>
        <w:rPr/>
        <w:t>控股股东性质：社团集体控股 控股股东类型：法人</w:t>
      </w:r>
    </w:p>
    <w:tbl>
      <w:tblPr>
        <w:tblW w:w="0" w:type="auto"/>
        <w:jc w:val="left"/>
        <w:tblInd w:w="149" w:type="dxa"/>
        <w:tblLayout w:type="fixed"/>
        <w:tblCellMar>
          <w:top w:w="0" w:type="dxa"/>
          <w:left w:w="0" w:type="dxa"/>
          <w:bottom w:w="0" w:type="dxa"/>
          <w:right w:w="0" w:type="dxa"/>
        </w:tblCellMar>
        <w:tblLook w:val="01E0"/>
      </w:tblPr>
      <w:tblGrid>
        <w:gridCol w:w="2197"/>
        <w:gridCol w:w="1793"/>
        <w:gridCol w:w="1594"/>
        <w:gridCol w:w="1752"/>
        <w:gridCol w:w="2232"/>
      </w:tblGrid>
      <w:tr>
        <w:trPr>
          <w:trHeight w:val="714" w:hRule="exact"/>
        </w:trPr>
        <w:tc>
          <w:tcPr>
            <w:tcW w:w="21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801"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8"/>
        <w:gridCol w:w="1793"/>
        <w:gridCol w:w="1594"/>
        <w:gridCol w:w="1752"/>
        <w:gridCol w:w="2232"/>
      </w:tblGrid>
      <w:tr>
        <w:trPr>
          <w:trHeight w:val="71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2"/>
              <w:jc w:val="left"/>
              <w:rPr>
                <w:rFonts w:ascii="宋体" w:hAnsi="宋体" w:cs="宋体" w:eastAsia="宋体" w:hint="default"/>
                <w:sz w:val="18"/>
                <w:szCs w:val="18"/>
              </w:rPr>
            </w:pPr>
            <w:r>
              <w:rPr>
                <w:rFonts w:ascii="宋体" w:hAnsi="宋体" w:cs="宋体" w:eastAsia="宋体" w:hint="default"/>
                <w:sz w:val="18"/>
                <w:szCs w:val="18"/>
              </w:rPr>
              <w:t>无锡朴华股权投资合伙企 业（有限合伙）</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913202000586011166</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从事非证券股权投资活动及 相关咨询业务。</w:t>
            </w:r>
          </w:p>
        </w:tc>
      </w:tr>
      <w:tr>
        <w:trPr>
          <w:trHeight w:val="715"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2"/>
              <w:jc w:val="left"/>
              <w:rPr>
                <w:rFonts w:ascii="宋体" w:hAnsi="宋体" w:cs="宋体" w:eastAsia="宋体" w:hint="default"/>
                <w:sz w:val="18"/>
                <w:szCs w:val="18"/>
              </w:rPr>
            </w:pPr>
            <w:r>
              <w:rPr>
                <w:rFonts w:ascii="宋体" w:hAnsi="宋体" w:cs="宋体" w:eastAsia="宋体" w:hint="default"/>
                <w:sz w:val="18"/>
                <w:szCs w:val="18"/>
              </w:rPr>
              <w:t>无锡群英股权投资合伙企 业（有限合伙）</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91320200058688039C</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从事非证券股权投资活动及 相关咨询业务。</w:t>
            </w:r>
          </w:p>
        </w:tc>
      </w:tr>
      <w:tr>
        <w:trPr>
          <w:trHeight w:val="1027" w:hRule="exact"/>
        </w:trPr>
        <w:tc>
          <w:tcPr>
            <w:tcW w:w="2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82"/>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50"/>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150"/>
        <w:jc w:val="left"/>
        <w:rPr>
          <w:b w:val="0"/>
          <w:bCs w:val="0"/>
        </w:rPr>
      </w:pPr>
      <w:bookmarkStart w:name="3、公司实际控制人情况" w:id="116"/>
      <w:bookmarkEnd w:id="11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36"/>
        <w:gridCol w:w="2057"/>
        <w:gridCol w:w="4176"/>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报告期内，徐长军先生担任公司董事长；郑新标先生担任公司董事、总经理。</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50"/>
        <w:jc w:val="left"/>
      </w:pPr>
      <w:r>
        <w:rPr/>
        <w:t>实际控制人报告期内变更</w:t>
      </w:r>
    </w:p>
    <w:p>
      <w:pPr>
        <w:pStyle w:val="BodyText"/>
        <w:spacing w:line="34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1"/>
        <w:rPr>
          <w:rFonts w:ascii="宋体" w:hAnsi="宋体" w:cs="宋体" w:eastAsia="宋体" w:hint="default"/>
          <w:sz w:val="18"/>
          <w:szCs w:val="18"/>
        </w:rPr>
      </w:pPr>
    </w:p>
    <w:p>
      <w:pPr>
        <w:spacing w:line="2985" w:lineRule="exact"/>
        <w:ind w:left="1358"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4591037" cy="18954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4591037" cy="1895475"/>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10"/>
        <w:rPr>
          <w:rFonts w:ascii="宋体" w:hAnsi="宋体" w:cs="宋体" w:eastAsia="宋体" w:hint="default"/>
          <w:sz w:val="21"/>
          <w:szCs w:val="21"/>
        </w:rPr>
      </w:pPr>
    </w:p>
    <w:p>
      <w:pPr>
        <w:pStyle w:val="BodyText"/>
        <w:spacing w:line="240" w:lineRule="auto"/>
        <w:ind w:right="150"/>
        <w:jc w:val="left"/>
      </w:pPr>
      <w:r>
        <w:rPr/>
        <w:t>实际控制人通过信托或其他资产管理方式控制公司</w:t>
      </w:r>
    </w:p>
    <w:p>
      <w:pPr>
        <w:pStyle w:val="BodyText"/>
        <w:spacing w:line="240" w:lineRule="auto" w:before="115"/>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80"/>
        <w:gridCol w:w="1814"/>
        <w:gridCol w:w="1414"/>
        <w:gridCol w:w="1634"/>
        <w:gridCol w:w="2126"/>
      </w:tblGrid>
      <w:tr>
        <w:trPr>
          <w:trHeight w:val="713" w:hRule="exact"/>
        </w:trPr>
        <w:tc>
          <w:tcPr>
            <w:tcW w:w="25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813" w:right="6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7"/>
                <w:sz w:val="18"/>
              </w:rPr>
              <w:t>Yue </w:t>
            </w:r>
            <w:r>
              <w:rPr>
                <w:rFonts w:ascii="Times New Roman"/>
                <w:sz w:val="18"/>
              </w:rPr>
              <w:t>Qi Capital</w:t>
            </w:r>
            <w:r>
              <w:rPr>
                <w:rFonts w:ascii="Times New Roman"/>
                <w:spacing w:val="-3"/>
                <w:sz w:val="18"/>
              </w:rPr>
              <w:t> </w:t>
            </w:r>
            <w:r>
              <w:rPr>
                <w:rFonts w:ascii="Times New Roman"/>
                <w:sz w:val="18"/>
              </w:rPr>
              <w:t>Limited</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何志成</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9,434,801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r>
      <w:tr>
        <w:trPr>
          <w:trHeight w:val="1339"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4"/>
              <w:jc w:val="left"/>
              <w:rPr>
                <w:rFonts w:ascii="宋体" w:hAnsi="宋体" w:cs="宋体" w:eastAsia="宋体" w:hint="default"/>
                <w:sz w:val="18"/>
                <w:szCs w:val="18"/>
              </w:rPr>
            </w:pPr>
            <w:r>
              <w:rPr>
                <w:rFonts w:ascii="宋体" w:hAnsi="宋体" w:cs="宋体" w:eastAsia="宋体" w:hint="default"/>
                <w:sz w:val="18"/>
                <w:szCs w:val="18"/>
              </w:rPr>
              <w:t>国开博裕一期（上海）股权投资 合伙企业（有限合伙）</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童小幪</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4,890,000,000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jc w:val="both"/>
              <w:rPr>
                <w:rFonts w:ascii="宋体" w:hAnsi="宋体" w:cs="宋体" w:eastAsia="宋体" w:hint="default"/>
                <w:sz w:val="18"/>
                <w:szCs w:val="18"/>
              </w:rPr>
            </w:pPr>
            <w:r>
              <w:rPr>
                <w:rFonts w:ascii="宋体" w:hAnsi="宋体" w:cs="宋体" w:eastAsia="宋体" w:hint="default"/>
                <w:sz w:val="18"/>
                <w:szCs w:val="18"/>
              </w:rPr>
              <w:t>股权投资、投资管理及投 资咨询服务（依法须经批 准的项目，经相关部门批 准后方可开展经营活动）</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4" w:right="150"/>
        <w:jc w:val="left"/>
        <w:rPr>
          <w:b w:val="0"/>
          <w:bCs w:val="0"/>
        </w:rPr>
      </w:pPr>
      <w:bookmarkStart w:name="第七节 优先股相关情况" w:id="119"/>
      <w:bookmarkEnd w:id="119"/>
      <w:r>
        <w:rPr>
          <w:b w:val="0"/>
          <w:bCs w:val="0"/>
        </w:rPr>
      </w:r>
      <w:bookmarkStart w:name="_bookmark5" w:id="120"/>
      <w:bookmarkEnd w:id="120"/>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50"/>
        <w:jc w:val="left"/>
        <w:rPr>
          <w:b w:val="0"/>
          <w:bCs w:val="0"/>
        </w:rPr>
      </w:pPr>
      <w:bookmarkStart w:name="第八节 董事、监事、高级管理人员和员工情况" w:id="121"/>
      <w:bookmarkEnd w:id="121"/>
      <w:r>
        <w:rPr>
          <w:b w:val="0"/>
          <w:bCs w:val="0"/>
        </w:rPr>
      </w:r>
      <w:bookmarkStart w:name="_bookmark6" w:id="122"/>
      <w:bookmarkEnd w:id="122"/>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焦国云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彭知平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马雪征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倪行军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穆钢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鲁清芳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180,000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陈峙屹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戴清林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万海艳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杨苗仁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930,000</w:t>
            </w:r>
          </w:p>
        </w:tc>
      </w:tr>
    </w:tbl>
    <w:p>
      <w:pPr>
        <w:pStyle w:val="BodyText"/>
        <w:spacing w:line="300" w:lineRule="auto" w:before="49"/>
        <w:ind w:right="190"/>
        <w:jc w:val="left"/>
      </w:pPr>
      <w:r>
        <w:rPr/>
        <w:t>其中，徐长军、郑新标、焦国云、彭知平、王慎勇和鲁清芳分别间接持有公司股票，比例分别为</w:t>
      </w:r>
      <w:r>
        <w:rPr>
          <w:spacing w:val="-51"/>
        </w:rPr>
        <w:t> </w:t>
      </w:r>
      <w:r>
        <w:rPr>
          <w:rFonts w:ascii="Times New Roman" w:hAnsi="Times New Roman" w:cs="Times New Roman" w:eastAsia="Times New Roman" w:hint="default"/>
        </w:rPr>
        <w:t>19.49%</w:t>
      </w:r>
      <w:r>
        <w:rPr/>
        <w:t>、</w:t>
      </w:r>
      <w:r>
        <w:rPr>
          <w:rFonts w:ascii="Times New Roman" w:hAnsi="Times New Roman" w:cs="Times New Roman" w:eastAsia="Times New Roman" w:hint="default"/>
        </w:rPr>
        <w:t>9.45%</w:t>
      </w:r>
      <w:r>
        <w:rPr/>
        <w:t>、</w:t>
      </w:r>
      <w:r>
        <w:rPr>
          <w:rFonts w:ascii="Times New Roman" w:hAnsi="Times New Roman" w:cs="Times New Roman" w:eastAsia="Times New Roman" w:hint="default"/>
        </w:rPr>
        <w:t>0.58%</w:t>
      </w:r>
      <w:r>
        <w:rPr/>
        <w:t>、 </w:t>
      </w:r>
      <w:r>
        <w:rPr>
          <w:rFonts w:ascii="Times New Roman" w:hAnsi="Times New Roman" w:cs="Times New Roman" w:eastAsia="Times New Roman" w:hint="default"/>
        </w:rPr>
        <w:t>0.48%</w:t>
      </w:r>
      <w:r>
        <w:rPr/>
        <w:t>、</w:t>
      </w:r>
      <w:r>
        <w:rPr>
          <w:rFonts w:ascii="Times New Roman" w:hAnsi="Times New Roman" w:cs="Times New Roman" w:eastAsia="Times New Roman" w:hint="default"/>
        </w:rPr>
        <w:t>0.08%</w:t>
      </w:r>
      <w:r>
        <w:rPr/>
        <w:t>、</w:t>
      </w:r>
      <w:r>
        <w:rPr>
          <w:rFonts w:ascii="Times New Roman" w:hAnsi="Times New Roman" w:cs="Times New Roman" w:eastAsia="Times New Roman" w:hint="default"/>
        </w:rPr>
        <w:t>0.1%</w:t>
      </w:r>
      <w:r>
        <w:rPr/>
        <w:t>。</w:t>
      </w:r>
    </w:p>
    <w:p>
      <w:pPr>
        <w:spacing w:line="240" w:lineRule="auto" w:before="5"/>
        <w:rPr>
          <w:rFonts w:ascii="宋体" w:hAnsi="宋体" w:cs="宋体" w:eastAsia="宋体" w:hint="default"/>
          <w:sz w:val="20"/>
          <w:szCs w:val="20"/>
        </w:rPr>
      </w:pPr>
    </w:p>
    <w:p>
      <w:pPr>
        <w:pStyle w:val="Heading2"/>
        <w:spacing w:line="240" w:lineRule="auto"/>
        <w:ind w:right="189"/>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杨苗仁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sz w:val="18"/>
          <w:szCs w:val="18"/>
        </w:rPr>
      </w:pPr>
    </w:p>
    <w:p>
      <w:pPr>
        <w:pStyle w:val="Heading2"/>
        <w:spacing w:line="240" w:lineRule="auto" w:before="26"/>
        <w:ind w:right="189"/>
        <w:jc w:val="left"/>
        <w:rPr>
          <w:b w:val="0"/>
          <w:bCs w:val="0"/>
        </w:rPr>
      </w:pPr>
      <w:bookmarkStart w:name="三、任职情况" w:id="125"/>
      <w:bookmarkEnd w:id="125"/>
      <w:r>
        <w:rPr>
          <w:b w:val="0"/>
          <w:bCs w:val="0"/>
        </w:rPr>
      </w: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9"/>
        <w:jc w:val="left"/>
      </w:pPr>
      <w:r>
        <w:rPr/>
        <w:t>公司现任董事、监事、高级管理人员专业背景、主要工作经历以及目前在公司的主要职责</w:t>
      </w:r>
    </w:p>
    <w:p>
      <w:pPr>
        <w:pStyle w:val="BodyText"/>
        <w:spacing w:line="357" w:lineRule="auto" w:before="117"/>
        <w:ind w:right="3514"/>
        <w:jc w:val="left"/>
      </w:pPr>
      <w:r>
        <w:rPr/>
        <w:t>（一）董事会成员 本报告期，公司在任董事</w:t>
      </w:r>
      <w:r>
        <w:rPr>
          <w:rFonts w:ascii="Times New Roman" w:hAnsi="Times New Roman" w:cs="Times New Roman" w:eastAsia="Times New Roman" w:hint="default"/>
        </w:rPr>
        <w:t>11</w:t>
      </w:r>
      <w:r>
        <w:rPr/>
        <w:t>名，主要工作经历以及目前在公司的主要职责如下：</w:t>
      </w:r>
    </w:p>
    <w:p>
      <w:pPr>
        <w:pStyle w:val="BodyText"/>
        <w:spacing w:line="240" w:lineRule="auto" w:before="6"/>
        <w:ind w:right="94"/>
        <w:jc w:val="left"/>
      </w:pPr>
      <w:r>
        <w:rPr>
          <w:rFonts w:ascii="Times New Roman" w:hAnsi="Times New Roman" w:cs="Times New Roman" w:eastAsia="Times New Roman" w:hint="default"/>
        </w:rPr>
        <w:t>1.</w:t>
      </w:r>
      <w:r>
        <w:rPr/>
        <w:t>徐长军，中国国籍，无境外居留权，男，</w:t>
      </w:r>
      <w:r>
        <w:rPr>
          <w:rFonts w:ascii="Times New Roman" w:hAnsi="Times New Roman" w:cs="Times New Roman" w:eastAsia="Times New Roman" w:hint="default"/>
        </w:rPr>
        <w:t>1964</w:t>
      </w:r>
      <w:r>
        <w:rPr/>
        <w:t>年出生，硕士研究生学历，毕业于清华大学应用数学系，公司创始人之一。</w:t>
      </w:r>
    </w:p>
    <w:p>
      <w:pPr>
        <w:pStyle w:val="BodyText"/>
        <w:spacing w:line="319" w:lineRule="auto" w:before="62"/>
        <w:ind w:right="94"/>
        <w:jc w:val="left"/>
      </w:pPr>
      <w:r>
        <w:rPr>
          <w:rFonts w:ascii="Times New Roman" w:hAnsi="Times New Roman" w:cs="Times New Roman" w:eastAsia="Times New Roman" w:hint="default"/>
          <w:spacing w:val="-2"/>
        </w:rPr>
        <w:t>1989</w:t>
      </w:r>
      <w:r>
        <w:rPr>
          <w:spacing w:val="-2"/>
        </w:rPr>
        <w:t>至</w:t>
      </w:r>
      <w:r>
        <w:rPr>
          <w:rFonts w:ascii="Times New Roman" w:hAnsi="Times New Roman" w:cs="Times New Roman" w:eastAsia="Times New Roman" w:hint="default"/>
          <w:spacing w:val="-2"/>
        </w:rPr>
        <w:t>1996</w:t>
      </w:r>
      <w:r>
        <w:rPr>
          <w:spacing w:val="-2"/>
        </w:rPr>
        <w:t>年任职于华北计算机技术研究所；</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2007</w:t>
      </w:r>
      <w:r>
        <w:rPr>
          <w:spacing w:val="-2"/>
        </w:rPr>
        <w:t>年任北京朗新信息系统有限公司总经理；</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2013</w:t>
      </w:r>
      <w:r>
        <w:rPr>
          <w:spacing w:val="-2"/>
        </w:rPr>
        <w:t>年任朗新</w:t>
      </w:r>
      <w:r>
        <w:rPr>
          <w:spacing w:val="-52"/>
        </w:rPr>
        <w:t> </w:t>
      </w:r>
      <w:r>
        <w:rPr>
          <w:spacing w:val="-52"/>
        </w:rPr>
      </w:r>
      <w:r>
        <w:rPr/>
        <w:t>有限董事；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月至今任朗新科技董事长。目前兼任易视腾董事长、邦道科技董事长等职务。 </w:t>
      </w:r>
      <w:r>
        <w:rPr>
          <w:rFonts w:ascii="Times New Roman" w:hAnsi="Times New Roman" w:cs="Times New Roman" w:eastAsia="Times New Roman" w:hint="default"/>
        </w:rPr>
        <w:t>2.</w:t>
      </w:r>
      <w:r>
        <w:rPr/>
        <w:t>郑新标，中国国籍，无境外居留权，男，</w:t>
      </w:r>
      <w:r>
        <w:rPr>
          <w:rFonts w:ascii="Times New Roman" w:hAnsi="Times New Roman" w:cs="Times New Roman" w:eastAsia="Times New Roman" w:hint="default"/>
        </w:rPr>
        <w:t>1963</w:t>
      </w:r>
      <w:r>
        <w:rPr/>
        <w:t>年出生，硕士研究生学历，高级工程师，公司创始人之一。</w:t>
      </w:r>
      <w:r>
        <w:rPr>
          <w:rFonts w:ascii="Times New Roman" w:hAnsi="Times New Roman" w:cs="Times New Roman" w:eastAsia="Times New Roman" w:hint="default"/>
        </w:rPr>
        <w:t>1987</w:t>
      </w:r>
      <w:r>
        <w:rPr/>
        <w:t>年至</w:t>
      </w:r>
      <w:r>
        <w:rPr>
          <w:rFonts w:ascii="Times New Roman" w:hAnsi="Times New Roman" w:cs="Times New Roman" w:eastAsia="Times New Roman" w:hint="default"/>
        </w:rPr>
        <w:t>1996</w:t>
      </w:r>
      <w:r>
        <w:rPr/>
        <w:t>年</w:t>
      </w:r>
    </w:p>
    <w:p>
      <w:pPr>
        <w:pStyle w:val="BodyText"/>
        <w:spacing w:line="246" w:lineRule="exact"/>
        <w:ind w:right="0"/>
        <w:jc w:val="left"/>
      </w:pPr>
      <w:r>
        <w:rPr/>
        <w:t>任职于华北计算机技术研究所</w:t>
      </w:r>
      <w:r>
        <w:rPr>
          <w:spacing w:val="-87"/>
        </w:rPr>
        <w:t>；</w:t>
      </w:r>
      <w:r>
        <w:rPr>
          <w:rFonts w:ascii="Times New Roman" w:hAnsi="Times New Roman" w:cs="Times New Roman" w:eastAsia="Times New Roman" w:hint="default"/>
          <w:spacing w:val="1"/>
        </w:rPr>
        <w:t>19</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6</w:t>
      </w:r>
      <w:r>
        <w:rPr/>
        <w:t>年至</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8</w:t>
      </w:r>
      <w:r>
        <w:rPr/>
        <w:t>年担任北京朗</w:t>
      </w:r>
      <w:r>
        <w:rPr>
          <w:spacing w:val="-3"/>
        </w:rPr>
        <w:t>新</w:t>
      </w:r>
      <w:r>
        <w:rPr/>
        <w:t>信息系统有限公司副总经理</w:t>
      </w:r>
      <w:r>
        <w:rPr>
          <w:spacing w:val="-87"/>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09</w:t>
      </w:r>
      <w:r>
        <w:rPr/>
        <w:t>年至</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t>年任易视腾总经理；</w:t>
      </w:r>
    </w:p>
    <w:p>
      <w:pPr>
        <w:spacing w:after="0" w:line="246" w:lineRule="exact"/>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t>年至</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t>年任朗新有限</w:t>
      </w:r>
      <w:r>
        <w:rPr>
          <w:spacing w:val="-3"/>
        </w:rPr>
        <w:t>董</w:t>
      </w:r>
      <w:r>
        <w:rPr/>
        <w:t>事长兼总经理</w:t>
      </w:r>
      <w:r>
        <w:rPr>
          <w:spacing w:val="-87"/>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月至</w:t>
      </w:r>
      <w:r>
        <w:rPr>
          <w:spacing w:val="-3"/>
        </w:rPr>
        <w:t>今</w:t>
      </w:r>
      <w:r>
        <w:rPr/>
        <w:t>任朗新科技董事兼总经理</w:t>
      </w:r>
      <w:r>
        <w:rPr>
          <w:spacing w:val="-87"/>
        </w:rPr>
        <w:t>。</w:t>
      </w:r>
      <w:r>
        <w:rPr/>
        <w:t>目前兼任无锡群兴执行董事等职务。</w:t>
      </w:r>
    </w:p>
    <w:p>
      <w:pPr>
        <w:pStyle w:val="BodyText"/>
        <w:spacing w:line="300" w:lineRule="auto" w:before="103"/>
        <w:ind w:right="188"/>
        <w:jc w:val="both"/>
      </w:pPr>
      <w:r>
        <w:rPr>
          <w:rFonts w:ascii="Times New Roman" w:hAnsi="Times New Roman" w:cs="Times New Roman" w:eastAsia="Times New Roman" w:hint="default"/>
          <w:spacing w:val="-2"/>
        </w:rPr>
        <w:t>3.</w:t>
      </w:r>
      <w:r>
        <w:rPr>
          <w:spacing w:val="-2"/>
        </w:rPr>
        <w:t>彭知平，中国国籍，无境外居留权，男，</w:t>
      </w:r>
      <w:r>
        <w:rPr>
          <w:rFonts w:ascii="Times New Roman" w:hAnsi="Times New Roman" w:cs="Times New Roman" w:eastAsia="Times New Roman" w:hint="default"/>
          <w:spacing w:val="-2"/>
        </w:rPr>
        <w:t>1973</w:t>
      </w:r>
      <w:r>
        <w:rPr>
          <w:spacing w:val="-2"/>
        </w:rPr>
        <w:t>年出生，硕士研究生学历，</w:t>
      </w:r>
      <w:r>
        <w:rPr>
          <w:rFonts w:ascii="Times New Roman" w:hAnsi="Times New Roman" w:cs="Times New Roman" w:eastAsia="Times New Roman" w:hint="default"/>
          <w:spacing w:val="-2"/>
        </w:rPr>
        <w:t>MBA</w:t>
      </w:r>
      <w:r>
        <w:rPr>
          <w:spacing w:val="-2"/>
        </w:rPr>
        <w:t>。</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2010</w:t>
      </w:r>
      <w:r>
        <w:rPr>
          <w:spacing w:val="-2"/>
        </w:rPr>
        <w:t>年历任北京朗新信息系统有</w:t>
      </w:r>
      <w:r>
        <w:rPr>
          <w:spacing w:val="-57"/>
        </w:rPr>
        <w:t> </w:t>
      </w:r>
      <w:r>
        <w:rPr>
          <w:spacing w:val="-5"/>
        </w:rPr>
        <w:t>限公司软件工程师、项目经理、部门经理、人力资源部经理、人力资源总监、副总裁。</w:t>
      </w:r>
      <w:r>
        <w:rPr>
          <w:rFonts w:ascii="Times New Roman" w:hAnsi="Times New Roman" w:cs="Times New Roman" w:eastAsia="Times New Roman" w:hint="default"/>
          <w:spacing w:val="-5"/>
        </w:rPr>
        <w:t>2011</w:t>
      </w:r>
      <w:r>
        <w:rPr>
          <w:spacing w:val="-5"/>
        </w:rPr>
        <w:t>年至今任朗新科技副总经理；</w:t>
      </w:r>
      <w:r>
        <w:rPr>
          <w:rFonts w:ascii="Times New Roman" w:hAnsi="Times New Roman" w:cs="Times New Roman" w:eastAsia="Times New Roman" w:hint="default"/>
          <w:spacing w:val="-5"/>
        </w:rPr>
        <w:t>2013</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年</w:t>
      </w:r>
      <w:r>
        <w:rPr>
          <w:rFonts w:ascii="Times New Roman" w:hAnsi="Times New Roman" w:cs="Times New Roman" w:eastAsia="Times New Roman" w:hint="default"/>
        </w:rPr>
        <w:t>7</w:t>
      </w:r>
      <w:r>
        <w:rPr/>
        <w:t>月至今任朗新科技董事。目前兼任无锡朗易投资管理有限公司董事长等职务。</w:t>
      </w:r>
    </w:p>
    <w:p>
      <w:pPr>
        <w:pStyle w:val="BodyText"/>
        <w:spacing w:line="300" w:lineRule="auto" w:before="51"/>
        <w:ind w:right="189"/>
        <w:jc w:val="left"/>
      </w:pPr>
      <w:r>
        <w:rPr>
          <w:rFonts w:ascii="Times New Roman" w:hAnsi="Times New Roman" w:cs="Times New Roman" w:eastAsia="Times New Roman" w:hint="default"/>
          <w:spacing w:val="-1"/>
        </w:rPr>
        <w:t>4.</w:t>
      </w:r>
      <w:r>
        <w:rPr>
          <w:spacing w:val="-1"/>
        </w:rPr>
        <w:t>焦国云，中国国籍，无境外居留权，男，</w:t>
      </w:r>
      <w:r>
        <w:rPr>
          <w:rFonts w:ascii="Times New Roman" w:hAnsi="Times New Roman" w:cs="Times New Roman" w:eastAsia="Times New Roman" w:hint="default"/>
          <w:spacing w:val="-1"/>
        </w:rPr>
        <w:t>1962</w:t>
      </w:r>
      <w:r>
        <w:rPr>
          <w:spacing w:val="-1"/>
        </w:rPr>
        <w:t>年出生，硕士研究生学历，高级工程师。</w:t>
      </w:r>
      <w:r>
        <w:rPr>
          <w:rFonts w:ascii="Times New Roman" w:hAnsi="Times New Roman" w:cs="Times New Roman" w:eastAsia="Times New Roman" w:hint="default"/>
          <w:spacing w:val="-1"/>
        </w:rPr>
        <w:t>1986</w:t>
      </w:r>
      <w:r>
        <w:rPr>
          <w:spacing w:val="-1"/>
        </w:rPr>
        <w:t>年至</w:t>
      </w:r>
      <w:r>
        <w:rPr>
          <w:rFonts w:ascii="Times New Roman" w:hAnsi="Times New Roman" w:cs="Times New Roman" w:eastAsia="Times New Roman" w:hint="default"/>
          <w:spacing w:val="-1"/>
        </w:rPr>
        <w:t>1996</w:t>
      </w:r>
      <w:r>
        <w:rPr>
          <w:spacing w:val="-1"/>
        </w:rPr>
        <w:t>年任杭州市电力局信</w:t>
      </w:r>
      <w:r>
        <w:rPr>
          <w:spacing w:val="-75"/>
        </w:rPr>
        <w:t> </w:t>
      </w:r>
      <w:r>
        <w:rPr>
          <w:spacing w:val="-75"/>
        </w:rPr>
      </w:r>
      <w:r>
        <w:rPr/>
        <w:t>息中心主任；</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2003</w:t>
      </w:r>
      <w:r>
        <w:rPr/>
        <w:t>年任北京朗新信息系统有限公司电力事业部副总经理；</w:t>
      </w:r>
      <w:r>
        <w:rPr>
          <w:rFonts w:ascii="Times New Roman" w:hAnsi="Times New Roman" w:cs="Times New Roman" w:eastAsia="Times New Roman" w:hint="default"/>
        </w:rPr>
        <w:t>2003</w:t>
      </w:r>
      <w:r>
        <w:rPr/>
        <w:t>年至今任朗新科技副总经理；</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日任朗新科技董事。</w:t>
      </w:r>
    </w:p>
    <w:p>
      <w:pPr>
        <w:pStyle w:val="BodyText"/>
        <w:spacing w:line="300" w:lineRule="auto" w:before="53"/>
        <w:ind w:right="191"/>
        <w:jc w:val="both"/>
      </w:pPr>
      <w:r>
        <w:rPr>
          <w:rFonts w:ascii="Times New Roman" w:hAnsi="Times New Roman" w:cs="Times New Roman" w:eastAsia="Times New Roman" w:hint="default"/>
          <w:spacing w:val="-1"/>
        </w:rPr>
        <w:t>5.</w:t>
      </w:r>
      <w:r>
        <w:rPr>
          <w:spacing w:val="-1"/>
        </w:rPr>
        <w:t>林栋梁，中国国籍，无境外居留权，男，</w:t>
      </w:r>
      <w:r>
        <w:rPr>
          <w:rFonts w:ascii="Times New Roman" w:hAnsi="Times New Roman" w:cs="Times New Roman" w:eastAsia="Times New Roman" w:hint="default"/>
          <w:spacing w:val="-1"/>
        </w:rPr>
        <w:t>1962</w:t>
      </w:r>
      <w:r>
        <w:rPr>
          <w:spacing w:val="-1"/>
        </w:rPr>
        <w:t>年出生，硕士研究生学历。</w:t>
      </w:r>
      <w:r>
        <w:rPr>
          <w:rFonts w:ascii="Times New Roman" w:hAnsi="Times New Roman" w:cs="Times New Roman" w:eastAsia="Times New Roman" w:hint="default"/>
          <w:spacing w:val="-1"/>
        </w:rPr>
        <w:t>1986</w:t>
      </w:r>
      <w:r>
        <w:rPr>
          <w:spacing w:val="-1"/>
        </w:rPr>
        <w:t>年至</w:t>
      </w:r>
      <w:r>
        <w:rPr>
          <w:rFonts w:ascii="Times New Roman" w:hAnsi="Times New Roman" w:cs="Times New Roman" w:eastAsia="Times New Roman" w:hint="default"/>
          <w:spacing w:val="-1"/>
        </w:rPr>
        <w:t>1995</w:t>
      </w:r>
      <w:r>
        <w:rPr>
          <w:spacing w:val="-1"/>
        </w:rPr>
        <w:t>年任职于国务院发展研究中心，从</w:t>
      </w:r>
      <w:r>
        <w:rPr>
          <w:spacing w:val="-76"/>
        </w:rPr>
        <w:t> </w:t>
      </w:r>
      <w:r>
        <w:rPr>
          <w:spacing w:val="-76"/>
        </w:rPr>
      </w:r>
      <w:r>
        <w:rPr/>
        <w:t>事经济政策研究；</w:t>
      </w:r>
      <w:r>
        <w:rPr>
          <w:spacing w:val="-44"/>
        </w:rPr>
        <w:t> </w:t>
      </w:r>
      <w:r>
        <w:rPr>
          <w:rFonts w:ascii="Times New Roman" w:hAnsi="Times New Roman" w:cs="Times New Roman" w:eastAsia="Times New Roman" w:hint="default"/>
        </w:rPr>
        <w:t>2013</w:t>
      </w:r>
      <w:r>
        <w:rPr/>
        <w:t>年至今任</w:t>
      </w:r>
      <w:r>
        <w:rPr>
          <w:rFonts w:ascii="Times New Roman" w:hAnsi="Times New Roman" w:cs="Times New Roman" w:eastAsia="Times New Roman" w:hint="default"/>
        </w:rPr>
        <w:t>IDG</w:t>
      </w:r>
      <w:r>
        <w:rPr/>
        <w:t>创业投资（北京）有限公司董事长；</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月至今任朗新科技董事。目前兼任北京统 典弘达投资咨询有限公司董事、和谐爱奇投资管理（北京）有限公司董事、四川双马水泥股份有限公司董事等职务。</w:t>
      </w:r>
    </w:p>
    <w:p>
      <w:pPr>
        <w:pStyle w:val="BodyText"/>
        <w:spacing w:line="300" w:lineRule="auto" w:before="72"/>
        <w:ind w:right="106"/>
        <w:jc w:val="both"/>
      </w:pPr>
      <w:r>
        <w:rPr>
          <w:rFonts w:ascii="Times New Roman" w:hAnsi="Times New Roman" w:cs="Times New Roman" w:eastAsia="Times New Roman" w:hint="default"/>
        </w:rPr>
        <w:t>6.</w:t>
      </w:r>
      <w:r>
        <w:rPr/>
        <w:t>马雪征，中国香港居民，女，</w:t>
      </w:r>
      <w:r>
        <w:rPr>
          <w:rFonts w:ascii="Times New Roman" w:hAnsi="Times New Roman" w:cs="Times New Roman" w:eastAsia="Times New Roman" w:hint="default"/>
        </w:rPr>
        <w:t>1952</w:t>
      </w:r>
      <w:r>
        <w:rPr/>
        <w:t>年出生，大学学历。</w:t>
      </w:r>
      <w:r>
        <w:rPr>
          <w:rFonts w:ascii="Times New Roman" w:hAnsi="Times New Roman" w:cs="Times New Roman" w:eastAsia="Times New Roman" w:hint="default"/>
        </w:rPr>
        <w:t>1978</w:t>
      </w:r>
      <w:r>
        <w:rPr/>
        <w:t>年至</w:t>
      </w:r>
      <w:r>
        <w:rPr>
          <w:rFonts w:ascii="Times New Roman" w:hAnsi="Times New Roman" w:cs="Times New Roman" w:eastAsia="Times New Roman" w:hint="default"/>
        </w:rPr>
        <w:t>1990</w:t>
      </w:r>
      <w:r>
        <w:rPr/>
        <w:t>年任职于中国科学院；</w:t>
      </w:r>
      <w:r>
        <w:rPr>
          <w:rFonts w:ascii="Times New Roman" w:hAnsi="Times New Roman" w:cs="Times New Roman" w:eastAsia="Times New Roman" w:hint="default"/>
        </w:rPr>
        <w:t>1990</w:t>
      </w:r>
      <w:r>
        <w:rPr/>
        <w:t>年至</w:t>
      </w:r>
      <w:r>
        <w:rPr>
          <w:rFonts w:ascii="Times New Roman" w:hAnsi="Times New Roman" w:cs="Times New Roman" w:eastAsia="Times New Roman" w:hint="default"/>
        </w:rPr>
        <w:t>2007</w:t>
      </w:r>
      <w:r>
        <w:rPr/>
        <w:t>年任职于联想集 </w:t>
      </w:r>
      <w:r>
        <w:rPr>
          <w:spacing w:val="-5"/>
        </w:rPr>
        <w:t>团有限公司，曾任执行董事、资深副总裁及首席财务官；</w:t>
      </w:r>
      <w:r>
        <w:rPr>
          <w:rFonts w:ascii="Times New Roman" w:hAnsi="Times New Roman" w:cs="Times New Roman" w:eastAsia="Times New Roman" w:hint="default"/>
          <w:spacing w:val="-5"/>
        </w:rPr>
        <w:t>2007</w:t>
      </w:r>
      <w:r>
        <w:rPr>
          <w:spacing w:val="-5"/>
        </w:rPr>
        <w:t>年至</w:t>
      </w:r>
      <w:r>
        <w:rPr>
          <w:rFonts w:ascii="Times New Roman" w:hAnsi="Times New Roman" w:cs="Times New Roman" w:eastAsia="Times New Roman" w:hint="default"/>
          <w:spacing w:val="-5"/>
        </w:rPr>
        <w:t>2011</w:t>
      </w:r>
      <w:r>
        <w:rPr>
          <w:spacing w:val="-5"/>
        </w:rPr>
        <w:t>年任美国德太投资有限公司合伙人兼中国区联席主席；</w:t>
      </w:r>
      <w:r>
        <w:rPr>
          <w:spacing w:val="-64"/>
        </w:rPr>
        <w:t> </w:t>
      </w:r>
      <w:r>
        <w:rPr>
          <w:spacing w:val="-64"/>
        </w:rPr>
      </w:r>
      <w:r>
        <w:rPr>
          <w:rFonts w:ascii="Times New Roman" w:hAnsi="Times New Roman" w:cs="Times New Roman" w:eastAsia="Times New Roman" w:hint="default"/>
        </w:rPr>
        <w:t>2011</w:t>
      </w:r>
      <w:r>
        <w:rPr/>
        <w:t>年至今任博裕投资顾问有限公司管理合伙人；</w:t>
      </w:r>
      <w:r>
        <w:rPr>
          <w:rFonts w:ascii="Times New Roman" w:hAnsi="Times New Roman" w:cs="Times New Roman" w:eastAsia="Times New Roman" w:hint="default"/>
        </w:rPr>
        <w:t>2012</w:t>
      </w:r>
      <w:r>
        <w:rPr/>
        <w:t>年至今担任国开博裕（上海）股权投资管理有限责任公司副董事长；</w:t>
      </w:r>
    </w:p>
    <w:p>
      <w:pPr>
        <w:pStyle w:val="BodyText"/>
        <w:spacing w:line="300" w:lineRule="auto" w:before="13"/>
        <w:ind w:right="193"/>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月至今任朗新科技董事。目前兼任香港证券及期货事务监察委员会非执行董事、联想集团有限公司独立非执行董事</w:t>
      </w:r>
      <w:r>
        <w:rPr>
          <w:spacing w:val="-61"/>
        </w:rPr>
        <w:t> </w:t>
      </w:r>
      <w:r>
        <w:rPr>
          <w:spacing w:val="-61"/>
        </w:rPr>
      </w:r>
      <w:r>
        <w:rPr/>
        <w:t>等职务。</w:t>
      </w:r>
    </w:p>
    <w:p>
      <w:pPr>
        <w:pStyle w:val="BodyText"/>
        <w:spacing w:line="307" w:lineRule="auto" w:before="70"/>
        <w:ind w:right="192"/>
        <w:jc w:val="both"/>
      </w:pPr>
      <w:r>
        <w:rPr>
          <w:rFonts w:ascii="Times New Roman" w:hAnsi="Times New Roman" w:cs="Times New Roman" w:eastAsia="Times New Roman" w:hint="default"/>
          <w:spacing w:val="-3"/>
        </w:rPr>
        <w:t>7.</w:t>
      </w:r>
      <w:r>
        <w:rPr>
          <w:spacing w:val="-3"/>
        </w:rPr>
        <w:t>倪行军，中国国籍，无境外居留权，男，</w:t>
      </w:r>
      <w:r>
        <w:rPr>
          <w:rFonts w:ascii="Times New Roman" w:hAnsi="Times New Roman" w:cs="Times New Roman" w:eastAsia="Times New Roman" w:hint="default"/>
          <w:spacing w:val="-3"/>
        </w:rPr>
        <w:t>1977</w:t>
      </w:r>
      <w:r>
        <w:rPr>
          <w:spacing w:val="-3"/>
        </w:rPr>
        <w:t>年出生，大学学历，中欧工商学院 </w:t>
      </w:r>
      <w:r>
        <w:rPr>
          <w:rFonts w:ascii="Times New Roman" w:hAnsi="Times New Roman" w:cs="Times New Roman" w:eastAsia="Times New Roman" w:hint="default"/>
        </w:rPr>
        <w:t>EMBA</w:t>
      </w:r>
      <w:r>
        <w:rPr/>
        <w:t>在读。历任杭州天地网络技术有限</w:t>
      </w:r>
      <w:r>
        <w:rPr>
          <w:spacing w:val="-81"/>
        </w:rPr>
        <w:t> </w:t>
      </w:r>
      <w:r>
        <w:rPr>
          <w:spacing w:val="-81"/>
        </w:rPr>
      </w:r>
      <w:r>
        <w:rPr>
          <w:spacing w:val="-2"/>
        </w:rPr>
        <w:t>公司工程师，绍兴星河网络技术有限公司技术部负责人，华东医药股份有限公司工程师，阿里巴巴集团控股有限公司（包括</w:t>
      </w:r>
      <w:r>
        <w:rPr>
          <w:spacing w:val="-65"/>
        </w:rPr>
        <w:t> </w:t>
      </w:r>
      <w:r>
        <w:rPr>
          <w:spacing w:val="-65"/>
        </w:rPr>
      </w:r>
      <w:r>
        <w:rPr>
          <w:spacing w:val="-5"/>
        </w:rPr>
        <w:t>下属子公司）工程师，浙江蚂蚁小微金融服务集团有限公司（包括下属子公司）工程师。</w:t>
      </w:r>
      <w:r>
        <w:rPr>
          <w:rFonts w:ascii="Times New Roman" w:hAnsi="Times New Roman" w:cs="Times New Roman" w:eastAsia="Times New Roman" w:hint="default"/>
          <w:spacing w:val="-5"/>
        </w:rPr>
        <w:t>2005</w:t>
      </w:r>
      <w:r>
        <w:rPr>
          <w:spacing w:val="-5"/>
        </w:rPr>
        <w:t>年至今在蚂蚁金融服务集团（包</w:t>
      </w:r>
      <w:r>
        <w:rPr>
          <w:spacing w:val="-71"/>
        </w:rPr>
        <w:t> </w:t>
      </w:r>
      <w:r>
        <w:rPr>
          <w:spacing w:val="-71"/>
        </w:rPr>
      </w:r>
      <w:r>
        <w:rPr/>
        <w:t>括前身浙江阿里巴巴电子商务有限公司及下属子公司）任职，现任支付技术部负责人。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月至今任朗新科技董事。</w:t>
      </w:r>
    </w:p>
    <w:p>
      <w:pPr>
        <w:pStyle w:val="BodyText"/>
        <w:spacing w:line="300" w:lineRule="auto" w:before="48"/>
        <w:ind w:right="192"/>
        <w:jc w:val="both"/>
      </w:pPr>
      <w:r>
        <w:rPr>
          <w:rFonts w:ascii="Times New Roman" w:hAnsi="Times New Roman" w:cs="Times New Roman" w:eastAsia="Times New Roman" w:hint="default"/>
          <w:spacing w:val="-1"/>
        </w:rPr>
        <w:t>8.</w:t>
      </w:r>
      <w:r>
        <w:rPr>
          <w:spacing w:val="-1"/>
        </w:rPr>
        <w:t>穆钢，中国国籍，无境外居留权，男，</w:t>
      </w:r>
      <w:r>
        <w:rPr>
          <w:rFonts w:ascii="Times New Roman" w:hAnsi="Times New Roman" w:cs="Times New Roman" w:eastAsia="Times New Roman" w:hint="default"/>
          <w:spacing w:val="-1"/>
        </w:rPr>
        <w:t>1957</w:t>
      </w:r>
      <w:r>
        <w:rPr>
          <w:spacing w:val="-1"/>
        </w:rPr>
        <w:t>年出生，博士研究生学历，教授。</w:t>
      </w:r>
      <w:r>
        <w:rPr>
          <w:rFonts w:ascii="Times New Roman" w:hAnsi="Times New Roman" w:cs="Times New Roman" w:eastAsia="Times New Roman" w:hint="default"/>
          <w:spacing w:val="-1"/>
        </w:rPr>
        <w:t>1984</w:t>
      </w:r>
      <w:r>
        <w:rPr>
          <w:spacing w:val="-1"/>
        </w:rPr>
        <w:t>年至</w:t>
      </w:r>
      <w:r>
        <w:rPr>
          <w:rFonts w:ascii="Times New Roman" w:hAnsi="Times New Roman" w:cs="Times New Roman" w:eastAsia="Times New Roman" w:hint="default"/>
          <w:spacing w:val="-1"/>
        </w:rPr>
        <w:t>1987</w:t>
      </w:r>
      <w:r>
        <w:rPr>
          <w:spacing w:val="-1"/>
        </w:rPr>
        <w:t>年任教于东北电力学院；</w:t>
      </w:r>
      <w:r>
        <w:rPr>
          <w:rFonts w:ascii="Times New Roman" w:hAnsi="Times New Roman" w:cs="Times New Roman" w:eastAsia="Times New Roman" w:hint="default"/>
          <w:spacing w:val="-1"/>
        </w:rPr>
        <w:t>1987</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2"/>
        </w:rPr>
        <w:t>年至</w:t>
      </w:r>
      <w:r>
        <w:rPr>
          <w:rFonts w:ascii="Times New Roman" w:hAnsi="Times New Roman" w:cs="Times New Roman" w:eastAsia="Times New Roman" w:hint="default"/>
          <w:spacing w:val="-2"/>
        </w:rPr>
        <w:t>1991</w:t>
      </w:r>
      <w:r>
        <w:rPr>
          <w:spacing w:val="-2"/>
        </w:rPr>
        <w:t>年就读于清华大学并获工学博士学位；</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1995</w:t>
      </w:r>
      <w:r>
        <w:rPr>
          <w:spacing w:val="-2"/>
        </w:rPr>
        <w:t>年任教于东北电力学院；</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2005</w:t>
      </w:r>
      <w:r>
        <w:rPr>
          <w:spacing w:val="-2"/>
        </w:rPr>
        <w:t>年任教于东北电力学院</w:t>
      </w:r>
      <w:r>
        <w:rPr>
          <w:spacing w:val="-58"/>
        </w:rPr>
        <w:t> </w:t>
      </w:r>
      <w:r>
        <w:rPr>
          <w:spacing w:val="-58"/>
        </w:rPr>
      </w:r>
      <w:r>
        <w:rPr>
          <w:spacing w:val="-2"/>
        </w:rPr>
        <w:t>并担任院长助理兼教务处长、副院长、院长；</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2011</w:t>
      </w:r>
      <w:r>
        <w:rPr>
          <w:spacing w:val="-2"/>
        </w:rPr>
        <w:t>年任东北电力大学校长；</w:t>
      </w:r>
      <w:r>
        <w:rPr>
          <w:rFonts w:ascii="Times New Roman" w:hAnsi="Times New Roman" w:cs="Times New Roman" w:eastAsia="Times New Roman" w:hint="default"/>
          <w:spacing w:val="-2"/>
        </w:rPr>
        <w:t>2011</w:t>
      </w:r>
      <w:r>
        <w:rPr>
          <w:spacing w:val="-2"/>
        </w:rPr>
        <w:t>年至今任东北电力大学学术委员会</w:t>
      </w:r>
      <w:r>
        <w:rPr>
          <w:spacing w:val="-56"/>
        </w:rPr>
        <w:t> </w:t>
      </w:r>
      <w:r>
        <w:rPr/>
        <w:t>主任。</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月至今任朗新科技独立董事。目前兼任中国电机工程学会电工数学专委会主任委员等职务。</w:t>
      </w:r>
    </w:p>
    <w:p>
      <w:pPr>
        <w:pStyle w:val="BodyText"/>
        <w:spacing w:line="300" w:lineRule="auto" w:before="53"/>
        <w:ind w:right="94"/>
        <w:jc w:val="left"/>
      </w:pPr>
      <w:r>
        <w:rPr>
          <w:rFonts w:ascii="Times New Roman" w:hAnsi="Times New Roman" w:cs="Times New Roman" w:eastAsia="Times New Roman" w:hint="default"/>
        </w:rPr>
        <w:t>9.</w:t>
      </w:r>
      <w:r>
        <w:rPr/>
        <w:t>谢德仁，中国国籍，无境外居留权，男，</w:t>
      </w:r>
      <w:r>
        <w:rPr>
          <w:rFonts w:ascii="Times New Roman" w:hAnsi="Times New Roman" w:cs="Times New Roman" w:eastAsia="Times New Roman" w:hint="default"/>
        </w:rPr>
        <w:t>1972</w:t>
      </w:r>
      <w:r>
        <w:rPr/>
        <w:t>年出生，博士研究生学历，会计学教授。</w:t>
      </w:r>
      <w:r>
        <w:rPr>
          <w:rFonts w:ascii="Times New Roman" w:hAnsi="Times New Roman" w:cs="Times New Roman" w:eastAsia="Times New Roman" w:hint="default"/>
        </w:rPr>
        <w:t>1998</w:t>
      </w:r>
      <w:r>
        <w:rPr/>
        <w:t>年至今任教于清华大学经管学 院。</w:t>
      </w:r>
      <w:r>
        <w:rPr>
          <w:rFonts w:ascii="Times New Roman" w:hAnsi="Times New Roman" w:cs="Times New Roman" w:eastAsia="Times New Roman" w:hint="default"/>
        </w:rPr>
        <w:t>2014</w:t>
      </w:r>
      <w:r>
        <w:rPr/>
        <w:t>年至今任中国会计学会理事；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月至今任朗新科技独立董事。目前还兼任中国会计学会《会计研究》编委、 华夏基金管理有限公司独立董事等职务。</w:t>
      </w:r>
    </w:p>
    <w:p>
      <w:pPr>
        <w:pStyle w:val="BodyText"/>
        <w:spacing w:line="300" w:lineRule="auto" w:before="70"/>
        <w:ind w:right="94" w:hanging="1"/>
        <w:jc w:val="left"/>
      </w:pPr>
      <w:r>
        <w:rPr>
          <w:rFonts w:ascii="Times New Roman" w:hAnsi="Times New Roman" w:cs="Times New Roman" w:eastAsia="Times New Roman" w:hint="default"/>
          <w:spacing w:val="-4"/>
        </w:rPr>
        <w:t>10.</w:t>
      </w:r>
      <w:r>
        <w:rPr>
          <w:spacing w:val="-4"/>
        </w:rPr>
        <w:t>梅生伟，中国国籍，无境外居留权，男，</w:t>
      </w:r>
      <w:r>
        <w:rPr>
          <w:rFonts w:ascii="Times New Roman" w:hAnsi="Times New Roman" w:cs="Times New Roman" w:eastAsia="Times New Roman" w:hint="default"/>
          <w:spacing w:val="-4"/>
        </w:rPr>
        <w:t>1964</w:t>
      </w:r>
      <w:r>
        <w:rPr>
          <w:spacing w:val="-4"/>
        </w:rPr>
        <w:t>年</w:t>
      </w:r>
      <w:r>
        <w:rPr>
          <w:rFonts w:ascii="Times New Roman" w:hAnsi="Times New Roman" w:cs="Times New Roman" w:eastAsia="Times New Roman" w:hint="default"/>
          <w:spacing w:val="-4"/>
        </w:rPr>
        <w:t>9</w:t>
      </w:r>
      <w:r>
        <w:rPr>
          <w:spacing w:val="-4"/>
        </w:rPr>
        <w:t>月出生，博士研究生学历，教授。</w:t>
      </w:r>
      <w:r>
        <w:rPr>
          <w:rFonts w:ascii="Times New Roman" w:hAnsi="Times New Roman" w:cs="Times New Roman" w:eastAsia="Times New Roman" w:hint="default"/>
          <w:spacing w:val="-4"/>
        </w:rPr>
        <w:t>1984</w:t>
      </w:r>
      <w:r>
        <w:rPr>
          <w:spacing w:val="-4"/>
        </w:rPr>
        <w:t>年至</w:t>
      </w:r>
      <w:r>
        <w:rPr>
          <w:rFonts w:ascii="Times New Roman" w:hAnsi="Times New Roman" w:cs="Times New Roman" w:eastAsia="Times New Roman" w:hint="default"/>
          <w:spacing w:val="-4"/>
        </w:rPr>
        <w:t>1987</w:t>
      </w:r>
      <w:r>
        <w:rPr>
          <w:spacing w:val="-4"/>
        </w:rPr>
        <w:t>年任教于新疆大学；</w:t>
      </w:r>
      <w:r>
        <w:rPr>
          <w:rFonts w:ascii="Times New Roman" w:hAnsi="Times New Roman" w:cs="Times New Roman" w:eastAsia="Times New Roman" w:hint="default"/>
          <w:spacing w:val="-4"/>
        </w:rPr>
        <w:t>1987</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2"/>
        </w:rPr>
        <w:t>年至</w:t>
      </w:r>
      <w:r>
        <w:rPr>
          <w:rFonts w:ascii="Times New Roman" w:hAnsi="Times New Roman" w:cs="Times New Roman" w:eastAsia="Times New Roman" w:hint="default"/>
          <w:spacing w:val="-2"/>
        </w:rPr>
        <w:t>1989</w:t>
      </w:r>
      <w:r>
        <w:rPr>
          <w:spacing w:val="-2"/>
        </w:rPr>
        <w:t>年就读于清华大学应用数学系，获硕士学位；</w:t>
      </w:r>
      <w:r>
        <w:rPr>
          <w:rFonts w:ascii="Times New Roman" w:hAnsi="Times New Roman" w:cs="Times New Roman" w:eastAsia="Times New Roman" w:hint="default"/>
          <w:spacing w:val="-2"/>
        </w:rPr>
        <w:t>1990</w:t>
      </w:r>
      <w:r>
        <w:rPr>
          <w:spacing w:val="-2"/>
        </w:rPr>
        <w:t>年至</w:t>
      </w:r>
      <w:r>
        <w:rPr>
          <w:rFonts w:ascii="Times New Roman" w:hAnsi="Times New Roman" w:cs="Times New Roman" w:eastAsia="Times New Roman" w:hint="default"/>
          <w:spacing w:val="-2"/>
        </w:rPr>
        <w:t>1993</w:t>
      </w:r>
      <w:r>
        <w:rPr>
          <w:spacing w:val="-2"/>
        </w:rPr>
        <w:t>年任教于新疆大学，</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1996</w:t>
      </w:r>
      <w:r>
        <w:rPr>
          <w:spacing w:val="-2"/>
        </w:rPr>
        <w:t>年就读于中国科学院</w:t>
      </w:r>
      <w:r>
        <w:rPr>
          <w:spacing w:val="-56"/>
        </w:rPr>
        <w:t> </w:t>
      </w:r>
      <w:r>
        <w:rPr>
          <w:spacing w:val="-56"/>
        </w:rPr>
      </w:r>
      <w:r>
        <w:rPr/>
        <w:t>系统科学研究所，获博士学位；</w:t>
      </w:r>
      <w:r>
        <w:rPr>
          <w:rFonts w:ascii="Times New Roman" w:hAnsi="Times New Roman" w:cs="Times New Roman" w:eastAsia="Times New Roman" w:hint="default"/>
        </w:rPr>
        <w:t>1996</w:t>
      </w:r>
      <w:r>
        <w:rPr/>
        <w:t>年至今任教于清华大学。现任清华大学教授，博士生导师，国家杰出青年基金获得者， 教育部长江学者特聘教授，国家自然科学基金委创新研究群体学术带头人，</w:t>
      </w:r>
      <w:r>
        <w:rPr>
          <w:rFonts w:ascii="Times New Roman" w:hAnsi="Times New Roman" w:cs="Times New Roman" w:eastAsia="Times New Roman" w:hint="default"/>
        </w:rPr>
        <w:t>IET</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3"/>
        </w:rPr>
        <w:t>Fellow</w:t>
      </w:r>
      <w:r>
        <w:rPr>
          <w:spacing w:val="-3"/>
        </w:rPr>
        <w:t>，</w:t>
      </w:r>
      <w:r>
        <w:rPr>
          <w:rFonts w:ascii="Times New Roman" w:hAnsi="Times New Roman" w:cs="Times New Roman" w:eastAsia="Times New Roman" w:hint="default"/>
          <w:spacing w:val="-3"/>
        </w:rPr>
        <w:t>IEEE</w:t>
      </w:r>
      <w:r>
        <w:rPr>
          <w:rFonts w:ascii="Times New Roman" w:hAnsi="Times New Roman" w:cs="Times New Roman" w:eastAsia="Times New Roman" w:hint="default"/>
          <w:spacing w:val="-18"/>
        </w:rPr>
        <w:t> </w:t>
      </w:r>
      <w:r>
        <w:rPr>
          <w:rFonts w:ascii="Times New Roman" w:hAnsi="Times New Roman" w:cs="Times New Roman" w:eastAsia="Times New Roman" w:hint="default"/>
        </w:rPr>
        <w:t>Fellow,</w:t>
      </w:r>
      <w:r>
        <w:rPr/>
        <w:t>享受国务院政府特殊津 贴。曾在英国</w:t>
      </w:r>
      <w:r>
        <w:rPr>
          <w:rFonts w:ascii="Times New Roman" w:hAnsi="Times New Roman" w:cs="Times New Roman" w:eastAsia="Times New Roman" w:hint="default"/>
        </w:rPr>
        <w:t>Brunel</w:t>
      </w:r>
      <w:r>
        <w:rPr/>
        <w:t>大学、日本上智大学及国立新加坡大学访问研究。</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月至今任朗新科技独立董事。</w:t>
      </w:r>
    </w:p>
    <w:p>
      <w:pPr>
        <w:pStyle w:val="BodyText"/>
        <w:spacing w:line="240" w:lineRule="auto" w:before="53"/>
        <w:ind w:right="0"/>
        <w:jc w:val="both"/>
      </w:pPr>
      <w:r>
        <w:rPr>
          <w:rFonts w:ascii="Times New Roman" w:hAnsi="Times New Roman" w:cs="Times New Roman" w:eastAsia="Times New Roman" w:hint="default"/>
        </w:rPr>
        <w:t>11.</w:t>
      </w:r>
      <w:r>
        <w:rPr/>
        <w:t>赵国栋，中国国籍，无境外居留权，男，</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8</w:t>
      </w:r>
      <w:r>
        <w:rPr/>
        <w:t>月出生，本科学历。</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2013</w:t>
      </w:r>
      <w:r>
        <w:rPr/>
        <w:t>年，任国金证券研究所高级分析师；</w:t>
      </w:r>
    </w:p>
    <w:p>
      <w:pPr>
        <w:pStyle w:val="BodyText"/>
        <w:spacing w:line="300" w:lineRule="auto" w:before="62"/>
        <w:ind w:right="193"/>
        <w:jc w:val="both"/>
      </w:pPr>
      <w:r>
        <w:rPr>
          <w:rFonts w:ascii="Times New Roman" w:hAnsi="Times New Roman" w:cs="Times New Roman" w:eastAsia="Times New Roman" w:hint="default"/>
          <w:spacing w:val="-2"/>
        </w:rPr>
        <w:t>2013</w:t>
      </w:r>
      <w:r>
        <w:rPr>
          <w:spacing w:val="-2"/>
        </w:rPr>
        <w:t>年至</w:t>
      </w:r>
      <w:r>
        <w:rPr>
          <w:rFonts w:ascii="Times New Roman" w:hAnsi="Times New Roman" w:cs="Times New Roman" w:eastAsia="Times New Roman" w:hint="default"/>
          <w:spacing w:val="-2"/>
        </w:rPr>
        <w:t>2014</w:t>
      </w:r>
      <w:r>
        <w:rPr>
          <w:spacing w:val="-2"/>
        </w:rPr>
        <w:t>年，任宏源证券研究所首席分析师；</w:t>
      </w:r>
      <w:r>
        <w:rPr>
          <w:rFonts w:ascii="Times New Roman" w:hAnsi="Times New Roman" w:cs="Times New Roman" w:eastAsia="Times New Roman" w:hint="default"/>
          <w:spacing w:val="-2"/>
        </w:rPr>
        <w:t>2014</w:t>
      </w:r>
      <w:r>
        <w:rPr>
          <w:spacing w:val="-2"/>
        </w:rPr>
        <w:t>年至</w:t>
      </w:r>
      <w:r>
        <w:rPr>
          <w:rFonts w:ascii="Times New Roman" w:hAnsi="Times New Roman" w:cs="Times New Roman" w:eastAsia="Times New Roman" w:hint="default"/>
          <w:spacing w:val="-2"/>
        </w:rPr>
        <w:t>2016</w:t>
      </w:r>
      <w:r>
        <w:rPr>
          <w:spacing w:val="-2"/>
        </w:rPr>
        <w:t>年，任用友网络科技股份有限公司副总裁；</w:t>
      </w:r>
      <w:r>
        <w:rPr>
          <w:rFonts w:ascii="宋体" w:hAnsi="宋体" w:cs="宋体" w:eastAsia="宋体" w:hint="default"/>
          <w:spacing w:val="-2"/>
        </w:rPr>
        <w:t>2016</w:t>
      </w:r>
      <w:r>
        <w:rPr>
          <w:spacing w:val="-2"/>
        </w:rPr>
        <w:t>年</w:t>
      </w:r>
      <w:r>
        <w:rPr>
          <w:rFonts w:ascii="宋体" w:hAnsi="宋体" w:cs="宋体" w:eastAsia="宋体" w:hint="default"/>
          <w:spacing w:val="-2"/>
        </w:rPr>
        <w:t>10</w:t>
      </w:r>
      <w:r>
        <w:rPr>
          <w:spacing w:val="-2"/>
        </w:rPr>
        <w:t>月至今</w:t>
      </w:r>
      <w:r>
        <w:rPr>
          <w:spacing w:val="-53"/>
        </w:rPr>
        <w:t> </w:t>
      </w:r>
      <w:r>
        <w:rPr>
          <w:spacing w:val="-53"/>
        </w:rPr>
      </w:r>
      <w:r>
        <w:rPr/>
        <w:t>任朗新科技股份有限公司独立董事。目前兼任中关村大数据产业联盟秘书长、北京数据联合科技有限公司董事长等职务。</w:t>
      </w:r>
    </w:p>
    <w:p>
      <w:pPr>
        <w:pStyle w:val="BodyText"/>
        <w:spacing w:line="357" w:lineRule="auto" w:before="72"/>
        <w:ind w:right="2794"/>
        <w:jc w:val="left"/>
      </w:pPr>
      <w:r>
        <w:rPr/>
        <w:t>（二）监事会成员 公司监事会由</w:t>
      </w:r>
      <w:r>
        <w:rPr>
          <w:rFonts w:ascii="Times New Roman" w:hAnsi="Times New Roman" w:cs="Times New Roman" w:eastAsia="Times New Roman" w:hint="default"/>
        </w:rPr>
        <w:t>3</w:t>
      </w:r>
      <w:r>
        <w:rPr/>
        <w:t>名成员组成，目前</w:t>
      </w:r>
      <w:r>
        <w:rPr>
          <w:rFonts w:ascii="Times New Roman" w:hAnsi="Times New Roman" w:cs="Times New Roman" w:eastAsia="Times New Roman" w:hint="default"/>
        </w:rPr>
        <w:t>3</w:t>
      </w:r>
      <w:r>
        <w:rPr/>
        <w:t>名监事主要工作经历以及目前在公司的主要职责如下：</w:t>
      </w:r>
    </w:p>
    <w:p>
      <w:pPr>
        <w:pStyle w:val="BodyText"/>
        <w:spacing w:line="319" w:lineRule="auto" w:before="6"/>
        <w:ind w:right="191"/>
        <w:jc w:val="both"/>
      </w:pPr>
      <w:r>
        <w:rPr>
          <w:rFonts w:ascii="Times New Roman" w:hAnsi="Times New Roman" w:cs="Times New Roman" w:eastAsia="Times New Roman" w:hint="default"/>
          <w:spacing w:val="-6"/>
        </w:rPr>
        <w:t>1.</w:t>
      </w:r>
      <w:r>
        <w:rPr>
          <w:spacing w:val="-6"/>
        </w:rPr>
        <w:t>陈峙屹，中国香港居民，男，</w:t>
      </w:r>
      <w:r>
        <w:rPr>
          <w:rFonts w:ascii="Times New Roman" w:hAnsi="Times New Roman" w:cs="Times New Roman" w:eastAsia="Times New Roman" w:hint="default"/>
          <w:spacing w:val="-6"/>
        </w:rPr>
        <w:t>1983</w:t>
      </w:r>
      <w:r>
        <w:rPr>
          <w:spacing w:val="-6"/>
        </w:rPr>
        <w:t>年出生，本科学历。</w:t>
      </w:r>
      <w:r>
        <w:rPr>
          <w:rFonts w:ascii="Times New Roman" w:hAnsi="Times New Roman" w:cs="Times New Roman" w:eastAsia="Times New Roman" w:hint="default"/>
          <w:spacing w:val="-6"/>
        </w:rPr>
        <w:t>2005</w:t>
      </w:r>
      <w:r>
        <w:rPr>
          <w:spacing w:val="-6"/>
        </w:rPr>
        <w:t>年至</w:t>
      </w:r>
      <w:r>
        <w:rPr>
          <w:rFonts w:ascii="Times New Roman" w:hAnsi="Times New Roman" w:cs="Times New Roman" w:eastAsia="Times New Roman" w:hint="default"/>
          <w:spacing w:val="-6"/>
        </w:rPr>
        <w:t>2006</w:t>
      </w:r>
      <w:r>
        <w:rPr>
          <w:spacing w:val="-6"/>
        </w:rPr>
        <w:t>年任职于</w:t>
      </w:r>
      <w:r>
        <w:rPr>
          <w:rFonts w:ascii="Times New Roman" w:hAnsi="Times New Roman" w:cs="Times New Roman" w:eastAsia="Times New Roman" w:hint="default"/>
          <w:spacing w:val="-6"/>
        </w:rPr>
        <w:t>Morgan </w:t>
      </w:r>
      <w:r>
        <w:rPr>
          <w:rFonts w:ascii="Times New Roman" w:hAnsi="Times New Roman" w:cs="Times New Roman" w:eastAsia="Times New Roman" w:hint="default"/>
          <w:spacing w:val="-3"/>
        </w:rPr>
        <w:t>Stanley</w:t>
      </w:r>
      <w:r>
        <w:rPr>
          <w:spacing w:val="-3"/>
        </w:rPr>
        <w:t>，</w:t>
      </w:r>
      <w:r>
        <w:rPr>
          <w:rFonts w:ascii="Times New Roman" w:hAnsi="Times New Roman" w:cs="Times New Roman" w:eastAsia="Times New Roman" w:hint="default"/>
          <w:spacing w:val="-3"/>
        </w:rPr>
        <w:t>2006</w:t>
      </w:r>
      <w:r>
        <w:rPr>
          <w:spacing w:val="-3"/>
        </w:rPr>
        <w:t>年至</w:t>
      </w:r>
      <w:r>
        <w:rPr>
          <w:rFonts w:ascii="Times New Roman" w:hAnsi="Times New Roman" w:cs="Times New Roman" w:eastAsia="Times New Roman" w:hint="default"/>
          <w:spacing w:val="-3"/>
        </w:rPr>
        <w:t>2011</w:t>
      </w:r>
      <w:r>
        <w:rPr>
          <w:spacing w:val="-3"/>
        </w:rPr>
        <w:t>年任职于</w:t>
      </w:r>
      <w:r>
        <w:rPr>
          <w:rFonts w:ascii="Times New Roman" w:hAnsi="Times New Roman" w:cs="Times New Roman" w:eastAsia="Times New Roman" w:hint="default"/>
          <w:spacing w:val="-3"/>
        </w:rPr>
        <w:t>General</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spacing w:val="-3"/>
        </w:rPr>
        <w:t>Atlantic</w:t>
      </w:r>
      <w:r>
        <w:rPr>
          <w:spacing w:val="-3"/>
        </w:rPr>
        <w:t>；</w:t>
      </w:r>
      <w:r>
        <w:rPr>
          <w:rFonts w:ascii="Times New Roman" w:hAnsi="Times New Roman" w:cs="Times New Roman" w:eastAsia="Times New Roman" w:hint="default"/>
          <w:spacing w:val="-3"/>
        </w:rPr>
        <w:t>2011</w:t>
      </w:r>
      <w:r>
        <w:rPr>
          <w:spacing w:val="-3"/>
        </w:rPr>
        <w:t>年至今任职于博裕投资顾问有限公司，担任执行董事、董事总经理；</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月至今任朗新科技监事会主席。</w:t>
      </w:r>
      <w:r>
        <w:rPr>
          <w:spacing w:val="-29"/>
        </w:rPr>
        <w:t> </w:t>
      </w:r>
      <w:r>
        <w:rPr>
          <w:rFonts w:ascii="Times New Roman" w:hAnsi="Times New Roman" w:cs="Times New Roman" w:eastAsia="Times New Roman" w:hint="default"/>
        </w:rPr>
        <w:t>2.</w:t>
      </w:r>
      <w:r>
        <w:rPr/>
        <w:t>戴清林，中国国籍，无境外居留权，男，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5</w:t>
      </w:r>
      <w:r>
        <w:rPr/>
        <w:t>月出生，硕士研究生学历，毕业于中国空间技术研究院。曾任职于北京</w:t>
      </w:r>
    </w:p>
    <w:p>
      <w:pPr>
        <w:pStyle w:val="BodyText"/>
        <w:spacing w:line="319" w:lineRule="auto"/>
        <w:ind w:right="229"/>
        <w:jc w:val="left"/>
        <w:rPr>
          <w:rFonts w:ascii="Times New Roman" w:hAnsi="Times New Roman" w:cs="Times New Roman" w:eastAsia="Times New Roman" w:hint="default"/>
        </w:rPr>
      </w:pPr>
      <w:r>
        <w:rPr/>
        <w:t>信息控制研究所、美国</w:t>
      </w:r>
      <w:r>
        <w:rPr>
          <w:rFonts w:ascii="Times New Roman" w:hAnsi="Times New Roman" w:cs="Times New Roman" w:eastAsia="Times New Roman" w:hint="default"/>
        </w:rPr>
        <w:t>CDC</w:t>
      </w:r>
      <w:r>
        <w:rPr/>
        <w:t>公司北京办事处、香港中联公司北京办事处，</w:t>
      </w:r>
      <w:r>
        <w:rPr>
          <w:rFonts w:ascii="Times New Roman" w:hAnsi="Times New Roman" w:cs="Times New Roman" w:eastAsia="Times New Roman" w:hint="default"/>
        </w:rPr>
        <w:t>1999</w:t>
      </w:r>
      <w:r>
        <w:rPr/>
        <w:t>年加入北京朗新信息系统有限公司，曾任副 总裁，</w:t>
      </w:r>
      <w:r>
        <w:rPr>
          <w:rFonts w:ascii="Times New Roman" w:hAnsi="Times New Roman" w:cs="Times New Roman" w:eastAsia="Times New Roman" w:hint="default"/>
        </w:rPr>
        <w:t>2012</w:t>
      </w:r>
      <w:r>
        <w:rPr/>
        <w:t>年加入易视腾科技股份有限公司，现任战略发展部对外合作总监。</w:t>
      </w:r>
      <w:r>
        <w:rPr>
          <w:rFonts w:ascii="宋体" w:hAnsi="宋体" w:cs="宋体" w:eastAsia="宋体" w:hint="default"/>
        </w:rPr>
        <w:t>2017</w:t>
      </w:r>
      <w:r>
        <w:rPr/>
        <w:t>年</w:t>
      </w:r>
      <w:r>
        <w:rPr>
          <w:rFonts w:ascii="宋体" w:hAnsi="宋体" w:cs="宋体" w:eastAsia="宋体" w:hint="default"/>
        </w:rPr>
        <w:t>12</w:t>
      </w:r>
      <w:r>
        <w:rPr/>
        <w:t>月至今任朗新科技监事。 </w:t>
      </w:r>
      <w:r>
        <w:rPr>
          <w:rFonts w:ascii="Times New Roman" w:hAnsi="Times New Roman" w:cs="Times New Roman" w:eastAsia="Times New Roman" w:hint="default"/>
        </w:rPr>
        <w:t>3.</w:t>
      </w:r>
      <w:r>
        <w:rPr/>
        <w:t>万海艳，中国国籍，无境外居留权，女，</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6</w:t>
      </w:r>
      <w:r>
        <w:rPr/>
        <w:t>月出生，本科学历，</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2002</w:t>
      </w:r>
      <w:r>
        <w:rPr/>
        <w:t>年任职于南昌冶金工业总公司，</w:t>
      </w:r>
      <w:r>
        <w:rPr>
          <w:rFonts w:ascii="Times New Roman" w:hAnsi="Times New Roman" w:cs="Times New Roman" w:eastAsia="Times New Roman" w:hint="default"/>
        </w:rPr>
        <w:t>2002</w:t>
      </w:r>
    </w:p>
    <w:p>
      <w:pPr>
        <w:pStyle w:val="BodyText"/>
        <w:spacing w:line="246" w:lineRule="exact"/>
        <w:ind w:right="0"/>
        <w:jc w:val="both"/>
      </w:pPr>
      <w:r>
        <w:rPr/>
        <w:t>年至</w:t>
      </w:r>
      <w:r>
        <w:rPr>
          <w:rFonts w:ascii="Times New Roman" w:hAnsi="Times New Roman" w:cs="Times New Roman" w:eastAsia="Times New Roman" w:hint="default"/>
        </w:rPr>
        <w:t>2010</w:t>
      </w:r>
      <w:r>
        <w:rPr/>
        <w:t>年历任北京朗新信息系统有限公司总经理助理、资深员工关系专员；</w:t>
      </w:r>
      <w:r>
        <w:rPr>
          <w:rFonts w:ascii="Times New Roman" w:hAnsi="Times New Roman" w:cs="Times New Roman" w:eastAsia="Times New Roman" w:hint="default"/>
        </w:rPr>
        <w:t>2010</w:t>
      </w:r>
      <w:r>
        <w:rPr/>
        <w:t>年任华为朗新人力资源业务合作伙伴</w:t>
      </w:r>
    </w:p>
    <w:p>
      <w:pPr>
        <w:spacing w:after="0" w:line="246" w:lineRule="exact"/>
        <w:jc w:val="both"/>
        <w:sectPr>
          <w:footerReference w:type="default" r:id="rId15"/>
          <w:pgSz w:w="11910" w:h="16840"/>
          <w:pgMar w:footer="982" w:header="745" w:top="1060" w:bottom="1180" w:left="980" w:right="940"/>
          <w:pgNumType w:start="54"/>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w:t>
      </w:r>
      <w:r>
        <w:rPr>
          <w:rFonts w:ascii="Times New Roman" w:hAnsi="Times New Roman" w:cs="Times New Roman" w:eastAsia="Times New Roman" w:hint="default"/>
        </w:rPr>
        <w:t>HRBP</w:t>
      </w:r>
      <w:r>
        <w:rPr/>
        <w:t>）；</w:t>
      </w:r>
      <w:r>
        <w:rPr>
          <w:rFonts w:ascii="Times New Roman" w:hAnsi="Times New Roman" w:cs="Times New Roman" w:eastAsia="Times New Roman" w:hint="default"/>
        </w:rPr>
        <w:t>2013</w:t>
      </w:r>
      <w:r>
        <w:rPr/>
        <w:t>年至今任朗新科技人力资源业务合作伙伴（</w:t>
      </w:r>
      <w:r>
        <w:rPr>
          <w:rFonts w:ascii="Times New Roman" w:hAnsi="Times New Roman" w:cs="Times New Roman" w:eastAsia="Times New Roman" w:hint="default"/>
        </w:rPr>
        <w:t>HRBP</w:t>
      </w:r>
      <w:r>
        <w:rPr/>
        <w:t>）。</w:t>
      </w:r>
      <w:r>
        <w:rPr>
          <w:rFonts w:ascii="宋体" w:hAnsi="宋体" w:cs="宋体" w:eastAsia="宋体" w:hint="default"/>
        </w:rPr>
        <w:t>2016</w:t>
      </w:r>
      <w:r>
        <w:rPr/>
        <w:t>年</w:t>
      </w:r>
      <w:r>
        <w:rPr>
          <w:rFonts w:ascii="宋体" w:hAnsi="宋体" w:cs="宋体" w:eastAsia="宋体" w:hint="default"/>
        </w:rPr>
        <w:t>12</w:t>
      </w:r>
      <w:r>
        <w:rPr/>
        <w:t>月至今任朗新科技监事。</w:t>
      </w:r>
    </w:p>
    <w:p>
      <w:pPr>
        <w:pStyle w:val="BodyText"/>
        <w:spacing w:line="240" w:lineRule="auto" w:before="103"/>
        <w:ind w:right="0"/>
        <w:jc w:val="both"/>
      </w:pPr>
      <w:r>
        <w:rPr/>
        <w:t>（三）高级管理人员</w:t>
      </w:r>
    </w:p>
    <w:p>
      <w:pPr>
        <w:pStyle w:val="BodyText"/>
        <w:spacing w:line="240" w:lineRule="auto" w:before="115"/>
        <w:ind w:right="0"/>
        <w:jc w:val="both"/>
      </w:pPr>
      <w:r>
        <w:rPr>
          <w:rFonts w:ascii="Times New Roman" w:hAnsi="Times New Roman" w:cs="Times New Roman" w:eastAsia="Times New Roman" w:hint="default"/>
        </w:rPr>
        <w:t>1</w:t>
      </w:r>
      <w:r>
        <w:rPr/>
        <w:t>、郑新标，参见本节之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w:t>
      </w:r>
    </w:p>
    <w:p>
      <w:pPr>
        <w:pStyle w:val="BodyText"/>
        <w:spacing w:line="240" w:lineRule="auto" w:before="103"/>
        <w:ind w:right="0"/>
        <w:jc w:val="both"/>
      </w:pPr>
      <w:r>
        <w:rPr>
          <w:rFonts w:ascii="Times New Roman" w:hAnsi="Times New Roman" w:cs="Times New Roman" w:eastAsia="Times New Roman" w:hint="default"/>
        </w:rPr>
        <w:t>2</w:t>
      </w:r>
      <w:r>
        <w:rPr/>
        <w:t>、彭知平，参见本节之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w:t>
      </w:r>
    </w:p>
    <w:p>
      <w:pPr>
        <w:pStyle w:val="BodyText"/>
        <w:spacing w:line="240" w:lineRule="auto" w:before="103"/>
        <w:ind w:right="0"/>
        <w:jc w:val="both"/>
      </w:pPr>
      <w:r>
        <w:rPr>
          <w:rFonts w:ascii="Times New Roman" w:hAnsi="Times New Roman" w:cs="Times New Roman" w:eastAsia="Times New Roman" w:hint="default"/>
        </w:rPr>
        <w:t>3</w:t>
      </w:r>
      <w:r>
        <w:rPr/>
        <w:t>、焦国云，参见本节之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w:t>
      </w:r>
    </w:p>
    <w:p>
      <w:pPr>
        <w:pStyle w:val="BodyText"/>
        <w:spacing w:line="240" w:lineRule="auto" w:before="101"/>
        <w:ind w:right="0"/>
        <w:jc w:val="both"/>
      </w:pPr>
      <w:r>
        <w:rPr>
          <w:rFonts w:ascii="Times New Roman" w:hAnsi="Times New Roman" w:cs="Times New Roman" w:eastAsia="Times New Roman" w:hint="default"/>
          <w:spacing w:val="-3"/>
        </w:rPr>
        <w:t>4</w:t>
      </w:r>
      <w:r>
        <w:rPr>
          <w:spacing w:val="-3"/>
        </w:rPr>
        <w:t>、王慎勇，中国国籍，无境外居留权，男，</w:t>
      </w:r>
      <w:r>
        <w:rPr>
          <w:rFonts w:ascii="Times New Roman" w:hAnsi="Times New Roman" w:cs="Times New Roman" w:eastAsia="Times New Roman" w:hint="default"/>
          <w:spacing w:val="-3"/>
        </w:rPr>
        <w:t>1972</w:t>
      </w:r>
      <w:r>
        <w:rPr>
          <w:spacing w:val="-3"/>
        </w:rPr>
        <w:t>年出生，硕士研究生学历。</w:t>
      </w:r>
      <w:r>
        <w:rPr>
          <w:rFonts w:ascii="Times New Roman" w:hAnsi="Times New Roman" w:cs="Times New Roman" w:eastAsia="Times New Roman" w:hint="default"/>
          <w:spacing w:val="-3"/>
        </w:rPr>
        <w:t>1994</w:t>
      </w:r>
      <w:r>
        <w:rPr>
          <w:spacing w:val="-3"/>
        </w:rPr>
        <w:t>年至</w:t>
      </w:r>
      <w:r>
        <w:rPr>
          <w:rFonts w:ascii="Times New Roman" w:hAnsi="Times New Roman" w:cs="Times New Roman" w:eastAsia="Times New Roman" w:hint="default"/>
          <w:spacing w:val="-3"/>
        </w:rPr>
        <w:t>1998</w:t>
      </w:r>
      <w:r>
        <w:rPr>
          <w:spacing w:val="-3"/>
        </w:rPr>
        <w:t>年任职于华北计算机技术研究所；</w:t>
      </w:r>
    </w:p>
    <w:p>
      <w:pPr>
        <w:pStyle w:val="BodyText"/>
        <w:spacing w:line="300" w:lineRule="auto" w:before="62"/>
        <w:ind w:right="150"/>
        <w:jc w:val="both"/>
      </w:pP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2009</w:t>
      </w:r>
      <w:r>
        <w:rPr>
          <w:spacing w:val="-2"/>
        </w:rPr>
        <w:t>年任北京朗新信息系统有限公司总监、副总裁；</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2010</w:t>
      </w:r>
      <w:r>
        <w:rPr>
          <w:spacing w:val="-2"/>
        </w:rPr>
        <w:t>年任亚信科技（中国）有限公司运营策略部副总</w:t>
      </w:r>
      <w:r>
        <w:rPr>
          <w:spacing w:val="-55"/>
        </w:rPr>
        <w:t> </w:t>
      </w:r>
      <w:r>
        <w:rPr>
          <w:spacing w:val="-55"/>
        </w:rPr>
      </w:r>
      <w:r>
        <w:rPr/>
        <w:t>经理；</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2012</w:t>
      </w:r>
      <w:r>
        <w:rPr/>
        <w:t>年任北京华为朗新信息系统有限公司副总经理；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月至今任朗新科技副总经理；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w:t>
      </w:r>
      <w:r>
        <w:rPr>
          <w:spacing w:val="-3"/>
        </w:rPr>
        <w:t> </w:t>
      </w:r>
      <w:r>
        <w:rPr/>
        <w:t>兼任朗新科技董事会秘书。现任无锡群兴股权投资管理有限公司监事等职务。</w:t>
      </w:r>
    </w:p>
    <w:p>
      <w:pPr>
        <w:pStyle w:val="BodyText"/>
        <w:spacing w:line="240" w:lineRule="auto" w:before="72"/>
        <w:ind w:right="0"/>
        <w:jc w:val="both"/>
      </w:pPr>
      <w:r>
        <w:rPr>
          <w:rFonts w:ascii="Times New Roman" w:hAnsi="Times New Roman" w:cs="Times New Roman" w:eastAsia="Times New Roman" w:hint="default"/>
        </w:rPr>
        <w:t>5</w:t>
      </w:r>
      <w:r>
        <w:rPr/>
        <w:t>、鲁清芳，中国国籍，无境外居留权，女，</w:t>
      </w:r>
      <w:r>
        <w:rPr>
          <w:rFonts w:ascii="Times New Roman" w:hAnsi="Times New Roman" w:cs="Times New Roman" w:eastAsia="Times New Roman" w:hint="default"/>
        </w:rPr>
        <w:t>1969</w:t>
      </w:r>
      <w:r>
        <w:rPr/>
        <w:t>年出生，本科学历。</w:t>
      </w:r>
      <w:r>
        <w:rPr>
          <w:rFonts w:ascii="Times New Roman" w:hAnsi="Times New Roman" w:cs="Times New Roman" w:eastAsia="Times New Roman" w:hint="default"/>
        </w:rPr>
        <w:t>1992</w:t>
      </w:r>
      <w:r>
        <w:rPr/>
        <w:t>年至</w:t>
      </w:r>
      <w:r>
        <w:rPr>
          <w:rFonts w:ascii="Times New Roman" w:hAnsi="Times New Roman" w:cs="Times New Roman" w:eastAsia="Times New Roman" w:hint="default"/>
        </w:rPr>
        <w:t>1999</w:t>
      </w:r>
      <w:r>
        <w:rPr/>
        <w:t>年任职于中华会计师事务所，</w:t>
      </w:r>
      <w:r>
        <w:rPr>
          <w:rFonts w:ascii="Times New Roman" w:hAnsi="Times New Roman" w:cs="Times New Roman" w:eastAsia="Times New Roman" w:hint="default"/>
        </w:rPr>
        <w:t>1999</w:t>
      </w:r>
      <w:r>
        <w:rPr/>
        <w:t>年至</w:t>
      </w:r>
    </w:p>
    <w:p>
      <w:pPr>
        <w:pStyle w:val="BodyText"/>
        <w:spacing w:line="300" w:lineRule="auto" w:before="62"/>
        <w:ind w:right="150"/>
        <w:jc w:val="left"/>
      </w:pPr>
      <w:r>
        <w:rPr>
          <w:rFonts w:ascii="Times New Roman" w:hAnsi="Times New Roman" w:cs="Times New Roman" w:eastAsia="Times New Roman" w:hint="default"/>
          <w:spacing w:val="-2"/>
        </w:rPr>
        <w:t>2000</w:t>
      </w:r>
      <w:r>
        <w:rPr>
          <w:spacing w:val="-2"/>
        </w:rPr>
        <w:t>年任北京富国电子信息有限公司财务经理，</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2001</w:t>
      </w:r>
      <w:r>
        <w:rPr>
          <w:spacing w:val="-2"/>
        </w:rPr>
        <w:t>年任北京方正电子有限公司财务经理，</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2002</w:t>
      </w:r>
      <w:r>
        <w:rPr>
          <w:spacing w:val="-2"/>
        </w:rPr>
        <w:t>年任硅谷</w:t>
      </w:r>
      <w:r>
        <w:rPr>
          <w:spacing w:val="-55"/>
        </w:rPr>
        <w:t> </w:t>
      </w:r>
      <w:r>
        <w:rPr>
          <w:spacing w:val="-55"/>
        </w:rPr>
      </w:r>
      <w:r>
        <w:rPr/>
        <w:t>动力网络技术有限公司财务经理。</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月任朗新科技财务经理，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月至今任朗新科技财务总监。</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240" w:lineRule="auto"/>
        <w:ind w:right="0"/>
        <w:jc w:val="both"/>
      </w:pPr>
      <w:r>
        <w:rPr/>
        <w:t>在股东单位任职情况</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39"/>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651"/>
        <w:gridCol w:w="4390"/>
        <w:gridCol w:w="1462"/>
        <w:gridCol w:w="2194"/>
      </w:tblGrid>
      <w:tr>
        <w:trPr>
          <w:trHeight w:val="713" w:hRule="exact"/>
        </w:trPr>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4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55" w:right="95"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2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12" w:right="101" w:hanging="812"/>
              <w:jc w:val="left"/>
              <w:rPr>
                <w:rFonts w:ascii="宋体" w:hAnsi="宋体" w:cs="宋体" w:eastAsia="宋体" w:hint="default"/>
                <w:sz w:val="18"/>
                <w:szCs w:val="18"/>
              </w:rPr>
            </w:pPr>
            <w:r>
              <w:rPr>
                <w:rFonts w:ascii="宋体" w:hAnsi="宋体" w:cs="宋体" w:eastAsia="宋体" w:hint="default"/>
                <w:sz w:val="18"/>
                <w:szCs w:val="18"/>
              </w:rPr>
              <w:t>在其他单位是否领取报酬 津贴</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易视腾科技股份有限公司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传神语联网网络科技股份有限公司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传神联合（北京）信息技术有限公司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未来电视有限公司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北京长林公益基金会</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八方传神数码科技（武汉）有限公司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邦道科技有限公司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无锡群兴股权投资管理有限公司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易视腾文化发展无锡有限公司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无锡群兴股权投资管理有限公司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彭知平</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无锡朗易投资管理有限公司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彭知平</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无锡朗道投资管理有限公司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GS-Solar(Cayman) Company</w:t>
            </w:r>
            <w:r>
              <w:rPr>
                <w:rFonts w:ascii="Times New Roman"/>
                <w:spacing w:val="-11"/>
                <w:sz w:val="18"/>
              </w:rPr>
              <w:t> </w:t>
            </w:r>
            <w:r>
              <w:rPr>
                <w:rFonts w:ascii="Times New Roman"/>
                <w:sz w:val="18"/>
              </w:rPr>
              <w:t>Ltd.</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南阳迅天宇硅品有限公司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NetDragon </w:t>
            </w:r>
            <w:r>
              <w:rPr>
                <w:rFonts w:ascii="Times New Roman"/>
                <w:spacing w:val="-3"/>
                <w:sz w:val="18"/>
              </w:rPr>
              <w:t>Websoft</w:t>
            </w:r>
            <w:r>
              <w:rPr>
                <w:rFonts w:ascii="Times New Roman"/>
                <w:spacing w:val="-6"/>
                <w:sz w:val="18"/>
              </w:rPr>
              <w:t> </w:t>
            </w:r>
            <w:r>
              <w:rPr>
                <w:rFonts w:ascii="Times New Roman"/>
                <w:sz w:val="18"/>
              </w:rPr>
              <w:t>Inc.</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4"/>
                <w:sz w:val="18"/>
              </w:rPr>
              <w:t>Yesky.com,</w:t>
            </w:r>
            <w:r>
              <w:rPr>
                <w:rFonts w:ascii="Times New Roman"/>
                <w:spacing w:val="3"/>
                <w:sz w:val="18"/>
              </w:rPr>
              <w:t> </w:t>
            </w:r>
            <w:r>
              <w:rPr>
                <w:rFonts w:ascii="Times New Roman"/>
                <w:sz w:val="18"/>
              </w:rPr>
              <w:t>Inc.</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pacing w:val="-4"/>
                <w:sz w:val="18"/>
              </w:rPr>
              <w:t>Yeecare </w:t>
            </w:r>
            <w:r>
              <w:rPr>
                <w:rFonts w:ascii="Times New Roman"/>
                <w:sz w:val="18"/>
              </w:rPr>
              <w:t>Holdings Co.,</w:t>
            </w:r>
            <w:r>
              <w:rPr>
                <w:rFonts w:ascii="Times New Roman"/>
                <w:spacing w:val="-2"/>
                <w:sz w:val="18"/>
              </w:rPr>
              <w:t> </w:t>
            </w:r>
            <w:r>
              <w:rPr>
                <w:rFonts w:ascii="Times New Roman"/>
                <w:sz w:val="18"/>
              </w:rPr>
              <w:t>Limited</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北京数码大方科技股份有限公司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651"/>
        <w:gridCol w:w="4390"/>
        <w:gridCol w:w="1462"/>
        <w:gridCol w:w="2194"/>
      </w:tblGrid>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北京统典弘达投资咨询有限公司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和谐爱奇投资管理（北京）有限公司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Microcare Network</w:t>
            </w:r>
            <w:r>
              <w:rPr>
                <w:rFonts w:ascii="Times New Roman"/>
                <w:spacing w:val="-10"/>
                <w:sz w:val="18"/>
              </w:rPr>
              <w:t> </w:t>
            </w:r>
            <w:r>
              <w:rPr>
                <w:rFonts w:ascii="Times New Roman"/>
                <w:sz w:val="18"/>
              </w:rPr>
              <w:t>Inc.</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拉萨经济技术开发区盈克嘉企业投资咨询有限公司（原 名为</w:t>
            </w:r>
            <w:r>
              <w:rPr>
                <w:rFonts w:ascii="Times New Roman" w:hAnsi="Times New Roman" w:cs="Times New Roman" w:eastAsia="Times New Roman" w:hint="default"/>
                <w:sz w:val="18"/>
                <w:szCs w:val="18"/>
              </w:rPr>
              <w:t>"</w:t>
            </w:r>
            <w:r>
              <w:rPr>
                <w:rFonts w:ascii="宋体" w:hAnsi="宋体" w:cs="宋体" w:eastAsia="宋体" w:hint="default"/>
                <w:sz w:val="18"/>
                <w:szCs w:val="18"/>
              </w:rPr>
              <w:t>广州盈克嘉企业投资咨询有限公司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Superdata Technology (Asia)</w:t>
            </w:r>
            <w:r>
              <w:rPr>
                <w:rFonts w:ascii="Times New Roman"/>
                <w:spacing w:val="-29"/>
                <w:sz w:val="18"/>
              </w:rPr>
              <w:t> </w:t>
            </w:r>
            <w:r>
              <w:rPr>
                <w:rFonts w:ascii="Times New Roman"/>
                <w:sz w:val="18"/>
              </w:rPr>
              <w:t>Limited</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New Channel International Education Group</w:t>
            </w:r>
            <w:r>
              <w:rPr>
                <w:rFonts w:ascii="Times New Roman"/>
                <w:spacing w:val="-21"/>
                <w:sz w:val="18"/>
              </w:rPr>
              <w:t> </w:t>
            </w:r>
            <w:r>
              <w:rPr>
                <w:rFonts w:ascii="Times New Roman"/>
                <w:sz w:val="18"/>
              </w:rPr>
              <w:t>Limited</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Powerbooster Technologies (Cayman)</w:t>
            </w:r>
            <w:r>
              <w:rPr>
                <w:rFonts w:ascii="Times New Roman"/>
                <w:spacing w:val="-34"/>
                <w:sz w:val="18"/>
              </w:rPr>
              <w:t> </w:t>
            </w:r>
            <w:r>
              <w:rPr>
                <w:rFonts w:ascii="Times New Roman"/>
                <w:sz w:val="18"/>
              </w:rPr>
              <w:t>Limited</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pacing w:val="-3"/>
                <w:sz w:val="18"/>
              </w:rPr>
              <w:t>Titan </w:t>
            </w:r>
            <w:r>
              <w:rPr>
                <w:rFonts w:ascii="Times New Roman"/>
                <w:sz w:val="18"/>
              </w:rPr>
              <w:t>Gas Technology Holdings</w:t>
            </w:r>
            <w:r>
              <w:rPr>
                <w:rFonts w:ascii="Times New Roman"/>
                <w:spacing w:val="-21"/>
                <w:sz w:val="18"/>
              </w:rPr>
              <w:t> </w:t>
            </w:r>
            <w:r>
              <w:rPr>
                <w:rFonts w:ascii="Times New Roman"/>
                <w:sz w:val="18"/>
              </w:rPr>
              <w:t>Limited</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西藏爱奇弘盛投资管理有限公司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创业投资（北京）有限公司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西藏和谐投资管理有限公司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四川双马水泥股份有限公司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北京网尚世界信息技术有限公司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北京云测网络科技有限公司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重庆自度科技发展有限公司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新航道（北京）管理咨询有限公司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福建钧石能源有限公司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北京云测信息技术有限公司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重庆指点信息技术有限公司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广州义数天企业管理咨询有限公司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7"/>
              <w:jc w:val="left"/>
              <w:rPr>
                <w:rFonts w:ascii="宋体" w:hAnsi="宋体" w:cs="宋体" w:eastAsia="宋体" w:hint="default"/>
                <w:sz w:val="18"/>
                <w:szCs w:val="18"/>
              </w:rPr>
            </w:pPr>
            <w:r>
              <w:rPr>
                <w:rFonts w:ascii="宋体" w:hAnsi="宋体" w:cs="宋体" w:eastAsia="宋体" w:hint="default"/>
                <w:sz w:val="18"/>
                <w:szCs w:val="18"/>
              </w:rPr>
              <w:t>执行董事兼总经 理</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北京众测科技有限公司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北京统一网络系统有限公司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适普软件（北京）有限公司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廊坊开发区鑫化嘉业投资咨询有限公司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马雪征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博裕投资顾问有限公司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管理合伙人</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马雪征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国开博裕（上海）股权投资管理有限责任公司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马雪征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香港证券及期货事务监察委员会</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马雪征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联想集团有限公司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马雪征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Unilever</w:t>
            </w:r>
            <w:r>
              <w:rPr>
                <w:rFonts w:ascii="Times New Roman"/>
                <w:spacing w:val="-4"/>
                <w:sz w:val="18"/>
              </w:rPr>
              <w:t> </w:t>
            </w:r>
            <w:r>
              <w:rPr>
                <w:rFonts w:ascii="Times New Roman"/>
                <w:sz w:val="18"/>
              </w:rPr>
              <w:t>PLC</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马雪征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Unilever</w:t>
            </w:r>
            <w:r>
              <w:rPr>
                <w:rFonts w:ascii="Times New Roman"/>
                <w:spacing w:val="-4"/>
                <w:sz w:val="18"/>
              </w:rPr>
              <w:t> </w:t>
            </w:r>
            <w:r>
              <w:rPr>
                <w:rFonts w:ascii="Times New Roman"/>
                <w:spacing w:val="-6"/>
                <w:sz w:val="18"/>
              </w:rPr>
              <w:t>N.V.</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倪行军</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浙江蚂蚁小微金融服务集团有限公司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left"/>
              <w:rPr>
                <w:rFonts w:ascii="宋体" w:hAnsi="宋体" w:cs="宋体" w:eastAsia="宋体" w:hint="default"/>
                <w:sz w:val="18"/>
                <w:szCs w:val="18"/>
              </w:rPr>
            </w:pPr>
            <w:r>
              <w:rPr>
                <w:rFonts w:ascii="宋体" w:hAnsi="宋体" w:cs="宋体" w:eastAsia="宋体" w:hint="default"/>
                <w:sz w:val="18"/>
                <w:szCs w:val="18"/>
              </w:rPr>
              <w:t>支付技术部负责 人</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穆钢</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东北电力大学</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651"/>
        <w:gridCol w:w="4390"/>
        <w:gridCol w:w="1462"/>
        <w:gridCol w:w="2194"/>
      </w:tblGrid>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穆钢</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中国电机工程学会</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穆钢</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中国电机工程学会学术工作委员会</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穆钢</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中国电机工程学会青年与教育工作委员会</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华夏基金管理有限公司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中华联合人寿保险股份有限公司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博彦科技股份有限公司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中国会计学会</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中国会计学会财务成本分会第八届理事会</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中国会计学会《会计研究》</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编委</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陈峙屹</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博裕投资顾问有限公司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陈峙屹</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博华金诺（天津）投资合伙企业（有限合伙）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7"/>
              <w:jc w:val="left"/>
              <w:rPr>
                <w:rFonts w:ascii="宋体" w:hAnsi="宋体" w:cs="宋体" w:eastAsia="宋体" w:hint="default"/>
                <w:sz w:val="18"/>
                <w:szCs w:val="18"/>
              </w:rPr>
            </w:pPr>
            <w:r>
              <w:rPr>
                <w:rFonts w:ascii="宋体" w:hAnsi="宋体" w:cs="宋体" w:eastAsia="宋体" w:hint="default"/>
                <w:sz w:val="18"/>
                <w:szCs w:val="18"/>
              </w:rPr>
              <w:t>执行事务合伙人 委派代表</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陈峙屹</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长春市博易博科贸有限公司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left"/>
              <w:rPr>
                <w:rFonts w:ascii="宋体" w:hAnsi="宋体" w:cs="宋体" w:eastAsia="宋体" w:hint="default"/>
                <w:sz w:val="18"/>
                <w:szCs w:val="18"/>
              </w:rPr>
            </w:pPr>
            <w:r>
              <w:rPr>
                <w:rFonts w:ascii="宋体" w:hAnsi="宋体" w:cs="宋体" w:eastAsia="宋体" w:hint="default"/>
                <w:sz w:val="18"/>
                <w:szCs w:val="18"/>
              </w:rPr>
              <w:t>执行董事兼总经 理</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陈峙屹</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上海旗曜汽车科技有限公司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陈峙屹</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深圳市博德创新投资有限公司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陈峙屹</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中银消费金融有限公司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无锡群兴股权投资管理有限公司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无锡道新投资有限公司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无锡朗道投资管理有限公司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无锡朗易投资管理有限公司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IEEE</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Fellow</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IET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Fellow</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中国电机工程学会</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高级会员</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CICRE</w:t>
            </w:r>
            <w:r>
              <w:rPr>
                <w:rFonts w:ascii="宋体" w:hAnsi="宋体" w:cs="宋体" w:eastAsia="宋体" w:hint="default"/>
                <w:sz w:val="18"/>
                <w:szCs w:val="18"/>
              </w:rPr>
              <w:t>（国际大电网组织）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个人会员</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《控制理论与应用》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编委</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Modelling and Simulation in</w:t>
            </w:r>
            <w:r>
              <w:rPr>
                <w:rFonts w:ascii="Times New Roman"/>
                <w:spacing w:val="-10"/>
                <w:sz w:val="18"/>
              </w:rPr>
              <w:t> </w:t>
            </w:r>
            <w:r>
              <w:rPr>
                <w:rFonts w:ascii="Times New Roman"/>
                <w:sz w:val="18"/>
              </w:rPr>
              <w:t>Engineering</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编委</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《电工电能新技术》</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编委</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中关村大数据产业联盟</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北京数聚联合科技有限公司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北京数聚鑫融投资管理有限公司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12" w:space="0" w:color="DADADA"/>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北京农信互联科技有限公司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在其他单位任职情</w:t>
            </w:r>
          </w:p>
        </w:tc>
        <w:tc>
          <w:tcPr>
            <w:tcW w:w="80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381" w:lineRule="exact"/>
        <w:ind w:left="11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85.3pt;height:19.1pt;mso-position-horizontal-relative:char;mso-position-vertical-relative:line" coordorigin="0,0" coordsize="9706,382">
            <v:group style="position:absolute;left:23;top:14;width:2;height:353" coordorigin="23,14" coordsize="2,353">
              <v:shape style="position:absolute;left:23;top:14;width:2;height:353" coordorigin="23,14" coordsize="0,353" path="m23,14l23,367e" filled="false" stroked="true" strokeweight="1.08pt" strokecolor="#dadada">
                <v:path arrowok="t"/>
              </v:shape>
            </v:group>
            <v:group style="position:absolute;left:1642;top:14;width:2;height:353" coordorigin="1642,14" coordsize="2,353">
              <v:shape style="position:absolute;left:1642;top:14;width:2;height:353" coordorigin="1642,14" coordsize="0,353" path="m1642,14l1642,367e" filled="false" stroked="true" strokeweight="1.2pt" strokecolor="#dadada">
                <v:path arrowok="t"/>
              </v:shape>
            </v:group>
            <v:group style="position:absolute;left:34;top:14;width:1596;height:353" coordorigin="34,14" coordsize="1596,353">
              <v:shape style="position:absolute;left:34;top:14;width:1596;height:353" coordorigin="34,14" coordsize="1596,353" path="m34,367l1630,367,1630,14,34,14,34,367xe" filled="true" fillcolor="#dadada" stroked="false">
                <v:path arrowok="t"/>
                <v:fill type="solid"/>
              </v:shape>
            </v:group>
            <v:group style="position:absolute;left:10;top:10;width:1642;height:2" coordorigin="10,10" coordsize="1642,2">
              <v:shape style="position:absolute;left:10;top:10;width:1642;height:2" coordorigin="10,10" coordsize="1642,0" path="m10,10l1651,10e" filled="false" stroked="true" strokeweight=".481pt" strokecolor="#000000">
                <v:path arrowok="t"/>
              </v:shape>
            </v:group>
            <v:group style="position:absolute;left:1661;top:10;width:8036;height:2" coordorigin="1661,10" coordsize="8036,2">
              <v:shape style="position:absolute;left:1661;top:10;width:8036;height:2" coordorigin="1661,10" coordsize="8036,0" path="m1661,10l9696,10e" filled="false" stroked="true" strokeweight=".481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1642;height:2" coordorigin="10,372" coordsize="1642,2">
              <v:shape style="position:absolute;left:10;top:372;width:1642;height:2" coordorigin="10,372" coordsize="1642,0" path="m10,372l1651,372e" filled="false" stroked="true" strokeweight=".48pt" strokecolor="#000000">
                <v:path arrowok="t"/>
              </v:shape>
            </v:group>
            <v:group style="position:absolute;left:1656;top:5;width:2;height:372" coordorigin="1656,5" coordsize="2,372">
              <v:shape style="position:absolute;left:1656;top:5;width:2;height:372" coordorigin="1656,5" coordsize="0,372" path="m1656,5l1656,377e" filled="false" stroked="true" strokeweight=".48pt" strokecolor="#000000">
                <v:path arrowok="t"/>
              </v:shape>
            </v:group>
            <v:group style="position:absolute;left:1661;top:372;width:8036;height:2" coordorigin="1661,372" coordsize="8036,2">
              <v:shape style="position:absolute;left:1661;top:372;width:8036;height:2" coordorigin="1661,372" coordsize="8036,0" path="m1661,372l9696,372e" filled="false" stroked="true" strokeweight=".48pt" strokecolor="#000000">
                <v:path arrowok="t"/>
              </v:shape>
            </v:group>
            <v:group style="position:absolute;left:9701;top:5;width:2;height:372" coordorigin="9701,5" coordsize="2,372">
              <v:shape style="position:absolute;left:9701;top:5;width:2;height:372" coordorigin="9701,5" coordsize="0,372" path="m9701,5l9701,377e" filled="false" stroked="true" strokeweight=".481pt" strokecolor="#000000">
                <v:path arrowok="t"/>
              </v:shape>
              <v:shape style="position:absolute;left:6;top:10;width:1650;height:363" type="#_x0000_t202" filled="false" stroked="false">
                <v:textbox inset="0,0,0,0">
                  <w:txbxContent>
                    <w:p>
                      <w:pPr>
                        <w:spacing w:before="13"/>
                        <w:ind w:left="27" w:right="0" w:firstLine="0"/>
                        <w:jc w:val="left"/>
                        <w:rPr>
                          <w:rFonts w:ascii="宋体" w:hAnsi="宋体" w:cs="宋体" w:eastAsia="宋体" w:hint="default"/>
                          <w:sz w:val="18"/>
                          <w:szCs w:val="18"/>
                        </w:rPr>
                      </w:pPr>
                      <w:r>
                        <w:rPr>
                          <w:rFonts w:ascii="宋体" w:hAnsi="宋体" w:cs="宋体" w:eastAsia="宋体" w:hint="default"/>
                          <w:sz w:val="18"/>
                          <w:szCs w:val="18"/>
                        </w:rPr>
                        <w:t>况的说明</w:t>
                      </w:r>
                    </w:p>
                  </w:txbxContent>
                </v:textbox>
                <w10:wrap type="none"/>
              </v:shape>
            </v:group>
          </v:group>
        </w:pict>
      </w:r>
      <w:r>
        <w:rPr>
          <w:rFonts w:ascii="Times New Roman" w:hAnsi="Times New Roman" w:cs="Times New Roman" w:eastAsia="Times New Roman" w:hint="default"/>
          <w:position w:val="-7"/>
          <w:sz w:val="20"/>
          <w:szCs w:val="20"/>
        </w:rPr>
      </w:r>
    </w:p>
    <w:p>
      <w:pPr>
        <w:pStyle w:val="BodyText"/>
        <w:spacing w:line="240" w:lineRule="auto" w:before="44"/>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850"/>
        <w:gridCol w:w="4843"/>
      </w:tblGrid>
      <w:tr>
        <w:trPr>
          <w:trHeight w:val="732" w:hRule="exact"/>
        </w:trPr>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44"/>
              <w:jc w:val="left"/>
              <w:rPr>
                <w:rFonts w:ascii="宋体" w:hAnsi="宋体" w:cs="宋体" w:eastAsia="宋体" w:hint="default"/>
                <w:sz w:val="18"/>
                <w:szCs w:val="18"/>
              </w:rPr>
            </w:pPr>
            <w:r>
              <w:rPr>
                <w:rFonts w:ascii="宋体" w:hAnsi="宋体" w:cs="宋体" w:eastAsia="宋体" w:hint="default"/>
                <w:sz w:val="18"/>
                <w:szCs w:val="18"/>
              </w:rPr>
              <w:t>董事及高级管理人员的薪酬方案由董事会薪酬与考核委员会 拟定，经董事会、股东大会审议通过后实施。</w:t>
            </w:r>
          </w:p>
        </w:tc>
      </w:tr>
      <w:tr>
        <w:trPr>
          <w:trHeight w:val="734" w:hRule="exact"/>
        </w:trPr>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董事、监事、高级管理人员报酬的确定依据</w:t>
            </w:r>
          </w:p>
        </w:tc>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7" w:right="-34"/>
              <w:jc w:val="left"/>
              <w:rPr>
                <w:rFonts w:ascii="宋体" w:hAnsi="宋体" w:cs="宋体" w:eastAsia="宋体" w:hint="default"/>
                <w:sz w:val="18"/>
                <w:szCs w:val="18"/>
              </w:rPr>
            </w:pPr>
            <w:r>
              <w:rPr>
                <w:rFonts w:ascii="宋体" w:hAnsi="宋体" w:cs="宋体" w:eastAsia="宋体" w:hint="default"/>
                <w:sz w:val="18"/>
                <w:szCs w:val="18"/>
              </w:rPr>
              <w:t>董事和高级管理人员的报酬按照公司规定，结合其经营绩效、 工作能力能考核确定并发放。</w:t>
            </w:r>
          </w:p>
        </w:tc>
      </w:tr>
      <w:tr>
        <w:trPr>
          <w:trHeight w:val="1358" w:hRule="exact"/>
        </w:trPr>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董事、监事、高级管理人员报酬的实际支付情况</w:t>
            </w:r>
          </w:p>
        </w:tc>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7" w:right="0"/>
              <w:jc w:val="both"/>
              <w:rPr>
                <w:rFonts w:ascii="宋体" w:hAnsi="宋体" w:cs="宋体" w:eastAsia="宋体" w:hint="default"/>
                <w:sz w:val="18"/>
                <w:szCs w:val="18"/>
              </w:rPr>
            </w:pPr>
            <w:r>
              <w:rPr>
                <w:rFonts w:ascii="宋体" w:hAnsi="宋体" w:cs="宋体" w:eastAsia="宋体" w:hint="default"/>
                <w:spacing w:val="-2"/>
                <w:sz w:val="18"/>
                <w:szCs w:val="18"/>
              </w:rPr>
              <w:t>公司现有独立董事的基本薪酬已按月支付，未在公司任职的非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独立董事，公司未向其发放任何薪酬和津贴，公司内部董事的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薪酬依据其所处岗位、工作年限、绩效考核结果确定，未另行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支付董事薪酬。</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73"/>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焦国云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彭知平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穆钢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鲁清芳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万海艳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375.32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6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80" w:left="980" w:right="960"/>
          <w:cols w:num="2" w:equalWidth="0">
            <w:col w:w="4653" w:space="4265"/>
            <w:col w:w="1052"/>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1"/>
        <w:gridCol w:w="869"/>
        <w:gridCol w:w="869"/>
        <w:gridCol w:w="871"/>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69" w:right="67"/>
              <w:jc w:val="left"/>
              <w:rPr>
                <w:rFonts w:ascii="宋体" w:hAnsi="宋体" w:cs="宋体" w:eastAsia="宋体" w:hint="default"/>
                <w:sz w:val="18"/>
                <w:szCs w:val="18"/>
              </w:rPr>
            </w:pPr>
            <w:r>
              <w:rPr>
                <w:rFonts w:ascii="宋体" w:hAnsi="宋体" w:cs="宋体" w:eastAsia="宋体" w:hint="default"/>
                <w:sz w:val="18"/>
                <w:szCs w:val="18"/>
              </w:rPr>
              <w:t>报告期内 可行权股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69" w:right="67"/>
              <w:jc w:val="left"/>
              <w:rPr>
                <w:rFonts w:ascii="宋体" w:hAnsi="宋体" w:cs="宋体" w:eastAsia="宋体" w:hint="default"/>
                <w:sz w:val="18"/>
                <w:szCs w:val="18"/>
              </w:rPr>
            </w:pPr>
            <w:r>
              <w:rPr>
                <w:rFonts w:ascii="宋体" w:hAnsi="宋体" w:cs="宋体" w:eastAsia="宋体" w:hint="default"/>
                <w:sz w:val="18"/>
                <w:szCs w:val="18"/>
              </w:rPr>
              <w:t>报告期内 已行权股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69" w:right="71"/>
              <w:jc w:val="left"/>
              <w:rPr>
                <w:rFonts w:ascii="宋体" w:hAnsi="宋体" w:cs="宋体" w:eastAsia="宋体" w:hint="default"/>
                <w:sz w:val="18"/>
                <w:szCs w:val="18"/>
              </w:rPr>
            </w:pPr>
            <w:r>
              <w:rPr>
                <w:rFonts w:ascii="宋体" w:hAnsi="宋体" w:cs="宋体" w:eastAsia="宋体" w:hint="default"/>
                <w:sz w:val="18"/>
                <w:szCs w:val="18"/>
              </w:rPr>
              <w:t>报告期内 已行权股</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45" w:right="42" w:firstLine="24"/>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68" w:right="71"/>
              <w:jc w:val="left"/>
              <w:rPr>
                <w:rFonts w:ascii="宋体" w:hAnsi="宋体" w:cs="宋体" w:eastAsia="宋体" w:hint="default"/>
                <w:sz w:val="18"/>
                <w:szCs w:val="18"/>
              </w:rPr>
            </w:pPr>
            <w:r>
              <w:rPr>
                <w:rFonts w:ascii="宋体" w:hAnsi="宋体" w:cs="宋体" w:eastAsia="宋体" w:hint="default"/>
                <w:sz w:val="18"/>
                <w:szCs w:val="18"/>
              </w:rPr>
              <w:t>期初持有 限制性股</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本期已解 锁股份数</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68" w:right="71"/>
              <w:jc w:val="left"/>
              <w:rPr>
                <w:rFonts w:ascii="宋体" w:hAnsi="宋体" w:cs="宋体" w:eastAsia="宋体" w:hint="default"/>
                <w:sz w:val="18"/>
                <w:szCs w:val="18"/>
              </w:rPr>
            </w:pPr>
            <w:r>
              <w:rPr>
                <w:rFonts w:ascii="宋体" w:hAnsi="宋体" w:cs="宋体" w:eastAsia="宋体" w:hint="default"/>
                <w:sz w:val="18"/>
                <w:szCs w:val="18"/>
              </w:rPr>
              <w:t>报告期新 授予限制</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限制性股 票的授予</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68" w:right="71"/>
              <w:jc w:val="left"/>
              <w:rPr>
                <w:rFonts w:ascii="宋体" w:hAnsi="宋体" w:cs="宋体" w:eastAsia="宋体" w:hint="default"/>
                <w:sz w:val="18"/>
                <w:szCs w:val="18"/>
              </w:rPr>
            </w:pPr>
            <w:r>
              <w:rPr>
                <w:rFonts w:ascii="宋体" w:hAnsi="宋体" w:cs="宋体" w:eastAsia="宋体" w:hint="default"/>
                <w:sz w:val="18"/>
                <w:szCs w:val="18"/>
              </w:rPr>
              <w:t>期末持有 限制性股</w:t>
            </w:r>
          </w:p>
        </w:tc>
      </w:tr>
    </w:tbl>
    <w:p>
      <w:pPr>
        <w:spacing w:after="0" w:line="314" w:lineRule="auto"/>
        <w:jc w:val="left"/>
        <w:rPr>
          <w:rFonts w:ascii="宋体" w:hAnsi="宋体" w:cs="宋体" w:eastAsia="宋体" w:hint="default"/>
          <w:sz w:val="18"/>
          <w:szCs w:val="18"/>
        </w:rPr>
        <w:sectPr>
          <w:type w:val="continuous"/>
          <w:pgSz w:w="11910" w:h="16840"/>
          <w:pgMar w:top="1060" w:bottom="1180" w:left="980" w:right="960"/>
        </w:sectPr>
      </w:pPr>
    </w:p>
    <w:p>
      <w:pPr>
        <w:spacing w:line="240" w:lineRule="auto" w:before="6"/>
        <w:rPr>
          <w:rFonts w:ascii="宋体" w:hAnsi="宋体" w:cs="宋体" w:eastAsia="宋体" w:hint="default"/>
          <w:sz w:val="28"/>
          <w:szCs w:val="28"/>
        </w:rPr>
      </w:pPr>
      <w:r>
        <w:rPr/>
        <w:pict>
          <v:shape style="position:absolute;margin-left:258.959991pt;margin-top:90.11998pt;width:58.1pt;height:15.6pt;mso-position-horizontal-relative:page;mso-position-vertical-relative:page;z-index:-931888" type="#_x0000_t202" filled="false" stroked="false">
            <v:textbox inset="0,0,0,0">
              <w:txbxContent>
                <w:p>
                  <w:pPr>
                    <w:pStyle w:val="BodyText"/>
                    <w:spacing w:line="203" w:lineRule="exact"/>
                    <w:ind w:left="0" w:right="0"/>
                    <w:jc w:val="left"/>
                  </w:pPr>
                  <w:r>
                    <w:rPr/>
                    <w:t>股）</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158"/>
        <w:gridCol w:w="710"/>
        <w:gridCol w:w="871"/>
        <w:gridCol w:w="869"/>
        <w:gridCol w:w="871"/>
        <w:gridCol w:w="869"/>
        <w:gridCol w:w="871"/>
      </w:tblGrid>
      <w:tr>
        <w:trPr>
          <w:trHeight w:val="674"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24" w:right="71"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数行权价 </w:t>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158" w:type="dxa"/>
            <w:tcBorders>
              <w:top w:val="single" w:sz="4" w:space="0" w:color="000000"/>
              <w:left w:val="single" w:sz="4" w:space="0" w:color="000000"/>
              <w:bottom w:val="single" w:sz="4" w:space="0" w:color="000000"/>
              <w:right w:val="nil" w:sz="6" w:space="0" w:color="auto"/>
            </w:tcBorders>
            <w:shd w:val="clear" w:color="auto" w:fill="D4D4D4"/>
          </w:tcPr>
          <w:p>
            <w:pPr/>
          </w:p>
        </w:tc>
        <w:tc>
          <w:tcPr>
            <w:tcW w:w="710"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before="8"/>
              <w:ind w:left="9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340" w:right="71" w:hanging="272"/>
              <w:jc w:val="left"/>
              <w:rPr>
                <w:rFonts w:ascii="宋体" w:hAnsi="宋体" w:cs="宋体" w:eastAsia="宋体" w:hint="default"/>
                <w:sz w:val="18"/>
                <w:szCs w:val="18"/>
              </w:rPr>
            </w:pPr>
            <w:r>
              <w:rPr>
                <w:rFonts w:ascii="宋体" w:hAnsi="宋体" w:cs="宋体" w:eastAsia="宋体" w:hint="default"/>
                <w:sz w:val="18"/>
                <w:szCs w:val="18"/>
              </w:rPr>
              <w:t>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8"/>
              <w:ind w:left="249" w:right="41" w:hanging="204"/>
              <w:jc w:val="left"/>
              <w:rPr>
                <w:rFonts w:ascii="宋体" w:hAnsi="宋体" w:cs="宋体" w:eastAsia="宋体" w:hint="default"/>
                <w:sz w:val="18"/>
                <w:szCs w:val="18"/>
              </w:rPr>
            </w:pPr>
            <w:r>
              <w:rPr>
                <w:rFonts w:ascii="宋体" w:hAnsi="宋体" w:cs="宋体" w:eastAsia="宋体" w:hint="default"/>
                <w:sz w:val="18"/>
                <w:szCs w:val="18"/>
              </w:rPr>
              <w:t>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票数量</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焦国云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18.31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13.03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彭知平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18.31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13.03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18.31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13.03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鲁清芳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18.31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13.03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930,000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0" w:type="dxa"/>
            <w:gridSpan w:val="11"/>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150"/>
        <w:jc w:val="left"/>
        <w:rPr>
          <w:b w:val="0"/>
          <w:bCs w:val="0"/>
        </w:rPr>
      </w:pPr>
      <w:bookmarkStart w:name="五、公司员工情况" w:id="127"/>
      <w:bookmarkEnd w:id="127"/>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0"/>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4"/>
        <w:gridCol w:w="4793"/>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1,752</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1,792</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1,792</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1,792</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本科毕业生</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1,333</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专科毕业生</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高中及高中以下学历人员</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1,792</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1"/>
        <w:jc w:val="both"/>
      </w:pPr>
      <w:r>
        <w:rPr/>
        <w:t>公司以实现员工在薪酬分配上的</w:t>
      </w:r>
      <w:r>
        <w:rPr>
          <w:rFonts w:ascii="Times New Roman" w:hAnsi="Times New Roman" w:cs="Times New Roman" w:eastAsia="Times New Roman" w:hint="default"/>
        </w:rPr>
        <w:t>“</w:t>
      </w:r>
      <w:r>
        <w:rPr/>
        <w:t>责任与利益一致、能力与价值一致、风险与回报一致、业绩与收益一致</w:t>
      </w:r>
      <w:r>
        <w:rPr>
          <w:rFonts w:ascii="Times New Roman" w:hAnsi="Times New Roman" w:cs="Times New Roman" w:eastAsia="Times New Roman" w:hint="default"/>
        </w:rPr>
        <w:t>”</w:t>
      </w:r>
      <w:r>
        <w:rPr/>
        <w:t>为目标，按照</w:t>
      </w:r>
      <w:r>
        <w:rPr>
          <w:rFonts w:ascii="Times New Roman" w:hAnsi="Times New Roman" w:cs="Times New Roman" w:eastAsia="Times New Roman" w:hint="default"/>
        </w:rPr>
        <w:t>“</w:t>
      </w:r>
      <w:r>
        <w:rPr/>
        <w:t>适 应市场环境，体现人才价值，发挥激励作用</w:t>
      </w:r>
      <w:r>
        <w:rPr>
          <w:rFonts w:ascii="Times New Roman" w:hAnsi="Times New Roman" w:cs="Times New Roman" w:eastAsia="Times New Roman" w:hint="default"/>
        </w:rPr>
        <w:t>”</w:t>
      </w:r>
      <w:r>
        <w:rPr/>
        <w:t>的原则，建立具有兼顾内部公平性和市场竞争性的薪酬激励体系。</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jc w:val="both"/>
      </w:pPr>
      <w:r>
        <w:rPr>
          <w:spacing w:val="-5"/>
        </w:rPr>
        <w:t>公司年初依据年度战略目标分解、业务发展、人员规划与培养，通过访谈和问卷调研的方式，分析培训需求，确定培训目标，</w:t>
      </w:r>
      <w:r>
        <w:rPr>
          <w:spacing w:val="-80"/>
        </w:rPr>
        <w:t> </w:t>
      </w:r>
      <w:r>
        <w:rPr>
          <w:spacing w:val="-80"/>
        </w:rPr>
      </w:r>
      <w:r>
        <w:rPr/>
        <w:t>制定年度培训计划。公司年度培训计划报人力资源总监审批后执行。</w:t>
      </w:r>
    </w:p>
    <w:p>
      <w:pPr>
        <w:pStyle w:val="BodyText"/>
        <w:spacing w:line="309" w:lineRule="auto" w:before="57"/>
        <w:ind w:right="150"/>
        <w:jc w:val="both"/>
      </w:pPr>
      <w:r>
        <w:rPr>
          <w:rFonts w:ascii="Times New Roman" w:hAnsi="Times New Roman" w:cs="Times New Roman" w:eastAsia="Times New Roman" w:hint="default"/>
          <w:spacing w:val="-2"/>
        </w:rPr>
        <w:t>2017</w:t>
      </w:r>
      <w:r>
        <w:rPr>
          <w:spacing w:val="-2"/>
        </w:rPr>
        <w:t>年公司培训以</w:t>
      </w:r>
      <w:r>
        <w:rPr>
          <w:rFonts w:ascii="Times New Roman" w:hAnsi="Times New Roman" w:cs="Times New Roman" w:eastAsia="Times New Roman" w:hint="default"/>
          <w:spacing w:val="-2"/>
        </w:rPr>
        <w:t>“</w:t>
      </w:r>
      <w:r>
        <w:rPr>
          <w:spacing w:val="-2"/>
        </w:rPr>
        <w:t>内训为主、外训为辅</w:t>
      </w:r>
      <w:r>
        <w:rPr>
          <w:rFonts w:ascii="Times New Roman" w:hAnsi="Times New Roman" w:cs="Times New Roman" w:eastAsia="Times New Roman" w:hint="default"/>
          <w:spacing w:val="-2"/>
        </w:rPr>
        <w:t>”</w:t>
      </w:r>
      <w:r>
        <w:rPr>
          <w:spacing w:val="-2"/>
        </w:rPr>
        <w:t>，旨在提升员工的业务技能及管理水平，使其能胜任本职工作，以适应企业的可持</w:t>
      </w:r>
      <w:r>
        <w:rPr>
          <w:spacing w:val="-39"/>
        </w:rPr>
        <w:t> </w:t>
      </w:r>
      <w:r>
        <w:rPr>
          <w:spacing w:val="-39"/>
        </w:rPr>
      </w:r>
      <w:r>
        <w:rPr>
          <w:spacing w:val="-2"/>
        </w:rPr>
        <w:t>续发展需要。全年培训涵盖启航训练营项目、新员工培养项目、在职员工培养项目、新任经理培养项目等，根据每个群体制</w:t>
      </w:r>
      <w:r>
        <w:rPr>
          <w:spacing w:val="-67"/>
        </w:rPr>
        <w:t> </w:t>
      </w:r>
      <w:r>
        <w:rPr>
          <w:spacing w:val="-67"/>
        </w:rPr>
      </w:r>
      <w:r>
        <w:rPr/>
        <w:t>定针对性的培训计划并执行。</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8" w:right="3468"/>
        <w:jc w:val="center"/>
        <w:rPr>
          <w:b w:val="0"/>
          <w:bCs w:val="0"/>
        </w:rPr>
      </w:pPr>
      <w:bookmarkStart w:name="第九节 公司治理" w:id="132"/>
      <w:bookmarkEnd w:id="132"/>
      <w:r>
        <w:rPr>
          <w:b w:val="0"/>
          <w:bCs w:val="0"/>
        </w:rPr>
      </w:r>
      <w:bookmarkStart w:name="_bookmark7" w:id="133"/>
      <w:bookmarkEnd w:id="133"/>
      <w:r>
        <w:rPr>
          <w:b w:val="0"/>
          <w:bCs w:val="0"/>
        </w:rPr>
      </w:r>
      <w:r>
        <w:rPr/>
        <w:t>第九节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2" w:right="189"/>
        <w:jc w:val="left"/>
      </w:pPr>
      <w:r>
        <w:rPr/>
        <w:t>（一）公司治理情况 </w:t>
      </w:r>
      <w:r>
        <w:rPr>
          <w:spacing w:val="-2"/>
        </w:rPr>
        <w:t>公司按照《公司法》《证券法》《深圳证券交易所创业板股票上市规则》《深圳证券交易所创业板上市公司规范运作指</w:t>
      </w:r>
    </w:p>
    <w:p>
      <w:pPr>
        <w:pStyle w:val="BodyText"/>
        <w:spacing w:line="222" w:lineRule="exact"/>
        <w:ind w:right="0"/>
        <w:jc w:val="both"/>
      </w:pPr>
      <w:r>
        <w:rPr/>
        <w:t>引》等相关法律、法规和规范性文件的要求，不断完善公司的法人治理结构，建立健全公司内部管理和控制制度，持续深入</w:t>
      </w:r>
    </w:p>
    <w:p>
      <w:pPr>
        <w:pStyle w:val="BodyText"/>
        <w:spacing w:line="316" w:lineRule="auto" w:before="76"/>
        <w:ind w:right="195"/>
        <w:jc w:val="both"/>
      </w:pPr>
      <w:r>
        <w:rPr>
          <w:spacing w:val="-2"/>
        </w:rPr>
        <w:t>开展公司治理活动，促进公司规范运作，提高公司治理水平。报告期内，公司股东大会、董事会、监事会依法运作，公司治</w:t>
      </w:r>
      <w:r>
        <w:rPr>
          <w:spacing w:val="-66"/>
        </w:rPr>
        <w:t> </w:t>
      </w:r>
      <w:r>
        <w:rPr>
          <w:spacing w:val="-66"/>
        </w:rPr>
      </w:r>
      <w:r>
        <w:rPr/>
        <w:t>理的实际情况符合中国证监会、深圳证券交易所等发布的法律法规和规范性文件的要求。</w:t>
      </w:r>
    </w:p>
    <w:p>
      <w:pPr>
        <w:pStyle w:val="BodyText"/>
        <w:spacing w:line="316" w:lineRule="auto" w:before="57"/>
        <w:ind w:right="106" w:firstLine="360"/>
        <w:jc w:val="both"/>
      </w:pPr>
      <w:r>
        <w:rPr>
          <w:spacing w:val="-2"/>
        </w:rPr>
        <w:t>截止目前，公司依据监管部门和公司实际情况在治理方面制定了各项规章制度，主要有《公司章程》、《股东大会议事</w:t>
      </w:r>
      <w:r>
        <w:rPr/>
        <w:t> </w:t>
      </w:r>
      <w:r>
        <w:rPr>
          <w:spacing w:val="-2"/>
        </w:rPr>
        <w:t>规则》、《董事会议事规则》、《监事会议事规则》、《独立董事工作制度》、《董事会战略委员会工作细则》、《董事会</w:t>
      </w:r>
      <w:r>
        <w:rPr>
          <w:spacing w:val="-69"/>
        </w:rPr>
        <w:t> </w:t>
      </w:r>
      <w:r>
        <w:rPr>
          <w:spacing w:val="-69"/>
        </w:rPr>
      </w:r>
      <w:r>
        <w:rPr/>
        <w:t>审计委员会工作细则》、《董事会提名委员会工作细则》、《董事会薪酬与考核委员会工作细则》、《总经理工作细则》、</w:t>
      </w:r>
    </w:p>
    <w:p>
      <w:pPr>
        <w:pStyle w:val="BodyText"/>
        <w:spacing w:line="240" w:lineRule="auto" w:before="18"/>
        <w:ind w:right="0"/>
        <w:jc w:val="both"/>
      </w:pPr>
      <w:r>
        <w:rPr>
          <w:spacing w:val="-8"/>
        </w:rPr>
        <w:t>《董事会秘书工作细则》、《对外投资管理制度》、《对外担保管理制度》、《关联交易管理制度》、《募集资金管理办法》、</w:t>
      </w:r>
    </w:p>
    <w:p>
      <w:pPr>
        <w:pStyle w:val="BodyText"/>
        <w:spacing w:line="316" w:lineRule="auto" w:before="76"/>
        <w:ind w:right="190"/>
        <w:jc w:val="both"/>
      </w:pPr>
      <w:r>
        <w:rPr>
          <w:spacing w:val="-2"/>
        </w:rPr>
        <w:t>《重大信息内部报告制度》等规章制度。通过一系列制度的制定，搭建了较为完善的公司法人治理结构的制度平台，从制度</w:t>
      </w:r>
      <w:r>
        <w:rPr>
          <w:spacing w:val="-65"/>
        </w:rPr>
        <w:t> </w:t>
      </w:r>
      <w:r>
        <w:rPr>
          <w:spacing w:val="-65"/>
        </w:rPr>
      </w:r>
      <w:r>
        <w:rPr/>
        <w:t>上明确了股东大会、董事会、监事会及管理层各自应履行的职责和议事规程，从而为公司的规范运作提供了制度保障。</w:t>
      </w:r>
    </w:p>
    <w:p>
      <w:pPr>
        <w:pStyle w:val="BodyText"/>
        <w:spacing w:line="340" w:lineRule="auto" w:before="59"/>
        <w:ind w:left="512" w:right="189"/>
        <w:jc w:val="left"/>
      </w:pPr>
      <w:r>
        <w:rPr>
          <w:rFonts w:ascii="Times New Roman" w:hAnsi="Times New Roman" w:cs="Times New Roman" w:eastAsia="Times New Roman" w:hint="default"/>
        </w:rPr>
        <w:t>1</w:t>
      </w:r>
      <w:r>
        <w:rPr/>
        <w:t>、关于股东与股东大会 </w:t>
      </w:r>
      <w:r>
        <w:rPr>
          <w:spacing w:val="-6"/>
        </w:rPr>
        <w:t>公司严格按照《公司法》《深圳证券交易所创业板上市公司规范运作指引》《公司章程》《股东大会议事规则》等法律、</w:t>
      </w:r>
    </w:p>
    <w:p>
      <w:pPr>
        <w:pStyle w:val="BodyText"/>
        <w:spacing w:line="316" w:lineRule="auto"/>
        <w:ind w:right="190"/>
        <w:jc w:val="both"/>
      </w:pPr>
      <w:r>
        <w:rPr>
          <w:spacing w:val="-2"/>
        </w:rPr>
        <w:t>法规和规定性文件的规定和要求，规范股东大会的召集、召开和表决程序，尽可能为股东参加股东大会提供便利，使其充分</w:t>
      </w:r>
      <w:r>
        <w:rPr>
          <w:spacing w:val="-64"/>
        </w:rPr>
        <w:t> </w:t>
      </w:r>
      <w:r>
        <w:rPr>
          <w:spacing w:val="-64"/>
        </w:rPr>
      </w:r>
      <w:r>
        <w:rPr>
          <w:spacing w:val="-2"/>
        </w:rPr>
        <w:t>行使股东权利，能够保证各位股东有充分的发言权，平等对待所有股东，确保全体股东特别是中小股东享有平等地位，充分</w:t>
      </w:r>
      <w:r>
        <w:rPr>
          <w:spacing w:val="-65"/>
        </w:rPr>
        <w:t> </w:t>
      </w:r>
      <w:r>
        <w:rPr>
          <w:spacing w:val="-65"/>
        </w:rPr>
      </w:r>
      <w:r>
        <w:rPr/>
        <w:t>行使自己的权力。</w:t>
      </w:r>
    </w:p>
    <w:p>
      <w:pPr>
        <w:pStyle w:val="BodyText"/>
        <w:spacing w:line="312" w:lineRule="auto" w:before="57"/>
        <w:ind w:right="190" w:firstLine="360"/>
        <w:jc w:val="both"/>
      </w:pPr>
      <w:r>
        <w:rPr>
          <w:spacing w:val="-2"/>
        </w:rPr>
        <w:t>报告期内，公司召开的股东大会不存在违反《上市公司股东大会规则》的情形，公司未发生单独或合并持有本公司有表</w:t>
      </w:r>
      <w:r>
        <w:rPr/>
        <w:t> </w:t>
      </w:r>
      <w:r>
        <w:rPr>
          <w:spacing w:val="-1"/>
        </w:rPr>
        <w:t>决权股份总数</w:t>
      </w:r>
      <w:r>
        <w:rPr>
          <w:rFonts w:ascii="Times New Roman" w:hAnsi="Times New Roman" w:cs="Times New Roman" w:eastAsia="Times New Roman" w:hint="default"/>
          <w:spacing w:val="-1"/>
        </w:rPr>
        <w:t>10%</w:t>
      </w:r>
      <w:r>
        <w:rPr>
          <w:spacing w:val="-1"/>
        </w:rPr>
        <w:t>以上的股东请求召开临时股东大会的情形，也无应监事会提议召开的股东大会。按照《公司法》《公司章</w:t>
      </w:r>
      <w:r>
        <w:rPr>
          <w:spacing w:val="-88"/>
        </w:rPr>
        <w:t> </w:t>
      </w:r>
      <w:r>
        <w:rPr>
          <w:spacing w:val="-88"/>
        </w:rPr>
      </w:r>
      <w:r>
        <w:rPr>
          <w:spacing w:val="-2"/>
        </w:rPr>
        <w:t>程》的规定应由股东大会审议的重大事项，本公司均通过股东大会审议，不存在绕过股东大会的情况，也不存在先实施后审</w:t>
      </w:r>
      <w:r>
        <w:rPr>
          <w:spacing w:val="-65"/>
        </w:rPr>
        <w:t> </w:t>
      </w:r>
      <w:r>
        <w:rPr>
          <w:spacing w:val="-65"/>
        </w:rPr>
      </w:r>
      <w:r>
        <w:rPr/>
        <w:t>议的情况。</w:t>
      </w:r>
    </w:p>
    <w:p>
      <w:pPr>
        <w:pStyle w:val="BodyText"/>
        <w:spacing w:line="340" w:lineRule="auto" w:before="63"/>
        <w:ind w:left="512" w:right="179"/>
        <w:jc w:val="left"/>
      </w:pPr>
      <w:r>
        <w:rPr>
          <w:rFonts w:ascii="Times New Roman" w:hAnsi="Times New Roman" w:cs="Times New Roman" w:eastAsia="Times New Roman" w:hint="default"/>
        </w:rPr>
        <w:t>2</w:t>
      </w:r>
      <w:r>
        <w:rPr/>
        <w:t>、关于公司与控股股东 </w:t>
      </w:r>
      <w:r>
        <w:rPr>
          <w:spacing w:val="-5"/>
        </w:rPr>
        <w:t>公司按照《公司法》、《证券法》、《公司章程》及证券监管部门的有关规定正确处理与控股股东的关系。公司的人员、</w:t>
      </w:r>
    </w:p>
    <w:p>
      <w:pPr>
        <w:pStyle w:val="BodyText"/>
        <w:spacing w:line="316" w:lineRule="auto"/>
        <w:ind w:right="193"/>
        <w:jc w:val="both"/>
      </w:pPr>
      <w:r>
        <w:rPr>
          <w:spacing w:val="-2"/>
        </w:rPr>
        <w:t>资产、财务、机构、业务独立。控股股东、实际控制人及其关联人不存在违法违规占用公司资金以及要求公司违法违规提供</w:t>
      </w:r>
      <w:r>
        <w:rPr>
          <w:spacing w:val="-65"/>
        </w:rPr>
        <w:t> </w:t>
      </w:r>
      <w:r>
        <w:rPr>
          <w:spacing w:val="-65"/>
        </w:rPr>
      </w:r>
      <w:r>
        <w:rPr/>
        <w:t>担保的情形。</w:t>
      </w:r>
    </w:p>
    <w:p>
      <w:pPr>
        <w:pStyle w:val="BodyText"/>
        <w:spacing w:line="340" w:lineRule="auto" w:before="57"/>
        <w:ind w:left="512" w:right="184"/>
        <w:jc w:val="left"/>
      </w:pPr>
      <w:r>
        <w:rPr>
          <w:rFonts w:ascii="Times New Roman" w:hAnsi="Times New Roman" w:cs="Times New Roman" w:eastAsia="Times New Roman" w:hint="default"/>
        </w:rPr>
        <w:t>3</w:t>
      </w:r>
      <w:r>
        <w:rPr/>
        <w:t>、关于董事与董事会 目前公司董事会成员暂为</w:t>
      </w:r>
      <w:r>
        <w:rPr>
          <w:rFonts w:ascii="Times New Roman" w:hAnsi="Times New Roman" w:cs="Times New Roman" w:eastAsia="Times New Roman" w:hint="default"/>
        </w:rPr>
        <w:t>10</w:t>
      </w:r>
      <w:r>
        <w:rPr/>
        <w:t>名，其中独立董事</w:t>
      </w:r>
      <w:r>
        <w:rPr>
          <w:rFonts w:ascii="Times New Roman" w:hAnsi="Times New Roman" w:cs="Times New Roman" w:eastAsia="Times New Roman" w:hint="default"/>
        </w:rPr>
        <w:t>4</w:t>
      </w:r>
      <w:r>
        <w:rPr/>
        <w:t>名。公司董事会均严格按照《深圳证券交易所创业板上市公司规范运作</w:t>
      </w:r>
    </w:p>
    <w:p>
      <w:pPr>
        <w:pStyle w:val="BodyText"/>
        <w:spacing w:line="215" w:lineRule="exact"/>
        <w:ind w:right="0"/>
        <w:jc w:val="both"/>
      </w:pPr>
      <w:r>
        <w:rPr/>
        <w:t>指引》、《公司章程》及《董事会议事规则》的程序召集、召开。公司董事出席董事会和股东大会，依法行使职权，勤勉尽</w:t>
      </w:r>
    </w:p>
    <w:p>
      <w:pPr>
        <w:pStyle w:val="BodyText"/>
        <w:spacing w:line="316" w:lineRule="auto" w:before="76"/>
        <w:ind w:right="195"/>
        <w:jc w:val="both"/>
      </w:pPr>
      <w:r>
        <w:rPr>
          <w:spacing w:val="-2"/>
        </w:rPr>
        <w:t>责地履行董事的职责和义务，积极参加相关培训，熟悉相关法律法规。董事会下设薪酬与考核委员会、战略委员会、提名委</w:t>
      </w:r>
      <w:r>
        <w:rPr>
          <w:spacing w:val="-67"/>
        </w:rPr>
        <w:t> </w:t>
      </w:r>
      <w:r>
        <w:rPr>
          <w:spacing w:val="-67"/>
        </w:rPr>
      </w:r>
      <w:r>
        <w:rPr/>
        <w:t>员会和审计委员会，各委员会根据各自职责对公司发展的事项进行专项研究，为董事会决策提供意见和建议。</w:t>
      </w:r>
    </w:p>
    <w:p>
      <w:pPr>
        <w:pStyle w:val="BodyText"/>
        <w:spacing w:line="338" w:lineRule="auto" w:before="59"/>
        <w:ind w:left="512" w:right="189"/>
        <w:jc w:val="left"/>
      </w:pPr>
      <w:r>
        <w:rPr>
          <w:rFonts w:ascii="Times New Roman" w:hAnsi="Times New Roman" w:cs="Times New Roman" w:eastAsia="Times New Roman" w:hint="default"/>
        </w:rPr>
        <w:t>4</w:t>
      </w:r>
      <w:r>
        <w:rPr/>
        <w:t>、关于监事与监事会 </w:t>
      </w:r>
      <w:r>
        <w:rPr>
          <w:spacing w:val="-2"/>
        </w:rPr>
        <w:t>公司监事会由</w:t>
      </w:r>
      <w:r>
        <w:rPr>
          <w:rFonts w:ascii="Times New Roman" w:hAnsi="Times New Roman" w:cs="Times New Roman" w:eastAsia="Times New Roman" w:hint="default"/>
          <w:spacing w:val="-2"/>
        </w:rPr>
        <w:t>3</w:t>
      </w:r>
      <w:r>
        <w:rPr>
          <w:spacing w:val="-2"/>
        </w:rPr>
        <w:t>名监事组成，其中职工监事</w:t>
      </w:r>
      <w:r>
        <w:rPr>
          <w:rFonts w:ascii="Times New Roman" w:hAnsi="Times New Roman" w:cs="Times New Roman" w:eastAsia="Times New Roman" w:hint="default"/>
          <w:spacing w:val="-2"/>
        </w:rPr>
        <w:t>1</w:t>
      </w:r>
      <w:r>
        <w:rPr>
          <w:spacing w:val="-2"/>
        </w:rPr>
        <w:t>名，监事的选举程序、监事会的人数及人员构成符合法律、法规和《公司章</w:t>
      </w:r>
    </w:p>
    <w:p>
      <w:pPr>
        <w:pStyle w:val="BodyText"/>
        <w:spacing w:line="217" w:lineRule="exact"/>
        <w:ind w:right="0"/>
        <w:jc w:val="both"/>
      </w:pPr>
      <w:r>
        <w:rPr/>
        <w:t>程》的要求。公司监事会按照《公司章程》及《监事会议事规则》的程序召集、召开。公司监事会认真履行自己的职责，秉</w:t>
      </w:r>
    </w:p>
    <w:p>
      <w:pPr>
        <w:pStyle w:val="BodyText"/>
        <w:spacing w:line="316" w:lineRule="auto" w:before="76"/>
        <w:ind w:right="190"/>
        <w:jc w:val="both"/>
      </w:pPr>
      <w:r>
        <w:rPr>
          <w:spacing w:val="-2"/>
        </w:rPr>
        <w:t>着对全体股东负责的态度，对公司财务以及董事、高级管理人员行使职权的合法合规性进行监督，充分维护公司及股东的合</w:t>
      </w:r>
      <w:r>
        <w:rPr>
          <w:spacing w:val="-63"/>
        </w:rPr>
        <w:t> </w:t>
      </w:r>
      <w:r>
        <w:rPr>
          <w:spacing w:val="-63"/>
        </w:rPr>
      </w:r>
      <w:r>
        <w:rPr/>
        <w:t>法权益。</w:t>
      </w:r>
    </w:p>
    <w:p>
      <w:pPr>
        <w:pStyle w:val="BodyText"/>
        <w:spacing w:line="340" w:lineRule="auto" w:before="59"/>
        <w:ind w:left="512" w:right="189"/>
        <w:jc w:val="left"/>
      </w:pPr>
      <w:r>
        <w:rPr>
          <w:rFonts w:ascii="Times New Roman" w:hAnsi="Times New Roman" w:cs="Times New Roman" w:eastAsia="Times New Roman" w:hint="default"/>
        </w:rPr>
        <w:t>5</w:t>
      </w:r>
      <w:r>
        <w:rPr/>
        <w:t>、关于信息披露与透明度 </w:t>
      </w:r>
      <w:r>
        <w:rPr>
          <w:spacing w:val="-2"/>
        </w:rPr>
        <w:t>公司高度重视信息披露与投资者关系管理工作，严格按照《上市公司信息披露管理办法》、深圳证券交易所创业板上市</w:t>
      </w:r>
    </w:p>
    <w:p>
      <w:pPr>
        <w:spacing w:after="0" w:line="3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94"/>
        <w:jc w:val="left"/>
      </w:pPr>
      <w:r>
        <w:rPr/>
        <w:t>公司的信息披露格式指引等规定以及公司制定的《信息披露制度》等操作性文件的要求，真实准确、完整及时的披露信息。</w:t>
      </w:r>
      <w:r>
        <w:rPr>
          <w:spacing w:val="-86"/>
        </w:rPr>
        <w:t> </w:t>
      </w:r>
      <w:r>
        <w:rPr>
          <w:spacing w:val="-86"/>
        </w:rPr>
      </w:r>
      <w:r>
        <w:rPr>
          <w:spacing w:val="-2"/>
        </w:rPr>
        <w:t>公司指定《证券时报》、《证券日报》、《中国证券报》、《上海证券报》为公司信息披露报纸，巨潮资讯网为公司信息披</w:t>
      </w:r>
      <w:r>
        <w:rPr>
          <w:spacing w:val="-70"/>
        </w:rPr>
        <w:t> </w:t>
      </w:r>
      <w:r>
        <w:rPr>
          <w:spacing w:val="-70"/>
        </w:rPr>
      </w:r>
      <w:r>
        <w:rPr>
          <w:spacing w:val="-2"/>
        </w:rPr>
        <w:t>露网站。公司上市以来，不断尝试更加有效的方式开展投资者关系管理工作，设立了互动易、电话专线、专用邮箱等多种渠</w:t>
      </w:r>
      <w:r>
        <w:rPr>
          <w:spacing w:val="-67"/>
        </w:rPr>
        <w:t> </w:t>
      </w:r>
      <w:r>
        <w:rPr>
          <w:spacing w:val="-67"/>
        </w:rPr>
      </w:r>
      <w:r>
        <w:rPr/>
        <w:t>道与投资者进行沟通和交流。</w:t>
      </w:r>
    </w:p>
    <w:p>
      <w:pPr>
        <w:pStyle w:val="BodyText"/>
        <w:spacing w:line="338" w:lineRule="auto" w:before="59"/>
        <w:ind w:left="512" w:right="179"/>
        <w:jc w:val="left"/>
      </w:pPr>
      <w:r>
        <w:rPr>
          <w:rFonts w:ascii="Times New Roman" w:hAnsi="Times New Roman" w:cs="Times New Roman" w:eastAsia="Times New Roman" w:hint="default"/>
        </w:rPr>
        <w:t>6</w:t>
      </w:r>
      <w:r>
        <w:rPr/>
        <w:t>、关于相关利益者 </w:t>
      </w:r>
      <w:r>
        <w:rPr>
          <w:spacing w:val="-5"/>
        </w:rPr>
        <w:t>公司充分尊重和维护相关利益者的合法权益，重视公司的社会责任，积极与相关利益者合作，加强与各方的沟通和交流，</w:t>
      </w:r>
    </w:p>
    <w:p>
      <w:pPr>
        <w:pStyle w:val="BodyText"/>
        <w:spacing w:line="360" w:lineRule="auto" w:before="2"/>
        <w:ind w:right="2614"/>
        <w:jc w:val="left"/>
      </w:pPr>
      <w:r>
        <w:rPr/>
        <w:t>实现股东、员工、社会等各方利益的协调平衡，共同推动公司持续、健康的发展。 公司治理的实际状况与中国证监会发布的有关上市公司治理的规范性文件是否存在重大差异</w:t>
      </w:r>
    </w:p>
    <w:p>
      <w:pPr>
        <w:pStyle w:val="BodyText"/>
        <w:spacing w:line="338" w:lineRule="auto" w:before="27"/>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2"/>
        <w:spacing w:line="240" w:lineRule="auto"/>
        <w:ind w:right="189"/>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9"/>
        <w:jc w:val="left"/>
      </w:pPr>
      <w:r>
        <w:rPr>
          <w:spacing w:val="-2"/>
        </w:rPr>
        <w:t>公司严格按照《公司法》、《证券法》等有关法律、法规和《公司章程》的要求规范运作，在业务、资产、人员、机构和财</w:t>
      </w:r>
      <w:r>
        <w:rPr>
          <w:spacing w:val="-73"/>
        </w:rPr>
        <w:t> </w:t>
      </w:r>
      <w:r>
        <w:rPr>
          <w:spacing w:val="-73"/>
        </w:rPr>
      </w:r>
      <w:r>
        <w:rPr/>
        <w:t>务方面与控股股东及其控制的其他企业保持独立，具有完整的业务体系及面向市场独立经营的能力。</w:t>
      </w:r>
    </w:p>
    <w:p>
      <w:pPr>
        <w:spacing w:line="240" w:lineRule="auto" w:before="11"/>
        <w:rPr>
          <w:rFonts w:ascii="宋体" w:hAnsi="宋体" w:cs="宋体" w:eastAsia="宋体" w:hint="default"/>
          <w:sz w:val="20"/>
          <w:szCs w:val="20"/>
        </w:rPr>
      </w:pPr>
    </w:p>
    <w:p>
      <w:pPr>
        <w:pStyle w:val="Heading2"/>
        <w:spacing w:line="240" w:lineRule="auto"/>
        <w:ind w:right="189"/>
        <w:jc w:val="left"/>
        <w:rPr>
          <w:b w:val="0"/>
          <w:bCs w:val="0"/>
        </w:rPr>
      </w:pPr>
      <w:bookmarkStart w:name="三、同业竞争情况" w:id="136"/>
      <w:bookmarkEnd w:id="136"/>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89"/>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89"/>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73.34%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0"/>
              <w:jc w:val="both"/>
              <w:rPr>
                <w:rFonts w:ascii="Times New Roman" w:hAnsi="Times New Roman" w:cs="Times New Roman" w:eastAsia="Times New Roman" w:hint="default"/>
                <w:sz w:val="18"/>
                <w:szCs w:val="18"/>
              </w:rPr>
            </w:pPr>
            <w:hyperlink r:id="rId16">
              <w:r>
                <w:rPr>
                  <w:rFonts w:ascii="Times New Roman"/>
                  <w:spacing w:val="-1"/>
                  <w:sz w:val="18"/>
                </w:rPr>
                <w:t>http://www.cninfo.co</w:t>
              </w:r>
            </w:hyperlink>
            <w:r>
              <w:rPr>
                <w:rFonts w:ascii="Times New Roman"/>
                <w:sz w:val="18"/>
              </w:rPr>
              <w:t> m.cn/cninfo-new/ind ex</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73.34%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30"/>
              <w:jc w:val="both"/>
              <w:rPr>
                <w:rFonts w:ascii="Times New Roman" w:hAnsi="Times New Roman" w:cs="Times New Roman" w:eastAsia="Times New Roman" w:hint="default"/>
                <w:sz w:val="18"/>
                <w:szCs w:val="18"/>
              </w:rPr>
            </w:pPr>
            <w:hyperlink r:id="rId16">
              <w:r>
                <w:rPr>
                  <w:rFonts w:ascii="Times New Roman"/>
                  <w:spacing w:val="-1"/>
                  <w:sz w:val="18"/>
                </w:rPr>
                <w:t>http://www.cninfo.co</w:t>
              </w:r>
            </w:hyperlink>
            <w:r>
              <w:rPr>
                <w:rFonts w:ascii="Times New Roman"/>
                <w:sz w:val="18"/>
              </w:rPr>
              <w:t> m.cn/cninfo-new/ind ex</w:t>
            </w:r>
          </w:p>
        </w:tc>
      </w:tr>
    </w:tbl>
    <w:p>
      <w:pPr>
        <w:spacing w:line="240" w:lineRule="auto" w:before="3"/>
        <w:rPr>
          <w:rFonts w:ascii="宋体" w:hAnsi="宋体" w:cs="宋体" w:eastAsia="宋体" w:hint="default"/>
          <w:b/>
          <w:bCs/>
          <w:sz w:val="19"/>
          <w:szCs w:val="19"/>
        </w:rPr>
      </w:pPr>
    </w:p>
    <w:p>
      <w:pPr>
        <w:pStyle w:val="Heading3"/>
        <w:spacing w:line="240" w:lineRule="auto" w:before="36"/>
        <w:ind w:right="189"/>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89"/>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89"/>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4"/>
        <w:gridCol w:w="1164"/>
      </w:tblGrid>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穆钢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40" w:lineRule="auto" w:before="115"/>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5"/>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6" w:lineRule="auto" w:before="41"/>
        <w:ind w:right="190"/>
        <w:jc w:val="both"/>
      </w:pPr>
      <w:r>
        <w:rPr>
          <w:spacing w:val="-2"/>
        </w:rPr>
        <w:t>报告期内，公司独立董事勤勉尽责，充分利用在专业领域的知识和经验，对公司重大事项出具了独立、公正的独立意见；在</w:t>
      </w:r>
      <w:r>
        <w:rPr>
          <w:spacing w:val="-67"/>
        </w:rPr>
        <w:t> </w:t>
      </w:r>
      <w:r>
        <w:rPr>
          <w:spacing w:val="-67"/>
        </w:rPr>
      </w:r>
      <w:r>
        <w:rPr>
          <w:spacing w:val="-2"/>
        </w:rPr>
        <w:t>参加公司董事会及董事会专门委员会时，向公司提出了具有建设性的意见和建议。公司对于独立董事提出的专业性、建设性</w:t>
      </w:r>
      <w:r>
        <w:rPr>
          <w:spacing w:val="-63"/>
        </w:rPr>
        <w:t> </w:t>
      </w:r>
      <w:r>
        <w:rPr>
          <w:spacing w:val="-63"/>
        </w:rPr>
      </w:r>
      <w:r>
        <w:rPr/>
        <w:t>建议均进行了合理性的采纳。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2"/>
        <w:ind w:right="0"/>
        <w:jc w:val="both"/>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3" w:firstLine="360"/>
        <w:jc w:val="both"/>
      </w:pPr>
      <w:r>
        <w:rPr>
          <w:spacing w:val="-2"/>
        </w:rPr>
        <w:t>公司董事会目前下设四个专门委员会：战略委员会、审计委员会、提名委员会、薪酬与考核委员会，报告期内，各专门</w:t>
      </w:r>
      <w:r>
        <w:rPr/>
        <w:t> </w:t>
      </w:r>
      <w:r>
        <w:rPr>
          <w:spacing w:val="-2"/>
        </w:rPr>
        <w:t>委员会严格依据公司董事会所制订的职权范围及各专门委员会的议事规则运作，并就专业事项进行研究和讨论，形成建议和</w:t>
      </w:r>
      <w:r>
        <w:rPr>
          <w:spacing w:val="-64"/>
        </w:rPr>
        <w:t> </w:t>
      </w:r>
      <w:r>
        <w:rPr>
          <w:spacing w:val="-64"/>
        </w:rPr>
      </w:r>
      <w:r>
        <w:rPr/>
        <w:t>意见，为董事会的决策提供了积极有效的支撑。</w:t>
      </w:r>
    </w:p>
    <w:p>
      <w:pPr>
        <w:pStyle w:val="BodyText"/>
        <w:spacing w:line="316" w:lineRule="auto" w:before="59"/>
        <w:ind w:right="193" w:firstLine="360"/>
        <w:jc w:val="both"/>
      </w:pPr>
      <w:r>
        <w:rPr>
          <w:spacing w:val="-6"/>
        </w:rPr>
        <w:t>报告期内，战略委员会严格按照《公司章程》及《公司董事会战略委员会工作制度》等相关规定，本着勤勉尽责的态度，</w:t>
      </w:r>
      <w:r>
        <w:rPr/>
        <w:t> 认真研究国家宏观经济政策调整对公司的影响，结合公司发展战略对重大决策提出建议，促进了公司的健康发展。</w:t>
      </w:r>
    </w:p>
    <w:p>
      <w:pPr>
        <w:pStyle w:val="BodyText"/>
        <w:spacing w:line="309" w:lineRule="auto" w:before="57"/>
        <w:ind w:right="106" w:firstLine="360"/>
        <w:jc w:val="both"/>
      </w:pPr>
      <w:r>
        <w:rPr>
          <w:spacing w:val="-2"/>
        </w:rPr>
        <w:t>审计委员会严格按照《公司章程》及《公司董事会审计委员会工作制度》等相关规定积极履行职责。报告期内，审计委</w:t>
      </w:r>
      <w:r>
        <w:rPr/>
        <w:t> 员会共召开了</w:t>
      </w:r>
      <w:r>
        <w:rPr>
          <w:rFonts w:ascii="Times New Roman" w:hAnsi="Times New Roman" w:cs="Times New Roman" w:eastAsia="Times New Roman" w:hint="default"/>
        </w:rPr>
        <w:t>4</w:t>
      </w:r>
      <w:r>
        <w:rPr/>
        <w:t>次会议，</w:t>
      </w:r>
      <w:r>
        <w:rPr>
          <w:rFonts w:ascii="Times New Roman" w:hAnsi="Times New Roman" w:cs="Times New Roman" w:eastAsia="Times New Roman" w:hint="default"/>
        </w:rPr>
        <w:t>2017</w:t>
      </w:r>
      <w:r>
        <w:rPr/>
        <w:t>年第一次会议审议了</w:t>
      </w:r>
      <w:r>
        <w:rPr>
          <w:rFonts w:ascii="Times New Roman" w:hAnsi="Times New Roman" w:cs="Times New Roman" w:eastAsia="Times New Roman" w:hint="default"/>
        </w:rPr>
        <w:t>2016</w:t>
      </w:r>
      <w:r>
        <w:rPr/>
        <w:t>年年度报告相关事项；</w:t>
      </w:r>
      <w:r>
        <w:rPr>
          <w:rFonts w:ascii="Times New Roman" w:hAnsi="Times New Roman" w:cs="Times New Roman" w:eastAsia="Times New Roman" w:hint="default"/>
        </w:rPr>
        <w:t>2017</w:t>
      </w:r>
      <w:r>
        <w:rPr/>
        <w:t>年第二次会议审议了</w:t>
      </w:r>
      <w:r>
        <w:rPr>
          <w:rFonts w:ascii="Times New Roman" w:hAnsi="Times New Roman" w:cs="Times New Roman" w:eastAsia="Times New Roman" w:hint="default"/>
        </w:rPr>
        <w:t>2017</w:t>
      </w:r>
      <w:r>
        <w:rPr/>
        <w:t>年半年度报告相 关事项；</w:t>
      </w:r>
      <w:r>
        <w:rPr>
          <w:rFonts w:ascii="Times New Roman" w:hAnsi="Times New Roman" w:cs="Times New Roman" w:eastAsia="Times New Roman" w:hint="default"/>
        </w:rPr>
        <w:t>2017</w:t>
      </w:r>
      <w:r>
        <w:rPr/>
        <w:t>年第三次会议审议</w:t>
      </w:r>
      <w:r>
        <w:rPr>
          <w:rFonts w:ascii="Times New Roman" w:hAnsi="Times New Roman" w:cs="Times New Roman" w:eastAsia="Times New Roman" w:hint="default"/>
        </w:rPr>
        <w:t>2017</w:t>
      </w:r>
      <w:r>
        <w:rPr/>
        <w:t>年第三季度报告相关事项；</w:t>
      </w:r>
      <w:r>
        <w:rPr>
          <w:rFonts w:ascii="Times New Roman" w:hAnsi="Times New Roman" w:cs="Times New Roman" w:eastAsia="Times New Roman" w:hint="default"/>
        </w:rPr>
        <w:t>2017</w:t>
      </w:r>
      <w:r>
        <w:rPr/>
        <w:t>年第四次会议听取了公司</w:t>
      </w:r>
      <w:r>
        <w:rPr>
          <w:rFonts w:ascii="Times New Roman" w:hAnsi="Times New Roman" w:cs="Times New Roman" w:eastAsia="Times New Roman" w:hint="default"/>
        </w:rPr>
        <w:t>2017</w:t>
      </w:r>
      <w:r>
        <w:rPr/>
        <w:t>年度财务报表审计计划。</w:t>
      </w:r>
    </w:p>
    <w:p>
      <w:pPr>
        <w:pStyle w:val="BodyText"/>
        <w:spacing w:line="360" w:lineRule="auto" w:before="46"/>
        <w:ind w:left="512" w:right="179"/>
        <w:jc w:val="left"/>
      </w:pPr>
      <w:r>
        <w:rPr/>
        <w:t>公司提名委员会勤勉尽责地履行职责，持续研究与关注高级管理人员选拔制度。 </w:t>
      </w:r>
      <w:r>
        <w:rPr>
          <w:spacing w:val="-5"/>
        </w:rPr>
        <w:t>薪酬与考核委员会根据《公司章程》及《公司董事会薪酬与考核委员会工作细则》等相关规定积极履行职责，报告期内，</w:t>
      </w:r>
    </w:p>
    <w:p>
      <w:pPr>
        <w:pStyle w:val="BodyText"/>
        <w:spacing w:line="233" w:lineRule="exact"/>
        <w:ind w:right="0"/>
        <w:jc w:val="both"/>
      </w:pPr>
      <w:r>
        <w:rPr/>
        <w:t>薪酬与考核委员会共召开了</w:t>
      </w:r>
      <w:r>
        <w:rPr>
          <w:rFonts w:ascii="Times New Roman" w:hAnsi="Times New Roman" w:cs="Times New Roman" w:eastAsia="Times New Roman" w:hint="default"/>
        </w:rPr>
        <w:t>2</w:t>
      </w:r>
      <w:r>
        <w:rPr/>
        <w:t>次会议，</w:t>
      </w:r>
      <w:r>
        <w:rPr>
          <w:rFonts w:ascii="Times New Roman" w:hAnsi="Times New Roman" w:cs="Times New Roman" w:eastAsia="Times New Roman" w:hint="default"/>
        </w:rPr>
        <w:t>2017</w:t>
      </w:r>
      <w:r>
        <w:rPr/>
        <w:t>年第一次会议审议了关于董事及高级管理人员</w:t>
      </w:r>
      <w:r>
        <w:rPr>
          <w:rFonts w:ascii="Times New Roman" w:hAnsi="Times New Roman" w:cs="Times New Roman" w:eastAsia="Times New Roman" w:hint="default"/>
        </w:rPr>
        <w:t>2016</w:t>
      </w:r>
      <w:r>
        <w:rPr/>
        <w:t>年度绩效考核、董事及高级管</w:t>
      </w:r>
    </w:p>
    <w:p>
      <w:pPr>
        <w:spacing w:after="0" w:line="233" w:lineRule="exact"/>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理人员</w:t>
      </w:r>
      <w:r>
        <w:rPr>
          <w:rFonts w:ascii="Times New Roman" w:hAnsi="Times New Roman" w:cs="Times New Roman" w:eastAsia="Times New Roman" w:hint="default"/>
        </w:rPr>
        <w:t>2017</w:t>
      </w:r>
      <w:r>
        <w:rPr/>
        <w:t>年薪酬与考核方案相关事项；</w:t>
      </w:r>
      <w:r>
        <w:rPr>
          <w:rFonts w:ascii="Times New Roman" w:hAnsi="Times New Roman" w:cs="Times New Roman" w:eastAsia="Times New Roman" w:hint="default"/>
        </w:rPr>
        <w:t>2017</w:t>
      </w:r>
      <w:r>
        <w:rPr/>
        <w:t>年第二次会议审议了限制性股票激励相关事项。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Heading2"/>
        <w:spacing w:line="240" w:lineRule="auto"/>
        <w:ind w:right="0"/>
        <w:jc w:val="both"/>
        <w:rPr>
          <w:b w:val="0"/>
          <w:bCs w:val="0"/>
        </w:rPr>
      </w:pPr>
      <w:bookmarkStart w:name="七、监事会工作情况" w:id="145"/>
      <w:bookmarkEnd w:id="145"/>
      <w:r>
        <w:rPr>
          <w:b w:val="0"/>
          <w:bCs w:val="0"/>
        </w:rPr>
      </w: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7"/>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3"/>
        <w:jc w:val="both"/>
      </w:pPr>
      <w:r>
        <w:rPr>
          <w:spacing w:val="-2"/>
        </w:rPr>
        <w:t>公司建立了完善的高级管理人员绩效考评体系和薪酬制度，高级管理人员的工作绩效与其收入直接挂钩。高级管理人员的聘</w:t>
      </w:r>
      <w:r>
        <w:rPr>
          <w:spacing w:val="-64"/>
        </w:rPr>
        <w:t> </w:t>
      </w:r>
      <w:r>
        <w:rPr>
          <w:spacing w:val="-64"/>
        </w:rPr>
      </w:r>
      <w:r>
        <w:rPr>
          <w:spacing w:val="-2"/>
        </w:rPr>
        <w:t>任公开、透明，符合法律、法规的规定。公司董事会下设薪酬和考核委员会协同公司人力资源部负责对公司董事、监事及高</w:t>
      </w:r>
      <w:r>
        <w:rPr>
          <w:spacing w:val="-65"/>
        </w:rPr>
        <w:t> </w:t>
      </w:r>
      <w:r>
        <w:rPr>
          <w:spacing w:val="-65"/>
        </w:rPr>
      </w:r>
      <w:r>
        <w:rPr/>
        <w:t>级管理人员进行绩效考核的实施。</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47"/>
      <w:bookmarkEnd w:id="147"/>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pStyle w:val="BodyText"/>
        <w:spacing w:line="240" w:lineRule="auto" w:before="44"/>
        <w:ind w:left="0" w:right="160"/>
        <w:jc w:val="right"/>
      </w:pPr>
      <w:r>
        <w:rPr/>
        <w:pict>
          <v:shape style="position:absolute;margin-left:57pt;margin-top:-297.368286pt;width:478.6pt;height:330.8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7"/>
                    <w:gridCol w:w="3053"/>
                  </w:tblGrid>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ttp</w:t>
                        </w:r>
                        <w:hyperlink r:id="rId17">
                          <w:r>
                            <w:rPr>
                              <w:rFonts w:ascii="Times New Roman"/>
                              <w:sz w:val="18"/>
                            </w:rPr>
                            <w:t>://w</w:t>
                          </w:r>
                        </w:hyperlink>
                        <w:r>
                          <w:rPr>
                            <w:rFonts w:ascii="Times New Roman"/>
                            <w:sz w:val="18"/>
                          </w:rPr>
                          <w:t>ww.</w:t>
                        </w:r>
                        <w:hyperlink r:id="rId17">
                          <w:r>
                            <w:rPr>
                              <w:rFonts w:ascii="Times New Roman"/>
                              <w:sz w:val="18"/>
                            </w:rPr>
                            <w:t>cninfo.com.cn/cninfo-new/index</w:t>
                          </w:r>
                        </w:hyperlink>
                      </w:p>
                    </w:tc>
                  </w:tr>
                  <w:tr>
                    <w:trPr>
                      <w:trHeight w:val="713"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6"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8"/>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53" w:hRule="exact"/>
                    </w:trPr>
                    <w:tc>
                      <w:tcPr>
                        <w:tcW w:w="3177" w:type="dxa"/>
                        <w:tcBorders>
                          <w:top w:val="single" w:sz="4" w:space="0" w:color="000000"/>
                          <w:left w:val="single" w:sz="4" w:space="0" w:color="000000"/>
                          <w:bottom w:val="nil" w:sz="6" w:space="0" w:color="auto"/>
                          <w:right w:val="single" w:sz="4" w:space="0" w:color="000000"/>
                        </w:tcBorders>
                        <w:shd w:val="clear" w:color="auto" w:fill="D4D4D4"/>
                      </w:tcPr>
                      <w:p>
                        <w:pPr/>
                      </w:p>
                    </w:tc>
                    <w:tc>
                      <w:tcPr>
                        <w:tcW w:w="3327" w:type="dxa"/>
                        <w:vMerge w:val="restart"/>
                        <w:tcBorders>
                          <w:top w:val="single" w:sz="4" w:space="0" w:color="000000"/>
                          <w:left w:val="single" w:sz="9" w:space="0" w:color="D4D4D4"/>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3" w:right="47"/>
                          <w:jc w:val="left"/>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作为财务报表整 体重要性水平，当潜在错报大于或等于财 务报表整体重要性水平时为重大缺陷。当 潜在错报小于财务报表整体重要性水平且 大于或等于财务报表整体重要性水平的 </w:t>
                        </w:r>
                        <w:r>
                          <w:rPr>
                            <w:rFonts w:ascii="Times New Roman" w:hAnsi="Times New Roman" w:cs="Times New Roman" w:eastAsia="Times New Roman" w:hint="default"/>
                            <w:sz w:val="18"/>
                            <w:szCs w:val="18"/>
                          </w:rPr>
                          <w:t>30%</w:t>
                        </w:r>
                        <w:r>
                          <w:rPr>
                            <w:rFonts w:ascii="宋体" w:hAnsi="宋体" w:cs="宋体" w:eastAsia="宋体" w:hint="default"/>
                            <w:sz w:val="18"/>
                            <w:szCs w:val="18"/>
                          </w:rPr>
                          <w:t>时为重要缺陷。当潜在错报小于财务 报表整体重要性水平的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时为一般缺 陷。</w:t>
                        </w:r>
                      </w:p>
                    </w:tc>
                    <w:tc>
                      <w:tcPr>
                        <w:tcW w:w="3053" w:type="dxa"/>
                        <w:vMerge w:val="restart"/>
                        <w:tcBorders>
                          <w:top w:val="single" w:sz="4" w:space="0" w:color="000000"/>
                          <w:left w:val="single" w:sz="4" w:space="0" w:color="000000"/>
                          <w:right w:val="single" w:sz="4" w:space="0" w:color="000000"/>
                        </w:tcBorders>
                      </w:tcPr>
                      <w:p>
                        <w:pPr>
                          <w:pStyle w:val="TableParagraph"/>
                          <w:spacing w:line="312"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作为确定缺陷 </w:t>
                        </w:r>
                        <w:r>
                          <w:rPr>
                            <w:rFonts w:ascii="宋体" w:hAnsi="宋体" w:cs="宋体" w:eastAsia="宋体" w:hint="default"/>
                            <w:spacing w:val="-4"/>
                            <w:sz w:val="18"/>
                            <w:szCs w:val="18"/>
                          </w:rPr>
                          <w:t>等级标准。当内部控制缺陷导致或可能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导致的直接损失金额大于或等于该标 </w:t>
                        </w:r>
                        <w:r>
                          <w:rPr>
                            <w:rFonts w:ascii="宋体" w:hAnsi="宋体" w:cs="宋体" w:eastAsia="宋体" w:hint="default"/>
                            <w:spacing w:val="-4"/>
                            <w:sz w:val="18"/>
                            <w:szCs w:val="18"/>
                          </w:rPr>
                          <w:t>准时为重大缺陷。当内部控制缺陷导致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或可能导致的直接损失金额小于该标 准且大于或等于该标准的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时为重 </w:t>
                        </w:r>
                        <w:r>
                          <w:rPr>
                            <w:rFonts w:ascii="宋体" w:hAnsi="宋体" w:cs="宋体" w:eastAsia="宋体" w:hint="default"/>
                            <w:spacing w:val="-4"/>
                            <w:sz w:val="18"/>
                            <w:szCs w:val="18"/>
                          </w:rPr>
                          <w:t>要缺陷。当内部控制缺陷导致或可能导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致的直接损失金额小于该标准的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时为一般缺陷。</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4D4D4"/>
                          <w:right w:val="single" w:sz="4" w:space="0" w:color="000000"/>
                        </w:tcBorders>
                      </w:tcPr>
                      <w:p>
                        <w:pPr/>
                      </w:p>
                    </w:tc>
                    <w:tc>
                      <w:tcPr>
                        <w:tcW w:w="3053" w:type="dxa"/>
                        <w:vMerge/>
                        <w:tcBorders>
                          <w:left w:val="single" w:sz="4" w:space="0" w:color="000000"/>
                          <w:right w:val="single" w:sz="4" w:space="0" w:color="000000"/>
                        </w:tcBorders>
                      </w:tcPr>
                      <w:p>
                        <w:pPr/>
                      </w:p>
                    </w:tc>
                  </w:tr>
                  <w:tr>
                    <w:trPr>
                      <w:trHeight w:val="1253" w:hRule="exact"/>
                    </w:trPr>
                    <w:tc>
                      <w:tcPr>
                        <w:tcW w:w="3177" w:type="dxa"/>
                        <w:tcBorders>
                          <w:top w:val="nil" w:sz="6" w:space="0" w:color="auto"/>
                          <w:left w:val="single" w:sz="4" w:space="0" w:color="000000"/>
                          <w:bottom w:val="single" w:sz="4" w:space="0" w:color="000000"/>
                          <w:right w:val="single" w:sz="4" w:space="0" w:color="000000"/>
                        </w:tcBorders>
                        <w:shd w:val="clear" w:color="auto" w:fill="D4D4D4"/>
                      </w:tcPr>
                      <w:p>
                        <w:pPr/>
                      </w:p>
                    </w:tc>
                    <w:tc>
                      <w:tcPr>
                        <w:tcW w:w="3327" w:type="dxa"/>
                        <w:vMerge/>
                        <w:tcBorders>
                          <w:left w:val="single" w:sz="9" w:space="0" w:color="D4D4D4"/>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142" w:hRule="exact"/>
                    </w:trPr>
                    <w:tc>
                      <w:tcPr>
                        <w:tcW w:w="3177" w:type="dxa"/>
                        <w:tcBorders>
                          <w:top w:val="single" w:sz="4" w:space="0" w:color="000000"/>
                          <w:left w:val="single" w:sz="4" w:space="0" w:color="000000"/>
                          <w:bottom w:val="nil" w:sz="6" w:space="0" w:color="auto"/>
                          <w:right w:val="single" w:sz="4" w:space="0" w:color="000000"/>
                        </w:tcBorders>
                        <w:shd w:val="clear" w:color="auto" w:fill="D4D4D4"/>
                      </w:tcPr>
                      <w:p>
                        <w:pPr/>
                      </w:p>
                    </w:tc>
                    <w:tc>
                      <w:tcPr>
                        <w:tcW w:w="3327" w:type="dxa"/>
                        <w:vMerge w:val="restart"/>
                        <w:tcBorders>
                          <w:top w:val="single" w:sz="4" w:space="0" w:color="000000"/>
                          <w:left w:val="single" w:sz="12" w:space="0" w:color="D4D4D4"/>
                          <w:right w:val="single" w:sz="4" w:space="0" w:color="000000"/>
                        </w:tcBorders>
                      </w:tcPr>
                      <w:p>
                        <w:pPr>
                          <w:pStyle w:val="TableParagraph"/>
                          <w:spacing w:line="300" w:lineRule="auto" w:before="49"/>
                          <w:ind w:left="18" w:right="43"/>
                          <w:jc w:val="left"/>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）控制环境无效</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）发现 公司管理层存在的任何程度的舞弊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tcPr>
                      <w:p>
                        <w:pPr>
                          <w:pStyle w:val="TableParagraph"/>
                          <w:spacing w:line="300"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重大缺陷：（</w:t>
                        </w: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）违反国家法律法规；（</w:t>
                        </w:r>
                        <w:r>
                          <w:rPr>
                            <w:rFonts w:ascii="Times New Roman" w:hAnsi="Times New Roman" w:cs="Times New Roman" w:eastAsia="Times New Roman" w:hint="default"/>
                            <w:spacing w:val="-18"/>
                            <w:sz w:val="18"/>
                            <w:szCs w:val="18"/>
                          </w:rPr>
                          <w:t>2</w:t>
                        </w:r>
                        <w:r>
                          <w:rPr>
                            <w:rFonts w:ascii="Times New Roman" w:hAnsi="Times New Roman" w:cs="Times New Roman" w:eastAsia="Times New Roman" w:hint="default"/>
                            <w:spacing w:val="-41"/>
                            <w:sz w:val="18"/>
                            <w:szCs w:val="18"/>
                          </w:rPr>
                          <w:t> </w:t>
                        </w:r>
                        <w:r>
                          <w:rPr>
                            <w:rFonts w:ascii="宋体" w:hAnsi="宋体" w:cs="宋体" w:eastAsia="宋体" w:hint="default"/>
                            <w:spacing w:val="-4"/>
                            <w:sz w:val="18"/>
                            <w:szCs w:val="18"/>
                          </w:rPr>
                          <w:t>决策程序不科学，因决策失误导致重大</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12" w:space="0" w:color="D4D4D4"/>
                          <w:right w:val="single" w:sz="4" w:space="0" w:color="000000"/>
                        </w:tcBorders>
                      </w:tcPr>
                      <w:p>
                        <w:pPr/>
                      </w:p>
                    </w:tc>
                    <w:tc>
                      <w:tcPr>
                        <w:tcW w:w="3053" w:type="dxa"/>
                        <w:vMerge/>
                        <w:tcBorders>
                          <w:left w:val="single" w:sz="4" w:space="0" w:color="000000"/>
                          <w:right w:val="single" w:sz="4" w:space="0" w:color="000000"/>
                        </w:tcBorders>
                      </w:tcPr>
                      <w:p>
                        <w:pPr/>
                      </w:p>
                    </w:tc>
                  </w:tr>
                  <w:tr>
                    <w:trPr>
                      <w:trHeight w:val="142" w:hRule="exact"/>
                    </w:trPr>
                    <w:tc>
                      <w:tcPr>
                        <w:tcW w:w="3177" w:type="dxa"/>
                        <w:tcBorders>
                          <w:top w:val="nil" w:sz="6" w:space="0" w:color="auto"/>
                          <w:left w:val="single" w:sz="4" w:space="0" w:color="000000"/>
                          <w:bottom w:val="single" w:sz="4" w:space="0" w:color="000000"/>
                          <w:right w:val="single" w:sz="4" w:space="0" w:color="000000"/>
                        </w:tcBorders>
                        <w:shd w:val="clear" w:color="auto" w:fill="D4D4D4"/>
                      </w:tcPr>
                      <w:p>
                        <w:pPr/>
                      </w:p>
                    </w:tc>
                    <w:tc>
                      <w:tcPr>
                        <w:tcW w:w="3327" w:type="dxa"/>
                        <w:vMerge/>
                        <w:tcBorders>
                          <w:left w:val="single" w:sz="12" w:space="0" w:color="D4D4D4"/>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3"/>
        <w:gridCol w:w="3322"/>
        <w:gridCol w:w="3053"/>
      </w:tblGrid>
      <w:tr>
        <w:trPr>
          <w:trHeight w:val="2546"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47"/>
              <w:jc w:val="both"/>
              <w:rPr>
                <w:rFonts w:ascii="宋体" w:hAnsi="宋体" w:cs="宋体" w:eastAsia="宋体" w:hint="default"/>
                <w:sz w:val="18"/>
                <w:szCs w:val="18"/>
              </w:rPr>
            </w:pPr>
            <w:r>
              <w:rPr>
                <w:rFonts w:ascii="宋体" w:hAnsi="宋体" w:cs="宋体" w:eastAsia="宋体" w:hint="default"/>
                <w:sz w:val="18"/>
                <w:szCs w:val="18"/>
              </w:rPr>
              <w:t>公司审计委员会和内部审计机构对内部控 </w:t>
            </w:r>
            <w:r>
              <w:rPr>
                <w:rFonts w:ascii="宋体" w:hAnsi="宋体" w:cs="宋体" w:eastAsia="宋体" w:hint="default"/>
                <w:spacing w:val="-5"/>
                <w:sz w:val="18"/>
                <w:szCs w:val="18"/>
              </w:rPr>
              <w:t>制的监督无效；（</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）公司重述以前公布的</w:t>
            </w:r>
            <w:r>
              <w:rPr>
                <w:rFonts w:ascii="宋体" w:hAnsi="宋体" w:cs="宋体" w:eastAsia="宋体" w:hint="default"/>
                <w:spacing w:val="-86"/>
                <w:sz w:val="18"/>
                <w:szCs w:val="18"/>
              </w:rPr>
              <w:t> </w:t>
            </w:r>
            <w:r>
              <w:rPr>
                <w:rFonts w:ascii="宋体" w:hAnsi="宋体" w:cs="宋体" w:eastAsia="宋体" w:hint="default"/>
                <w:sz w:val="18"/>
                <w:szCs w:val="18"/>
              </w:rPr>
              <w:t>财务报表，以更正由于舞弊或错误导致的 </w:t>
            </w:r>
            <w:r>
              <w:rPr>
                <w:rFonts w:ascii="宋体" w:hAnsi="宋体" w:cs="宋体" w:eastAsia="宋体" w:hint="default"/>
                <w:spacing w:val="-5"/>
                <w:sz w:val="18"/>
                <w:szCs w:val="18"/>
              </w:rPr>
              <w:t>重大错报；（</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）外部审计发现公司当期财</w:t>
            </w:r>
            <w:r>
              <w:rPr>
                <w:rFonts w:ascii="宋体" w:hAnsi="宋体" w:cs="宋体" w:eastAsia="宋体" w:hint="default"/>
                <w:spacing w:val="-86"/>
                <w:sz w:val="18"/>
                <w:szCs w:val="18"/>
              </w:rPr>
              <w:t> </w:t>
            </w:r>
            <w:r>
              <w:rPr>
                <w:rFonts w:ascii="宋体" w:hAnsi="宋体" w:cs="宋体" w:eastAsia="宋体" w:hint="default"/>
                <w:sz w:val="18"/>
                <w:szCs w:val="18"/>
              </w:rPr>
              <w:t>务报表存在重大错报，而公司内部控制在 </w:t>
            </w:r>
            <w:r>
              <w:rPr>
                <w:rFonts w:ascii="宋体" w:hAnsi="宋体" w:cs="宋体" w:eastAsia="宋体" w:hint="default"/>
                <w:spacing w:val="-5"/>
                <w:sz w:val="18"/>
                <w:szCs w:val="18"/>
              </w:rPr>
              <w:t>运行过程中未能发现该错报的缺陷；（</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其他可能导致公司严重偏离控制目标的缺 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6" w:right="-44"/>
              <w:jc w:val="left"/>
              <w:rPr>
                <w:rFonts w:ascii="宋体" w:hAnsi="宋体" w:cs="宋体" w:eastAsia="宋体" w:hint="default"/>
                <w:sz w:val="18"/>
                <w:szCs w:val="18"/>
              </w:rPr>
            </w:pPr>
            <w:r>
              <w:rPr>
                <w:rFonts w:ascii="宋体" w:hAnsi="宋体" w:cs="宋体" w:eastAsia="宋体" w:hint="default"/>
                <w:spacing w:val="-9"/>
                <w:sz w:val="18"/>
                <w:szCs w:val="18"/>
              </w:rPr>
              <w:t>交易失败；（</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）管理人员或技术人员大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量流失；（</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）媒体负面新闻频现；（</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w:t>
            </w:r>
            <w:r>
              <w:rPr>
                <w:rFonts w:ascii="宋体" w:hAnsi="宋体" w:cs="宋体" w:eastAsia="宋体" w:hint="default"/>
                <w:spacing w:val="-82"/>
                <w:sz w:val="18"/>
                <w:szCs w:val="18"/>
              </w:rPr>
              <w:t> </w:t>
            </w:r>
            <w:r>
              <w:rPr>
                <w:rFonts w:ascii="宋体" w:hAnsi="宋体" w:cs="宋体" w:eastAsia="宋体" w:hint="default"/>
                <w:sz w:val="18"/>
                <w:szCs w:val="18"/>
              </w:rPr>
              <w:t>重要业务缺乏制度控制或制度系统性 </w:t>
            </w:r>
            <w:r>
              <w:rPr>
                <w:rFonts w:ascii="宋体" w:hAnsi="宋体" w:cs="宋体" w:eastAsia="宋体" w:hint="default"/>
                <w:spacing w:val="-4"/>
                <w:sz w:val="18"/>
                <w:szCs w:val="18"/>
              </w:rPr>
              <w:t>失效，重要的经济业务虽有内控制度指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引，但没有有效运行；重大缺陷没有在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合理期间得到整改。</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150"/>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0"/>
        <w:jc w:val="left"/>
      </w:pP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4" w:right="150"/>
        <w:jc w:val="left"/>
        <w:rPr>
          <w:b w:val="0"/>
          <w:bCs w:val="0"/>
        </w:rPr>
      </w:pPr>
      <w:bookmarkStart w:name="第十节 公司债券相关情况" w:id="151"/>
      <w:bookmarkEnd w:id="151"/>
      <w:r>
        <w:rPr>
          <w:b w:val="0"/>
          <w:bCs w:val="0"/>
        </w:rPr>
      </w:r>
      <w:bookmarkStart w:name="_bookmark8" w:id="152"/>
      <w:bookmarkEnd w:id="152"/>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62" w:right="3164"/>
        <w:jc w:val="center"/>
        <w:rPr>
          <w:b w:val="0"/>
          <w:bCs w:val="0"/>
        </w:rPr>
      </w:pPr>
      <w:bookmarkStart w:name="第十一节 财务报告" w:id="153"/>
      <w:bookmarkEnd w:id="153"/>
      <w:r>
        <w:rPr>
          <w:b w:val="0"/>
          <w:bCs w:val="0"/>
        </w:rPr>
      </w:r>
      <w:bookmarkStart w:name="_bookmark9" w:id="154"/>
      <w:bookmarkEnd w:id="15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0"/>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普华永道中天审字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李雪梅、李莎</w:t>
            </w:r>
          </w:p>
        </w:tc>
      </w:tr>
    </w:tbl>
    <w:p>
      <w:pPr>
        <w:pStyle w:val="BodyText"/>
        <w:spacing w:line="240" w:lineRule="auto" w:before="49"/>
        <w:ind w:left="3164" w:right="3164"/>
        <w:jc w:val="center"/>
      </w:pPr>
      <w:r>
        <w:rPr/>
        <w:t>审计报告正文</w:t>
      </w:r>
    </w:p>
    <w:p>
      <w:pPr>
        <w:pStyle w:val="BodyText"/>
        <w:spacing w:line="240" w:lineRule="auto" w:before="115"/>
        <w:ind w:left="0" w:right="263"/>
        <w:jc w:val="right"/>
      </w:pPr>
      <w:r>
        <w:rPr>
          <w:spacing w:val="-1"/>
        </w:rPr>
        <w:t>普华永道中天审字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10061</w:t>
      </w:r>
      <w:r>
        <w:rPr>
          <w:spacing w:val="-1"/>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right="150"/>
        <w:jc w:val="left"/>
      </w:pPr>
      <w:r>
        <w:rPr/>
        <w:t>朗新科技股份有限公司全体股东：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Heading5"/>
        <w:spacing w:line="240" w:lineRule="auto"/>
        <w:ind w:right="150"/>
        <w:jc w:val="left"/>
        <w:rPr>
          <w:b w:val="0"/>
          <w:bCs w:val="0"/>
        </w:rPr>
      </w:pPr>
      <w:r>
        <w:rPr/>
        <w:t>一、审计意见</w:t>
      </w:r>
      <w:r>
        <w:rPr>
          <w:b w:val="0"/>
          <w:bCs w:val="0"/>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5"/>
          <w:szCs w:val="15"/>
        </w:rPr>
      </w:pPr>
    </w:p>
    <w:p>
      <w:pPr>
        <w:pStyle w:val="BodyText"/>
        <w:spacing w:line="240" w:lineRule="auto"/>
        <w:ind w:right="150"/>
        <w:jc w:val="left"/>
      </w:pPr>
      <w:r>
        <w:rPr/>
        <w:t>（一）我们审计的内容</w:t>
      </w:r>
    </w:p>
    <w:p>
      <w:pPr>
        <w:spacing w:line="240" w:lineRule="auto" w:before="2"/>
        <w:rPr>
          <w:rFonts w:ascii="宋体" w:hAnsi="宋体" w:cs="宋体" w:eastAsia="宋体" w:hint="default"/>
          <w:sz w:val="18"/>
          <w:szCs w:val="18"/>
        </w:rPr>
      </w:pPr>
    </w:p>
    <w:p>
      <w:pPr>
        <w:pStyle w:val="BodyText"/>
        <w:spacing w:line="300" w:lineRule="auto"/>
        <w:ind w:right="150" w:firstLine="566"/>
        <w:jc w:val="left"/>
      </w:pPr>
      <w:r>
        <w:rPr>
          <w:spacing w:val="-1"/>
        </w:rPr>
        <w:t>我们审计了朗新科技股份有限公司（以下简称</w:t>
      </w:r>
      <w:r>
        <w:rPr>
          <w:rFonts w:ascii="Times New Roman" w:hAnsi="Times New Roman" w:cs="Times New Roman" w:eastAsia="Times New Roman" w:hint="default"/>
          <w:spacing w:val="-1"/>
        </w:rPr>
        <w:t>“</w:t>
      </w:r>
      <w:r>
        <w:rPr>
          <w:spacing w:val="-1"/>
        </w:rPr>
        <w:t>朗新公司</w:t>
      </w:r>
      <w:r>
        <w:rPr>
          <w:rFonts w:ascii="Times New Roman" w:hAnsi="Times New Roman" w:cs="Times New Roman" w:eastAsia="Times New Roman" w:hint="default"/>
          <w:spacing w:val="-1"/>
        </w:rPr>
        <w:t>”</w:t>
      </w:r>
      <w:r>
        <w:rPr>
          <w:spacing w:val="-1"/>
        </w:rPr>
        <w:t>）的财务报表，包括</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日的合并及公司资产负</w:t>
      </w:r>
      <w:r>
        <w:rPr/>
        <w:t> 债表，</w:t>
      </w:r>
      <w:r>
        <w:rPr>
          <w:rFonts w:ascii="Times New Roman" w:hAnsi="Times New Roman" w:cs="Times New Roman" w:eastAsia="Times New Roman" w:hint="default"/>
        </w:rPr>
        <w:t>2017</w:t>
      </w:r>
      <w:r>
        <w:rPr/>
        <w:t>年度的合并及公司利润表、合并及公司现金流量表、合并及公司股东权益变动表以及财务报表附注。</w:t>
      </w:r>
    </w:p>
    <w:p>
      <w:pPr>
        <w:spacing w:line="240" w:lineRule="auto" w:before="11"/>
        <w:rPr>
          <w:rFonts w:ascii="宋体" w:hAnsi="宋体" w:cs="宋体" w:eastAsia="宋体" w:hint="default"/>
          <w:sz w:val="24"/>
          <w:szCs w:val="24"/>
        </w:rPr>
      </w:pPr>
    </w:p>
    <w:p>
      <w:pPr>
        <w:pStyle w:val="BodyText"/>
        <w:spacing w:line="240" w:lineRule="auto"/>
        <w:ind w:right="150"/>
        <w:jc w:val="left"/>
      </w:pPr>
      <w:r>
        <w:rPr/>
        <w:t>（二）我们的意见</w:t>
      </w:r>
    </w:p>
    <w:p>
      <w:pPr>
        <w:spacing w:line="240" w:lineRule="auto" w:before="12"/>
        <w:rPr>
          <w:rFonts w:ascii="宋体" w:hAnsi="宋体" w:cs="宋体" w:eastAsia="宋体" w:hint="default"/>
          <w:sz w:val="17"/>
          <w:szCs w:val="17"/>
        </w:rPr>
      </w:pPr>
    </w:p>
    <w:p>
      <w:pPr>
        <w:pStyle w:val="BodyText"/>
        <w:spacing w:line="300" w:lineRule="auto"/>
        <w:ind w:right="262" w:firstLine="566"/>
        <w:jc w:val="left"/>
      </w:pPr>
      <w:r>
        <w:rPr>
          <w:spacing w:val="-1"/>
        </w:rPr>
        <w:t>我们认为，后附的财务报表在所有重大方面按照企业会计准则的规定编制，公允反映了朗新公司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w:t>
      </w:r>
      <w:r>
        <w:rPr/>
        <w:t> 合并及公司财务状况以及</w:t>
      </w:r>
      <w:r>
        <w:rPr>
          <w:rFonts w:ascii="Times New Roman" w:hAnsi="Times New Roman" w:cs="Times New Roman" w:eastAsia="Times New Roman" w:hint="default"/>
        </w:rPr>
        <w:t>2017</w:t>
      </w:r>
      <w:r>
        <w:rPr/>
        <w:t>年度的合并及公司经营成果和现金流量。</w:t>
      </w:r>
    </w:p>
    <w:p>
      <w:pPr>
        <w:pStyle w:val="BodyText"/>
        <w:spacing w:line="480" w:lineRule="atLeast" w:before="80"/>
        <w:ind w:left="719" w:right="150" w:hanging="567"/>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注册会计师对财务报表审计的责任</w:t>
      </w:r>
      <w:r>
        <w:rPr>
          <w:rFonts w:ascii="Times New Roman" w:hAnsi="Times New Roman" w:cs="Times New Roman" w:eastAsia="Times New Roman" w:hint="default"/>
          <w:spacing w:val="-1"/>
        </w:rPr>
        <w:t>”</w:t>
      </w:r>
      <w:r>
        <w:rPr>
          <w:spacing w:val="-1"/>
        </w:rPr>
        <w:t>部分进</w:t>
      </w:r>
    </w:p>
    <w:p>
      <w:pPr>
        <w:pStyle w:val="BodyText"/>
        <w:spacing w:line="636" w:lineRule="auto" w:before="62"/>
        <w:ind w:left="791" w:right="414" w:hanging="639"/>
        <w:jc w:val="left"/>
      </w:pPr>
      <w:r>
        <w:rPr/>
        <w:t>一步阐述了我们在这些准则下的责任。我们相信，我们获取的审计证据是充分、适当的，为发表审计意见提供了基础。 按照中国注册会计师职业道德守则，我们独立于朗新公司，并履行了职业道德方面的其他责任。</w:t>
      </w:r>
    </w:p>
    <w:p>
      <w:pPr>
        <w:spacing w:line="240" w:lineRule="auto" w:before="4"/>
        <w:rPr>
          <w:rFonts w:ascii="宋体" w:hAnsi="宋体" w:cs="宋体" w:eastAsia="宋体" w:hint="default"/>
          <w:sz w:val="19"/>
          <w:szCs w:val="19"/>
        </w:rPr>
      </w:pPr>
    </w:p>
    <w:p>
      <w:pPr>
        <w:pStyle w:val="Heading5"/>
        <w:spacing w:line="240" w:lineRule="auto"/>
        <w:ind w:right="150"/>
        <w:jc w:val="left"/>
        <w:rPr>
          <w:b w:val="0"/>
          <w:bCs w:val="0"/>
        </w:rPr>
      </w:pPr>
      <w:r>
        <w:rPr/>
        <w:t>三、关键审计事项</w:t>
      </w:r>
      <w:r>
        <w:rPr>
          <w:b w:val="0"/>
          <w:bCs w:val="0"/>
        </w:rPr>
      </w:r>
    </w:p>
    <w:p>
      <w:pPr>
        <w:spacing w:line="240" w:lineRule="auto" w:before="12"/>
        <w:rPr>
          <w:rFonts w:ascii="宋体" w:hAnsi="宋体" w:cs="宋体" w:eastAsia="宋体" w:hint="default"/>
          <w:b/>
          <w:bCs/>
          <w:sz w:val="17"/>
          <w:szCs w:val="17"/>
        </w:rPr>
      </w:pPr>
    </w:p>
    <w:p>
      <w:pPr>
        <w:pStyle w:val="BodyText"/>
        <w:spacing w:line="316" w:lineRule="auto"/>
        <w:ind w:right="258" w:firstLine="566"/>
        <w:jc w:val="left"/>
      </w:pPr>
      <w:r>
        <w:rPr>
          <w:spacing w:val="-1"/>
        </w:rPr>
        <w:t>关键审计事项是我们根据职业判断，认为对本期财务报表审计最为重要的事项。这些事项的应对以对财务报表整体</w:t>
      </w:r>
      <w:r>
        <w:rPr/>
        <w:t> 进行审计并形成审计意见为背景，我们不对这些事项单独发表意见。</w:t>
      </w:r>
    </w:p>
    <w:p>
      <w:pPr>
        <w:spacing w:after="0" w:line="316"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699" w:right="5426"/>
        <w:jc w:val="center"/>
      </w:pPr>
      <w:r>
        <w:rPr/>
        <w:t>我们在审计中识别出的关键审计事项汇总如下：</w:t>
      </w:r>
    </w:p>
    <w:p>
      <w:pPr>
        <w:pStyle w:val="BodyText"/>
        <w:spacing w:line="240" w:lineRule="auto" w:before="76"/>
        <w:ind w:left="1232" w:right="150"/>
        <w:jc w:val="left"/>
      </w:pPr>
      <w:r>
        <w:rPr/>
        <w:t>（一）定制软件开发业务收入确认</w:t>
      </w:r>
    </w:p>
    <w:p>
      <w:pPr>
        <w:pStyle w:val="BodyText"/>
        <w:spacing w:line="240" w:lineRule="auto" w:before="76"/>
        <w:ind w:left="1232" w:right="150"/>
        <w:jc w:val="left"/>
      </w:pPr>
      <w:r>
        <w:rPr/>
        <w:t>（二）股份支付</w:t>
      </w:r>
    </w:p>
    <w:p>
      <w:pPr>
        <w:spacing w:line="240" w:lineRule="auto" w:before="1"/>
        <w:rPr>
          <w:rFonts w:ascii="宋体" w:hAnsi="宋体" w:cs="宋体" w:eastAsia="宋体" w:hint="default"/>
          <w:sz w:val="29"/>
          <w:szCs w:val="29"/>
        </w:rPr>
      </w:pPr>
    </w:p>
    <w:tbl>
      <w:tblPr>
        <w:tblW w:w="0" w:type="auto"/>
        <w:jc w:val="left"/>
        <w:tblInd w:w="287" w:type="dxa"/>
        <w:tblLayout w:type="fixed"/>
        <w:tblCellMar>
          <w:top w:w="0" w:type="dxa"/>
          <w:left w:w="0" w:type="dxa"/>
          <w:bottom w:w="0" w:type="dxa"/>
          <w:right w:w="0" w:type="dxa"/>
        </w:tblCellMar>
        <w:tblLook w:val="01E0"/>
      </w:tblPr>
      <w:tblGrid>
        <w:gridCol w:w="4253"/>
        <w:gridCol w:w="4536"/>
      </w:tblGrid>
      <w:tr>
        <w:trPr>
          <w:trHeight w:val="348"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23" w:right="0"/>
              <w:jc w:val="left"/>
              <w:rPr>
                <w:rFonts w:ascii="宋体" w:hAnsi="宋体" w:cs="宋体" w:eastAsia="宋体" w:hint="default"/>
                <w:sz w:val="18"/>
                <w:szCs w:val="18"/>
              </w:rPr>
            </w:pPr>
            <w:r>
              <w:rPr>
                <w:rFonts w:ascii="宋体" w:hAnsi="宋体" w:cs="宋体" w:eastAsia="宋体" w:hint="default"/>
                <w:sz w:val="18"/>
                <w:szCs w:val="18"/>
              </w:rPr>
              <w:t>我们在审计中如何应对关键审计事项</w:t>
            </w:r>
          </w:p>
        </w:tc>
      </w:tr>
      <w:tr>
        <w:trPr>
          <w:trHeight w:val="7843"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both"/>
              <w:rPr>
                <w:rFonts w:ascii="宋体" w:hAnsi="宋体" w:cs="宋体" w:eastAsia="宋体" w:hint="default"/>
                <w:sz w:val="18"/>
                <w:szCs w:val="18"/>
              </w:rPr>
            </w:pPr>
            <w:r>
              <w:rPr>
                <w:rFonts w:ascii="宋体" w:hAnsi="宋体" w:cs="宋体" w:eastAsia="宋体" w:hint="default"/>
                <w:b/>
                <w:bCs/>
                <w:sz w:val="18"/>
                <w:szCs w:val="18"/>
              </w:rPr>
              <w:t>（一）定制软件开发业务收入确认</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53"/>
              <w:ind w:left="4" w:right="-1"/>
              <w:jc w:val="both"/>
              <w:rPr>
                <w:rFonts w:ascii="宋体" w:hAnsi="宋体" w:cs="宋体" w:eastAsia="宋体" w:hint="default"/>
                <w:sz w:val="18"/>
                <w:szCs w:val="18"/>
              </w:rPr>
            </w:pPr>
            <w:r>
              <w:rPr>
                <w:rFonts w:ascii="宋体" w:hAnsi="宋体" w:cs="宋体" w:eastAsia="宋体" w:hint="default"/>
                <w:spacing w:val="3"/>
                <w:sz w:val="18"/>
                <w:szCs w:val="18"/>
              </w:rPr>
              <w:t>参见财务报表附注二</w:t>
            </w:r>
            <w:r>
              <w:rPr>
                <w:rFonts w:ascii="Times New Roman" w:hAnsi="Times New Roman" w:cs="Times New Roman" w:eastAsia="Times New Roman" w:hint="default"/>
                <w:spacing w:val="3"/>
                <w:sz w:val="18"/>
                <w:szCs w:val="18"/>
              </w:rPr>
              <w:t>(23)“</w:t>
            </w:r>
            <w:r>
              <w:rPr>
                <w:rFonts w:ascii="宋体" w:hAnsi="宋体" w:cs="宋体" w:eastAsia="宋体" w:hint="default"/>
                <w:spacing w:val="3"/>
                <w:sz w:val="18"/>
                <w:szCs w:val="18"/>
              </w:rPr>
              <w:t>收入确认</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及附注四</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营</w:t>
            </w:r>
            <w:r>
              <w:rPr>
                <w:rFonts w:ascii="宋体" w:hAnsi="宋体" w:cs="宋体" w:eastAsia="宋体" w:hint="default"/>
                <w:spacing w:val="-76"/>
                <w:sz w:val="18"/>
                <w:szCs w:val="18"/>
              </w:rPr>
              <w:t> </w:t>
            </w:r>
            <w:r>
              <w:rPr>
                <w:rFonts w:ascii="宋体" w:hAnsi="宋体" w:cs="宋体" w:eastAsia="宋体" w:hint="default"/>
                <w:sz w:val="18"/>
                <w:szCs w:val="18"/>
              </w:rPr>
              <w:t>业收入及营业成本</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 w:right="0"/>
              <w:jc w:val="both"/>
              <w:rPr>
                <w:rFonts w:ascii="宋体" w:hAnsi="宋体" w:cs="宋体" w:eastAsia="宋体" w:hint="default"/>
                <w:sz w:val="18"/>
                <w:szCs w:val="18"/>
              </w:rPr>
            </w:pPr>
            <w:r>
              <w:rPr>
                <w:rFonts w:ascii="宋体" w:hAnsi="宋体" w:cs="宋体" w:eastAsia="宋体" w:hint="default"/>
                <w:sz w:val="18"/>
                <w:szCs w:val="18"/>
              </w:rPr>
              <w:t>于</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年度</w:t>
            </w:r>
            <w:r>
              <w:rPr>
                <w:rFonts w:ascii="宋体" w:hAnsi="宋体" w:cs="宋体" w:eastAsia="宋体" w:hint="default"/>
                <w:spacing w:val="-87"/>
                <w:sz w:val="18"/>
                <w:szCs w:val="18"/>
              </w:rPr>
              <w:t>，</w:t>
            </w:r>
            <w:r>
              <w:rPr>
                <w:rFonts w:ascii="宋体" w:hAnsi="宋体" w:cs="宋体" w:eastAsia="宋体" w:hint="default"/>
                <w:sz w:val="18"/>
                <w:szCs w:val="18"/>
              </w:rPr>
              <w:t>朗新公司定制软</w:t>
            </w:r>
            <w:r>
              <w:rPr>
                <w:rFonts w:ascii="宋体" w:hAnsi="宋体" w:cs="宋体" w:eastAsia="宋体" w:hint="default"/>
                <w:spacing w:val="-3"/>
                <w:sz w:val="18"/>
                <w:szCs w:val="18"/>
              </w:rPr>
              <w:t>件</w:t>
            </w:r>
            <w:r>
              <w:rPr>
                <w:rFonts w:ascii="宋体" w:hAnsi="宋体" w:cs="宋体" w:eastAsia="宋体" w:hint="default"/>
                <w:sz w:val="18"/>
                <w:szCs w:val="18"/>
              </w:rPr>
              <w:t>开发业务收入为人民币</w:t>
            </w:r>
          </w:p>
          <w:p>
            <w:pPr>
              <w:pStyle w:val="TableParagraph"/>
              <w:spacing w:line="240" w:lineRule="auto" w:before="63"/>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6.68</w:t>
            </w:r>
            <w:r>
              <w:rPr>
                <w:rFonts w:ascii="宋体" w:hAnsi="宋体" w:cs="宋体" w:eastAsia="宋体" w:hint="default"/>
                <w:sz w:val="18"/>
                <w:szCs w:val="18"/>
              </w:rPr>
              <w:t>亿元，占营业收入的比重为</w:t>
            </w:r>
            <w:r>
              <w:rPr>
                <w:rFonts w:ascii="Times New Roman" w:hAnsi="Times New Roman" w:cs="Times New Roman" w:eastAsia="Times New Roman" w:hint="default"/>
                <w:sz w:val="18"/>
                <w:szCs w:val="18"/>
              </w:rPr>
              <w:t>85%</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9"/>
              <w:ind w:left="4" w:right="-1"/>
              <w:jc w:val="both"/>
              <w:rPr>
                <w:rFonts w:ascii="宋体" w:hAnsi="宋体" w:cs="宋体" w:eastAsia="宋体" w:hint="default"/>
                <w:sz w:val="18"/>
                <w:szCs w:val="18"/>
              </w:rPr>
            </w:pPr>
            <w:r>
              <w:rPr>
                <w:rFonts w:ascii="宋体" w:hAnsi="宋体" w:cs="宋体" w:eastAsia="宋体" w:hint="default"/>
                <w:spacing w:val="-4"/>
                <w:sz w:val="18"/>
                <w:szCs w:val="18"/>
              </w:rPr>
              <w:t>定制软件开发业务，包括软件的设计、开发、测试和实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施等环节。朗新公司在合同项目主要功能通过测试并取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得客户确认的上线报告的前提下开始确认收入，完工进</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度按已经发生的成本占预计总成本的比例确定，结合合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同总收入及以前期间累计确认收入，确认当期定制软件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开发收入。</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4" w:right="-1"/>
              <w:jc w:val="both"/>
              <w:rPr>
                <w:rFonts w:ascii="宋体" w:hAnsi="宋体" w:cs="宋体" w:eastAsia="宋体" w:hint="default"/>
                <w:sz w:val="18"/>
                <w:szCs w:val="18"/>
              </w:rPr>
            </w:pPr>
            <w:r>
              <w:rPr>
                <w:rFonts w:ascii="宋体" w:hAnsi="宋体" w:cs="宋体" w:eastAsia="宋体" w:hint="default"/>
                <w:spacing w:val="-4"/>
                <w:sz w:val="18"/>
                <w:szCs w:val="18"/>
              </w:rPr>
              <w:t>管理层在制定预计总成本时，需要基于过往经验、合同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项目规划及不确定性风险评估等因素，并于合同执行过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程中持续评估和修订。</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4" w:right="-1"/>
              <w:jc w:val="left"/>
              <w:rPr>
                <w:rFonts w:ascii="宋体" w:hAnsi="宋体" w:cs="宋体" w:eastAsia="宋体" w:hint="default"/>
                <w:sz w:val="18"/>
                <w:szCs w:val="18"/>
              </w:rPr>
            </w:pPr>
            <w:r>
              <w:rPr>
                <w:rFonts w:ascii="宋体" w:hAnsi="宋体" w:cs="宋体" w:eastAsia="宋体" w:hint="default"/>
                <w:sz w:val="18"/>
                <w:szCs w:val="18"/>
              </w:rPr>
              <w:t>由于定制软件开发业务收入金额重大且核算过程复杂 </w:t>
            </w:r>
            <w:r>
              <w:rPr>
                <w:rFonts w:ascii="宋体" w:hAnsi="宋体" w:cs="宋体" w:eastAsia="宋体" w:hint="default"/>
                <w:spacing w:val="-4"/>
                <w:sz w:val="18"/>
                <w:szCs w:val="18"/>
              </w:rPr>
              <w:t>属于审计重点关注领域，因此我们将其认定为关键审计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事项。</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我们实施的审计程序包括：</w:t>
            </w: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364" w:right="0" w:hanging="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0"/>
                <w:sz w:val="18"/>
                <w:szCs w:val="18"/>
              </w:rPr>
              <w:t> </w:t>
            </w:r>
            <w:r>
              <w:rPr>
                <w:rFonts w:ascii="宋体" w:hAnsi="宋体" w:cs="宋体" w:eastAsia="宋体" w:hint="default"/>
                <w:sz w:val="18"/>
                <w:szCs w:val="18"/>
              </w:rPr>
              <w:t>了解、评价并测试与定制软件开发业务收入确认相关 的内部控制，包括预算管理、成本归集、完工进度计 算和收入确认；</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364" w:right="0" w:hanging="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0"/>
                <w:sz w:val="18"/>
                <w:szCs w:val="18"/>
              </w:rPr>
              <w:t> </w:t>
            </w:r>
            <w:r>
              <w:rPr>
                <w:rFonts w:ascii="宋体" w:hAnsi="宋体" w:cs="宋体" w:eastAsia="宋体" w:hint="default"/>
                <w:sz w:val="18"/>
                <w:szCs w:val="18"/>
              </w:rPr>
              <w:t>抽取已完工合同，将已经发生的成本与预计总成本进 行对比，分析差异原因，以评估管理层制定预计总成 本的经验和能力；</w:t>
            </w: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复核预计总成本初始审批及定期更新的文档；</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316" w:lineRule="auto"/>
              <w:ind w:left="364" w:right="0" w:hanging="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0"/>
                <w:sz w:val="18"/>
                <w:szCs w:val="18"/>
              </w:rPr>
              <w:t> </w:t>
            </w:r>
            <w:r>
              <w:rPr>
                <w:rFonts w:ascii="宋体" w:hAnsi="宋体" w:cs="宋体" w:eastAsia="宋体" w:hint="default"/>
                <w:sz w:val="18"/>
                <w:szCs w:val="18"/>
              </w:rPr>
              <w:t>测试已经发生的成本，根据该等已经发生的成本和预 计总成本测算完工百分比，并结合合同总收入，检查 收入计算的准确性；及</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364" w:right="0" w:hanging="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0"/>
                <w:sz w:val="18"/>
                <w:szCs w:val="18"/>
              </w:rPr>
              <w:t> </w:t>
            </w:r>
            <w:r>
              <w:rPr>
                <w:rFonts w:ascii="宋体" w:hAnsi="宋体" w:cs="宋体" w:eastAsia="宋体" w:hint="default"/>
                <w:sz w:val="18"/>
                <w:szCs w:val="18"/>
              </w:rPr>
              <w:t>抽取合同检查上线报告或验收报告签署日期，复核收 入开始确认时点的准确性，就合同执行进度向客户发</w:t>
            </w:r>
          </w:p>
          <w:p>
            <w:pPr>
              <w:pStyle w:val="TableParagraph"/>
              <w:tabs>
                <w:tab w:pos="364" w:val="left" w:leader="none"/>
              </w:tabs>
              <w:spacing w:line="240" w:lineRule="auto" w:before="8"/>
              <w:ind w:left="-108" w:right="0"/>
              <w:jc w:val="left"/>
              <w:rPr>
                <w:rFonts w:ascii="宋体" w:hAnsi="宋体" w:cs="宋体" w:eastAsia="宋体" w:hint="default"/>
                <w:sz w:val="18"/>
                <w:szCs w:val="18"/>
              </w:rPr>
            </w:pPr>
            <w:r>
              <w:rPr>
                <w:rFonts w:ascii="宋体" w:hAnsi="宋体" w:cs="宋体" w:eastAsia="宋体" w:hint="default"/>
                <w:position w:val="1"/>
                <w:sz w:val="18"/>
                <w:szCs w:val="18"/>
              </w:rPr>
              <w:t>，</w:t>
              <w:tab/>
            </w:r>
            <w:r>
              <w:rPr>
                <w:rFonts w:ascii="宋体" w:hAnsi="宋体" w:cs="宋体" w:eastAsia="宋体" w:hint="default"/>
                <w:sz w:val="18"/>
                <w:szCs w:val="18"/>
              </w:rPr>
              <w:t>放函证。</w:t>
            </w: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4" w:right="0"/>
              <w:jc w:val="left"/>
              <w:rPr>
                <w:rFonts w:ascii="宋体" w:hAnsi="宋体" w:cs="宋体" w:eastAsia="宋体" w:hint="default"/>
                <w:sz w:val="18"/>
                <w:szCs w:val="18"/>
              </w:rPr>
            </w:pPr>
            <w:r>
              <w:rPr>
                <w:rFonts w:ascii="宋体" w:hAnsi="宋体" w:cs="宋体" w:eastAsia="宋体" w:hint="default"/>
                <w:sz w:val="18"/>
                <w:szCs w:val="18"/>
              </w:rPr>
              <w:t>基于所实施的审计程序，管理层的定制软件开发业务收入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确认结果可以被我们获取的证据所支持。</w:t>
            </w:r>
          </w:p>
        </w:tc>
      </w:tr>
    </w:tbl>
    <w:p>
      <w:pPr>
        <w:spacing w:line="240" w:lineRule="auto" w:before="1"/>
        <w:rPr>
          <w:rFonts w:ascii="宋体" w:hAnsi="宋体" w:cs="宋体" w:eastAsia="宋体" w:hint="default"/>
          <w:sz w:val="21"/>
          <w:szCs w:val="21"/>
        </w:rPr>
      </w:pPr>
    </w:p>
    <w:p>
      <w:pPr>
        <w:pStyle w:val="Heading5"/>
        <w:tabs>
          <w:tab w:pos="992" w:val="left" w:leader="none"/>
        </w:tabs>
        <w:spacing w:line="240" w:lineRule="auto" w:before="44"/>
        <w:ind w:left="409" w:right="150"/>
        <w:jc w:val="left"/>
        <w:rPr>
          <w:b w:val="0"/>
          <w:bCs w:val="0"/>
        </w:rPr>
      </w:pPr>
      <w:r>
        <w:rPr/>
        <w:t>三、</w:t>
        <w:tab/>
        <w:t>关键审计事项（续）</w:t>
      </w:r>
      <w:r>
        <w:rPr>
          <w:b w:val="0"/>
          <w:bCs w:val="0"/>
        </w:rPr>
      </w:r>
    </w:p>
    <w:p>
      <w:pPr>
        <w:spacing w:line="240" w:lineRule="auto" w:before="1"/>
        <w:rPr>
          <w:rFonts w:ascii="宋体" w:hAnsi="宋体" w:cs="宋体" w:eastAsia="宋体" w:hint="default"/>
          <w:b/>
          <w:bCs/>
          <w:sz w:val="29"/>
          <w:szCs w:val="29"/>
        </w:rPr>
      </w:pPr>
    </w:p>
    <w:tbl>
      <w:tblPr>
        <w:tblW w:w="0" w:type="auto"/>
        <w:jc w:val="left"/>
        <w:tblInd w:w="287" w:type="dxa"/>
        <w:tblLayout w:type="fixed"/>
        <w:tblCellMar>
          <w:top w:w="0" w:type="dxa"/>
          <w:left w:w="0" w:type="dxa"/>
          <w:bottom w:w="0" w:type="dxa"/>
          <w:right w:w="0" w:type="dxa"/>
        </w:tblCellMar>
        <w:tblLook w:val="01E0"/>
      </w:tblPr>
      <w:tblGrid>
        <w:gridCol w:w="4394"/>
        <w:gridCol w:w="4394"/>
      </w:tblGrid>
      <w:tr>
        <w:trPr>
          <w:trHeight w:val="346" w:hRule="exact"/>
        </w:trPr>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5"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751" w:right="0"/>
              <w:jc w:val="left"/>
              <w:rPr>
                <w:rFonts w:ascii="宋体" w:hAnsi="宋体" w:cs="宋体" w:eastAsia="宋体" w:hint="default"/>
                <w:sz w:val="18"/>
                <w:szCs w:val="18"/>
              </w:rPr>
            </w:pPr>
            <w:r>
              <w:rPr>
                <w:rFonts w:ascii="宋体" w:hAnsi="宋体" w:cs="宋体" w:eastAsia="宋体" w:hint="default"/>
                <w:sz w:val="18"/>
                <w:szCs w:val="18"/>
              </w:rPr>
              <w:t>我们在审计中如何应对关键审计事项</w:t>
            </w:r>
          </w:p>
        </w:tc>
      </w:tr>
      <w:tr>
        <w:trPr>
          <w:trHeight w:val="3156" w:hRule="exact"/>
        </w:trPr>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624" w:lineRule="exact" w:before="43"/>
              <w:ind w:left="4" w:right="-10"/>
              <w:jc w:val="both"/>
              <w:rPr>
                <w:rFonts w:ascii="宋体" w:hAnsi="宋体" w:cs="宋体" w:eastAsia="宋体" w:hint="default"/>
                <w:sz w:val="18"/>
                <w:szCs w:val="18"/>
              </w:rPr>
            </w:pPr>
            <w:r>
              <w:rPr>
                <w:rFonts w:ascii="宋体" w:hAnsi="宋体" w:cs="宋体" w:eastAsia="宋体" w:hint="default"/>
                <w:b/>
                <w:bCs/>
                <w:sz w:val="18"/>
                <w:szCs w:val="18"/>
              </w:rPr>
              <w:t>（二）股份支付</w:t>
            </w:r>
            <w:r>
              <w:rPr>
                <w:rFonts w:ascii="宋体" w:hAnsi="宋体" w:cs="宋体" w:eastAsia="宋体" w:hint="default"/>
                <w:b/>
                <w:bCs/>
                <w:w w:val="99"/>
                <w:sz w:val="18"/>
                <w:szCs w:val="18"/>
              </w:rPr>
              <w:t> </w:t>
            </w:r>
            <w:r>
              <w:rPr>
                <w:rFonts w:ascii="宋体" w:hAnsi="宋体" w:cs="宋体" w:eastAsia="宋体" w:hint="default"/>
                <w:spacing w:val="5"/>
                <w:sz w:val="18"/>
                <w:szCs w:val="18"/>
              </w:rPr>
              <w:t>参见财务报表附注二</w:t>
            </w:r>
            <w:r>
              <w:rPr>
                <w:rFonts w:ascii="Times New Roman" w:hAnsi="Times New Roman" w:cs="Times New Roman" w:eastAsia="Times New Roman" w:hint="default"/>
                <w:spacing w:val="5"/>
                <w:sz w:val="18"/>
                <w:szCs w:val="18"/>
              </w:rPr>
              <w:t>(22)“</w:t>
            </w:r>
            <w:r>
              <w:rPr>
                <w:rFonts w:ascii="宋体" w:hAnsi="宋体" w:cs="宋体" w:eastAsia="宋体" w:hint="default"/>
                <w:spacing w:val="5"/>
                <w:sz w:val="18"/>
                <w:szCs w:val="18"/>
              </w:rPr>
              <w:t>股份支付</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及财务报表附注四</w:t>
            </w:r>
            <w:r>
              <w:rPr>
                <w:rFonts w:ascii="宋体" w:hAnsi="宋体" w:cs="宋体" w:eastAsia="宋体" w:hint="default"/>
                <w:sz w:val="18"/>
                <w:szCs w:val="18"/>
              </w:rPr>
            </w:r>
          </w:p>
          <w:p>
            <w:pPr>
              <w:pStyle w:val="TableParagraph"/>
              <w:spacing w:line="226" w:lineRule="exact"/>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股份支付</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39"/>
              <w:ind w:left="4" w:right="0"/>
              <w:jc w:val="both"/>
              <w:rPr>
                <w:rFonts w:ascii="宋体" w:hAnsi="宋体" w:cs="宋体" w:eastAsia="宋体" w:hint="default"/>
                <w:sz w:val="18"/>
                <w:szCs w:val="18"/>
              </w:rPr>
            </w:pPr>
            <w:r>
              <w:rPr>
                <w:rFonts w:ascii="宋体" w:hAnsi="宋体" w:cs="宋体" w:eastAsia="宋体" w:hint="default"/>
                <w:sz w:val="18"/>
                <w:szCs w:val="18"/>
              </w:rPr>
              <w:t>朗新公司通过了</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年度限制性股票激励计划（以下简</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激励计划</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）相关议案，向激励对象定向增发人民币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普通股</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我们实施的审计程序包括：</w:t>
            </w: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3"/>
              <w:ind w:left="364" w:right="1" w:hanging="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2"/>
                <w:sz w:val="18"/>
                <w:szCs w:val="18"/>
              </w:rPr>
              <w:t>复核股东大会及董事会决议所批准的激励计划，包 括激励对象、授予数量、授予价格、考核管理办法 </w:t>
            </w:r>
            <w:r>
              <w:rPr>
                <w:rFonts w:ascii="宋体" w:hAnsi="宋体" w:cs="宋体" w:eastAsia="宋体" w:hint="default"/>
                <w:sz w:val="18"/>
                <w:szCs w:val="18"/>
              </w:rPr>
              <w:t>等；</w:t>
            </w:r>
          </w:p>
          <w:p>
            <w:pPr>
              <w:pStyle w:val="TableParagraph"/>
              <w:spacing w:line="240" w:lineRule="auto" w:before="4"/>
              <w:ind w:right="0"/>
              <w:jc w:val="left"/>
              <w:rPr>
                <w:rFonts w:ascii="宋体" w:hAnsi="宋体" w:cs="宋体" w:eastAsia="宋体" w:hint="default"/>
                <w:b/>
                <w:bCs/>
                <w:sz w:val="25"/>
                <w:szCs w:val="25"/>
              </w:rPr>
            </w:pPr>
          </w:p>
          <w:p>
            <w:pPr>
              <w:pStyle w:val="TableParagraph"/>
              <w:spacing w:line="316" w:lineRule="auto"/>
              <w:ind w:left="364" w:right="1" w:hanging="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2"/>
                <w:sz w:val="18"/>
                <w:szCs w:val="18"/>
              </w:rPr>
              <w:t>在内部评估专家的协助下，评估管理层所选用的估 值模型的恰当性；参考公开市场数据，评估关键参 数（如可比公司的股价波动率、股息率及加权平均</w:t>
            </w:r>
            <w:r>
              <w:rPr>
                <w:rFonts w:ascii="宋体" w:hAnsi="宋体" w:cs="宋体" w:eastAsia="宋体" w:hint="default"/>
                <w:sz w:val="18"/>
                <w:szCs w:val="18"/>
              </w:rPr>
            </w:r>
          </w:p>
        </w:tc>
      </w:tr>
    </w:tbl>
    <w:p>
      <w:pPr>
        <w:spacing w:after="0" w:line="316" w:lineRule="auto"/>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287" w:type="dxa"/>
        <w:tblLayout w:type="fixed"/>
        <w:tblCellMar>
          <w:top w:w="0" w:type="dxa"/>
          <w:left w:w="0" w:type="dxa"/>
          <w:bottom w:w="0" w:type="dxa"/>
          <w:right w:w="0" w:type="dxa"/>
        </w:tblCellMar>
        <w:tblLook w:val="01E0"/>
      </w:tblPr>
      <w:tblGrid>
        <w:gridCol w:w="4394"/>
        <w:gridCol w:w="4394"/>
      </w:tblGrid>
      <w:tr>
        <w:trPr>
          <w:trHeight w:val="4092" w:hRule="exact"/>
        </w:trPr>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
              <w:jc w:val="both"/>
              <w:rPr>
                <w:rFonts w:ascii="宋体" w:hAnsi="宋体" w:cs="宋体" w:eastAsia="宋体" w:hint="default"/>
                <w:sz w:val="18"/>
                <w:szCs w:val="18"/>
              </w:rPr>
            </w:pPr>
            <w:r>
              <w:rPr>
                <w:rFonts w:ascii="宋体" w:hAnsi="宋体" w:cs="宋体" w:eastAsia="宋体" w:hint="default"/>
                <w:sz w:val="18"/>
                <w:szCs w:val="18"/>
              </w:rPr>
              <w:t>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年度，朗新公司就激励计划确认成本费用约人民</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7"/>
                <w:sz w:val="18"/>
                <w:szCs w:val="18"/>
              </w:rPr>
              <w:t>币</w:t>
            </w:r>
            <w:r>
              <w:rPr>
                <w:rFonts w:ascii="Times New Roman" w:hAnsi="Times New Roman" w:cs="Times New Roman" w:eastAsia="Times New Roman" w:hint="default"/>
                <w:spacing w:val="-7"/>
                <w:sz w:val="18"/>
                <w:szCs w:val="18"/>
              </w:rPr>
              <w:t>796.55</w:t>
            </w:r>
            <w:r>
              <w:rPr>
                <w:rFonts w:ascii="宋体" w:hAnsi="宋体" w:cs="宋体" w:eastAsia="宋体" w:hint="default"/>
                <w:spacing w:val="-7"/>
                <w:sz w:val="18"/>
                <w:szCs w:val="18"/>
              </w:rPr>
              <w:t>万元。管理层在确定该项激励计划成本时，需要</w:t>
            </w: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316" w:lineRule="auto"/>
              <w:ind w:left="451" w:right="-32" w:hanging="36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62"/>
                <w:sz w:val="18"/>
                <w:szCs w:val="18"/>
              </w:rPr>
              <w:t> </w:t>
            </w:r>
            <w:r>
              <w:rPr>
                <w:rFonts w:ascii="宋体" w:hAnsi="宋体" w:cs="宋体" w:eastAsia="宋体" w:hint="default"/>
                <w:sz w:val="18"/>
                <w:szCs w:val="18"/>
              </w:rPr>
              <w:t>选择恰当的估值模型、关键参数及基础数据，以评 估根据该计划所发行的股票于授予日的公允价值；</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316" w:lineRule="auto"/>
              <w:ind w:left="451" w:right="-5" w:hanging="360"/>
              <w:jc w:val="left"/>
              <w:rPr>
                <w:rFonts w:ascii="宋体" w:hAnsi="宋体" w:cs="宋体" w:eastAsia="宋体" w:hint="default"/>
                <w:sz w:val="18"/>
                <w:szCs w:val="18"/>
              </w:rPr>
            </w:pPr>
            <w:r>
              <w:rPr>
                <w:rFonts w:ascii="宋体" w:hAnsi="宋体" w:cs="宋体" w:eastAsia="宋体" w:hint="default"/>
                <w:sz w:val="18"/>
                <w:szCs w:val="18"/>
              </w:rPr>
              <w:t>a. </w:t>
            </w:r>
            <w:r>
              <w:rPr>
                <w:rFonts w:ascii="宋体" w:hAnsi="宋体" w:cs="宋体" w:eastAsia="宋体" w:hint="default"/>
                <w:spacing w:val="7"/>
                <w:sz w:val="18"/>
                <w:szCs w:val="18"/>
              </w:rPr>
              <w:t>预计限制性条件的满足情况，结合历史离职率预 </w:t>
            </w:r>
            <w:r>
              <w:rPr>
                <w:rFonts w:ascii="宋体" w:hAnsi="宋体" w:cs="宋体" w:eastAsia="宋体" w:hint="default"/>
                <w:sz w:val="18"/>
                <w:szCs w:val="18"/>
              </w:rPr>
              <w:t>期，估计可达到解锁条件的股票数量。</w:t>
            </w:r>
          </w:p>
          <w:p>
            <w:pPr>
              <w:pStyle w:val="TableParagraph"/>
              <w:spacing w:line="240" w:lineRule="auto" w:before="4"/>
              <w:ind w:right="0"/>
              <w:jc w:val="left"/>
              <w:rPr>
                <w:rFonts w:ascii="宋体" w:hAnsi="宋体" w:cs="宋体" w:eastAsia="宋体" w:hint="default"/>
                <w:b/>
                <w:bCs/>
                <w:sz w:val="25"/>
                <w:szCs w:val="25"/>
              </w:rPr>
            </w:pPr>
          </w:p>
          <w:p>
            <w:pPr>
              <w:pStyle w:val="TableParagraph"/>
              <w:spacing w:line="316" w:lineRule="auto"/>
              <w:ind w:left="4" w:right="-1"/>
              <w:jc w:val="both"/>
              <w:rPr>
                <w:rFonts w:ascii="宋体" w:hAnsi="宋体" w:cs="宋体" w:eastAsia="宋体" w:hint="default"/>
                <w:sz w:val="18"/>
                <w:szCs w:val="18"/>
              </w:rPr>
            </w:pPr>
            <w:r>
              <w:rPr>
                <w:rFonts w:ascii="宋体" w:hAnsi="宋体" w:cs="宋体" w:eastAsia="宋体" w:hint="default"/>
                <w:spacing w:val="2"/>
                <w:sz w:val="18"/>
                <w:szCs w:val="18"/>
              </w:rPr>
              <w:t>鉴于该激励计划对财务报表影响重大，且其估值涉及管 理层重大估计和判断，因此我们将其认定为关键审计事 </w:t>
            </w:r>
            <w:r>
              <w:rPr>
                <w:rFonts w:ascii="宋体" w:hAnsi="宋体" w:cs="宋体" w:eastAsia="宋体" w:hint="default"/>
                <w:sz w:val="18"/>
                <w:szCs w:val="18"/>
              </w:rPr>
              <w:t>项。</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资本成本）及假设的合理性；</w:t>
            </w:r>
          </w:p>
          <w:p>
            <w:pPr>
              <w:pStyle w:val="TableParagraph"/>
              <w:spacing w:line="240" w:lineRule="auto" w:before="76"/>
              <w:ind w:left="-10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16" w:lineRule="auto" w:before="76"/>
              <w:ind w:left="364" w:right="1" w:hanging="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2"/>
                <w:sz w:val="18"/>
                <w:szCs w:val="18"/>
              </w:rPr>
              <w:t>检查管理层所使用的估值模型基础数据（如授予价 </w:t>
            </w:r>
            <w:r>
              <w:rPr>
                <w:rFonts w:ascii="宋体" w:hAnsi="宋体" w:cs="宋体" w:eastAsia="宋体" w:hint="default"/>
                <w:sz w:val="18"/>
                <w:szCs w:val="18"/>
              </w:rPr>
              <w:t>格、授予日股价、禁售期限等）的准确性；及</w:t>
            </w:r>
          </w:p>
          <w:p>
            <w:pPr>
              <w:pStyle w:val="TableParagraph"/>
              <w:spacing w:line="240" w:lineRule="auto" w:before="4"/>
              <w:ind w:right="0"/>
              <w:jc w:val="left"/>
              <w:rPr>
                <w:rFonts w:ascii="宋体" w:hAnsi="宋体" w:cs="宋体" w:eastAsia="宋体" w:hint="default"/>
                <w:b/>
                <w:bCs/>
                <w:sz w:val="25"/>
                <w:szCs w:val="25"/>
              </w:rPr>
            </w:pPr>
          </w:p>
          <w:p>
            <w:pPr>
              <w:pStyle w:val="TableParagraph"/>
              <w:spacing w:line="316" w:lineRule="auto"/>
              <w:ind w:left="364" w:right="1" w:hanging="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2"/>
                <w:sz w:val="18"/>
                <w:szCs w:val="18"/>
              </w:rPr>
              <w:t>通过比较朗新公司历史离职率及公司层面、业务单 元层面及个人层面业绩考核情况等，复核管理层对 限制性条件能否达成的预期，以及对可达到解锁条 </w:t>
            </w:r>
            <w:r>
              <w:rPr>
                <w:rFonts w:ascii="宋体" w:hAnsi="宋体" w:cs="宋体" w:eastAsia="宋体" w:hint="default"/>
                <w:sz w:val="18"/>
                <w:szCs w:val="18"/>
              </w:rPr>
              <w:t>件股票数量所作估计的合理性。</w:t>
            </w:r>
          </w:p>
          <w:p>
            <w:pPr>
              <w:pStyle w:val="TableParagraph"/>
              <w:spacing w:line="314" w:lineRule="auto" w:before="23"/>
              <w:ind w:left="35" w:right="0" w:hanging="3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基于所实施的审计程序，管理层对激励计划成本费用作 出的估计可以被我们获取的证据所支持。</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pStyle w:val="Heading5"/>
        <w:spacing w:line="240" w:lineRule="auto" w:before="44"/>
        <w:ind w:right="150"/>
        <w:jc w:val="left"/>
        <w:rPr>
          <w:b w:val="0"/>
          <w:bCs w:val="0"/>
        </w:rPr>
      </w:pPr>
      <w:r>
        <w:rPr/>
        <w:t>四、其他信息</w:t>
      </w:r>
      <w:r>
        <w:rPr>
          <w:b w:val="0"/>
          <w:bCs w:val="0"/>
        </w:rPr>
      </w:r>
    </w:p>
    <w:p>
      <w:pPr>
        <w:spacing w:line="240" w:lineRule="auto" w:before="12"/>
        <w:rPr>
          <w:rFonts w:ascii="宋体" w:hAnsi="宋体" w:cs="宋体" w:eastAsia="宋体" w:hint="default"/>
          <w:b/>
          <w:bCs/>
          <w:sz w:val="17"/>
          <w:szCs w:val="17"/>
        </w:rPr>
      </w:pPr>
    </w:p>
    <w:p>
      <w:pPr>
        <w:pStyle w:val="BodyText"/>
        <w:spacing w:line="300" w:lineRule="auto"/>
        <w:ind w:right="150" w:firstLine="566"/>
        <w:jc w:val="left"/>
      </w:pPr>
      <w:r>
        <w:rPr/>
        <w:t>朗新公司管理层对其他信息负责。其他信息包括朗新公司</w:t>
      </w:r>
      <w:r>
        <w:rPr>
          <w:rFonts w:ascii="Times New Roman" w:hAnsi="Times New Roman" w:cs="Times New Roman" w:eastAsia="Times New Roman" w:hint="default"/>
        </w:rPr>
        <w:t>2017</w:t>
      </w:r>
      <w:r>
        <w:rPr/>
        <w:t>年年度报告中涵盖的主要财务指标、公司业务概要、 经营情况讨论与分析等信息，但不包括财务报表和我们的审计报告。</w:t>
      </w:r>
    </w:p>
    <w:p>
      <w:pPr>
        <w:pStyle w:val="BodyText"/>
        <w:spacing w:line="624" w:lineRule="exact" w:before="54"/>
        <w:ind w:left="719" w:right="257"/>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w:t>
      </w:r>
    </w:p>
    <w:p>
      <w:pPr>
        <w:pStyle w:val="BodyText"/>
        <w:spacing w:line="212" w:lineRule="exact"/>
        <w:ind w:right="150"/>
        <w:jc w:val="left"/>
      </w:pPr>
      <w:r>
        <w:rPr/>
        <w:t>计过程中了解到的情况存在重大不一致或者似乎存在重大错报。基于我们已经执行的工作，如果我们确定其他信息存在重</w:t>
      </w:r>
    </w:p>
    <w:p>
      <w:pPr>
        <w:pStyle w:val="BodyText"/>
        <w:spacing w:line="240" w:lineRule="auto" w:before="76"/>
        <w:ind w:right="150"/>
        <w:jc w:val="left"/>
      </w:pPr>
      <w:r>
        <w:rPr/>
        <w:t>大错报，我们应当报告该事实。在这方面，我们无任何事项需要报告。</w:t>
      </w:r>
    </w:p>
    <w:p>
      <w:pPr>
        <w:spacing w:line="470" w:lineRule="atLeast" w:before="154"/>
        <w:ind w:left="719" w:right="257" w:hanging="567"/>
        <w:jc w:val="left"/>
        <w:rPr>
          <w:rFonts w:ascii="宋体" w:hAnsi="宋体" w:cs="宋体" w:eastAsia="宋体" w:hint="default"/>
          <w:sz w:val="18"/>
          <w:szCs w:val="18"/>
        </w:rPr>
      </w:pPr>
      <w:r>
        <w:rPr>
          <w:rFonts w:ascii="宋体" w:hAnsi="宋体" w:cs="宋体" w:eastAsia="宋体" w:hint="default"/>
          <w:b/>
          <w:bCs/>
          <w:sz w:val="18"/>
          <w:szCs w:val="18"/>
        </w:rPr>
        <w:t>五、管理层和审计委员会对财务报表的责任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朗新公司管理层负责按照企业会计准则的规定编制财务报表，使其实现公允反映，并设计、执行和维护必要的内部</w:t>
      </w:r>
    </w:p>
    <w:p>
      <w:pPr>
        <w:pStyle w:val="BodyText"/>
        <w:spacing w:line="240" w:lineRule="auto" w:before="76"/>
        <w:ind w:right="150"/>
        <w:jc w:val="left"/>
      </w:pPr>
      <w:r>
        <w:rPr/>
        <w:t>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52"/>
        <w:ind w:right="258" w:firstLine="566"/>
        <w:jc w:val="left"/>
      </w:pPr>
      <w:r>
        <w:rPr>
          <w:spacing w:val="-1"/>
        </w:rPr>
        <w:t>在编制财务报表时，管理层负责评估朗新公司的持续经营能力，披露与持续经营相关的事项（如适用），并运用持</w:t>
      </w:r>
      <w:r>
        <w:rPr/>
        <w:t> 续经营假设，除非管理层计划清算朗新公司、终止运营或别无其他现实的选择。</w:t>
      </w:r>
    </w:p>
    <w:p>
      <w:pPr>
        <w:spacing w:line="240" w:lineRule="auto" w:before="4"/>
        <w:rPr>
          <w:rFonts w:ascii="宋体" w:hAnsi="宋体" w:cs="宋体" w:eastAsia="宋体" w:hint="default"/>
          <w:sz w:val="25"/>
          <w:szCs w:val="25"/>
        </w:rPr>
      </w:pPr>
    </w:p>
    <w:p>
      <w:pPr>
        <w:pStyle w:val="BodyText"/>
        <w:spacing w:line="240" w:lineRule="auto"/>
        <w:ind w:left="719" w:right="150"/>
        <w:jc w:val="left"/>
      </w:pPr>
      <w:r>
        <w:rPr/>
        <w:t>审计委员会负责监督朗新公司的财务报告过程。</w:t>
      </w:r>
    </w:p>
    <w:p>
      <w:pPr>
        <w:spacing w:line="240" w:lineRule="auto" w:before="1"/>
        <w:rPr>
          <w:rFonts w:ascii="宋体" w:hAnsi="宋体" w:cs="宋体" w:eastAsia="宋体" w:hint="default"/>
          <w:sz w:val="24"/>
          <w:szCs w:val="24"/>
        </w:rPr>
      </w:pPr>
    </w:p>
    <w:p>
      <w:pPr>
        <w:spacing w:line="470" w:lineRule="atLeast" w:before="0"/>
        <w:ind w:left="719" w:right="257" w:hanging="567"/>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1"/>
          <w:sz w:val="18"/>
          <w:szCs w:val="18"/>
        </w:rPr>
        <w:t>我们的目标是对财务报表整体是否不存在由于舞弊或错误导致的重大错报获取合理保证，并出具包含审计意见的审</w:t>
      </w:r>
    </w:p>
    <w:p>
      <w:pPr>
        <w:pStyle w:val="BodyText"/>
        <w:spacing w:line="316" w:lineRule="auto" w:before="76"/>
        <w:ind w:right="266"/>
        <w:jc w:val="both"/>
      </w:pPr>
      <w:r>
        <w:rPr>
          <w:spacing w:val="-1"/>
        </w:rPr>
        <w:t>计报告。合理保证是高水平的保证，但并不能保证按照审计准则执行的审计在某一重大错报存在时总能发现。错报可能由</w:t>
      </w:r>
      <w:r>
        <w:rPr>
          <w:spacing w:val="-52"/>
        </w:rPr>
        <w:t> </w:t>
      </w:r>
      <w:r>
        <w:rPr>
          <w:spacing w:val="-52"/>
        </w:rPr>
      </w:r>
      <w:r>
        <w:rPr>
          <w:spacing w:val="-1"/>
        </w:rPr>
        <w:t>于舞弊或错误导致，如果合理预期错报单独或汇总起来可能影响财务报表使用者依据财务报表作出的经济决策，则通常认</w:t>
      </w:r>
      <w:r>
        <w:rPr>
          <w:spacing w:val="-53"/>
        </w:rPr>
        <w:t> </w:t>
      </w:r>
      <w:r>
        <w:rPr>
          <w:spacing w:val="-53"/>
        </w:rPr>
      </w:r>
      <w:r>
        <w:rPr/>
        <w:t>为错报是重大的。</w:t>
      </w:r>
    </w:p>
    <w:p>
      <w:pPr>
        <w:spacing w:after="0" w:line="316"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791" w:right="150"/>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8"/>
          <w:szCs w:val="18"/>
        </w:rPr>
      </w:pPr>
    </w:p>
    <w:p>
      <w:pPr>
        <w:pStyle w:val="BodyText"/>
        <w:spacing w:line="316" w:lineRule="auto" w:before="152"/>
        <w:ind w:right="266" w:firstLine="501"/>
        <w:jc w:val="both"/>
      </w:pPr>
      <w:r>
        <w:rPr/>
        <w:t>（一）识别和评估由于舞弊或错误导致的财务报表重大错报风险；设计和实施审计程序以应对这些风险，并获取充 </w:t>
      </w:r>
      <w:r>
        <w:rPr>
          <w:spacing w:val="-1"/>
        </w:rPr>
        <w:t>分、适当的审计证据，作为发表审计意见的基础。由于舞弊可能涉及串通、伪造、故意遗漏、虚假陈述或凌驾于内部控制</w:t>
      </w:r>
      <w:r>
        <w:rPr>
          <w:spacing w:val="-55"/>
        </w:rPr>
        <w:t> </w:t>
      </w:r>
      <w:r>
        <w:rPr>
          <w:spacing w:val="-55"/>
        </w:rPr>
      </w:r>
      <w:r>
        <w:rPr/>
        <w:t>之上，未能发现由于舞弊导致的重大错报的风险高于未能发现由于错误导致的重大错报的风险。</w:t>
      </w:r>
    </w:p>
    <w:p>
      <w:pPr>
        <w:spacing w:line="240" w:lineRule="auto" w:before="4"/>
        <w:rPr>
          <w:rFonts w:ascii="宋体" w:hAnsi="宋体" w:cs="宋体" w:eastAsia="宋体" w:hint="default"/>
          <w:sz w:val="25"/>
          <w:szCs w:val="25"/>
        </w:rPr>
      </w:pPr>
    </w:p>
    <w:p>
      <w:pPr>
        <w:pStyle w:val="BodyText"/>
        <w:spacing w:line="240" w:lineRule="auto"/>
        <w:ind w:left="582" w:right="150"/>
        <w:jc w:val="left"/>
      </w:pPr>
      <w:r>
        <w:rPr/>
        <w:t>（二）了解与审计相关的内部控制，以设计恰当的审计程序，但目的并非对内部控制的有效性发表意见。</w:t>
      </w:r>
    </w:p>
    <w:p>
      <w:pPr>
        <w:spacing w:line="240" w:lineRule="auto" w:before="0"/>
        <w:rPr>
          <w:rFonts w:ascii="宋体" w:hAnsi="宋体" w:cs="宋体" w:eastAsia="宋体" w:hint="default"/>
          <w:sz w:val="18"/>
          <w:szCs w:val="18"/>
        </w:rPr>
      </w:pPr>
    </w:p>
    <w:p>
      <w:pPr>
        <w:pStyle w:val="BodyText"/>
        <w:spacing w:line="240" w:lineRule="auto" w:before="152"/>
        <w:ind w:left="654" w:right="150"/>
        <w:jc w:val="left"/>
      </w:pPr>
      <w:r>
        <w:rPr/>
        <w:t>（三）评价管理层选用会计政策的恰当性和作出会计估计及相关披露的合理性。</w:t>
      </w:r>
    </w:p>
    <w:p>
      <w:pPr>
        <w:spacing w:line="240" w:lineRule="auto" w:before="0"/>
        <w:rPr>
          <w:rFonts w:ascii="宋体" w:hAnsi="宋体" w:cs="宋体" w:eastAsia="宋体" w:hint="default"/>
          <w:sz w:val="18"/>
          <w:szCs w:val="18"/>
        </w:rPr>
      </w:pPr>
    </w:p>
    <w:p>
      <w:pPr>
        <w:pStyle w:val="BodyText"/>
        <w:spacing w:line="316" w:lineRule="auto" w:before="152"/>
        <w:ind w:right="266" w:firstLine="501"/>
        <w:jc w:val="both"/>
      </w:pPr>
      <w:r>
        <w:rPr/>
        <w:t>（四）对管理层使用持续经营假设的恰当性得出结论。同时，根据获取的审计证据，就可能导致对朗新公司持续经 </w:t>
      </w:r>
      <w:r>
        <w:rPr>
          <w:spacing w:val="-1"/>
        </w:rPr>
        <w:t>营能力产生重大疑虑的事项或情况是否存在重大不确定性得出结论。如果我们得出结论认为存在重大不确定性，审计准则</w:t>
      </w:r>
      <w:r>
        <w:rPr>
          <w:spacing w:val="-53"/>
        </w:rPr>
        <w:t> </w:t>
      </w:r>
      <w:r>
        <w:rPr>
          <w:spacing w:val="-53"/>
        </w:rPr>
      </w:r>
      <w:r>
        <w:rPr>
          <w:spacing w:val="-1"/>
        </w:rPr>
        <w:t>要求我们在审计报告中提请报表使用者注意财务报表中的相关披露；如果披露不充分，我们应当发表非无保留意见。我们</w:t>
      </w:r>
      <w:r>
        <w:rPr>
          <w:spacing w:val="-52"/>
        </w:rPr>
        <w:t> </w:t>
      </w:r>
      <w:r>
        <w:rPr>
          <w:spacing w:val="-52"/>
        </w:rPr>
      </w:r>
      <w:r>
        <w:rPr/>
        <w:t>的结论基于截至审计报告日可获得的信息。然而，未来的事项或情况可能导致朗新公司不能持续经营。</w:t>
      </w:r>
    </w:p>
    <w:p>
      <w:pPr>
        <w:spacing w:line="240" w:lineRule="auto" w:before="4"/>
        <w:rPr>
          <w:rFonts w:ascii="宋体" w:hAnsi="宋体" w:cs="宋体" w:eastAsia="宋体" w:hint="default"/>
          <w:sz w:val="25"/>
          <w:szCs w:val="25"/>
        </w:rPr>
      </w:pPr>
    </w:p>
    <w:p>
      <w:pPr>
        <w:pStyle w:val="BodyText"/>
        <w:spacing w:line="240" w:lineRule="auto"/>
        <w:ind w:left="726" w:right="150"/>
        <w:jc w:val="left"/>
      </w:pPr>
      <w:r>
        <w:rPr/>
        <w:t>（五）评价财务报表的总体列报、结构和内容（包括披露），并评价财务报表是否公允反映相关交易和事项。</w:t>
      </w:r>
    </w:p>
    <w:p>
      <w:pPr>
        <w:spacing w:line="240" w:lineRule="auto" w:before="0"/>
        <w:rPr>
          <w:rFonts w:ascii="宋体" w:hAnsi="宋体" w:cs="宋体" w:eastAsia="宋体" w:hint="default"/>
          <w:sz w:val="18"/>
          <w:szCs w:val="18"/>
        </w:rPr>
      </w:pPr>
    </w:p>
    <w:p>
      <w:pPr>
        <w:pStyle w:val="BodyText"/>
        <w:spacing w:line="316" w:lineRule="auto" w:before="152"/>
        <w:ind w:right="267" w:firstLine="573"/>
        <w:jc w:val="both"/>
      </w:pPr>
      <w:r>
        <w:rPr>
          <w:spacing w:val="-1"/>
        </w:rPr>
        <w:t>（六）就朗新公司中实体或业务活动的财务信息获取充分、适当的审计证据，以对合并财务报表发表审计意见。我</w:t>
      </w:r>
      <w:r>
        <w:rPr/>
        <w:t> 们负责指导、监督和执行集团审计，并对审计意见承担全部责任。</w:t>
      </w:r>
    </w:p>
    <w:p>
      <w:pPr>
        <w:spacing w:line="240" w:lineRule="auto" w:before="4"/>
        <w:rPr>
          <w:rFonts w:ascii="宋体" w:hAnsi="宋体" w:cs="宋体" w:eastAsia="宋体" w:hint="default"/>
          <w:sz w:val="25"/>
          <w:szCs w:val="25"/>
        </w:rPr>
      </w:pPr>
    </w:p>
    <w:p>
      <w:pPr>
        <w:pStyle w:val="BodyText"/>
        <w:spacing w:line="316" w:lineRule="auto"/>
        <w:ind w:right="268" w:firstLine="566"/>
        <w:jc w:val="both"/>
      </w:pPr>
      <w:r>
        <w:rPr>
          <w:spacing w:val="-1"/>
        </w:rPr>
        <w:t>我们与审计委员会就计划的审计范围、时间安排和重大审计发现等事项进行沟通，包括沟通我们在审计中识别出的</w:t>
      </w:r>
      <w:r>
        <w:rPr/>
        <w:t> 值得关注的内部控制缺陷。</w:t>
      </w:r>
    </w:p>
    <w:p>
      <w:pPr>
        <w:spacing w:line="240" w:lineRule="auto" w:before="4"/>
        <w:rPr>
          <w:rFonts w:ascii="宋体" w:hAnsi="宋体" w:cs="宋体" w:eastAsia="宋体" w:hint="default"/>
          <w:sz w:val="25"/>
          <w:szCs w:val="25"/>
        </w:rPr>
      </w:pPr>
    </w:p>
    <w:p>
      <w:pPr>
        <w:pStyle w:val="BodyText"/>
        <w:spacing w:line="316" w:lineRule="auto"/>
        <w:ind w:right="266" w:firstLine="566"/>
        <w:jc w:val="both"/>
      </w:pPr>
      <w:r>
        <w:rPr>
          <w:spacing w:val="-1"/>
        </w:rPr>
        <w:t>我们还就已遵守与独立性相关的职业道德要求向审计委员会提供声明，并与审计委员会沟通可能被合理认为影响我</w:t>
      </w:r>
      <w:r>
        <w:rPr/>
        <w:t> 们独立性的所有关系和其他事项，以及相关的防范措施（如适用）。</w:t>
      </w:r>
    </w:p>
    <w:p>
      <w:pPr>
        <w:spacing w:line="240" w:lineRule="auto" w:before="4"/>
        <w:rPr>
          <w:rFonts w:ascii="宋体" w:hAnsi="宋体" w:cs="宋体" w:eastAsia="宋体" w:hint="default"/>
          <w:sz w:val="25"/>
          <w:szCs w:val="25"/>
        </w:rPr>
      </w:pPr>
    </w:p>
    <w:p>
      <w:pPr>
        <w:pStyle w:val="BodyText"/>
        <w:spacing w:line="316" w:lineRule="auto"/>
        <w:ind w:right="266" w:firstLine="566"/>
        <w:jc w:val="both"/>
      </w:pPr>
      <w:r>
        <w:rPr>
          <w:spacing w:val="-1"/>
        </w:rPr>
        <w:t>从与审计委员会沟通过的事项中，我们确定哪些事项对本期财务报表审计最为重要，因而构成关键审计事项。我们</w:t>
      </w:r>
      <w:r>
        <w:rPr/>
        <w:t> </w:t>
      </w:r>
      <w:r>
        <w:rPr>
          <w:spacing w:val="-1"/>
        </w:rPr>
        <w:t>在审计报告中描述这些事项，除非法律法规禁止公开披露这些事项，或在极少数情形下，如果合理预期在审计报告中沟通</w:t>
      </w:r>
      <w:r>
        <w:rPr>
          <w:spacing w:val="-52"/>
        </w:rPr>
        <w:t> </w:t>
      </w:r>
      <w:r>
        <w:rPr>
          <w:spacing w:val="-52"/>
        </w:rPr>
      </w:r>
      <w:r>
        <w:rPr/>
        <w:t>某事项造成的负面后果超过在公众利益方面产生的益处，我们确定不应在审计报告中沟通该事项。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3704"/>
        <w:gridCol w:w="1783"/>
        <w:gridCol w:w="3545"/>
      </w:tblGrid>
      <w:tr>
        <w:trPr>
          <w:trHeight w:val="2532" w:hRule="exact"/>
        </w:trPr>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6"/>
              <w:ind w:left="4" w:right="1163"/>
              <w:jc w:val="left"/>
              <w:rPr>
                <w:rFonts w:ascii="宋体" w:hAnsi="宋体" w:cs="宋体" w:eastAsia="宋体" w:hint="default"/>
                <w:sz w:val="18"/>
                <w:szCs w:val="18"/>
              </w:rPr>
            </w:pPr>
            <w:r>
              <w:rPr>
                <w:rFonts w:ascii="宋体" w:hAnsi="宋体" w:cs="宋体" w:eastAsia="宋体" w:hint="default"/>
                <w:sz w:val="18"/>
                <w:szCs w:val="18"/>
              </w:rPr>
              <w:t>普华永道中天 会计师事务所（特殊普通合伙）</w:t>
            </w: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上海市</w:t>
            </w:r>
          </w:p>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36" w:right="0"/>
              <w:jc w:val="left"/>
              <w:rPr>
                <w:rFonts w:ascii="宋体" w:hAnsi="宋体" w:cs="宋体" w:eastAsia="宋体" w:hint="default"/>
                <w:sz w:val="18"/>
                <w:szCs w:val="18"/>
              </w:rPr>
            </w:pPr>
            <w:r>
              <w:rPr>
                <w:rFonts w:ascii="宋体" w:hAnsi="宋体" w:cs="宋体" w:eastAsia="宋体" w:hint="default"/>
                <w:sz w:val="18"/>
                <w:szCs w:val="18"/>
              </w:rPr>
              <w:t>注册会计师</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李雪梅（项目合伙人）</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p>
            <w:pPr>
              <w:pStyle w:val="TableParagraph"/>
              <w:tabs>
                <w:tab w:pos="472" w:val="left" w:leader="none"/>
              </w:tabs>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李</w:t>
              <w:tab/>
              <w:t>莎</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0"/>
        <w:jc w:val="left"/>
        <w:rPr>
          <w:b w:val="0"/>
          <w:bCs w:val="0"/>
        </w:rPr>
      </w:pPr>
      <w:bookmarkStart w:name="二、财务报表" w:id="156"/>
      <w:bookmarkEnd w:id="156"/>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240" w:lineRule="auto" w:before="44"/>
        <w:ind w:right="-20"/>
        <w:jc w:val="left"/>
      </w:pPr>
      <w:r>
        <w:rPr/>
        <w:t>编制单位：朗新科技股份有限公司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3"/>
        <w:jc w:val="left"/>
      </w:pPr>
      <w:r>
        <w:rPr>
          <w:rFonts w:ascii="Times New Roman" w:hAnsi="Times New Roman" w:cs="Times New Roman" w:eastAsia="Times New Roman" w:hint="default"/>
        </w:rPr>
        <w:t>2017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3" w:equalWidth="0">
            <w:col w:w="2853" w:space="1222"/>
            <w:col w:w="1641" w:space="3202"/>
            <w:col w:w="1032"/>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716,415,509.71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312,397,856.74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24,632,467.47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31,595,553.07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646,980,421.72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571,581,981.37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21,198,242.04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11,647,463.29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36,763,629.45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19,523,054.20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73,295,560.33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82,742,271.98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890,855.52</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1,520,176,686.24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1,029,488,180.65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57,771,246.60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21,636,819.63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12,331,561.33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4,878,792.09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932,858.98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8,692,509.57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16,440,804.49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31,404,852.49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23,528,884.62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6,867,353.43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7,563,994.83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7,781,912.27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8,527,651.74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124,849,435.69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83,509,806.38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1,645,026,121.93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1,112,997,987.03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104,937,398.80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103,636,453.07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77,242,230.63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75,897,234.46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77,231,218.52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52,839,151.71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12,786,447.18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23,274,229.39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164,317,617.00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7,224,078.49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14,171,047.91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15,433,187.82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450,685,960.04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278,304,334.94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23,040,000.00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290,625.00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348,750.00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23,330,625.00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25,088,750.00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474,016,585.04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303,393,084.94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416,760,300.00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452,221,187.29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146,209,029.40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153,236,709.00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60,545,747.44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46,264,008.94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381,986,961.71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257,131,863.75</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1,158,277,487.44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809,604,902.09</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12,732,049.45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1,171,009,536.89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809,604,902.09</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1,645,026,121.93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1,112,997,987.03</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242"/>
        <w:jc w:val="right"/>
      </w:pPr>
      <w:r>
        <w:rPr/>
        <w:t>法定代表人：郑新标</w:t>
        <w:tab/>
      </w:r>
      <w:r>
        <w:rPr>
          <w:spacing w:val="-1"/>
        </w:rPr>
        <w:t>主管会计工作负责人：鲁清芳</w:t>
        <w:tab/>
      </w:r>
      <w:r>
        <w:rPr/>
        <w:t>会计机构负责人：鲁清芳</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4"/>
        <w:gridCol w:w="3302"/>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648,235,369.45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257,206,353.19</w:t>
            </w:r>
            <w:r>
              <w:rPr>
                <w:rFonts w:ascii="Times New Roman"/>
                <w:sz w:val="18"/>
              </w:rPr>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3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24,280,467.47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31,495,553.07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638,945,288.60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556,956,128.86</w:t>
            </w:r>
            <w:r>
              <w:rPr>
                <w:rFonts w:ascii="Times New Roman"/>
                <w:sz w:val="18"/>
              </w:rPr>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19,540,630.01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6,739,312.51</w:t>
            </w:r>
            <w:r>
              <w:rPr>
                <w:rFonts w:ascii="Times New Roman"/>
                <w:sz w:val="18"/>
              </w:rPr>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38,434,178.43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19,084,616.41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71,257,549.24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81,144,768.30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43,888.36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1,440,737,371.56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952,626,732.34</w:t>
            </w:r>
            <w:r>
              <w:rPr>
                <w:rFonts w:ascii="Times New Roman"/>
                <w:sz w:val="18"/>
              </w:rPr>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211,206,585.10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170,112,062.13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5,076,480.97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4,324,424.56</w:t>
            </w:r>
            <w:r>
              <w:rPr>
                <w:rFonts w:ascii="Times New Roman"/>
                <w:sz w:val="18"/>
              </w:rPr>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6,740,676.18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8,075,657.20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8,520,081.59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8,520,081.59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5,105,937.97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7,563,994.83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7,143,139.04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7,963,116.10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243,792,900.85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206,559,336.41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1,684,530,272.41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1,159,186,068.75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108,702,618.41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104,350,115.92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74,357,119.35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72,762,558.27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76,460,823.87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52,854,553.57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12,394,016.02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22,529,775.60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163,886,364.43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6,946,955.47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14,171,047.91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14,945,975.37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449,971,989.99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274,389,934.20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20,540,000.00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20,540,000.00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22,240,000.00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470,511,989.99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296,629,934.20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416,760,300.00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451,330,201.35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146,209,029.40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153,236,709.00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60,545,747.44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46,264,008.94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438,618,742.63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310,083,096.21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1,214,018,282.42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862,556,134.55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1,684,530,272.41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1,159,186,068.75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0"/>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782,935,041.04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749,510,263.97</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782,935,041.04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749,510,263.97</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705,175,541.11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648,223,138.91</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387,859,645.48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387,050,415.63</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0.960007pt;margin-top:400.139984pt;width:158.9pt;height:20.65pt;mso-position-horizontal-relative:page;mso-position-vertical-relative:page;z-index:-931840" coordorigin="4219,8003" coordsize="3178,413">
            <v:group style="position:absolute;left:4230;top:8014;width:2;height:392" coordorigin="4230,8014" coordsize="2,392">
              <v:shape style="position:absolute;left:4230;top:8014;width:2;height:392" coordorigin="4230,8014" coordsize="0,392" path="m4230,8014l4230,8405e" filled="false" stroked="true" strokeweight="1.08pt" strokecolor="#ffffff">
                <v:path arrowok="t"/>
              </v:shape>
            </v:group>
            <v:group style="position:absolute;left:4241;top:8014;width:3156;height:392" coordorigin="4241,8014" coordsize="3156,392">
              <v:shape style="position:absolute;left:4241;top:8014;width:3156;height:392" coordorigin="4241,8014" coordsize="3156,392" path="m4241,8405l7397,8405,7397,8014,4241,8014,4241,8405xe" filled="true" fillcolor="#ffffff" stroked="false">
                <v:path arrowok="t"/>
                <v:fill type="solid"/>
              </v:shape>
            </v:group>
            <w10:wrap type="none"/>
          </v:group>
        </w:pict>
      </w:r>
      <w:r>
        <w:rPr/>
        <w:pict>
          <v:group style="position:absolute;margin-left:210.960007pt;margin-top:536.339966pt;width:158.9pt;height:20.65pt;mso-position-horizontal-relative:page;mso-position-vertical-relative:page;z-index:-931816" coordorigin="4219,10727" coordsize="3178,413">
            <v:group style="position:absolute;left:4230;top:10738;width:2;height:392" coordorigin="4230,10738" coordsize="2,392">
              <v:shape style="position:absolute;left:4230;top:10738;width:2;height:392" coordorigin="4230,10738" coordsize="0,392" path="m4230,10738l4230,11129e" filled="false" stroked="true" strokeweight="1.08pt" strokecolor="#ffffff">
                <v:path arrowok="t"/>
              </v:shape>
            </v:group>
            <v:group style="position:absolute;left:4241;top:10738;width:3156;height:392" coordorigin="4241,10738" coordsize="3156,392">
              <v:shape style="position:absolute;left:4241;top:10738;width:3156;height:392" coordorigin="4241,10738" coordsize="3156,392" path="m4241,11129l7397,11129,7397,10738,4241,10738,4241,1112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7"/>
        <w:gridCol w:w="1072"/>
        <w:gridCol w:w="2150"/>
        <w:gridCol w:w="3276"/>
      </w:tblGrid>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4,924,814.04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4,513,320.08</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88,841,325.12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69,057,361.48</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225,217,599.69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185,407,481.01</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-4,289,646.17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-4,431,914.80</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2,621,802.95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6,626,475.51</w:t>
            </w:r>
            <w:r>
              <w:rPr>
                <w:rFonts w:ascii="Times New Roman"/>
                <w:sz w:val="18"/>
              </w:rPr>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38,183,284.52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11,636,519.63</w:t>
            </w:r>
            <w:r>
              <w:rPr>
                <w:rFonts w:ascii="Times New Roman"/>
                <w:sz w:val="18"/>
              </w:rPr>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36,134,422.97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11,636,519.63</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sz w:val="18"/>
                <w:szCs w:val="18"/>
              </w:rPr>
              <w:t>资产处置收益（损失以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r>
              <w:rPr>
                <w:rFonts w:ascii="宋体" w:hAnsi="宋体" w:cs="宋体" w:eastAsia="宋体" w:hint="default"/>
                <w:sz w:val="18"/>
                <w:szCs w:val="18"/>
              </w:rPr>
              <w:t> 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-28,040.09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154,518.34</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32,694,932.24</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148,609,676.60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113,078,163.03</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207,804.23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29,996,495.18</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357,053.93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3,688,463.79</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2"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5" w:right="0"/>
              <w:jc w:val="left"/>
              <w:rPr>
                <w:rFonts w:ascii="Times New Roman" w:hAnsi="Times New Roman" w:cs="Times New Roman" w:eastAsia="Times New Roman" w:hint="default"/>
                <w:sz w:val="18"/>
                <w:szCs w:val="18"/>
              </w:rPr>
            </w:pPr>
            <w:r>
              <w:rPr>
                <w:rFonts w:ascii="Times New Roman"/>
                <w:sz w:val="18"/>
              </w:rPr>
              <w:t>148,460,426.90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139,386,194.42</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10,359,213.47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17,299,213.84</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138,101,213.43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122,086,980.58</w:t>
            </w:r>
            <w:r>
              <w:rPr>
                <w:rFonts w:ascii="Times New Roman"/>
                <w:sz w:val="18"/>
              </w:rPr>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（一）持续经营净利润（净亏损以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138,101,213.43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122,086,980.58</w:t>
            </w:r>
            <w:r>
              <w:rPr>
                <w:rFonts w:ascii="Times New Roman"/>
                <w:sz w:val="18"/>
              </w:rPr>
            </w: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139,136,836.46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122,086,980.58</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-1,035,623.03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5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138,101,213.43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122,086,980.58</w:t>
            </w:r>
            <w:r>
              <w:rPr>
                <w:rFonts w:ascii="Times New Roman"/>
                <w:sz w:val="18"/>
              </w:rPr>
            </w: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139,136,836.46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122,086,980.58</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-1,035,623.03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0.37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0.34</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0.37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0.34</w:t>
            </w:r>
            <w:r>
              <w:rPr>
                <w:rFonts w:ascii="Times New Roman"/>
                <w:sz w:val="18"/>
              </w:rPr>
            </w:r>
          </w:p>
        </w:tc>
      </w:tr>
    </w:tbl>
    <w:p>
      <w:pPr>
        <w:pStyle w:val="BodyText"/>
        <w:tabs>
          <w:tab w:pos="3578" w:val="left" w:leader="none"/>
          <w:tab w:pos="7721" w:val="left" w:leader="none"/>
        </w:tabs>
        <w:spacing w:line="621" w:lineRule="auto" w:before="49"/>
        <w:ind w:right="242"/>
        <w:jc w:val="left"/>
      </w:pPr>
      <w:r>
        <w:rPr/>
        <w:t>本期发生同一控制下企业合并的，被合并方在合并前实现的净利润为：元，上期被合并方实现的净利润为：元。 法定代表人：郑新标</w:t>
        <w:tab/>
      </w:r>
      <w:r>
        <w:rPr>
          <w:spacing w:val="-1"/>
        </w:rPr>
        <w:t>主管会计工作负责人：鲁清芳</w:t>
        <w:tab/>
      </w:r>
      <w:r>
        <w:rPr/>
        <w:t>会计机构负责人：鲁清芳</w:t>
      </w:r>
    </w:p>
    <w:p>
      <w:pPr>
        <w:pStyle w:val="Heading3"/>
        <w:spacing w:line="240" w:lineRule="auto" w:before="69"/>
        <w:ind w:right="150"/>
        <w:jc w:val="left"/>
        <w:rPr>
          <w:b w:val="0"/>
          <w:bCs w:val="0"/>
        </w:rPr>
      </w:pPr>
      <w:bookmarkStart w:name="4、母公司利润表" w:id="160"/>
      <w:bookmarkEnd w:id="16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6"/>
        <w:gridCol w:w="3299"/>
        <w:gridCol w:w="3302"/>
      </w:tblGrid>
      <w:tr>
        <w:trPr>
          <w:trHeight w:val="401"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29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134" w:right="0"/>
              <w:jc w:val="left"/>
              <w:rPr>
                <w:rFonts w:ascii="Times New Roman" w:hAnsi="Times New Roman" w:cs="Times New Roman" w:eastAsia="Times New Roman" w:hint="default"/>
                <w:sz w:val="18"/>
                <w:szCs w:val="18"/>
              </w:rPr>
            </w:pPr>
            <w:r>
              <w:rPr>
                <w:rFonts w:ascii="Times New Roman"/>
                <w:sz w:val="18"/>
              </w:rPr>
              <w:t>774,475,927.52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741,019,595.59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388,822,716.22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384,614,416.92</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4,785,071.06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4,367,497.38</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87,572,979.22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68,969,742.08</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211,530,287.48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175,541,177.95</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-3,222,592.71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-3,938,585.86</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3,147,910.48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5,411,134.57</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38,688,312.86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11,636,519.63</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36,134,422.97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11,636,519.63</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154,518.34</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32,622,599.22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153,168,167.85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117,845,250.52</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207,414.56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29,588,552.62</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356,168.99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3,681,646.23</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153,019,413.42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143,752,156.91</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10,202,028.50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17,400,927.30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142,817,384.92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126,351,229.61</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142,817,384.92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126,351,229.61</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67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2"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142,817,384.92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126,351,229.61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0.35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0.35</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0"/>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754,910,279.70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628,854,907.26</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3,314,745.24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2,343,321.93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54,362,385.98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35,528,113.21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812,587,410.92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666,726,342.40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217,143,367.30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142,462,307.79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347,379,285.60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295,037,489.96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46,404,592.61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56,298,890.97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152,945,851.87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119,269,166.49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763,873,097.38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613,067,855.21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48,714,313.54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53,658,487.19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9,610,000.00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2,048,861.55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49,630.00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1,886,790.04</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11,708,491.55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4,386,790.04</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9,902,775.77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11,783,721.63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2,786,411.35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14,716,173.00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12,689,191.12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26,499,894.63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-980,699.57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-22,113,104.59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353,916,009.00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353,916,009.00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26,456,786.71</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26,456,786.71</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353,916,009.00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-26,456,786.71</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401,649,622.97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5,088,595.89</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310,752,147.74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305,663,551.85</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712,401,770.71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310,752,147.74</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0"/>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738,589,445.05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617,607,243.87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3,267,224.22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2,205,236.00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73,693,724.89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31,073,817.42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815,550,394.16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650,886,297.29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215,491,448.26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117,194,006.09</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342,056,441.97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292,309,151.86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44,690,442.37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60,738,765.77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168,540,123.19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134,041,180.03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770,778,455.79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604,283,103.75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44,771,938.37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46,603,193.54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19,610,000.00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2,048,861.55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119,534.22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1,643,734.59</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21,778,395.77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1,643,734.59</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6,795,256.88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10,830,862.61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25,010,100.00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14,716,173.00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31,805,356.88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35,547,035.61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-10,026,961.11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-33,903,301.02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353,916,009.00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353,916,009.00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26,456,786.71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26,456,786.71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353,916,009.00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-26,456,786.71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388,660,986.26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-13,756,894.19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255,560,644.19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269,317,538.38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644,221,630.45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255,560,644.19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0"/>
        <w:jc w:val="left"/>
      </w:pPr>
      <w:r>
        <w:rPr/>
        <w:t>本期金额</w:t>
      </w:r>
    </w:p>
    <w:p>
      <w:pPr>
        <w:pStyle w:val="BodyText"/>
        <w:spacing w:line="240" w:lineRule="auto" w:before="117"/>
        <w:ind w:left="0" w:right="153"/>
        <w:jc w:val="right"/>
      </w:pPr>
      <w:r>
        <w:rPr/>
        <w:t>单位：元</w:t>
      </w:r>
    </w:p>
    <w:p>
      <w:pPr>
        <w:spacing w:after="0" w:line="240" w:lineRule="auto"/>
        <w:jc w:val="right"/>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0"/>
        <w:gridCol w:w="530"/>
        <w:gridCol w:w="665"/>
        <w:gridCol w:w="665"/>
        <w:gridCol w:w="665"/>
        <w:gridCol w:w="665"/>
        <w:gridCol w:w="665"/>
        <w:gridCol w:w="665"/>
        <w:gridCol w:w="665"/>
        <w:gridCol w:w="665"/>
        <w:gridCol w:w="660"/>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4D4D4"/>
          </w:tcPr>
          <w:p>
            <w:pP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6" w:type="dxa"/>
            <w:vMerge/>
            <w:tcBorders>
              <w:left w:val="single" w:sz="4" w:space="0" w:color="000000"/>
              <w:right w:val="single" w:sz="4" w:space="0" w:color="000000"/>
            </w:tcBorders>
            <w:shd w:val="clear" w:color="auto" w:fill="D4D4D4"/>
          </w:tcPr>
          <w:p>
            <w:pPr/>
          </w:p>
        </w:tc>
        <w:tc>
          <w:tcPr>
            <w:tcW w:w="6809"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
        </w:tc>
        <w:tc>
          <w:tcPr>
            <w:tcW w:w="66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6809" w:type="dxa"/>
            <w:gridSpan w:val="11"/>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4D4D4"/>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67" w:hRule="exact"/>
        </w:trPr>
        <w:tc>
          <w:tcPr>
            <w:tcW w:w="1426"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56" w:hRule="exact"/>
        </w:trPr>
        <w:tc>
          <w:tcPr>
            <w:tcW w:w="1426"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60"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3"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146,209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,029.40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46,264,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008.94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257,131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,863.75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809,604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,902.09</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146,209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,029.40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46,264,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008.94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257,131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,863.75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809,604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,902.09</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56,760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306,012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,157.89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153,236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,709.00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14,281,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738.50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124,855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,097.96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12,732,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049.45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361,404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,634.80</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139,136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,836.46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-1,035,6</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23.03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138,101</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,213.43</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56,760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306,012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,157.89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153,236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,709.00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13,767,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672.48</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223,303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,421.37</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56,760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297,155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,709.00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153,236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,709.00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200,679</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,300.00</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97"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7,965,4</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62.95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7,965,4</w:t>
            </w:r>
          </w:p>
          <w:p>
            <w:pPr>
              <w:pStyle w:val="TableParagraph"/>
              <w:spacing w:line="240" w:lineRule="auto" w:before="102"/>
              <w:ind w:left="199" w:right="0"/>
              <w:jc w:val="center"/>
              <w:rPr>
                <w:rFonts w:ascii="Times New Roman" w:hAnsi="Times New Roman" w:cs="Times New Roman" w:eastAsia="Times New Roman" w:hint="default"/>
                <w:sz w:val="18"/>
                <w:szCs w:val="18"/>
              </w:rPr>
            </w:pPr>
            <w:r>
              <w:rPr>
                <w:rFonts w:ascii="Times New Roman"/>
                <w:sz w:val="18"/>
              </w:rPr>
              <w:t>62.95</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890,985</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13,767,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672.48</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14,658,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658.42</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14,281,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738.50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-14,281,</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738.50</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14,281,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-14,281,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738.50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738.50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416,76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0,300.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452,221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,187.29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153,236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,709.00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60,545,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747.44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381,986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,961.71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12,732,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049.45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09,536.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r>
    </w:tbl>
    <w:p>
      <w:pPr>
        <w:pStyle w:val="BodyText"/>
        <w:spacing w:line="240" w:lineRule="auto" w:before="49"/>
        <w:ind w:right="150"/>
        <w:jc w:val="left"/>
      </w:pPr>
      <w:r>
        <w:rPr/>
        <w:t>上期金额</w:t>
      </w:r>
    </w:p>
    <w:p>
      <w:pPr>
        <w:pStyle w:val="BodyText"/>
        <w:spacing w:line="240" w:lineRule="auto" w:before="117"/>
        <w:ind w:left="0" w:right="153"/>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0"/>
        <w:gridCol w:w="533"/>
        <w:gridCol w:w="662"/>
        <w:gridCol w:w="665"/>
        <w:gridCol w:w="667"/>
        <w:gridCol w:w="665"/>
        <w:gridCol w:w="662"/>
        <w:gridCol w:w="665"/>
        <w:gridCol w:w="679"/>
        <w:gridCol w:w="653"/>
        <w:gridCol w:w="658"/>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4D4D4"/>
          </w:tcPr>
          <w:p>
            <w:pP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26" w:type="dxa"/>
            <w:vMerge/>
            <w:tcBorders>
              <w:left w:val="single" w:sz="4" w:space="0" w:color="000000"/>
              <w:right w:val="single" w:sz="4" w:space="0" w:color="000000"/>
            </w:tcBorders>
            <w:shd w:val="clear" w:color="auto" w:fill="D4D4D4"/>
          </w:tcPr>
          <w:p>
            <w:pPr/>
          </w:p>
        </w:tc>
        <w:tc>
          <w:tcPr>
            <w:tcW w:w="6821"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0"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6821" w:type="dxa"/>
            <w:gridSpan w:val="11"/>
            <w:vMerge/>
            <w:tcBorders>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7"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79" w:type="dxa"/>
            <w:tcBorders>
              <w:top w:val="single" w:sz="4" w:space="0" w:color="000000"/>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55"/>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4D4D4"/>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69" w:hRule="exact"/>
        </w:trPr>
        <w:tc>
          <w:tcPr>
            <w:tcW w:w="1426"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56" w:hRule="exact"/>
        </w:trPr>
        <w:tc>
          <w:tcPr>
            <w:tcW w:w="1426"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7"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79" w:type="dxa"/>
            <w:vMerge/>
            <w:tcBorders>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
        </w:tc>
        <w:tc>
          <w:tcPr>
            <w:tcW w:w="658" w:type="dxa"/>
            <w:vMerge/>
            <w:tcBorders>
              <w:left w:val="single" w:sz="4" w:space="0" w:color="000000"/>
              <w:bottom w:val="nil" w:sz="6" w:space="0" w:color="auto"/>
              <w:right w:val="single" w:sz="4" w:space="0" w:color="000000"/>
            </w:tcBorders>
            <w:shd w:val="clear" w:color="auto" w:fill="D4D4D4"/>
          </w:tcPr>
          <w:p>
            <w:pPr/>
          </w:p>
        </w:tc>
      </w:tr>
      <w:tr>
        <w:trPr>
          <w:trHeight w:val="227" w:hRule="exact"/>
        </w:trPr>
        <w:tc>
          <w:tcPr>
            <w:tcW w:w="1426"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7"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79" w:type="dxa"/>
            <w:tcBorders>
              <w:top w:val="nil" w:sz="6" w:space="0" w:color="auto"/>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65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9" w:space="0" w:color="D4D4D4"/>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146,209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,029.40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33,628,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885.98</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174,136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,792.84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0.00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713,974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,708.22</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146,209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,029.40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33,628,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885.98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174,136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,792.84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713,974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,708.22</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12,635,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122.96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82,995,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070.91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95,630,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193.87</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122,086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,980.58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122,086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,980.58</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12,635,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122.96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-39,091,</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909.67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-26,456,</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786.71</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12,635,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122.96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-12,635,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122.96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-26,456,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786.71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-26,456,</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786.71</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146,209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,029.40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46,264,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008.94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257,131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,863.75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809,604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,902.09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0"/>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0"/>
        <w:jc w:val="left"/>
      </w:pPr>
      <w:r>
        <w:rPr/>
        <w:t>本期金额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799"/>
        <w:gridCol w:w="797"/>
        <w:gridCol w:w="677"/>
        <w:gridCol w:w="780"/>
      </w:tblGrid>
      <w:tr>
        <w:trPr>
          <w:trHeight w:val="398"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7"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17"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6"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146,209,0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29.40</w:t>
            </w:r>
          </w:p>
        </w:tc>
        <w:tc>
          <w:tcPr>
            <w:tcW w:w="797" w:type="dxa"/>
            <w:vMerge w:val="restart"/>
            <w:tcBorders>
              <w:top w:val="single" w:sz="22" w:space="0" w:color="D4D4D4"/>
              <w:left w:val="single" w:sz="4" w:space="0" w:color="000000"/>
              <w:right w:val="single" w:sz="4" w:space="0" w:color="000000"/>
            </w:tcBorders>
          </w:tcPr>
          <w:p>
            <w:pPr/>
          </w:p>
        </w:tc>
        <w:tc>
          <w:tcPr>
            <w:tcW w:w="797" w:type="dxa"/>
            <w:vMerge w:val="restart"/>
            <w:tcBorders>
              <w:top w:val="single" w:sz="22"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46,264,00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8.94</w:t>
            </w:r>
          </w:p>
        </w:tc>
        <w:tc>
          <w:tcPr>
            <w:tcW w:w="677" w:type="dxa"/>
            <w:vMerge w:val="restart"/>
            <w:tcBorders>
              <w:top w:val="single" w:sz="22" w:space="0" w:color="D4D4D4"/>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310,083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,096.21</w:t>
            </w:r>
          </w:p>
        </w:tc>
        <w:tc>
          <w:tcPr>
            <w:tcW w:w="780" w:type="dxa"/>
            <w:vMerge w:val="restart"/>
            <w:tcBorders>
              <w:top w:val="single" w:sz="22" w:space="0" w:color="D4D4D4"/>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862,556,1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34.55</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146,209,0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29.40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46,264,00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8.94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310,083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,096.21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862,556,1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34.55</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56,760,3</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305,121,1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71.95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153,236,7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14,281,73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128,535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,646.42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351,462,1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47.87</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142,817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,384.92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142,817,3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84.92</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56,760,3</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305,121,1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71.95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153,236,7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208,644,7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62.95</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56,760,3</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297,155,7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153,236,7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200,679,3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7,965,462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7,965,462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14,281,73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-14,281,</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738.50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14,281,73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-14,281,</w:t>
            </w:r>
          </w:p>
          <w:p>
            <w:pPr>
              <w:pStyle w:val="TableParagraph"/>
              <w:spacing w:line="240" w:lineRule="auto" w:before="102"/>
              <w:ind w:left="124" w:right="0"/>
              <w:jc w:val="center"/>
              <w:rPr>
                <w:rFonts w:ascii="Times New Roman" w:hAnsi="Times New Roman" w:cs="Times New Roman" w:eastAsia="Times New Roman" w:hint="default"/>
                <w:sz w:val="18"/>
                <w:szCs w:val="18"/>
              </w:rPr>
            </w:pPr>
            <w:r>
              <w:rPr>
                <w:rFonts w:ascii="Times New Roman"/>
                <w:sz w:val="18"/>
              </w:rPr>
              <w:t>738.50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416,760,</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451,330,2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01.35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153,236,7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60,545,74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7.44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438,618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,742.63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1,214,018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,282.42</w:t>
            </w:r>
          </w:p>
        </w:tc>
      </w:tr>
    </w:tbl>
    <w:p>
      <w:pPr>
        <w:pStyle w:val="BodyText"/>
        <w:spacing w:line="240" w:lineRule="auto" w:before="49"/>
        <w:ind w:right="150"/>
        <w:jc w:val="left"/>
      </w:pPr>
      <w:r>
        <w:rPr/>
        <w:t>上期金额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799"/>
        <w:gridCol w:w="797"/>
        <w:gridCol w:w="677"/>
        <w:gridCol w:w="780"/>
      </w:tblGrid>
      <w:tr>
        <w:trPr>
          <w:trHeight w:val="398"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17"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17"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6"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146,209,0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29.40</w:t>
            </w:r>
          </w:p>
        </w:tc>
        <w:tc>
          <w:tcPr>
            <w:tcW w:w="797" w:type="dxa"/>
            <w:vMerge w:val="restart"/>
            <w:tcBorders>
              <w:top w:val="single" w:sz="22" w:space="0" w:color="D4D4D4"/>
              <w:left w:val="single" w:sz="4" w:space="0" w:color="000000"/>
              <w:right w:val="single" w:sz="4" w:space="0" w:color="000000"/>
            </w:tcBorders>
          </w:tcPr>
          <w:p>
            <w:pPr/>
          </w:p>
        </w:tc>
        <w:tc>
          <w:tcPr>
            <w:tcW w:w="797" w:type="dxa"/>
            <w:vMerge w:val="restart"/>
            <w:tcBorders>
              <w:top w:val="single" w:sz="22"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33,628,88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5.98</w:t>
            </w:r>
          </w:p>
        </w:tc>
        <w:tc>
          <w:tcPr>
            <w:tcW w:w="677" w:type="dxa"/>
            <w:vMerge w:val="restart"/>
            <w:tcBorders>
              <w:top w:val="single" w:sz="22" w:space="0" w:color="D4D4D4"/>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222,823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,776.27</w:t>
            </w:r>
          </w:p>
        </w:tc>
        <w:tc>
          <w:tcPr>
            <w:tcW w:w="780" w:type="dxa"/>
            <w:vMerge w:val="restart"/>
            <w:tcBorders>
              <w:top w:val="single" w:sz="22" w:space="0" w:color="D4D4D4"/>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762,661,6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91.65</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146,209,0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29.40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33,628,88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5.98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222,823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,776.27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762,661,6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91.65</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12,635,12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Times New Roman" w:hAnsi="Times New Roman" w:cs="Times New Roman" w:eastAsia="Times New Roman" w:hint="default"/>
                <w:sz w:val="18"/>
                <w:szCs w:val="18"/>
              </w:rPr>
            </w:pPr>
            <w:r>
              <w:rPr>
                <w:rFonts w:ascii="Times New Roman"/>
                <w:sz w:val="18"/>
              </w:rPr>
              <w:t>87,259,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99,894,44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8"/>
              <w:ind w:left="22" w:right="18"/>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2.96</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319.94</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126,351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,229.61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126,351,2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29.61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12,635,12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-39,091,</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909.67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-26,456,7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86.71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12,635,12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-12,635,</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122.96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-26,456,</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786.71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-26,456,7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86.71</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146,209,0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29.40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46,264,00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310,083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,096.21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862,556,1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34.55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50"/>
        <w:jc w:val="left"/>
        <w:rPr>
          <w:b w:val="0"/>
          <w:bCs w:val="0"/>
        </w:rPr>
      </w:pPr>
      <w:bookmarkStart w:name="三、公司基本情况" w:id="165"/>
      <w:bookmarkEnd w:id="165"/>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144" w:firstLine="419"/>
        <w:jc w:val="left"/>
      </w:pPr>
      <w:r>
        <w:rPr/>
        <w:t>朗新科技股份有限公司系经中华人民共和国江苏省无锡市国家高新技术产业开发区管理委员会发出的《关于同意朗新 科技（中国）有限公司整体变更为股份有限公司的批复》（锡高管项发</w:t>
      </w:r>
      <w:r>
        <w:rPr>
          <w:rFonts w:ascii="Times New Roman" w:hAnsi="Times New Roman" w:cs="Times New Roman" w:eastAsia="Times New Roman" w:hint="default"/>
        </w:rPr>
        <w:t>[2013]233</w:t>
      </w:r>
      <w:r>
        <w:rPr/>
        <w:t>号）批准，由朗新科技（中国）有限公司 整体变更设立的外商投资股份有限公司。本公司于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日取得国家工商行政管理总局核发的《企业名称变更核准通 知书》（</w:t>
      </w:r>
      <w:r>
        <w:rPr>
          <w:rFonts w:ascii="Times New Roman" w:hAnsi="Times New Roman" w:cs="Times New Roman" w:eastAsia="Times New Roman" w:hint="default"/>
        </w:rPr>
        <w:t>(</w:t>
      </w:r>
      <w:r>
        <w:rPr/>
        <w:t>国</w:t>
      </w:r>
      <w:r>
        <w:rPr>
          <w:rFonts w:ascii="Times New Roman" w:hAnsi="Times New Roman" w:cs="Times New Roman" w:eastAsia="Times New Roman" w:hint="default"/>
        </w:rPr>
        <w:t>)</w:t>
      </w:r>
      <w:r>
        <w:rPr/>
        <w:t>名称变核外字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161</w:t>
      </w:r>
      <w:r>
        <w:rPr/>
        <w:t>号），其后于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日获得了江苏省无锡工商行政管理局核发的注册号为 </w:t>
      </w:r>
      <w:r>
        <w:rPr>
          <w:rFonts w:ascii="Times New Roman" w:hAnsi="Times New Roman" w:cs="Times New Roman" w:eastAsia="Times New Roman" w:hint="default"/>
        </w:rPr>
        <w:t>330100400016254</w:t>
      </w:r>
      <w:r>
        <w:rPr/>
        <w:t>的《企业法人营业执照》。本公司现注册地为中国江苏省无锡市无锡新吴区净慧东道</w:t>
      </w:r>
      <w:r>
        <w:rPr>
          <w:rFonts w:ascii="Times New Roman" w:hAnsi="Times New Roman" w:cs="Times New Roman" w:eastAsia="Times New Roman" w:hint="default"/>
        </w:rPr>
        <w:t>90</w:t>
      </w:r>
      <w:r>
        <w:rPr/>
        <w:t>号无锡软件园天鹅 座</w:t>
      </w:r>
      <w:r>
        <w:rPr>
          <w:rFonts w:ascii="Times New Roman" w:hAnsi="Times New Roman" w:cs="Times New Roman" w:eastAsia="Times New Roman" w:hint="default"/>
        </w:rPr>
        <w:t>B</w:t>
      </w:r>
      <w:r>
        <w:rPr/>
        <w:t>栋</w:t>
      </w:r>
      <w:r>
        <w:rPr>
          <w:rFonts w:ascii="Times New Roman" w:hAnsi="Times New Roman" w:cs="Times New Roman" w:eastAsia="Times New Roman" w:hint="default"/>
        </w:rPr>
        <w:t>10</w:t>
      </w:r>
      <w:r>
        <w:rPr/>
        <w:t>、</w:t>
      </w:r>
      <w:r>
        <w:rPr>
          <w:rFonts w:ascii="Times New Roman" w:hAnsi="Times New Roman" w:cs="Times New Roman" w:eastAsia="Times New Roman" w:hint="default"/>
        </w:rPr>
        <w:t>11</w:t>
      </w:r>
      <w:r>
        <w:rPr/>
        <w:t>楼，法定代表人为郑新标，统一社会信用代码为</w:t>
      </w:r>
      <w:r>
        <w:rPr>
          <w:rFonts w:ascii="Times New Roman" w:hAnsi="Times New Roman" w:cs="Times New Roman" w:eastAsia="Times New Roman" w:hint="default"/>
        </w:rPr>
        <w:t>91320200747189665N</w:t>
      </w:r>
      <w:r>
        <w:rPr/>
        <w:t>。截止至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日，本公司的总股 本为</w:t>
      </w:r>
      <w:r>
        <w:rPr>
          <w:rFonts w:ascii="Times New Roman" w:hAnsi="Times New Roman" w:cs="Times New Roman" w:eastAsia="Times New Roman" w:hint="default"/>
        </w:rPr>
        <w:t>360,000,000.00</w:t>
      </w:r>
      <w:r>
        <w:rPr/>
        <w:t>股，每股面值</w:t>
      </w:r>
      <w:r>
        <w:rPr>
          <w:rFonts w:ascii="Times New Roman" w:hAnsi="Times New Roman" w:cs="Times New Roman" w:eastAsia="Times New Roman" w:hint="default"/>
        </w:rPr>
        <w:t>1.00</w:t>
      </w:r>
      <w:r>
        <w:rPr/>
        <w:t>元。</w:t>
      </w:r>
    </w:p>
    <w:p>
      <w:pPr>
        <w:spacing w:line="240" w:lineRule="auto" w:before="10"/>
        <w:rPr>
          <w:rFonts w:ascii="宋体" w:hAnsi="宋体" w:cs="宋体" w:eastAsia="宋体" w:hint="default"/>
          <w:sz w:val="12"/>
          <w:szCs w:val="12"/>
        </w:rPr>
      </w:pPr>
    </w:p>
    <w:p>
      <w:pPr>
        <w:pStyle w:val="BodyText"/>
        <w:spacing w:line="300" w:lineRule="auto"/>
        <w:ind w:left="153" w:right="150" w:firstLine="419"/>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日，经中国证券监督管理委员会《关于核准朗新科技股份有限公司首次公开发行股票的批复》（证监许可</w:t>
      </w:r>
      <w:r>
        <w:rPr/>
        <w:t> </w:t>
      </w:r>
      <w:r>
        <w:rPr>
          <w:rFonts w:ascii="Times New Roman" w:hAnsi="Times New Roman" w:cs="Times New Roman" w:eastAsia="Times New Roman" w:hint="default"/>
          <w:spacing w:val="-1"/>
        </w:rPr>
        <w:t>[2017]1101</w:t>
      </w:r>
      <w:r>
        <w:rPr>
          <w:spacing w:val="-1"/>
        </w:rPr>
        <w:t>号文）核准，经深圳证券交易所《关于朗新科技股份有限公司人民币普通股股票在创业板上市的通知》（深证上</w:t>
      </w:r>
      <w:r>
        <w:rPr>
          <w:spacing w:val="-60"/>
        </w:rPr>
        <w:t> </w:t>
      </w:r>
      <w:r>
        <w:rPr>
          <w:spacing w:val="-60"/>
        </w:rPr>
      </w:r>
      <w:r>
        <w:rPr>
          <w:rFonts w:ascii="Times New Roman" w:hAnsi="Times New Roman" w:cs="Times New Roman" w:eastAsia="Times New Roman" w:hint="default"/>
          <w:spacing w:val="-3"/>
        </w:rPr>
        <w:t>[2017]469</w:t>
      </w:r>
      <w:r>
        <w:rPr>
          <w:spacing w:val="-3"/>
        </w:rPr>
        <w:t>号）同意，公司首次公开发行的</w:t>
      </w:r>
      <w:r>
        <w:rPr>
          <w:rFonts w:ascii="Times New Roman" w:hAnsi="Times New Roman" w:cs="Times New Roman" w:eastAsia="Times New Roman" w:hint="default"/>
          <w:spacing w:val="-3"/>
        </w:rPr>
        <w:t>4,050</w:t>
      </w:r>
      <w:r>
        <w:rPr>
          <w:spacing w:val="-3"/>
        </w:rPr>
        <w:t>万股人民币普通股股票已于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w:t>
      </w:r>
      <w:r>
        <w:rPr>
          <w:spacing w:val="-3"/>
        </w:rPr>
        <w:t>日在深圳证券交易所创业板上市交易，</w:t>
      </w:r>
      <w:r>
        <w:rPr>
          <w:spacing w:val="-63"/>
        </w:rPr>
        <w:t> </w:t>
      </w:r>
      <w:r>
        <w:rPr>
          <w:spacing w:val="-63"/>
        </w:rPr>
      </w:r>
      <w:r>
        <w:rPr/>
        <w:t>公司总股本增至 </w:t>
      </w:r>
      <w:r>
        <w:rPr>
          <w:rFonts w:ascii="Times New Roman" w:hAnsi="Times New Roman" w:cs="Times New Roman" w:eastAsia="Times New Roman" w:hint="default"/>
        </w:rPr>
        <w:t>400,500,000</w:t>
      </w:r>
      <w:r>
        <w:rPr>
          <w:rFonts w:ascii="Times New Roman" w:hAnsi="Times New Roman" w:cs="Times New Roman" w:eastAsia="Times New Roman" w:hint="default"/>
          <w:spacing w:val="4"/>
        </w:rPr>
        <w:t> </w:t>
      </w:r>
      <w:r>
        <w:rPr/>
        <w:t>股。</w:t>
      </w:r>
    </w:p>
    <w:p>
      <w:pPr>
        <w:spacing w:line="240" w:lineRule="auto" w:before="12"/>
        <w:rPr>
          <w:rFonts w:ascii="宋体" w:hAnsi="宋体" w:cs="宋体" w:eastAsia="宋体" w:hint="default"/>
          <w:sz w:val="12"/>
          <w:szCs w:val="12"/>
        </w:rPr>
      </w:pPr>
    </w:p>
    <w:p>
      <w:pPr>
        <w:pStyle w:val="BodyText"/>
        <w:spacing w:line="300" w:lineRule="auto"/>
        <w:ind w:left="153" w:right="149" w:firstLine="288"/>
        <w:jc w:val="left"/>
      </w:pPr>
      <w:r>
        <w:rPr>
          <w:spacing w:val="-1"/>
        </w:rPr>
        <w:t>根据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日本公司股东会决议及修改后的本公司章程，本公司向选定的限制性股票激励对象定向发行</w:t>
      </w:r>
      <w:r>
        <w:rPr>
          <w:rFonts w:ascii="Times New Roman" w:hAnsi="Times New Roman" w:cs="Times New Roman" w:eastAsia="Times New Roman" w:hint="default"/>
          <w:spacing w:val="-1"/>
        </w:rPr>
        <w:t>11,760,300</w:t>
      </w:r>
      <w:r>
        <w:rPr>
          <w:rFonts w:ascii="Times New Roman" w:hAnsi="Times New Roman" w:cs="Times New Roman" w:eastAsia="Times New Roman" w:hint="default"/>
          <w:spacing w:val="1"/>
        </w:rPr>
        <w:t> </w:t>
      </w:r>
      <w:r>
        <w:rPr/>
        <w:t>股限制性普通股</w:t>
      </w:r>
      <w:r>
        <w:rPr>
          <w:rFonts w:ascii="Times New Roman" w:hAnsi="Times New Roman" w:cs="Times New Roman" w:eastAsia="Times New Roman" w:hint="default"/>
        </w:rPr>
        <w:t>A</w:t>
      </w:r>
      <w:r>
        <w:rPr/>
        <w:t>股（附注七</w:t>
      </w:r>
      <w:r>
        <w:rPr>
          <w:rFonts w:ascii="Times New Roman" w:hAnsi="Times New Roman" w:cs="Times New Roman" w:eastAsia="Times New Roman" w:hint="default"/>
        </w:rPr>
        <w:t>(53)</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日止，本公司从限制性股票激励对象处收到全部募集股款人民币 </w:t>
      </w:r>
      <w:r>
        <w:rPr>
          <w:rFonts w:ascii="Times New Roman" w:hAnsi="Times New Roman" w:cs="Times New Roman" w:eastAsia="Times New Roman" w:hint="default"/>
        </w:rPr>
        <w:t>153,236,709.00</w:t>
      </w:r>
      <w:r>
        <w:rPr/>
        <w:t>元，其中增加股本人民币</w:t>
      </w:r>
      <w:r>
        <w:rPr>
          <w:rFonts w:ascii="Times New Roman" w:hAnsi="Times New Roman" w:cs="Times New Roman" w:eastAsia="Times New Roman" w:hint="default"/>
        </w:rPr>
        <w:t>11,760,300.00</w:t>
      </w:r>
      <w:r>
        <w:rPr/>
        <w:t>元，增加资本公积人民币</w:t>
      </w:r>
      <w:r>
        <w:rPr>
          <w:rFonts w:ascii="Times New Roman" w:hAnsi="Times New Roman" w:cs="Times New Roman" w:eastAsia="Times New Roman" w:hint="default"/>
        </w:rPr>
        <w:t>141,476,409.00</w:t>
      </w:r>
      <w:r>
        <w:rPr/>
        <w:t>元，所有募集资金均以人民币 </w:t>
      </w:r>
      <w:r>
        <w:rPr>
          <w:spacing w:val="-2"/>
        </w:rPr>
        <w:t>现金形式投入。本次增资经由普华永道中天会计师事务所（特殊普通合伙）验证并于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日出具了普华永道中天验</w:t>
      </w:r>
      <w:r>
        <w:rPr>
          <w:spacing w:val="-59"/>
        </w:rPr>
        <w:t> </w:t>
      </w:r>
      <w:r>
        <w:rPr>
          <w:spacing w:val="-59"/>
        </w:rPr>
      </w:r>
      <w:r>
        <w:rPr/>
        <w:t>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1082</w:t>
      </w:r>
      <w:r>
        <w:rPr/>
        <w:t>号验资报告。</w:t>
      </w:r>
    </w:p>
    <w:p>
      <w:pPr>
        <w:spacing w:line="240" w:lineRule="auto" w:before="12"/>
        <w:rPr>
          <w:rFonts w:ascii="宋体" w:hAnsi="宋体" w:cs="宋体" w:eastAsia="宋体" w:hint="default"/>
          <w:sz w:val="12"/>
          <w:szCs w:val="12"/>
        </w:rPr>
      </w:pPr>
    </w:p>
    <w:p>
      <w:pPr>
        <w:pStyle w:val="BodyText"/>
        <w:spacing w:line="316" w:lineRule="auto"/>
        <w:ind w:left="153" w:right="152" w:firstLine="419"/>
        <w:jc w:val="both"/>
      </w:pPr>
      <w:r>
        <w:rPr/>
        <w:t>本公司的经营范围主要包括：电子计算机软硬件技术开发，信息技术服务，信息技术咨询服务，信息系统集成服务， </w:t>
      </w:r>
      <w:r>
        <w:rPr>
          <w:spacing w:val="-2"/>
        </w:rPr>
        <w:t>数据处理和存储服务，数字内容服务，工程管理服务，软件产品的技术咨询、技术服务；承接计算机系统集成工程；其他土</w:t>
      </w:r>
      <w:r>
        <w:rPr>
          <w:spacing w:val="-67"/>
        </w:rPr>
        <w:t> </w:t>
      </w:r>
      <w:r>
        <w:rPr>
          <w:spacing w:val="-67"/>
        </w:rPr>
      </w:r>
      <w:r>
        <w:rPr/>
        <w:t>木工程建筑；电气安装；广告设计和制作；其他计算机制造；计算机软硬件、电子产品的研发、设计等。</w:t>
      </w:r>
    </w:p>
    <w:p>
      <w:pPr>
        <w:spacing w:line="240" w:lineRule="auto" w:before="5"/>
        <w:rPr>
          <w:rFonts w:ascii="宋体" w:hAnsi="宋体" w:cs="宋体" w:eastAsia="宋体" w:hint="default"/>
          <w:sz w:val="13"/>
          <w:szCs w:val="13"/>
        </w:rPr>
      </w:pPr>
    </w:p>
    <w:p>
      <w:pPr>
        <w:pStyle w:val="BodyText"/>
        <w:spacing w:line="240" w:lineRule="auto"/>
        <w:ind w:left="573" w:right="150"/>
        <w:jc w:val="left"/>
      </w:pPr>
      <w:r>
        <w:rPr/>
        <w:t>本财务报告于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日经公司董事会批准报出。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240" w:lineRule="auto"/>
        <w:ind w:left="572" w:right="150"/>
        <w:jc w:val="left"/>
      </w:pPr>
      <w:r>
        <w:rPr/>
        <w:t>截止至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月，本公司合并财务报表范围内的子公司包括：</w:t>
      </w:r>
    </w:p>
    <w:p>
      <w:pPr>
        <w:spacing w:line="240" w:lineRule="auto" w:before="1"/>
        <w:rPr>
          <w:rFonts w:ascii="宋体" w:hAnsi="宋体" w:cs="宋体" w:eastAsia="宋体" w:hint="default"/>
          <w:sz w:val="16"/>
          <w:szCs w:val="16"/>
        </w:rPr>
      </w:pPr>
    </w:p>
    <w:tbl>
      <w:tblPr>
        <w:tblW w:w="0" w:type="auto"/>
        <w:jc w:val="left"/>
        <w:tblInd w:w="1561" w:type="dxa"/>
        <w:tblLayout w:type="fixed"/>
        <w:tblCellMar>
          <w:top w:w="0" w:type="dxa"/>
          <w:left w:w="0" w:type="dxa"/>
          <w:bottom w:w="0" w:type="dxa"/>
          <w:right w:w="0" w:type="dxa"/>
        </w:tblCellMar>
        <w:tblLook w:val="01E0"/>
      </w:tblPr>
      <w:tblGrid>
        <w:gridCol w:w="2902"/>
        <w:gridCol w:w="1925"/>
        <w:gridCol w:w="566"/>
        <w:gridCol w:w="566"/>
        <w:gridCol w:w="850"/>
      </w:tblGrid>
      <w:tr>
        <w:trPr>
          <w:trHeight w:val="65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b/>
                <w:bCs/>
                <w:sz w:val="16"/>
                <w:szCs w:val="16"/>
              </w:rPr>
              <w:t>公司名称</w:t>
            </w:r>
            <w:r>
              <w:rPr>
                <w:rFonts w:ascii="宋体" w:hAnsi="宋体" w:cs="宋体" w:eastAsia="宋体" w:hint="default"/>
                <w:sz w:val="16"/>
                <w:szCs w:val="16"/>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b/>
                <w:bCs/>
                <w:sz w:val="16"/>
                <w:szCs w:val="16"/>
              </w:rPr>
              <w:t>公司类型</w:t>
            </w:r>
            <w:r>
              <w:rPr>
                <w:rFonts w:ascii="宋体" w:hAnsi="宋体" w:cs="宋体" w:eastAsia="宋体" w:hint="default"/>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b/>
                <w:bCs/>
                <w:sz w:val="16"/>
                <w:szCs w:val="16"/>
              </w:rPr>
              <w:t>级次</w:t>
            </w:r>
            <w:r>
              <w:rPr>
                <w:rFonts w:ascii="宋体" w:hAnsi="宋体" w:cs="宋体" w:eastAsia="宋体" w:hint="default"/>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6"/>
              <w:ind w:left="199" w:right="35" w:hanging="161"/>
              <w:jc w:val="left"/>
              <w:rPr>
                <w:rFonts w:ascii="宋体" w:hAnsi="宋体" w:cs="宋体" w:eastAsia="宋体" w:hint="default"/>
                <w:sz w:val="16"/>
                <w:szCs w:val="16"/>
              </w:rPr>
            </w:pPr>
            <w:r>
              <w:rPr>
                <w:rFonts w:ascii="宋体" w:hAnsi="宋体" w:cs="宋体" w:eastAsia="宋体" w:hint="default"/>
                <w:b/>
                <w:bCs/>
                <w:sz w:val="16"/>
                <w:szCs w:val="16"/>
              </w:rPr>
              <w:t>持股比</w:t>
            </w:r>
            <w:r>
              <w:rPr>
                <w:rFonts w:ascii="宋体" w:hAnsi="宋体" w:cs="宋体" w:eastAsia="宋体" w:hint="default"/>
                <w:b/>
                <w:bCs/>
                <w:w w:val="100"/>
                <w:sz w:val="16"/>
                <w:szCs w:val="16"/>
              </w:rPr>
              <w:t> </w:t>
            </w:r>
            <w:r>
              <w:rPr>
                <w:rFonts w:ascii="宋体" w:hAnsi="宋体" w:cs="宋体" w:eastAsia="宋体" w:hint="default"/>
                <w:b/>
                <w:bCs/>
                <w:sz w:val="16"/>
                <w:szCs w:val="16"/>
              </w:rPr>
              <w:t>例</w:t>
            </w:r>
            <w:r>
              <w:rPr>
                <w:rFonts w:ascii="宋体" w:hAnsi="宋体" w:cs="宋体" w:eastAsia="宋体" w:hint="default"/>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b/>
                <w:bCs/>
                <w:sz w:val="16"/>
                <w:szCs w:val="16"/>
              </w:rPr>
              <w:t>表决权比例</w:t>
            </w:r>
            <w:r>
              <w:rPr>
                <w:rFonts w:ascii="宋体" w:hAnsi="宋体" w:cs="宋体" w:eastAsia="宋体" w:hint="default"/>
                <w:sz w:val="16"/>
                <w:szCs w:val="16"/>
              </w:rPr>
            </w:r>
          </w:p>
        </w:tc>
      </w:tr>
      <w:tr>
        <w:trPr>
          <w:trHeight w:val="34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、母公司财务报表汇总范围</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w w:val="100"/>
                <w:sz w:val="16"/>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w w:val="100"/>
                <w:sz w:val="16"/>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r>
      <w:tr>
        <w:trPr>
          <w:trHeight w:val="65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本公司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6"/>
              <w:ind w:left="4" w:right="-12"/>
              <w:jc w:val="left"/>
              <w:rPr>
                <w:rFonts w:ascii="宋体" w:hAnsi="宋体" w:cs="宋体" w:eastAsia="宋体" w:hint="default"/>
                <w:sz w:val="16"/>
                <w:szCs w:val="16"/>
              </w:rPr>
            </w:pPr>
            <w:r>
              <w:rPr>
                <w:rFonts w:ascii="宋体" w:hAnsi="宋体" w:cs="宋体" w:eastAsia="宋体" w:hint="default"/>
                <w:spacing w:val="-1"/>
                <w:sz w:val="16"/>
                <w:szCs w:val="16"/>
              </w:rPr>
              <w:t>股份有限公司（中外合资、</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上市）</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w w:val="100"/>
                <w:sz w:val="16"/>
              </w:rPr>
              <w:t>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r>
      <w:tr>
        <w:trPr>
          <w:trHeight w:val="34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朗新科技股份有限公司厦门分公司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非独立核算分公司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w w:val="100"/>
                <w:sz w:val="16"/>
              </w:rPr>
              <w:t>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r>
      <w:tr>
        <w:trPr>
          <w:trHeight w:val="34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朗新科技股份有限公司武汉分公司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非独立核算分公司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w w:val="100"/>
                <w:sz w:val="16"/>
              </w:rPr>
              <w:t>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r>
      <w:tr>
        <w:trPr>
          <w:trHeight w:val="34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朗新科技股份有限公司杭州分公司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非独立核算分公司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w w:val="100"/>
                <w:sz w:val="16"/>
              </w:rPr>
              <w:t>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r>
      <w:tr>
        <w:trPr>
          <w:trHeight w:val="34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朗新科技股份有限公司北京分公司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非独立核算分公司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w w:val="100"/>
                <w:sz w:val="16"/>
              </w:rPr>
              <w:t>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r>
      <w:tr>
        <w:trPr>
          <w:trHeight w:val="34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朗新科技股份有限公司广州分公司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非独立核算分公司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w w:val="100"/>
                <w:sz w:val="16"/>
              </w:rPr>
              <w:t>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r>
      <w:tr>
        <w:trPr>
          <w:trHeight w:val="34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、纳入合并范围的子公司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w w:val="100"/>
                <w:sz w:val="16"/>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w w:val="100"/>
                <w:sz w:val="16"/>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r>
      <w:tr>
        <w:trPr>
          <w:trHeight w:val="34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北京朗新科技有限公司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w w:val="100"/>
                <w:sz w:val="16"/>
              </w:rPr>
              <w:t>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z w:val="16"/>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z w:val="16"/>
              </w:rPr>
              <w:t>100%</w:t>
            </w:r>
          </w:p>
        </w:tc>
      </w:tr>
      <w:tr>
        <w:trPr>
          <w:trHeight w:val="34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杭州朗新智能技术有限公司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w w:val="100"/>
                <w:sz w:val="16"/>
              </w:rPr>
              <w:t>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z w:val="16"/>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z w:val="16"/>
              </w:rPr>
              <w:t>100%</w:t>
            </w:r>
          </w:p>
        </w:tc>
      </w:tr>
      <w:tr>
        <w:trPr>
          <w:trHeight w:val="34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 w:right="0"/>
              <w:jc w:val="left"/>
              <w:rPr>
                <w:rFonts w:ascii="Times New Roman" w:hAnsi="Times New Roman" w:cs="Times New Roman" w:eastAsia="Times New Roman" w:hint="default"/>
                <w:sz w:val="16"/>
                <w:szCs w:val="16"/>
              </w:rPr>
            </w:pPr>
            <w:r>
              <w:rPr>
                <w:rFonts w:ascii="Times New Roman"/>
                <w:sz w:val="16"/>
              </w:rPr>
              <w:t>LongShineTechnologyCo.,Ltd</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w w:val="100"/>
                <w:sz w:val="16"/>
              </w:rPr>
              <w:t>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z w:val="16"/>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z w:val="16"/>
              </w:rPr>
              <w:t>100%</w:t>
            </w:r>
          </w:p>
        </w:tc>
      </w:tr>
      <w:tr>
        <w:trPr>
          <w:trHeight w:val="34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left"/>
              <w:rPr>
                <w:rFonts w:ascii="宋体" w:hAnsi="宋体" w:cs="宋体" w:eastAsia="宋体" w:hint="default"/>
                <w:sz w:val="16"/>
                <w:szCs w:val="16"/>
              </w:rPr>
            </w:pPr>
            <w:r>
              <w:rPr>
                <w:rFonts w:ascii="宋体" w:hAnsi="宋体" w:cs="宋体" w:eastAsia="宋体" w:hint="default"/>
                <w:sz w:val="16"/>
                <w:szCs w:val="16"/>
              </w:rPr>
              <w:t>合肥新耀科技有限公司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控股孙公司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left"/>
              <w:rPr>
                <w:rFonts w:ascii="Times New Roman" w:hAnsi="Times New Roman" w:cs="Times New Roman" w:eastAsia="Times New Roman" w:hint="default"/>
                <w:sz w:val="16"/>
                <w:szCs w:val="16"/>
              </w:rPr>
            </w:pPr>
            <w:r>
              <w:rPr>
                <w:rFonts w:ascii="Times New Roman"/>
                <w:w w:val="100"/>
                <w:sz w:val="16"/>
              </w:rPr>
              <w:t>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1"/>
                <w:sz w:val="16"/>
              </w:rPr>
              <w:t>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1"/>
                <w:sz w:val="16"/>
              </w:rPr>
              <w:t>60%</w:t>
            </w:r>
          </w:p>
        </w:tc>
      </w:tr>
    </w:tbl>
    <w:p>
      <w:pPr>
        <w:spacing w:after="0" w:line="240" w:lineRule="auto"/>
        <w:jc w:val="right"/>
        <w:rPr>
          <w:rFonts w:ascii="Times New Roman" w:hAnsi="Times New Roman" w:cs="Times New Roman" w:eastAsia="Times New Roman" w:hint="default"/>
          <w:sz w:val="16"/>
          <w:szCs w:val="16"/>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561" w:type="dxa"/>
        <w:tblLayout w:type="fixed"/>
        <w:tblCellMar>
          <w:top w:w="0" w:type="dxa"/>
          <w:left w:w="0" w:type="dxa"/>
          <w:bottom w:w="0" w:type="dxa"/>
          <w:right w:w="0" w:type="dxa"/>
        </w:tblCellMar>
        <w:tblLook w:val="01E0"/>
      </w:tblPr>
      <w:tblGrid>
        <w:gridCol w:w="2902"/>
        <w:gridCol w:w="1925"/>
        <w:gridCol w:w="566"/>
        <w:gridCol w:w="566"/>
        <w:gridCol w:w="850"/>
      </w:tblGrid>
      <w:tr>
        <w:trPr>
          <w:trHeight w:val="34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新耀能源科技有限公司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w w:val="100"/>
                <w:sz w:val="16"/>
              </w:rPr>
              <w:t>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60%</w:t>
            </w:r>
          </w:p>
        </w:tc>
      </w:tr>
      <w:tr>
        <w:trPr>
          <w:trHeight w:val="34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left"/>
              <w:rPr>
                <w:rFonts w:ascii="宋体" w:hAnsi="宋体" w:cs="宋体" w:eastAsia="宋体" w:hint="default"/>
                <w:sz w:val="16"/>
                <w:szCs w:val="16"/>
              </w:rPr>
            </w:pPr>
            <w:r>
              <w:rPr>
                <w:rFonts w:ascii="宋体" w:hAnsi="宋体" w:cs="宋体" w:eastAsia="宋体" w:hint="default"/>
                <w:sz w:val="16"/>
                <w:szCs w:val="16"/>
              </w:rPr>
              <w:t>北京天正信华科技有限公司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left"/>
              <w:rPr>
                <w:rFonts w:ascii="Times New Roman" w:hAnsi="Times New Roman" w:cs="Times New Roman" w:eastAsia="Times New Roman" w:hint="default"/>
                <w:sz w:val="16"/>
                <w:szCs w:val="16"/>
              </w:rPr>
            </w:pPr>
            <w:r>
              <w:rPr>
                <w:rFonts w:ascii="Times New Roman"/>
                <w:w w:val="100"/>
                <w:sz w:val="16"/>
              </w:rPr>
              <w:t>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z w:val="16"/>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z w:val="16"/>
              </w:rPr>
              <w:t>100%</w:t>
            </w:r>
          </w:p>
        </w:tc>
      </w:tr>
      <w:tr>
        <w:trPr>
          <w:trHeight w:val="34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无锡朗新金关信息科技有限公司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w w:val="100"/>
                <w:sz w:val="16"/>
              </w:rPr>
              <w:t>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51%</w:t>
            </w:r>
          </w:p>
        </w:tc>
      </w:tr>
      <w:tr>
        <w:trPr>
          <w:trHeight w:val="34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left"/>
              <w:rPr>
                <w:rFonts w:ascii="宋体" w:hAnsi="宋体" w:cs="宋体" w:eastAsia="宋体" w:hint="default"/>
                <w:sz w:val="16"/>
                <w:szCs w:val="16"/>
              </w:rPr>
            </w:pPr>
            <w:r>
              <w:rPr>
                <w:rFonts w:ascii="宋体" w:hAnsi="宋体" w:cs="宋体" w:eastAsia="宋体" w:hint="default"/>
                <w:sz w:val="16"/>
                <w:szCs w:val="16"/>
              </w:rPr>
              <w:t>朗新云商科技有限公司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left"/>
              <w:rPr>
                <w:rFonts w:ascii="Times New Roman" w:hAnsi="Times New Roman" w:cs="Times New Roman" w:eastAsia="Times New Roman" w:hint="default"/>
                <w:sz w:val="16"/>
                <w:szCs w:val="16"/>
              </w:rPr>
            </w:pPr>
            <w:r>
              <w:rPr>
                <w:rFonts w:ascii="Times New Roman"/>
                <w:w w:val="100"/>
                <w:sz w:val="16"/>
              </w:rPr>
              <w:t>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1"/>
                <w:sz w:val="16"/>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1"/>
                <w:sz w:val="16"/>
              </w:rPr>
              <w:t>51%</w:t>
            </w:r>
          </w:p>
        </w:tc>
      </w:tr>
      <w:tr>
        <w:trPr>
          <w:trHeight w:val="34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朗新数据科技有限公司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w w:val="100"/>
                <w:sz w:val="16"/>
              </w:rPr>
              <w:t>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60%</w:t>
            </w:r>
          </w:p>
        </w:tc>
      </w:tr>
      <w:tr>
        <w:trPr>
          <w:trHeight w:val="34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left"/>
              <w:rPr>
                <w:rFonts w:ascii="宋体" w:hAnsi="宋体" w:cs="宋体" w:eastAsia="宋体" w:hint="default"/>
                <w:sz w:val="16"/>
                <w:szCs w:val="16"/>
              </w:rPr>
            </w:pPr>
            <w:r>
              <w:rPr>
                <w:rFonts w:ascii="宋体" w:hAnsi="宋体" w:cs="宋体" w:eastAsia="宋体" w:hint="default"/>
                <w:sz w:val="16"/>
                <w:szCs w:val="16"/>
              </w:rPr>
              <w:t>朗新科技投资管理无锡有限公司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left"/>
              <w:rPr>
                <w:rFonts w:ascii="Times New Roman" w:hAnsi="Times New Roman" w:cs="Times New Roman" w:eastAsia="Times New Roman" w:hint="default"/>
                <w:sz w:val="16"/>
                <w:szCs w:val="16"/>
              </w:rPr>
            </w:pPr>
            <w:r>
              <w:rPr>
                <w:rFonts w:ascii="Times New Roman"/>
                <w:w w:val="100"/>
                <w:sz w:val="16"/>
              </w:rPr>
              <w:t>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z w:val="16"/>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z w:val="16"/>
              </w:rPr>
              <w:t>100%</w:t>
            </w:r>
          </w:p>
        </w:tc>
      </w:tr>
    </w:tbl>
    <w:p>
      <w:pPr>
        <w:pStyle w:val="BodyText"/>
        <w:spacing w:line="240" w:lineRule="auto" w:before="8"/>
        <w:ind w:left="1832" w:right="150"/>
        <w:jc w:val="left"/>
      </w:pPr>
      <w:r>
        <w:rPr/>
        <w:t>本年新增加合并范围详见本附注八、合并范围的变更。</w:t>
      </w:r>
    </w:p>
    <w:p>
      <w:pPr>
        <w:spacing w:line="240" w:lineRule="auto" w:before="3"/>
        <w:rPr>
          <w:rFonts w:ascii="宋体" w:hAnsi="宋体" w:cs="宋体" w:eastAsia="宋体" w:hint="default"/>
          <w:sz w:val="25"/>
          <w:szCs w:val="25"/>
        </w:rPr>
      </w:pPr>
    </w:p>
    <w:p>
      <w:pPr>
        <w:pStyle w:val="Heading2"/>
        <w:spacing w:line="240" w:lineRule="auto"/>
        <w:ind w:right="150"/>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0"/>
        <w:jc w:val="left"/>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50"/>
        <w:jc w:val="left"/>
      </w:pPr>
      <w:r>
        <w:rPr>
          <w:spacing w:val="-4"/>
        </w:rPr>
        <w:t>本财务报表按照财政部于</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15</w:t>
      </w:r>
      <w:r>
        <w:rPr>
          <w:spacing w:val="-4"/>
        </w:rPr>
        <w:t>日及以后期间颁布的《企业会计准则</w:t>
      </w:r>
      <w:r>
        <w:rPr>
          <w:rFonts w:ascii="Times New Roman" w:hAnsi="Times New Roman" w:cs="Times New Roman" w:eastAsia="Times New Roman" w:hint="default"/>
          <w:spacing w:val="-4"/>
        </w:rPr>
        <w:t>—</w:t>
      </w:r>
      <w:r>
        <w:rPr>
          <w:spacing w:val="-4"/>
        </w:rPr>
        <w:t>基本准则》、各项具体会计准则及相关规定（以</w:t>
      </w:r>
      <w:r>
        <w:rPr>
          <w:spacing w:val="-36"/>
        </w:rPr>
        <w:t> </w:t>
      </w:r>
      <w:r>
        <w:rPr>
          <w:spacing w:val="-36"/>
        </w:rPr>
      </w:r>
      <w:r>
        <w:rPr/>
        <w:t>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3"/>
        <w:spacing w:line="240" w:lineRule="auto"/>
        <w:ind w:right="150"/>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0"/>
        <w:jc w:val="left"/>
      </w:pPr>
      <w:r>
        <w:rPr/>
        <w:t>本公司自报告期末起</w:t>
      </w:r>
      <w:r>
        <w:rPr>
          <w:rFonts w:ascii="Times New Roman" w:hAnsi="Times New Roman" w:cs="Times New Roman" w:eastAsia="Times New Roman" w:hint="default"/>
        </w:rPr>
        <w:t>12</w:t>
      </w:r>
      <w:r>
        <w:rPr/>
        <w:t>个月的持续经营能力良好。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Heading2"/>
        <w:spacing w:line="240" w:lineRule="auto"/>
        <w:ind w:right="150"/>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14"/>
        <w:jc w:val="left"/>
      </w:pPr>
      <w:r>
        <w:rPr/>
        <w:t>公司是否需要遵守特殊行业的披露要求 否</w:t>
      </w:r>
    </w:p>
    <w:p>
      <w:pPr>
        <w:pStyle w:val="BodyText"/>
        <w:spacing w:line="240" w:lineRule="auto" w:before="29"/>
        <w:ind w:right="150"/>
        <w:jc w:val="left"/>
      </w:pPr>
      <w:r>
        <w:rPr/>
        <w:t>具体会计政策和会计估计提示：</w:t>
      </w:r>
    </w:p>
    <w:p>
      <w:pPr>
        <w:pStyle w:val="BodyText"/>
        <w:spacing w:line="300" w:lineRule="auto" w:before="117"/>
        <w:ind w:right="150"/>
        <w:jc w:val="left"/>
      </w:pPr>
      <w:r>
        <w:rPr>
          <w:spacing w:val="-1"/>
        </w:rPr>
        <w:t>本公司根据生产经营特点确定具体会计政策和会计估计，主要体现在应收款项坏账准备的计提方法（附注五</w:t>
      </w:r>
      <w:r>
        <w:rPr>
          <w:rFonts w:ascii="Times New Roman" w:hAnsi="Times New Roman" w:cs="Times New Roman" w:eastAsia="Times New Roman" w:hint="default"/>
          <w:spacing w:val="-1"/>
        </w:rPr>
        <w:t>(11)</w:t>
      </w:r>
      <w:r>
        <w:rPr>
          <w:spacing w:val="-1"/>
        </w:rPr>
        <w:t>）、存货的</w:t>
      </w:r>
      <w:r>
        <w:rPr>
          <w:spacing w:val="-58"/>
        </w:rPr>
        <w:t> </w:t>
      </w:r>
      <w:r>
        <w:rPr>
          <w:spacing w:val="-58"/>
        </w:rPr>
      </w:r>
      <w:r>
        <w:rPr/>
        <w:t>计价方法（附注五</w:t>
      </w:r>
      <w:r>
        <w:rPr>
          <w:rFonts w:ascii="Times New Roman" w:hAnsi="Times New Roman" w:cs="Times New Roman" w:eastAsia="Times New Roman" w:hint="default"/>
        </w:rPr>
        <w:t>(12)</w:t>
      </w:r>
      <w:r>
        <w:rPr/>
        <w:t>）、无形资产摊销（附注五</w:t>
      </w:r>
      <w:r>
        <w:rPr>
          <w:rFonts w:ascii="Times New Roman" w:hAnsi="Times New Roman" w:cs="Times New Roman" w:eastAsia="Times New Roman" w:hint="default"/>
        </w:rPr>
        <w:t>(21)</w:t>
      </w:r>
      <w:r>
        <w:rPr/>
        <w:t>）及收入的确认（附注五</w:t>
      </w:r>
      <w:r>
        <w:rPr>
          <w:rFonts w:ascii="Times New Roman" w:hAnsi="Times New Roman" w:cs="Times New Roman" w:eastAsia="Times New Roman" w:hint="default"/>
        </w:rPr>
        <w:t>(28)</w:t>
      </w:r>
      <w:r>
        <w:rPr/>
        <w:t>）等。</w:t>
      </w:r>
      <w:r>
        <w:rPr>
          <w:spacing w:val="-3"/>
        </w:rPr>
        <w:t> </w:t>
      </w:r>
      <w:r>
        <w:rPr/>
        <w:t>本公司在确定重要的会计政策时所运用的关键判断详见附注五</w:t>
      </w:r>
      <w:r>
        <w:rPr>
          <w:rFonts w:ascii="Times New Roman" w:hAnsi="Times New Roman" w:cs="Times New Roman" w:eastAsia="Times New Roman" w:hint="default"/>
        </w:rPr>
        <w:t>(32)</w:t>
      </w:r>
      <w:r>
        <w:rPr/>
        <w:t>。</w:t>
      </w:r>
    </w:p>
    <w:p>
      <w:pPr>
        <w:spacing w:line="240" w:lineRule="auto" w:before="5"/>
        <w:rPr>
          <w:rFonts w:ascii="宋体" w:hAnsi="宋体" w:cs="宋体" w:eastAsia="宋体" w:hint="default"/>
          <w:sz w:val="22"/>
          <w:szCs w:val="22"/>
        </w:rPr>
      </w:pPr>
    </w:p>
    <w:p>
      <w:pPr>
        <w:pStyle w:val="Heading3"/>
        <w:spacing w:line="240" w:lineRule="auto"/>
        <w:ind w:right="150"/>
        <w:jc w:val="left"/>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50"/>
        <w:jc w:val="left"/>
      </w:pPr>
      <w:r>
        <w:rPr>
          <w:spacing w:val="-2"/>
        </w:rPr>
        <w:t>本公司</w:t>
      </w:r>
      <w:r>
        <w:rPr>
          <w:rFonts w:ascii="Times New Roman" w:hAnsi="Times New Roman" w:cs="Times New Roman" w:eastAsia="Times New Roman" w:hint="default"/>
          <w:spacing w:val="-2"/>
        </w:rPr>
        <w:t>2017</w:t>
      </w:r>
      <w:r>
        <w:rPr>
          <w:spacing w:val="-2"/>
        </w:rPr>
        <w:t>年度财务报表符合企业会计准则的要求，真实、完整地反映了本公司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spacing w:val="-56"/>
        </w:rPr>
        <w:t> </w:t>
      </w:r>
      <w:r>
        <w:rPr/>
        <w:t>截至</w:t>
      </w:r>
      <w:r>
        <w:rPr>
          <w:rFonts w:ascii="Times New Roman" w:hAnsi="Times New Roman" w:cs="Times New Roman" w:eastAsia="Times New Roman" w:hint="default"/>
        </w:rPr>
        <w:t>2017</w:t>
      </w:r>
      <w:r>
        <w:rPr/>
        <w:t>年度的合并及公司经营成果和现金流量等有关信息。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pStyle w:val="Heading3"/>
        <w:spacing w:line="240" w:lineRule="auto"/>
        <w:ind w:right="150"/>
        <w:jc w:val="left"/>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0"/>
        <w:jc w:val="left"/>
      </w:pPr>
      <w:r>
        <w:rPr/>
        <w:t>会计年度为公历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Heading3"/>
        <w:spacing w:line="240" w:lineRule="auto"/>
        <w:ind w:right="0"/>
        <w:jc w:val="both"/>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记账本位币为人民币。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3"/>
        <w:spacing w:line="240" w:lineRule="auto"/>
        <w:ind w:right="0"/>
        <w:jc w:val="both"/>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24" w:lineRule="auto"/>
        <w:ind w:right="112"/>
        <w:jc w:val="left"/>
      </w:pPr>
      <w:r>
        <w:rPr/>
        <w:t>（</w:t>
      </w:r>
      <w:r>
        <w:rPr>
          <w:rFonts w:ascii="Times New Roman" w:hAnsi="Times New Roman" w:cs="Times New Roman" w:eastAsia="Times New Roman" w:hint="default"/>
        </w:rPr>
        <w:t>1</w:t>
      </w:r>
      <w:r>
        <w:rPr/>
        <w:t>）同一控制下的企业合并 </w:t>
      </w:r>
      <w:r>
        <w:rPr>
          <w:spacing w:val="-2"/>
        </w:rPr>
        <w:t>合并方支付的合并对价及取得的净资产均按账面价值计量。合并方取得的净资产账面价值与支付的合并对价账面价值的差额，</w:t>
      </w:r>
      <w:r>
        <w:rPr>
          <w:spacing w:val="-62"/>
        </w:rPr>
        <w:t> </w:t>
      </w:r>
      <w:r>
        <w:rPr>
          <w:spacing w:val="-62"/>
        </w:rPr>
      </w:r>
      <w:r>
        <w:rPr/>
        <w:t>调整资本公积（股本溢价）；资本公积（股本溢价）不足以冲减的，调整留存收益。为进行企业合并发生的直接相关费用于</w:t>
      </w:r>
      <w:r>
        <w:rPr/>
        <w:t> 发生时计入当期损益。为企业合并而发行权益性证券或债务性证券的交易费用，计入权益性证券或债务性证券的初始确认金 额。</w:t>
      </w:r>
    </w:p>
    <w:p>
      <w:pPr>
        <w:pStyle w:val="BodyText"/>
        <w:spacing w:line="324" w:lineRule="auto" w:before="52"/>
        <w:ind w:right="112"/>
        <w:jc w:val="left"/>
      </w:pPr>
      <w:r>
        <w:rPr/>
        <w:t>（</w:t>
      </w:r>
      <w:r>
        <w:rPr>
          <w:rFonts w:ascii="Times New Roman" w:hAnsi="Times New Roman" w:cs="Times New Roman" w:eastAsia="Times New Roman" w:hint="default"/>
        </w:rPr>
        <w:t>2</w:t>
      </w:r>
      <w:r>
        <w:rPr/>
        <w:t>）非同一控制下的企业合并 </w:t>
      </w:r>
      <w:r>
        <w:rPr>
          <w:spacing w:val="-2"/>
        </w:rPr>
        <w:t>购买方发生的合并成本及在合并中取得的可辨认净资产按购买日的公允价值计量。合并成本大于合并中取得的被购买方于购</w:t>
      </w:r>
      <w:r>
        <w:rPr>
          <w:spacing w:val="-64"/>
        </w:rPr>
        <w:t> </w:t>
      </w:r>
      <w:r>
        <w:rPr>
          <w:spacing w:val="-64"/>
        </w:rPr>
      </w:r>
      <w:r>
        <w:rPr>
          <w:spacing w:val="-2"/>
        </w:rPr>
        <w:t>买日可辨认净资产公允价值份额的差额，确认为商誉；合并成本小于合并中取得的被购买方可辨认净资产公允价值份额的差</w:t>
      </w:r>
      <w:r>
        <w:rPr>
          <w:spacing w:val="-64"/>
        </w:rPr>
        <w:t> </w:t>
      </w:r>
      <w:r>
        <w:rPr>
          <w:spacing w:val="-64"/>
        </w:rPr>
      </w:r>
      <w:r>
        <w:rPr>
          <w:spacing w:val="-2"/>
        </w:rPr>
        <w:t>额，计入当期损益。为进行企业合并发生的直接相关费用于发生时计入当期损益。为企业合并而发行权益性证券或债务性证</w:t>
      </w:r>
      <w:r>
        <w:rPr>
          <w:spacing w:val="-66"/>
        </w:rPr>
        <w:t> </w:t>
      </w:r>
      <w:r>
        <w:rPr>
          <w:spacing w:val="-66"/>
        </w:rPr>
      </w:r>
      <w:r>
        <w:rPr/>
        <w:t>券的交易费用，计入权益性证券或债务性证券的初始确认金额。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right="0"/>
        <w:jc w:val="both"/>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编制合并财务报表时，合并范围包括本公司及全部子公司。</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16" w:lineRule="auto"/>
        <w:ind w:right="290"/>
        <w:jc w:val="both"/>
      </w:pPr>
      <w:r>
        <w:rPr>
          <w:spacing w:val="-2"/>
        </w:rPr>
        <w:t>从取得子公司的实际控制权之日起，本集团开始将其纳入合并范围；从丧失实际控制权之日起停止纳入合并范围。对于同一</w:t>
      </w:r>
      <w:r>
        <w:rPr>
          <w:spacing w:val="-63"/>
        </w:rPr>
        <w:t> </w:t>
      </w:r>
      <w:r>
        <w:rPr>
          <w:spacing w:val="-63"/>
        </w:rPr>
      </w:r>
      <w:r>
        <w:rPr>
          <w:spacing w:val="-2"/>
        </w:rPr>
        <w:t>控制下企业合并取得的子公司，自其与本公司同受最终控制方控制之日起纳入本公司合并范围，并将其在合并日前实现的净</w:t>
      </w:r>
      <w:r>
        <w:rPr>
          <w:spacing w:val="-64"/>
        </w:rPr>
        <w:t> </w:t>
      </w:r>
      <w:r>
        <w:rPr>
          <w:spacing w:val="-64"/>
        </w:rPr>
      </w:r>
      <w:r>
        <w:rPr/>
        <w:t>利润在合并利润表中单列项目反映。</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316" w:lineRule="auto"/>
        <w:ind w:right="290"/>
        <w:jc w:val="both"/>
      </w:pPr>
      <w:r>
        <w:rPr>
          <w:spacing w:val="-2"/>
        </w:rPr>
        <w:t>在编制合并财务报表时，子公司与本公司采用的会计政策或会计期间不一致的，按照本公司的会计政策和会计期间对子公司</w:t>
      </w:r>
      <w:r>
        <w:rPr>
          <w:spacing w:val="-64"/>
        </w:rPr>
        <w:t> </w:t>
      </w:r>
      <w:r>
        <w:rPr>
          <w:spacing w:val="-64"/>
        </w:rPr>
      </w:r>
      <w:r>
        <w:rPr>
          <w:spacing w:val="-2"/>
        </w:rPr>
        <w:t>财务报表进行必要的调整。对于非同一控制下企业合并取得的子公司，以购买日可辨认净资产公允价值为基础对其财务报表</w:t>
      </w:r>
      <w:r>
        <w:rPr>
          <w:spacing w:val="-64"/>
        </w:rPr>
        <w:t> </w:t>
      </w:r>
      <w:r>
        <w:rPr>
          <w:spacing w:val="-64"/>
        </w:rPr>
      </w:r>
      <w:r>
        <w:rPr/>
        <w:t>进行调整。</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6" w:lineRule="auto"/>
        <w:ind w:right="290"/>
        <w:jc w:val="both"/>
      </w:pPr>
      <w:r>
        <w:rPr>
          <w:spacing w:val="-2"/>
        </w:rPr>
        <w:t>集团内所有重大往来余额、交易及未实现利润在合并财务报表编制时予以抵销。子公司的股东权益、当期净损益及综合收益</w:t>
      </w:r>
      <w:r>
        <w:rPr>
          <w:spacing w:val="-63"/>
        </w:rPr>
        <w:t> </w:t>
      </w:r>
      <w:r>
        <w:rPr>
          <w:spacing w:val="-63"/>
        </w:rPr>
      </w:r>
      <w:r>
        <w:rPr>
          <w:spacing w:val="-2"/>
        </w:rPr>
        <w:t>中不属于本公司所拥有的部分分别作为少数股东权益、少数股东损益及归属于少数股东的综合收益总额在合并财务报表中股</w:t>
      </w:r>
      <w:r>
        <w:rPr>
          <w:spacing w:val="-64"/>
        </w:rPr>
        <w:t> </w:t>
      </w:r>
      <w:r>
        <w:rPr>
          <w:spacing w:val="-64"/>
        </w:rPr>
      </w:r>
      <w:r>
        <w:rPr>
          <w:spacing w:val="-2"/>
        </w:rPr>
        <w:t>东权益、净利润及综合收益总额项下单独列示。本公司向子公司出售资产所发生的未实现内部交易损益，全额抵销归属于母</w:t>
      </w:r>
      <w:r>
        <w:rPr>
          <w:spacing w:val="-63"/>
        </w:rPr>
        <w:t> </w:t>
      </w:r>
      <w:r>
        <w:rPr>
          <w:spacing w:val="-63"/>
        </w:rPr>
      </w:r>
      <w:r>
        <w:rPr>
          <w:spacing w:val="-2"/>
        </w:rPr>
        <w:t>公司股东的净利润；子公司向本公司出售资产所发生的未实现内部交易损益，按本公司对该子公司的分配比例在归属于母公</w:t>
      </w:r>
      <w:r>
        <w:rPr>
          <w:spacing w:val="-64"/>
        </w:rPr>
        <w:t> </w:t>
      </w:r>
      <w:r>
        <w:rPr>
          <w:spacing w:val="-64"/>
        </w:rPr>
      </w:r>
      <w:r>
        <w:rPr>
          <w:spacing w:val="-2"/>
        </w:rPr>
        <w:t>司股东的净利润和少数股东损益之间分配抵销。子公司之间出售资产所发生的未实现内部交易损益，按照母公司对出售方子</w:t>
      </w:r>
      <w:r>
        <w:rPr>
          <w:spacing w:val="-64"/>
        </w:rPr>
        <w:t> </w:t>
      </w:r>
      <w:r>
        <w:rPr>
          <w:spacing w:val="-64"/>
        </w:rPr>
      </w:r>
      <w:r>
        <w:rPr/>
        <w:t>公司的分配比例在归属于母公司股东的净利润和少数股东损益之间分配抵销。</w:t>
      </w:r>
    </w:p>
    <w:p>
      <w:pPr>
        <w:spacing w:after="0" w:line="316" w:lineRule="auto"/>
        <w:jc w:val="both"/>
        <w:sectPr>
          <w:pgSz w:w="11910" w:h="16840"/>
          <w:pgMar w:header="745" w:footer="982" w:top="1060" w:bottom="1180" w:left="980" w:right="840"/>
        </w:sectPr>
      </w:pPr>
    </w:p>
    <w:p>
      <w:pPr>
        <w:spacing w:line="240" w:lineRule="auto" w:before="9"/>
        <w:rPr>
          <w:rFonts w:ascii="宋体" w:hAnsi="宋体" w:cs="宋体" w:eastAsia="宋体" w:hint="default"/>
          <w:sz w:val="25"/>
          <w:szCs w:val="25"/>
        </w:rPr>
      </w:pPr>
    </w:p>
    <w:p>
      <w:pPr>
        <w:pStyle w:val="BodyText"/>
        <w:spacing w:line="240" w:lineRule="auto" w:before="44"/>
        <w:ind w:right="150"/>
        <w:jc w:val="left"/>
      </w:pPr>
      <w:r>
        <w:rPr/>
        <w:t>如果以本集团为会计主体与以本公司或子公司为会计主体对同一交易的认定不同时，从本集团的角度对该交易予以调整。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3"/>
        <w:spacing w:line="240" w:lineRule="auto"/>
        <w:ind w:right="150"/>
        <w:jc w:val="left"/>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left="512" w:right="150" w:hanging="36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w:t>
      </w:r>
      <w:r>
        <w:rPr/>
        <w:t>合营安排的分类 </w:t>
      </w:r>
      <w:r>
        <w:rPr>
          <w:spacing w:val="-2"/>
        </w:rPr>
        <w:t>本公司根据合营安排的结构、法律形式以及合营安排中约定的条款、其他相关事实和情况等因素，将合营安排分为共同</w:t>
      </w:r>
      <w:r>
        <w:rPr/>
        <w:t> 经营和合营企业。 </w:t>
      </w:r>
      <w:r>
        <w:rPr>
          <w:spacing w:val="-2"/>
        </w:rPr>
        <w:t>未通过单独主体达成的合营安排，划分为共同经营；通过单独主体达成的合营安排，通常划分为合营企业；但有确凿证</w:t>
      </w:r>
      <w:r>
        <w:rPr/>
        <w:t> 据表明满足下列任一条件并且符合相关法律法规规定的合营安排划分为共同经营：</w:t>
      </w:r>
    </w:p>
    <w:p>
      <w:pPr>
        <w:pStyle w:val="BodyText"/>
        <w:spacing w:line="240" w:lineRule="auto" w:before="20"/>
        <w:ind w:right="150"/>
        <w:jc w:val="left"/>
      </w:pPr>
      <w:r>
        <w:rPr/>
        <w:t>（</w:t>
      </w:r>
      <w:r>
        <w:rPr>
          <w:rFonts w:ascii="Times New Roman" w:hAnsi="Times New Roman" w:cs="Times New Roman" w:eastAsia="Times New Roman" w:hint="default"/>
        </w:rPr>
        <w:t>a</w:t>
      </w:r>
      <w:r>
        <w:rPr/>
        <w:t>）合营安排的法律形式表明，合营方对该安排中的相关资产和负债分别享有权利和承担义务。</w:t>
      </w:r>
    </w:p>
    <w:p>
      <w:pPr>
        <w:pStyle w:val="BodyText"/>
        <w:spacing w:line="240" w:lineRule="auto" w:before="62"/>
        <w:ind w:right="150"/>
        <w:jc w:val="left"/>
      </w:pPr>
      <w:r>
        <w:rPr/>
        <w:t>（</w:t>
      </w:r>
      <w:r>
        <w:rPr>
          <w:rFonts w:ascii="Times New Roman" w:hAnsi="Times New Roman" w:cs="Times New Roman" w:eastAsia="Times New Roman" w:hint="default"/>
        </w:rPr>
        <w:t>b</w:t>
      </w:r>
      <w:r>
        <w:rPr/>
        <w:t>）合营安排的合同条款约定，合营方对该安排中的相关资产和负债分别享有权利和承担义务。</w:t>
      </w:r>
    </w:p>
    <w:p>
      <w:pPr>
        <w:pStyle w:val="BodyText"/>
        <w:spacing w:line="300" w:lineRule="auto" w:before="103"/>
        <w:ind w:right="150"/>
        <w:jc w:val="left"/>
      </w:pPr>
      <w:r>
        <w:rPr/>
        <w:t>（</w:t>
      </w:r>
      <w:r>
        <w:rPr>
          <w:rFonts w:ascii="Times New Roman" w:hAnsi="Times New Roman" w:cs="Times New Roman" w:eastAsia="Times New Roman" w:hint="default"/>
        </w:rPr>
        <w:t>c</w:t>
      </w:r>
      <w:r>
        <w:rPr/>
        <w:t>）其他相关事实和情况表明，合营方对该安排中的相关资产和负债分别享有权利和承担义务，如合营方享有与合营安排</w:t>
      </w:r>
      <w:r>
        <w:rPr>
          <w:spacing w:val="-76"/>
        </w:rPr>
        <w:t> </w:t>
      </w:r>
      <w:r>
        <w:rPr>
          <w:spacing w:val="-76"/>
        </w:rPr>
      </w:r>
      <w:r>
        <w:rPr/>
        <w:t>相关的几乎所有产出，并且该安排中负债的清偿持续依赖于合营方的支持。</w:t>
      </w:r>
    </w:p>
    <w:p>
      <w:pPr>
        <w:spacing w:line="300" w:lineRule="auto" w:before="72"/>
        <w:ind w:left="332" w:right="954" w:hanging="18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共同经营会计处理方法</w:t>
      </w:r>
      <w:r>
        <w:rPr>
          <w:rFonts w:ascii="宋体" w:hAnsi="宋体" w:cs="宋体" w:eastAsia="宋体" w:hint="default"/>
          <w:b/>
          <w:bCs/>
          <w:w w:val="99"/>
          <w:sz w:val="18"/>
          <w:szCs w:val="18"/>
        </w:rPr>
        <w:t> </w:t>
      </w:r>
      <w:r>
        <w:rPr>
          <w:rFonts w:ascii="宋体" w:hAnsi="宋体" w:cs="宋体" w:eastAsia="宋体" w:hint="default"/>
          <w:sz w:val="18"/>
          <w:szCs w:val="18"/>
        </w:rPr>
        <w:t>本公司确认共同经营中利益份额中与本公司相关的下列项目，并按照相关企业会计准则的规定进行会计处理：</w:t>
      </w:r>
    </w:p>
    <w:p>
      <w:pPr>
        <w:pStyle w:val="BodyText"/>
        <w:spacing w:line="240" w:lineRule="auto" w:before="31"/>
        <w:ind w:right="150"/>
        <w:jc w:val="left"/>
      </w:pPr>
      <w:r>
        <w:rPr/>
        <w:t>（</w:t>
      </w:r>
      <w:r>
        <w:rPr>
          <w:rFonts w:ascii="Times New Roman" w:hAnsi="Times New Roman" w:cs="Times New Roman" w:eastAsia="Times New Roman" w:hint="default"/>
        </w:rPr>
        <w:t>a</w:t>
      </w:r>
      <w:r>
        <w:rPr/>
        <w:t>）确认单独所持有的资产，以及按其份额确认共同持有的资产；</w:t>
      </w:r>
    </w:p>
    <w:p>
      <w:pPr>
        <w:pStyle w:val="BodyText"/>
        <w:spacing w:line="240" w:lineRule="auto" w:before="62"/>
        <w:ind w:right="150"/>
        <w:jc w:val="left"/>
      </w:pPr>
      <w:r>
        <w:rPr/>
        <w:t>（</w:t>
      </w:r>
      <w:r>
        <w:rPr>
          <w:rFonts w:ascii="Times New Roman" w:hAnsi="Times New Roman" w:cs="Times New Roman" w:eastAsia="Times New Roman" w:hint="default"/>
        </w:rPr>
        <w:t>b</w:t>
      </w:r>
      <w:r>
        <w:rPr/>
        <w:t>）确认单独所承担的负债，以及按其份额确认共同承担的负债；</w:t>
      </w:r>
    </w:p>
    <w:p>
      <w:pPr>
        <w:pStyle w:val="BodyText"/>
        <w:spacing w:line="240" w:lineRule="auto" w:before="62"/>
        <w:ind w:right="150"/>
        <w:jc w:val="left"/>
      </w:pPr>
      <w:r>
        <w:rPr/>
        <w:t>（</w:t>
      </w:r>
      <w:r>
        <w:rPr>
          <w:rFonts w:ascii="Times New Roman" w:hAnsi="Times New Roman" w:cs="Times New Roman" w:eastAsia="Times New Roman" w:hint="default"/>
        </w:rPr>
        <w:t>c</w:t>
      </w:r>
      <w:r>
        <w:rPr/>
        <w:t>）确认出售其享有的共同经营产出份额所产生的收入；</w:t>
      </w:r>
    </w:p>
    <w:p>
      <w:pPr>
        <w:pStyle w:val="BodyText"/>
        <w:spacing w:line="240" w:lineRule="auto" w:before="62"/>
        <w:ind w:right="150"/>
        <w:jc w:val="left"/>
      </w:pPr>
      <w:r>
        <w:rPr/>
        <w:t>（</w:t>
      </w:r>
      <w:r>
        <w:rPr>
          <w:rFonts w:ascii="Times New Roman" w:hAnsi="Times New Roman" w:cs="Times New Roman" w:eastAsia="Times New Roman" w:hint="default"/>
        </w:rPr>
        <w:t>d</w:t>
      </w:r>
      <w:r>
        <w:rPr/>
        <w:t>）按其份额确认共同经营因出售产出所产生的收入；</w:t>
      </w:r>
    </w:p>
    <w:p>
      <w:pPr>
        <w:pStyle w:val="BodyText"/>
        <w:spacing w:line="309" w:lineRule="auto" w:before="62"/>
        <w:ind w:left="332" w:right="144" w:hanging="180"/>
        <w:jc w:val="left"/>
      </w:pPr>
      <w:r>
        <w:rPr/>
        <w:t>（</w:t>
      </w:r>
      <w:r>
        <w:rPr>
          <w:rFonts w:ascii="Times New Roman" w:hAnsi="Times New Roman" w:cs="Times New Roman" w:eastAsia="Times New Roman" w:hint="default"/>
        </w:rPr>
        <w:t>e</w:t>
      </w:r>
      <w:r>
        <w:rPr/>
        <w:t>）确认单独所发生的费用，以及按其份额确认共同经营发生的费用。 </w:t>
      </w:r>
      <w:r>
        <w:rPr>
          <w:spacing w:val="-2"/>
        </w:rPr>
        <w:t>本公司向共同经营投出或出售资产等（该资产构成业务的除外），在该资产等由共同经营出售给第三方之前，仅确认因该</w:t>
      </w:r>
      <w:r>
        <w:rPr/>
        <w:t> 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 等规定的资产减值损失的，本公司全额确认该损失。 </w:t>
      </w:r>
      <w:r>
        <w:rPr>
          <w:spacing w:val="-2"/>
        </w:rPr>
        <w:t>本公司自共同经营购买资产等（该资产构成业务的除外），在将该资产等出售给第三方之前，仅确认因该交易产生的损益</w:t>
      </w:r>
      <w:r>
        <w:rPr/>
        <w:t> 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 的，本公司按承担的份额确认该部分损失。</w:t>
      </w:r>
    </w:p>
    <w:p>
      <w:pPr>
        <w:pStyle w:val="BodyText"/>
        <w:spacing w:line="314" w:lineRule="auto" w:before="65"/>
        <w:ind w:right="150"/>
        <w:jc w:val="left"/>
      </w:pPr>
      <w:r>
        <w:rPr>
          <w:spacing w:val="-2"/>
        </w:rPr>
        <w:t>本公司对共同经营不享有共同控制，如果本公司享有该共同经营相关资产且承担该共同经营相关负债的，仍按上述原则进行</w:t>
      </w:r>
      <w:r>
        <w:rPr>
          <w:spacing w:val="-64"/>
        </w:rPr>
        <w:t> </w:t>
      </w:r>
      <w:r>
        <w:rPr>
          <w:spacing w:val="-64"/>
        </w:rPr>
      </w:r>
      <w:r>
        <w:rPr/>
        <w:t>会计处理，否则，应当按照相关企业会计准则的规定进行会计处理。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Heading3"/>
        <w:spacing w:line="240" w:lineRule="auto"/>
        <w:ind w:right="150"/>
        <w:jc w:val="left"/>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jc w:val="left"/>
      </w:pPr>
      <w:r>
        <w:rPr>
          <w:spacing w:val="-2"/>
        </w:rPr>
        <w:t>现金及现金等价物是指库存现金，可随时用于支付的存款，以及持有的期限短、流动性强、易于转换为已知金额现金、价值</w:t>
      </w:r>
      <w:r>
        <w:rPr>
          <w:spacing w:val="-67"/>
        </w:rPr>
        <w:t> </w:t>
      </w:r>
      <w:r>
        <w:rPr>
          <w:spacing w:val="-67"/>
        </w:rPr>
      </w:r>
      <w:r>
        <w:rPr/>
        <w:t>变动风险很小的投资。</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316" w:lineRule="auto"/>
        <w:ind w:right="150"/>
        <w:jc w:val="left"/>
      </w:pPr>
      <w:r>
        <w:rPr>
          <w:spacing w:val="-2"/>
        </w:rPr>
        <w:t>在编制现金流量表时，将本公司库存现金以及可以随时用于支付的存款确认为现金。将同时具备期限短（从购买日起三个月</w:t>
      </w:r>
      <w:r>
        <w:rPr>
          <w:spacing w:val="-63"/>
        </w:rPr>
        <w:t> </w:t>
      </w:r>
      <w:r>
        <w:rPr>
          <w:spacing w:val="-63"/>
        </w:rPr>
      </w:r>
      <w:r>
        <w:rPr/>
        <w:t>内到期）、流动性强、易于转换为已知现金、价值变动风险很小四个条件的投资，确定为现金等价物。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150"/>
        <w:jc w:val="left"/>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t>（</w:t>
      </w:r>
      <w:r>
        <w:rPr>
          <w:rFonts w:ascii="Times New Roman" w:hAnsi="Times New Roman" w:cs="Times New Roman" w:eastAsia="Times New Roman" w:hint="default"/>
        </w:rPr>
        <w:t>1</w:t>
      </w:r>
      <w:r>
        <w:rPr/>
        <w:t>）外币交易</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38" w:lineRule="auto" w:before="44"/>
        <w:ind w:right="150"/>
        <w:jc w:val="left"/>
      </w:pPr>
      <w:r>
        <w:rPr/>
        <w:t>外币交易按交易发生日的即期汇率将外币金额折算为人民币入账。 </w:t>
      </w:r>
      <w:r>
        <w:rPr>
          <w:spacing w:val="-2"/>
        </w:rPr>
        <w:t>于资产负债表日，外币货币性项目采用资产负债表日的即期汇率折算为人民币。为购建符合借款费用资本化条件的资产而借</w:t>
      </w:r>
      <w:r>
        <w:rPr>
          <w:spacing w:val="-64"/>
        </w:rPr>
        <w:t> </w:t>
      </w:r>
      <w:r>
        <w:rPr>
          <w:spacing w:val="-64"/>
        </w:rPr>
      </w:r>
      <w:r>
        <w:rPr>
          <w:spacing w:val="-2"/>
        </w:rPr>
        <w:t>入的外币专门借款产生的汇兑差额在资本化期间内予以资本化；其他汇兑差额直接计入当期损益。以历史成本计量的外币非</w:t>
      </w:r>
    </w:p>
    <w:p>
      <w:pPr>
        <w:pStyle w:val="BodyText"/>
        <w:spacing w:line="240" w:lineRule="auto" w:before="2"/>
        <w:ind w:right="150"/>
        <w:jc w:val="left"/>
      </w:pPr>
      <w:r>
        <w:rPr/>
        <w:t>货币性项目，于资产负债表日采用交易发生日的即期汇率折算。汇率变动对现金的影响额在现金流量表中单独列示。</w:t>
      </w:r>
    </w:p>
    <w:p>
      <w:pPr>
        <w:pStyle w:val="BodyText"/>
        <w:spacing w:line="324" w:lineRule="auto" w:before="115"/>
        <w:ind w:right="150"/>
        <w:jc w:val="left"/>
      </w:pPr>
      <w:r>
        <w:rPr/>
        <w:t>（</w:t>
      </w:r>
      <w:r>
        <w:rPr>
          <w:rFonts w:ascii="Times New Roman" w:hAnsi="Times New Roman" w:cs="Times New Roman" w:eastAsia="Times New Roman" w:hint="default"/>
        </w:rPr>
        <w:t>2</w:t>
      </w:r>
      <w:r>
        <w:rPr/>
        <w:t>）外币财务报表的折算 </w:t>
      </w:r>
      <w:r>
        <w:rPr>
          <w:spacing w:val="-2"/>
        </w:rPr>
        <w:t>境外经营的资产负债表中的资产和负债项目，采用资产负债表日的即期汇率折算，股东权益中除未分配利润项目外，其他项</w:t>
      </w:r>
      <w:r>
        <w:rPr>
          <w:spacing w:val="-63"/>
        </w:rPr>
        <w:t> </w:t>
      </w:r>
      <w:r>
        <w:rPr>
          <w:spacing w:val="-63"/>
        </w:rPr>
      </w:r>
      <w:r>
        <w:rPr>
          <w:spacing w:val="-2"/>
        </w:rPr>
        <w:t>目采用发生时的即期汇率折算。境外经营的利润表中的收入与费用项目，采用交易发生日的即期汇率折算。上述折算产生的</w:t>
      </w:r>
      <w:r>
        <w:rPr>
          <w:spacing w:val="-63"/>
        </w:rPr>
        <w:t> </w:t>
      </w:r>
      <w:r>
        <w:rPr>
          <w:spacing w:val="-63"/>
        </w:rPr>
      </w:r>
      <w:r>
        <w:rPr>
          <w:spacing w:val="-2"/>
        </w:rPr>
        <w:t>外币报表折算差额，计入其他综合收益。境外经营的现金流量项目，采用现金流量发生日的即期汇率折算。汇率变动对现金</w:t>
      </w:r>
      <w:r>
        <w:rPr>
          <w:spacing w:val="-65"/>
        </w:rPr>
        <w:t> </w:t>
      </w:r>
      <w:r>
        <w:rPr>
          <w:spacing w:val="-65"/>
        </w:rPr>
      </w:r>
      <w:r>
        <w:rPr/>
        <w:t>的影响额，在现金流量表中单独列示。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right="150"/>
        <w:jc w:val="left"/>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0"/>
        <w:jc w:val="left"/>
      </w:pPr>
      <w:r>
        <w:rPr/>
        <w:t>（</w:t>
      </w:r>
      <w:r>
        <w:rPr>
          <w:rFonts w:ascii="Times New Roman" w:hAnsi="Times New Roman" w:cs="Times New Roman" w:eastAsia="Times New Roman" w:hint="default"/>
        </w:rPr>
        <w:t>1</w:t>
      </w:r>
      <w:r>
        <w:rPr/>
        <w:t>）金融资产</w:t>
      </w:r>
    </w:p>
    <w:p>
      <w:pPr>
        <w:pStyle w:val="BodyText"/>
        <w:spacing w:line="328" w:lineRule="auto" w:before="103"/>
        <w:ind w:right="150"/>
        <w:jc w:val="left"/>
      </w:pPr>
      <w:r>
        <w:rPr/>
        <w:t>（</w:t>
      </w:r>
      <w:r>
        <w:rPr>
          <w:rFonts w:ascii="Times New Roman" w:hAnsi="Times New Roman" w:cs="Times New Roman" w:eastAsia="Times New Roman" w:hint="default"/>
        </w:rPr>
        <w:t>a</w:t>
      </w:r>
      <w:r>
        <w:rPr/>
        <w:t>）金融资产分类 </w:t>
      </w:r>
      <w:r>
        <w:rPr>
          <w:spacing w:val="-2"/>
        </w:rPr>
        <w:t>金融资产于初始确认时分类为：以公允价值计量且其变动计入当期损益的金融资产、应收款项、可供出售金融资产和持有至</w:t>
      </w:r>
      <w:r>
        <w:rPr>
          <w:spacing w:val="-63"/>
        </w:rPr>
        <w:t> </w:t>
      </w:r>
      <w:r>
        <w:rPr>
          <w:spacing w:val="-63"/>
        </w:rPr>
      </w:r>
      <w:r>
        <w:rPr/>
        <w:t>到期投资。金融资产的分类取决于本集团对金融资产的持有意图和持有能力。</w:t>
      </w:r>
    </w:p>
    <w:p>
      <w:pPr>
        <w:pStyle w:val="BodyText"/>
        <w:tabs>
          <w:tab w:pos="572" w:val="left" w:leader="none"/>
        </w:tabs>
        <w:spacing w:line="340" w:lineRule="auto" w:before="48"/>
        <w:ind w:right="2591" w:hanging="1"/>
        <w:jc w:val="left"/>
      </w:pPr>
      <w:r>
        <w:rPr>
          <w:rFonts w:ascii="Times New Roman" w:hAnsi="Times New Roman" w:cs="Times New Roman" w:eastAsia="Times New Roman" w:hint="default"/>
        </w:rPr>
        <w:t>•</w:t>
        <w:tab/>
      </w:r>
      <w:r>
        <w:rPr/>
        <w:t>以公允价值计量且其变动计入当期损益的金融资产 以公允价值计量且其变动计入当期损益的金融资产包括持有目的为短期内出售的金融资产。</w:t>
      </w:r>
    </w:p>
    <w:p>
      <w:pPr>
        <w:pStyle w:val="BodyText"/>
        <w:tabs>
          <w:tab w:pos="573" w:val="left" w:leader="none"/>
        </w:tabs>
        <w:spacing w:line="338" w:lineRule="auto" w:before="41"/>
        <w:ind w:left="153" w:right="3311" w:hanging="1"/>
        <w:jc w:val="left"/>
      </w:pPr>
      <w:r>
        <w:rPr>
          <w:rFonts w:ascii="Times New Roman" w:hAnsi="Times New Roman" w:cs="Times New Roman" w:eastAsia="Times New Roman" w:hint="default"/>
        </w:rPr>
        <w:t>•</w:t>
        <w:tab/>
      </w:r>
      <w:r>
        <w:rPr/>
        <w:t>应收款项 应收款项是指在活跃市场中没有报价、回收金额固定或可确定的非衍生金融资产。</w:t>
      </w:r>
    </w:p>
    <w:p>
      <w:pPr>
        <w:pStyle w:val="BodyText"/>
        <w:tabs>
          <w:tab w:pos="573" w:val="left" w:leader="none"/>
        </w:tabs>
        <w:spacing w:line="328" w:lineRule="auto" w:before="43"/>
        <w:ind w:left="153" w:right="152" w:hanging="1"/>
        <w:jc w:val="left"/>
      </w:pPr>
      <w:r>
        <w:rPr>
          <w:rFonts w:ascii="Times New Roman" w:hAnsi="Times New Roman" w:cs="Times New Roman" w:eastAsia="Times New Roman" w:hint="default"/>
        </w:rPr>
        <w:t>•</w:t>
        <w:tab/>
      </w:r>
      <w:r>
        <w:rPr/>
        <w:t>可供出售金融资产 </w:t>
      </w:r>
      <w:r>
        <w:rPr>
          <w:spacing w:val="-2"/>
        </w:rPr>
        <w:t>可供出售金融资产包括初始确认时即被指定为可供出售的非衍生金融资产及未被划分为其他类的金融资产。自资产负债表日</w:t>
      </w:r>
      <w:r>
        <w:rPr>
          <w:spacing w:val="-65"/>
        </w:rPr>
        <w:t> </w:t>
      </w:r>
      <w:r>
        <w:rPr>
          <w:spacing w:val="-65"/>
        </w:rPr>
      </w:r>
      <w:r>
        <w:rPr/>
        <w:t>起</w:t>
      </w:r>
      <w:r>
        <w:rPr>
          <w:rFonts w:ascii="Times New Roman" w:hAnsi="Times New Roman" w:cs="Times New Roman" w:eastAsia="Times New Roman" w:hint="default"/>
        </w:rPr>
        <w:t>12</w:t>
      </w:r>
      <w:r>
        <w:rPr/>
        <w:t>个月内将出售的可供出售金融资产在资产负债表中列示为其他流动资产。</w:t>
      </w:r>
    </w:p>
    <w:p>
      <w:pPr>
        <w:pStyle w:val="BodyText"/>
        <w:tabs>
          <w:tab w:pos="573" w:val="left" w:leader="none"/>
        </w:tabs>
        <w:spacing w:line="319" w:lineRule="auto" w:before="27"/>
        <w:ind w:left="153" w:right="152" w:hanging="1"/>
        <w:jc w:val="left"/>
      </w:pPr>
      <w:r>
        <w:rPr>
          <w:rFonts w:ascii="Times New Roman" w:hAnsi="Times New Roman" w:cs="Times New Roman" w:eastAsia="Times New Roman" w:hint="default"/>
        </w:rPr>
        <w:t>•</w:t>
        <w:tab/>
      </w:r>
      <w:r>
        <w:rPr/>
        <w:t>持有至到期投资 </w:t>
      </w:r>
      <w:r>
        <w:rPr>
          <w:spacing w:val="-2"/>
        </w:rPr>
        <w:t>持有至到期投资是指到期日固定、回收金额固定或可确定，且管理层有明确意图和能力持有至到期的非衍生金融资产。取得</w:t>
      </w:r>
      <w:r>
        <w:rPr>
          <w:spacing w:val="-66"/>
        </w:rPr>
        <w:t> </w:t>
      </w:r>
      <w:r>
        <w:rPr>
          <w:spacing w:val="-66"/>
        </w:rPr>
      </w:r>
      <w:r>
        <w:rPr>
          <w:spacing w:val="-2"/>
        </w:rPr>
        <w:t>时期限超过</w:t>
      </w:r>
      <w:r>
        <w:rPr>
          <w:rFonts w:ascii="Times New Roman" w:hAnsi="Times New Roman" w:cs="Times New Roman" w:eastAsia="Times New Roman" w:hint="default"/>
          <w:spacing w:val="-2"/>
        </w:rPr>
        <w:t>12</w:t>
      </w:r>
      <w:r>
        <w:rPr>
          <w:spacing w:val="-2"/>
        </w:rPr>
        <w:t>个月但自资产负债表日起</w:t>
      </w:r>
      <w:r>
        <w:rPr>
          <w:rFonts w:ascii="Times New Roman" w:hAnsi="Times New Roman" w:cs="Times New Roman" w:eastAsia="Times New Roman" w:hint="default"/>
          <w:spacing w:val="-2"/>
        </w:rPr>
        <w:t>12</w:t>
      </w:r>
      <w:r>
        <w:rPr>
          <w:spacing w:val="-2"/>
        </w:rPr>
        <w:t>个月（含</w:t>
      </w:r>
      <w:r>
        <w:rPr>
          <w:rFonts w:ascii="Times New Roman" w:hAnsi="Times New Roman" w:cs="Times New Roman" w:eastAsia="Times New Roman" w:hint="default"/>
          <w:spacing w:val="-2"/>
        </w:rPr>
        <w:t>12</w:t>
      </w:r>
      <w:r>
        <w:rPr>
          <w:spacing w:val="-2"/>
        </w:rPr>
        <w:t>个月）内到期的持有至到期投资，列示为一年内到期的非流动资产；取</w:t>
      </w:r>
      <w:r>
        <w:rPr>
          <w:spacing w:val="-62"/>
        </w:rPr>
        <w:t> </w:t>
      </w:r>
      <w:r>
        <w:rPr>
          <w:spacing w:val="-62"/>
        </w:rPr>
      </w:r>
      <w:r>
        <w:rPr/>
        <w:t>得时期限在</w:t>
      </w:r>
      <w:r>
        <w:rPr>
          <w:rFonts w:ascii="Times New Roman" w:hAnsi="Times New Roman" w:cs="Times New Roman" w:eastAsia="Times New Roman" w:hint="default"/>
        </w:rPr>
        <w:t>12</w:t>
      </w:r>
      <w:r>
        <w:rPr/>
        <w:t>个月之内（含</w:t>
      </w:r>
      <w:r>
        <w:rPr>
          <w:rFonts w:ascii="Times New Roman" w:hAnsi="Times New Roman" w:cs="Times New Roman" w:eastAsia="Times New Roman" w:hint="default"/>
        </w:rPr>
        <w:t>12</w:t>
      </w:r>
      <w:r>
        <w:rPr/>
        <w:t>个月）的持有至到期投资，列示为其他流动资产。</w:t>
      </w:r>
    </w:p>
    <w:p>
      <w:pPr>
        <w:pStyle w:val="BodyText"/>
        <w:spacing w:line="328" w:lineRule="auto" w:before="38"/>
        <w:ind w:left="153" w:right="150"/>
        <w:jc w:val="left"/>
      </w:pPr>
      <w:r>
        <w:rPr/>
        <w:t>（</w:t>
      </w:r>
      <w:r>
        <w:rPr>
          <w:rFonts w:ascii="Times New Roman" w:hAnsi="Times New Roman" w:cs="Times New Roman" w:eastAsia="Times New Roman" w:hint="default"/>
        </w:rPr>
        <w:t>b</w:t>
      </w:r>
      <w:r>
        <w:rPr/>
        <w:t>）确认和计量 </w:t>
      </w:r>
      <w:r>
        <w:rPr>
          <w:spacing w:val="-2"/>
        </w:rPr>
        <w:t>金融资产于本集团成为金融工具合同的一方时，按公允价值在资产负债表内确认。以公允价值计量且其变动计入当期损益的</w:t>
      </w:r>
      <w:r>
        <w:rPr>
          <w:spacing w:val="-64"/>
        </w:rPr>
        <w:t> </w:t>
      </w:r>
      <w:r>
        <w:rPr>
          <w:spacing w:val="-64"/>
        </w:rPr>
      </w:r>
      <w:r>
        <w:rPr/>
        <w:t>金融资产，取得时发生的相关交易费用计入当期损益；其他金融资产的相关交易费用计入初始确认金额。</w:t>
      </w:r>
    </w:p>
    <w:p>
      <w:pPr>
        <w:pStyle w:val="BodyText"/>
        <w:spacing w:line="316" w:lineRule="auto" w:before="50"/>
        <w:ind w:left="153" w:right="150"/>
        <w:jc w:val="both"/>
      </w:pPr>
      <w:r>
        <w:rPr>
          <w:spacing w:val="-2"/>
        </w:rPr>
        <w:t>以公允价值计量且其变动计入当期损益的金融资产和可供出售金融资产按照公允价值进行后续计量，但在活跃市场中没有报</w:t>
      </w:r>
      <w:r>
        <w:rPr>
          <w:spacing w:val="-64"/>
        </w:rPr>
        <w:t> </w:t>
      </w:r>
      <w:r>
        <w:rPr>
          <w:spacing w:val="-64"/>
        </w:rPr>
      </w:r>
      <w:r>
        <w:rPr>
          <w:spacing w:val="-2"/>
        </w:rPr>
        <w:t>价且其公允价值不能可靠计量的权益工具投资，按照成本计量；应收款项以及持有至到期投资采用实际利率法，以摊余成本</w:t>
      </w:r>
      <w:r>
        <w:rPr>
          <w:spacing w:val="-63"/>
        </w:rPr>
        <w:t> </w:t>
      </w:r>
      <w:r>
        <w:rPr>
          <w:spacing w:val="-63"/>
        </w:rPr>
      </w:r>
      <w:r>
        <w:rPr/>
        <w:t>计量。</w:t>
      </w:r>
    </w:p>
    <w:p>
      <w:pPr>
        <w:pStyle w:val="BodyText"/>
        <w:spacing w:line="338" w:lineRule="auto" w:before="59"/>
        <w:ind w:left="153" w:right="150"/>
        <w:jc w:val="left"/>
      </w:pPr>
      <w:r>
        <w:rPr>
          <w:spacing w:val="-2"/>
        </w:rPr>
        <w:t>以公允价值计量且其变动计入当期损益的金融资产的公允价值变动作为公允价值变动损益计入当期损益；在资产持有期间所</w:t>
      </w:r>
      <w:r>
        <w:rPr>
          <w:spacing w:val="-64"/>
        </w:rPr>
        <w:t> </w:t>
      </w:r>
      <w:r>
        <w:rPr>
          <w:spacing w:val="-64"/>
        </w:rPr>
      </w:r>
      <w:r>
        <w:rPr/>
        <w:t>取得的利息或现金股利以及处置时产生的处置损益计入当期损益。 </w:t>
      </w:r>
      <w:r>
        <w:rPr>
          <w:spacing w:val="-2"/>
        </w:rPr>
        <w:t>除减值损失及外币货币性金融资产形成的汇兑损益外，可供出售金融资产公允价值变动直接计入股东权益，待该金融资产终</w:t>
      </w:r>
    </w:p>
    <w:p>
      <w:pPr>
        <w:pStyle w:val="BodyText"/>
        <w:spacing w:line="316" w:lineRule="auto" w:before="2"/>
        <w:ind w:left="153" w:right="150"/>
        <w:jc w:val="left"/>
      </w:pPr>
      <w:r>
        <w:rPr>
          <w:spacing w:val="-2"/>
        </w:rPr>
        <w:t>止确认时，原直接计入权益的公允价值变动累计额转入当期损益。可供出售债务工具投资在持有期间按实际利率法计算的利</w:t>
      </w:r>
      <w:r>
        <w:rPr>
          <w:spacing w:val="-64"/>
        </w:rPr>
        <w:t> </w:t>
      </w:r>
      <w:r>
        <w:rPr>
          <w:spacing w:val="-64"/>
        </w:rPr>
      </w:r>
      <w:r>
        <w:rPr/>
        <w:t>息，以及被投资单位已宣告发放的与可供出售权益工具投资相关的现金股利，作为投资收益计入当期损益。</w:t>
      </w:r>
    </w:p>
    <w:p>
      <w:pPr>
        <w:pStyle w:val="BodyText"/>
        <w:spacing w:line="328" w:lineRule="auto" w:before="59"/>
        <w:ind w:left="153" w:right="150"/>
        <w:jc w:val="left"/>
      </w:pPr>
      <w:r>
        <w:rPr/>
        <w:t>（</w:t>
      </w:r>
      <w:r>
        <w:rPr>
          <w:rFonts w:ascii="Times New Roman" w:hAnsi="Times New Roman" w:cs="Times New Roman" w:eastAsia="Times New Roman" w:hint="default"/>
        </w:rPr>
        <w:t>c</w:t>
      </w:r>
      <w:r>
        <w:rPr/>
        <w:t>）金融资产减值 </w:t>
      </w:r>
      <w:r>
        <w:rPr>
          <w:spacing w:val="-2"/>
        </w:rPr>
        <w:t>除以公允价值计量且其变动计入当期损益的金融资产外，本集团于资产负债表日对金融资产的账面价值进行检查，如果有客</w:t>
      </w:r>
      <w:r>
        <w:rPr>
          <w:spacing w:val="-64"/>
        </w:rPr>
        <w:t> </w:t>
      </w:r>
      <w:r>
        <w:rPr>
          <w:spacing w:val="-64"/>
        </w:rPr>
      </w:r>
      <w:r>
        <w:rPr/>
        <w:t>观证据表明某项金融资产发生减值的，计提减值准备。</w:t>
      </w:r>
    </w:p>
    <w:p>
      <w:pPr>
        <w:spacing w:after="0" w:line="328"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16" w:lineRule="auto"/>
        <w:ind w:right="249"/>
        <w:jc w:val="left"/>
      </w:pPr>
      <w:r>
        <w:rPr>
          <w:spacing w:val="-2"/>
        </w:rPr>
        <w:t>表明金融资产发生减值的客观证据，是指金融资产初始确认后实际发生的、对该金融资产的预计未来现金流量有影响，且本</w:t>
      </w:r>
      <w:r>
        <w:rPr>
          <w:spacing w:val="-63"/>
        </w:rPr>
        <w:t> </w:t>
      </w:r>
      <w:r>
        <w:rPr>
          <w:spacing w:val="-63"/>
        </w:rPr>
      </w:r>
      <w:r>
        <w:rPr/>
        <w:t>集团能够对该影响进行可靠计量的事项。</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6" w:lineRule="auto"/>
        <w:ind w:right="83"/>
        <w:jc w:val="left"/>
        <w:rPr>
          <w:rFonts w:ascii="Times New Roman" w:hAnsi="Times New Roman" w:cs="Times New Roman" w:eastAsia="Times New Roman" w:hint="default"/>
        </w:rPr>
      </w:pPr>
      <w:r>
        <w:rPr/>
        <w:t>表明可供出售权益工具投资发生减值的客观证据包括权益工具投资的公允价值发生严重或非暂时性下跌</w:t>
      </w:r>
      <w:r>
        <w:rPr>
          <w:spacing w:val="-82"/>
        </w:rPr>
        <w:t>。</w:t>
      </w:r>
      <w:r>
        <w:rPr/>
        <w:t>本集团于资产负债</w:t>
      </w:r>
      <w:r>
        <w:rPr/>
        <w:t> 表日对各项可供出售权益工具投资单独进行检查</w:t>
      </w:r>
      <w:r>
        <w:rPr>
          <w:spacing w:val="-82"/>
        </w:rPr>
        <w:t>，</w:t>
      </w:r>
      <w:r>
        <w:rPr/>
        <w:t>若该权益工具投资于资产负债表日的公允价值低于其初始投资成本超过</w:t>
      </w:r>
      <w:r>
        <w:rPr>
          <w:rFonts w:ascii="Times New Roman" w:hAnsi="Times New Roman" w:cs="Times New Roman" w:eastAsia="Times New Roman" w:hint="default"/>
          <w:spacing w:val="1"/>
        </w:rPr>
        <w:t>50%</w:t>
      </w:r>
      <w:r>
        <w:rPr>
          <w:rFonts w:ascii="Times New Roman" w:hAnsi="Times New Roman" w:cs="Times New Roman" w:eastAsia="Times New Roman" w:hint="default"/>
        </w:rPr>
      </w:r>
    </w:p>
    <w:p>
      <w:pPr>
        <w:pStyle w:val="BodyText"/>
        <w:spacing w:line="300" w:lineRule="auto"/>
        <w:ind w:right="250"/>
        <w:jc w:val="both"/>
      </w:pPr>
      <w:r>
        <w:rPr>
          <w:spacing w:val="-1"/>
        </w:rPr>
        <w:t>（含</w:t>
      </w:r>
      <w:r>
        <w:rPr>
          <w:rFonts w:ascii="Times New Roman" w:hAnsi="Times New Roman" w:cs="Times New Roman" w:eastAsia="Times New Roman" w:hint="default"/>
          <w:spacing w:val="-1"/>
        </w:rPr>
        <w:t>50%</w:t>
      </w:r>
      <w:r>
        <w:rPr>
          <w:spacing w:val="-1"/>
        </w:rPr>
        <w:t>）或低于其初始投资成本持续时间超过一年（含一年）的，则表明其发生减值；若该权益工具投资于资产负债表日</w:t>
      </w:r>
      <w:r>
        <w:rPr/>
        <w:t> </w:t>
      </w:r>
      <w:r>
        <w:rPr>
          <w:spacing w:val="-4"/>
        </w:rPr>
        <w:t>的公允价值低于其初始投资成本超过</w:t>
      </w:r>
      <w:r>
        <w:rPr>
          <w:rFonts w:ascii="Times New Roman" w:hAnsi="Times New Roman" w:cs="Times New Roman" w:eastAsia="Times New Roman" w:hint="default"/>
          <w:spacing w:val="-4"/>
        </w:rPr>
        <w:t>20%</w:t>
      </w:r>
      <w:r>
        <w:rPr>
          <w:spacing w:val="-4"/>
        </w:rPr>
        <w:t>（含</w:t>
      </w:r>
      <w:r>
        <w:rPr>
          <w:rFonts w:ascii="Times New Roman" w:hAnsi="Times New Roman" w:cs="Times New Roman" w:eastAsia="Times New Roman" w:hint="default"/>
          <w:spacing w:val="-4"/>
        </w:rPr>
        <w:t>20%</w:t>
      </w:r>
      <w:r>
        <w:rPr>
          <w:spacing w:val="-4"/>
        </w:rPr>
        <w:t>）但尚未达到</w:t>
      </w:r>
      <w:r>
        <w:rPr>
          <w:rFonts w:ascii="Times New Roman" w:hAnsi="Times New Roman" w:cs="Times New Roman" w:eastAsia="Times New Roman" w:hint="default"/>
          <w:spacing w:val="-4"/>
        </w:rPr>
        <w:t>50%</w:t>
      </w:r>
      <w:r>
        <w:rPr>
          <w:spacing w:val="-4"/>
        </w:rPr>
        <w:t>的，本集团会综合考虑其他相关因素诸如价格波动率等，</w:t>
      </w:r>
      <w:r>
        <w:rPr>
          <w:spacing w:val="-34"/>
        </w:rPr>
        <w:t> </w:t>
      </w:r>
      <w:r>
        <w:rPr>
          <w:spacing w:val="-34"/>
        </w:rPr>
      </w:r>
      <w:r>
        <w:rPr/>
        <w:t>判断该权益工具投资是否发生减值。本集团以加权平均法计算可供出售权益工具投资的初始投资成本。</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16" w:lineRule="auto"/>
        <w:ind w:right="250"/>
        <w:jc w:val="both"/>
      </w:pPr>
      <w:r>
        <w:rPr>
          <w:spacing w:val="-5"/>
        </w:rPr>
        <w:t>以摊余成本计量的金融资产发生减值时，按预计未来现金流量（不包括尚未发生的未来信用损失）现值低于账面价值的差额，</w:t>
      </w:r>
      <w:r>
        <w:rPr>
          <w:spacing w:val="-76"/>
        </w:rPr>
        <w:t> </w:t>
      </w:r>
      <w:r>
        <w:rPr>
          <w:spacing w:val="-76"/>
        </w:rPr>
      </w:r>
      <w:r>
        <w:rPr>
          <w:spacing w:val="-2"/>
        </w:rPr>
        <w:t>计提减值准备。如果有客观证据表明该金融资产价值已恢复，且客观上与确认该损失后发生的事项有关，原确认的减值损失</w:t>
      </w:r>
      <w:r>
        <w:rPr>
          <w:spacing w:val="-63"/>
        </w:rPr>
        <w:t> </w:t>
      </w:r>
      <w:r>
        <w:rPr>
          <w:spacing w:val="-63"/>
        </w:rPr>
      </w:r>
      <w:r>
        <w:rPr/>
        <w:t>予以转回，计入当期损益。</w:t>
      </w:r>
    </w:p>
    <w:p>
      <w:pPr>
        <w:pStyle w:val="BodyText"/>
        <w:spacing w:line="316" w:lineRule="auto" w:before="59"/>
        <w:ind w:right="101"/>
        <w:jc w:val="left"/>
      </w:pPr>
      <w:r>
        <w:rPr>
          <w:spacing w:val="-2"/>
        </w:rPr>
        <w:t>以公允价值计量的可供出售金融资产发生减值时，原直接计入股东权益的因公允价值下降形成的累计损失予以转出并计入减</w:t>
      </w:r>
      <w:r>
        <w:rPr>
          <w:spacing w:val="-64"/>
        </w:rPr>
        <w:t> </w:t>
      </w:r>
      <w:r>
        <w:rPr>
          <w:spacing w:val="-64"/>
        </w:rPr>
      </w:r>
      <w:r>
        <w:rPr>
          <w:spacing w:val="-4"/>
        </w:rPr>
        <w:t>值损失。对已确认减值损失的可供出售债务工具投资，在期后公允价值上升且客观上与确认原减值损失后发生的事项有关的，</w:t>
      </w:r>
      <w:r>
        <w:rPr>
          <w:spacing w:val="-44"/>
        </w:rPr>
        <w:t> </w:t>
      </w:r>
      <w:r>
        <w:rPr>
          <w:spacing w:val="-44"/>
        </w:rPr>
      </w:r>
      <w:r>
        <w:rPr>
          <w:spacing w:val="-2"/>
        </w:rPr>
        <w:t>原确认的减值损失予以转回并计入当期损益。对已确认减值损失的可供出售权益工具投资，期后公允价值上升直接计入股东</w:t>
      </w:r>
      <w:r>
        <w:rPr>
          <w:spacing w:val="-64"/>
        </w:rPr>
        <w:t> </w:t>
      </w:r>
      <w:r>
        <w:rPr>
          <w:spacing w:val="-64"/>
        </w:rPr>
      </w:r>
      <w:r>
        <w:rPr/>
        <w:t>权益。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6" w:lineRule="auto"/>
        <w:ind w:right="249"/>
        <w:jc w:val="left"/>
      </w:pPr>
      <w:r>
        <w:rPr>
          <w:spacing w:val="-2"/>
        </w:rPr>
        <w:t>以成本计量的可供出售金融资产发生减值时，将其账面价值与按照类似金融资产当时市场收益率对未来现金流量折现确定的</w:t>
      </w:r>
      <w:r>
        <w:rPr>
          <w:spacing w:val="-64"/>
        </w:rPr>
        <w:t> </w:t>
      </w:r>
      <w:r>
        <w:rPr>
          <w:spacing w:val="-64"/>
        </w:rPr>
      </w:r>
      <w:r>
        <w:rPr/>
        <w:t>现值之间的差额，确认为减值损失，计入当期损益。已发生的减值损失以后期间不再转回。</w:t>
      </w:r>
    </w:p>
    <w:p>
      <w:pPr>
        <w:pStyle w:val="BodyText"/>
        <w:spacing w:line="319" w:lineRule="auto" w:before="59"/>
        <w:ind w:right="274"/>
        <w:jc w:val="left"/>
      </w:pPr>
      <w:r>
        <w:rPr/>
        <w:t>（</w:t>
      </w:r>
      <w:r>
        <w:rPr>
          <w:rFonts w:ascii="Times New Roman" w:hAnsi="Times New Roman" w:cs="Times New Roman" w:eastAsia="Times New Roman" w:hint="default"/>
        </w:rPr>
        <w:t>d</w:t>
      </w:r>
      <w:r>
        <w:rPr/>
        <w:t>）金融资产的终止确认 金融资产满足下列条件之一的，予以终止确认：</w:t>
      </w:r>
      <w:r>
        <w:rPr>
          <w:rFonts w:ascii="Times New Roman" w:hAnsi="Times New Roman" w:cs="Times New Roman" w:eastAsia="Times New Roman" w:hint="default"/>
        </w:rPr>
        <w:t>(1)</w:t>
      </w:r>
      <w:r>
        <w:rPr/>
        <w:t>收取该金融资产现金流量的合同权利终止；</w:t>
      </w:r>
      <w:r>
        <w:rPr>
          <w:rFonts w:ascii="Times New Roman" w:hAnsi="Times New Roman" w:cs="Times New Roman" w:eastAsia="Times New Roman" w:hint="default"/>
        </w:rPr>
        <w:t>(2)</w:t>
      </w:r>
      <w:r>
        <w:rPr/>
        <w:t>该金融资产已转移，且本 集团将金融资产所有权上几乎所有的风险和报酬转移给转入方；或者</w:t>
      </w:r>
      <w:r>
        <w:rPr>
          <w:rFonts w:ascii="Times New Roman" w:hAnsi="Times New Roman" w:cs="Times New Roman" w:eastAsia="Times New Roman" w:hint="default"/>
        </w:rPr>
        <w:t>(3)</w:t>
      </w:r>
      <w:r>
        <w:rPr/>
        <w:t>该金融资产已转移，虽然本集团既没有转移也没有</w:t>
      </w:r>
    </w:p>
    <w:p>
      <w:pPr>
        <w:pStyle w:val="BodyText"/>
        <w:spacing w:line="233" w:lineRule="exact"/>
        <w:ind w:right="249"/>
        <w:jc w:val="left"/>
      </w:pPr>
      <w:r>
        <w:rPr/>
        <w:t>保留金融资产所有权上几乎所有的风险和报酬，但是放弃了对该金融资产控制。</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101"/>
        <w:jc w:val="left"/>
      </w:pPr>
      <w:r>
        <w:rPr/>
        <w:t>金融资产终止确认时</w:t>
      </w:r>
      <w:r>
        <w:rPr>
          <w:spacing w:val="-87"/>
        </w:rPr>
        <w:t>，</w:t>
      </w:r>
      <w:r>
        <w:rPr/>
        <w:t>其账面价值与收到的对价以及原直接计入股东权益的公允价值变动累计额之和的差额</w:t>
      </w:r>
      <w:r>
        <w:rPr>
          <w:spacing w:val="-87"/>
        </w:rPr>
        <w:t>，</w:t>
      </w:r>
      <w:r>
        <w:rPr/>
        <w:t>计入当期损益。</w:t>
      </w:r>
    </w:p>
    <w:p>
      <w:pPr>
        <w:pStyle w:val="BodyText"/>
        <w:spacing w:line="328" w:lineRule="auto" w:before="117"/>
        <w:ind w:right="249"/>
        <w:jc w:val="left"/>
      </w:pPr>
      <w:r>
        <w:rPr/>
        <w:t>（</w:t>
      </w:r>
      <w:r>
        <w:rPr>
          <w:rFonts w:ascii="Times New Roman" w:hAnsi="Times New Roman" w:cs="Times New Roman" w:eastAsia="Times New Roman" w:hint="default"/>
        </w:rPr>
        <w:t>2</w:t>
      </w:r>
      <w:r>
        <w:rPr/>
        <w:t>）金融负债 </w:t>
      </w:r>
      <w:r>
        <w:rPr>
          <w:spacing w:val="-2"/>
        </w:rPr>
        <w:t>金融负债于初始确认时分类为以公允价值计量且其变动计入当期损益的金融负债和其他金融负债。本集团的金融负债主要为</w:t>
      </w:r>
      <w:r>
        <w:rPr>
          <w:spacing w:val="-64"/>
        </w:rPr>
        <w:t> </w:t>
      </w:r>
      <w:r>
        <w:rPr>
          <w:spacing w:val="-64"/>
        </w:rPr>
      </w:r>
      <w:r>
        <w:rPr/>
        <w:t>应付款项、借款等其他金融负债。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717" w:lineRule="auto"/>
        <w:ind w:right="249"/>
        <w:jc w:val="left"/>
      </w:pPr>
      <w:r>
        <w:rPr/>
        <w:t>应付款项包括应付账款、其他应付款等，以公允价值进行初始计量，并采用实际利率法按摊余成本进行后续计量。 借款及应付债券按其公允价值扣除交易费用后的金额进行初始计量，并采用实际利率法按摊余成本进行后续计量。</w:t>
      </w:r>
    </w:p>
    <w:p>
      <w:pPr>
        <w:pStyle w:val="BodyText"/>
        <w:spacing w:line="338" w:lineRule="auto" w:before="109"/>
        <w:ind w:right="249"/>
        <w:jc w:val="left"/>
      </w:pPr>
      <w:r>
        <w:rPr>
          <w:spacing w:val="-2"/>
        </w:rPr>
        <w:t>其他金融负债期限在一年以下（含一年）的，列示为流动负债；期限在一年以上但自资产负债表日起一年内（含一年）到期</w:t>
      </w:r>
      <w:r>
        <w:rPr>
          <w:spacing w:val="-67"/>
        </w:rPr>
        <w:t> </w:t>
      </w:r>
      <w:r>
        <w:rPr>
          <w:spacing w:val="-67"/>
        </w:rPr>
      </w:r>
      <w:r>
        <w:rPr/>
        <w:t>的，列示为一年内到期的非流动负债；其余列示为非流动负债。 </w:t>
      </w:r>
      <w:r>
        <w:rPr>
          <w:spacing w:val="-2"/>
        </w:rPr>
        <w:t>当金融负债的现时义务全部或部分已经解除时，终止确认该金融负债或义务已解除的部分。终止确认部分的账面价值与支付</w:t>
      </w:r>
    </w:p>
    <w:p>
      <w:pPr>
        <w:pStyle w:val="BodyText"/>
        <w:spacing w:line="240" w:lineRule="auto" w:before="2"/>
        <w:ind w:right="249"/>
        <w:jc w:val="left"/>
      </w:pPr>
      <w:r>
        <w:rPr/>
        <w:t>的对价之间的差额，计入当期损益。</w:t>
      </w:r>
    </w:p>
    <w:p>
      <w:pPr>
        <w:pStyle w:val="BodyText"/>
        <w:spacing w:line="328" w:lineRule="auto" w:before="117"/>
        <w:ind w:right="249"/>
        <w:jc w:val="left"/>
      </w:pPr>
      <w:r>
        <w:rPr/>
        <w:t>（</w:t>
      </w:r>
      <w:r>
        <w:rPr>
          <w:rFonts w:ascii="Times New Roman" w:hAnsi="Times New Roman" w:cs="Times New Roman" w:eastAsia="Times New Roman" w:hint="default"/>
        </w:rPr>
        <w:t>3</w:t>
      </w:r>
      <w:r>
        <w:rPr/>
        <w:t>）金融工具的公允价值确定 </w:t>
      </w:r>
      <w:r>
        <w:rPr>
          <w:spacing w:val="-2"/>
        </w:rPr>
        <w:t>存在活跃市场的金融工具，以活跃市场中的报价确定其公允价值。不存在活跃市场的金融工具，采用估值技术确定其公允价</w:t>
      </w:r>
      <w:r>
        <w:rPr>
          <w:spacing w:val="-63"/>
        </w:rPr>
        <w:t> </w:t>
      </w:r>
      <w:r>
        <w:rPr>
          <w:spacing w:val="-63"/>
        </w:rPr>
      </w:r>
      <w:r>
        <w:rPr>
          <w:spacing w:val="-2"/>
        </w:rPr>
        <w:t>值。在估值时，本集团采用在当前情况下适用并且有足够可利用数据和其他信息支持的估值技术，选择与市场参与者在相关</w:t>
      </w:r>
    </w:p>
    <w:p>
      <w:pPr>
        <w:spacing w:after="0" w:line="328" w:lineRule="auto"/>
        <w:jc w:val="left"/>
        <w:sectPr>
          <w:pgSz w:w="11910" w:h="16840"/>
          <w:pgMar w:header="745" w:footer="982" w:top="1060" w:bottom="1180" w:left="980" w:right="880"/>
        </w:sectPr>
      </w:pPr>
    </w:p>
    <w:p>
      <w:pPr>
        <w:spacing w:line="240" w:lineRule="auto" w:before="9"/>
        <w:rPr>
          <w:rFonts w:ascii="宋体" w:hAnsi="宋体" w:cs="宋体" w:eastAsia="宋体" w:hint="default"/>
          <w:sz w:val="25"/>
          <w:szCs w:val="25"/>
        </w:rPr>
      </w:pPr>
    </w:p>
    <w:p>
      <w:pPr>
        <w:pStyle w:val="BodyText"/>
        <w:spacing w:line="316" w:lineRule="auto" w:before="44"/>
        <w:ind w:right="150"/>
        <w:jc w:val="left"/>
      </w:pPr>
      <w:r>
        <w:rPr>
          <w:spacing w:val="-2"/>
        </w:rPr>
        <w:t>资产或负债的交易中所考虑的资产或负债特征相一致的输入值，并尽可能优先使用相关可观察输入值。在相关可观察输入值</w:t>
      </w:r>
      <w:r>
        <w:rPr>
          <w:spacing w:val="-64"/>
        </w:rPr>
        <w:t> </w:t>
      </w:r>
      <w:r>
        <w:rPr>
          <w:spacing w:val="-64"/>
        </w:rPr>
      </w:r>
      <w:r>
        <w:rPr/>
        <w:t>无法取得或取得不切实可行的情况下，使用不可观察输入值。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50"/>
        <w:jc w:val="left"/>
        <w:rPr>
          <w:b w:val="0"/>
          <w:bCs w:val="0"/>
        </w:rPr>
      </w:pPr>
      <w:bookmarkStart w:name="11、应收款项" w:id="180"/>
      <w:bookmarkEnd w:id="18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r>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3"/>
        <w:rPr>
          <w:rFonts w:ascii="宋体" w:hAnsi="宋体" w:cs="宋体" w:eastAsia="宋体" w:hint="default"/>
          <w:b/>
          <w:bCs/>
          <w:sz w:val="19"/>
          <w:szCs w:val="19"/>
        </w:rPr>
      </w:pPr>
    </w:p>
    <w:p>
      <w:pPr>
        <w:pStyle w:val="Heading3"/>
        <w:spacing w:line="240" w:lineRule="auto" w:before="36"/>
        <w:ind w:right="150"/>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8"/>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786"/>
        <w:gridCol w:w="4786"/>
      </w:tblGrid>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715"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对于单项金额不重大的应收款项，与经单独测试后未减值的 应收款项一起按信用风险特征划分为若干组合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150"/>
        <w:jc w:val="left"/>
      </w:pPr>
      <w:r>
        <w:rPr/>
        <w:t>组合中，采用账龄分析法计提坏账准备的：</w:t>
      </w:r>
    </w:p>
    <w:p>
      <w:pPr>
        <w:pStyle w:val="BodyText"/>
        <w:spacing w:line="240" w:lineRule="auto" w:before="115"/>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0-1.00%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150"/>
        <w:jc w:val="left"/>
      </w:pPr>
      <w:r>
        <w:rPr/>
        <w:t>组合中，采用余额百分比法计提坏账准备的：</w:t>
      </w:r>
    </w:p>
    <w:p>
      <w:pPr>
        <w:pStyle w:val="BodyText"/>
        <w:spacing w:line="338" w:lineRule="auto" w:before="117"/>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3"/>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0"/>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存在客观证据表明本集团将无法按应收款项的原有条款收回 款项。</w:t>
            </w:r>
          </w:p>
        </w:tc>
      </w:tr>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189"/>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324" w:lineRule="auto" w:before="29"/>
        <w:ind w:right="189"/>
        <w:jc w:val="left"/>
      </w:pPr>
      <w:r>
        <w:rPr/>
        <w:t>（</w:t>
      </w:r>
      <w:r>
        <w:rPr>
          <w:rFonts w:ascii="Times New Roman" w:hAnsi="Times New Roman" w:cs="Times New Roman" w:eastAsia="Times New Roman" w:hint="default"/>
        </w:rPr>
        <w:t>1</w:t>
      </w:r>
      <w:r>
        <w:rPr/>
        <w:t>）分类 </w:t>
      </w:r>
      <w:r>
        <w:rPr>
          <w:spacing w:val="-2"/>
        </w:rPr>
        <w:t>本公司的存货分类为软件开发成本、第三方软硬件及系统集成成本等，按成本与可变现净值孰低计量。软件开发成本主要核</w:t>
      </w:r>
      <w:r>
        <w:rPr>
          <w:spacing w:val="-63"/>
        </w:rPr>
        <w:t> </w:t>
      </w:r>
      <w:r>
        <w:rPr>
          <w:spacing w:val="-63"/>
        </w:rPr>
      </w:r>
      <w:r>
        <w:rPr>
          <w:spacing w:val="-2"/>
        </w:rPr>
        <w:t>算已签合同定制软件开发项目在软件主要功能通过测试并且取得客户确认的上线报告时点之前所发生的各项成本。第三方软</w:t>
      </w:r>
      <w:r>
        <w:rPr>
          <w:spacing w:val="-64"/>
        </w:rPr>
        <w:t> </w:t>
      </w:r>
      <w:r>
        <w:rPr>
          <w:spacing w:val="-64"/>
        </w:rPr>
      </w:r>
      <w:r>
        <w:rPr/>
        <w:t>硬件及系统集成成本主要核算第三方软硬件采购及系统集成项目在产品经客户最终验收前所发生的软硬件产品采购成本及 其他各项成本。</w:t>
      </w:r>
    </w:p>
    <w:p>
      <w:pPr>
        <w:pStyle w:val="BodyText"/>
        <w:spacing w:line="340" w:lineRule="auto" w:before="52"/>
        <w:ind w:right="6754"/>
        <w:jc w:val="left"/>
      </w:pPr>
      <w:r>
        <w:rPr/>
        <w:t>（</w:t>
      </w:r>
      <w:r>
        <w:rPr>
          <w:rFonts w:ascii="Times New Roman" w:hAnsi="Times New Roman" w:cs="Times New Roman" w:eastAsia="Times New Roman" w:hint="default"/>
        </w:rPr>
        <w:t>2</w:t>
      </w:r>
      <w:r>
        <w:rPr/>
        <w:t>）发出存货的计价方法 存货发出时的成本按个别计价法核算。</w:t>
      </w:r>
    </w:p>
    <w:p>
      <w:pPr>
        <w:pStyle w:val="BodyText"/>
        <w:spacing w:line="324" w:lineRule="auto" w:before="41"/>
        <w:ind w:right="189"/>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）存货可变现净值的确定依据及存货跌价准备的计提方法 </w:t>
      </w:r>
      <w:r>
        <w:rPr>
          <w:spacing w:val="-2"/>
        </w:rPr>
        <w:t>存货跌价准备按存货成本高于其可变现净值的差额计提。为执行已签署的定制软件开发劳务合同、第三方软硬件及系统集成</w:t>
      </w:r>
      <w:r>
        <w:rPr>
          <w:spacing w:val="-64"/>
        </w:rPr>
        <w:t> </w:t>
      </w:r>
      <w:r>
        <w:rPr>
          <w:spacing w:val="-64"/>
        </w:rPr>
      </w:r>
      <w:r>
        <w:rPr>
          <w:spacing w:val="-2"/>
        </w:rPr>
        <w:t>销售或者劳务合同而形成或持有的存货，以合同价格减去至完工时估计将要发生的成本、估计的销售费用以及相关税费后的</w:t>
      </w:r>
      <w:r>
        <w:rPr>
          <w:spacing w:val="-64"/>
        </w:rPr>
        <w:t> </w:t>
      </w:r>
      <w:r>
        <w:rPr>
          <w:spacing w:val="-64"/>
        </w:rPr>
      </w:r>
      <w:r>
        <w:rPr/>
        <w:t>金额确定可变现净值。若合同为亏损合同，亏损合同仍需确认相关预计负债（见五</w:t>
      </w:r>
      <w:r>
        <w:rPr>
          <w:rFonts w:ascii="Times New Roman" w:hAnsi="Times New Roman" w:cs="Times New Roman" w:eastAsia="Times New Roman" w:hint="default"/>
        </w:rPr>
        <w:t>(22)</w:t>
      </w:r>
      <w:r>
        <w:rPr/>
        <w:t>）</w:t>
      </w:r>
      <w:r>
        <w:rPr>
          <w:rFonts w:ascii="Times New Roman" w:hAnsi="Times New Roman" w:cs="Times New Roman" w:eastAsia="Times New Roman" w:hint="default"/>
        </w:rPr>
        <w:t>.</w:t>
      </w:r>
    </w:p>
    <w:p>
      <w:pPr>
        <w:pStyle w:val="BodyText"/>
        <w:spacing w:line="240" w:lineRule="auto" w:before="34"/>
        <w:ind w:right="189"/>
        <w:jc w:val="left"/>
      </w:pPr>
      <w:r>
        <w:rPr/>
        <w:t>（</w:t>
      </w:r>
      <w:r>
        <w:rPr>
          <w:rFonts w:ascii="Times New Roman" w:hAnsi="Times New Roman" w:cs="Times New Roman" w:eastAsia="Times New Roman" w:hint="default"/>
        </w:rPr>
        <w:t>4</w:t>
      </w:r>
      <w:r>
        <w:rPr/>
        <w:t>）本集团的存货盘存制度采用永续盘存制。</w:t>
      </w:r>
    </w:p>
    <w:p>
      <w:pPr>
        <w:pStyle w:val="BodyText"/>
        <w:spacing w:line="338" w:lineRule="auto" w:before="103"/>
        <w:ind w:right="4414"/>
        <w:jc w:val="left"/>
      </w:pPr>
      <w:r>
        <w:rPr/>
        <w:t>（</w:t>
      </w:r>
      <w:r>
        <w:rPr>
          <w:rFonts w:ascii="Times New Roman" w:hAnsi="Times New Roman" w:cs="Times New Roman" w:eastAsia="Times New Roman" w:hint="default"/>
        </w:rPr>
        <w:t>5</w:t>
      </w:r>
      <w:r>
        <w:rPr/>
        <w:t>）低值易耗品的摊销方法 低值易耗品（主要为办公用品）在领用时采用一次转销法进行摊销。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189"/>
        <w:jc w:val="left"/>
        <w:rPr>
          <w:b w:val="0"/>
          <w:bCs w:val="0"/>
        </w:rPr>
      </w:pPr>
      <w:bookmarkStart w:name="13、持有待售资产" w:id="185"/>
      <w:bookmarkEnd w:id="185"/>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89"/>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89"/>
        <w:jc w:val="left"/>
        <w:rPr>
          <w:b w:val="0"/>
          <w:bCs w:val="0"/>
        </w:rPr>
      </w:pPr>
      <w:bookmarkStart w:name="14、长期股权投资" w:id="186"/>
      <w:bookmarkEnd w:id="18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89"/>
        <w:jc w:val="left"/>
      </w:pPr>
      <w:r>
        <w:rPr/>
        <w:t>长期股权投资包括：本公司对子公司的长期股权投资；本集团对合营企业的长期股权投资。 </w:t>
      </w:r>
      <w:r>
        <w:rPr>
          <w:spacing w:val="-2"/>
        </w:rPr>
        <w:t>子公司为本公司能够对其实施控制的被投资单位。合营企业为本集团通过单独主体达成，能够与其他方实施共同控制，且基</w:t>
      </w:r>
      <w:r>
        <w:rPr>
          <w:spacing w:val="-63"/>
        </w:rPr>
        <w:t> </w:t>
      </w:r>
      <w:r>
        <w:rPr>
          <w:spacing w:val="-63"/>
        </w:rPr>
      </w:r>
      <w:r>
        <w:rPr/>
        <w:t>于法律形式、合同条款及其他事实与情况仅对其净资产享有权利的合营安排。</w:t>
      </w:r>
    </w:p>
    <w:p>
      <w:pPr>
        <w:pStyle w:val="BodyText"/>
        <w:spacing w:line="316" w:lineRule="auto" w:before="41"/>
        <w:ind w:right="189"/>
        <w:jc w:val="left"/>
      </w:pPr>
      <w:r>
        <w:rPr>
          <w:spacing w:val="-2"/>
        </w:rPr>
        <w:t>对子公司的投资，在公司财务报表中按照成本法确定的金额列示，在编制合并财务报表时按权益法调整后进行合并；对合营</w:t>
      </w:r>
      <w:r>
        <w:rPr>
          <w:spacing w:val="-63"/>
        </w:rPr>
        <w:t> </w:t>
      </w:r>
      <w:r>
        <w:rPr>
          <w:spacing w:val="-63"/>
        </w:rPr>
      </w:r>
      <w:r>
        <w:rPr/>
        <w:t>企业投资采用权益法核算。</w:t>
      </w:r>
    </w:p>
    <w:p>
      <w:pPr>
        <w:pStyle w:val="BodyText"/>
        <w:spacing w:line="324" w:lineRule="auto" w:before="59"/>
        <w:ind w:right="189"/>
        <w:jc w:val="left"/>
      </w:pPr>
      <w:r>
        <w:rPr/>
        <w:t>（</w:t>
      </w:r>
      <w:r>
        <w:rPr>
          <w:rFonts w:ascii="Times New Roman" w:hAnsi="Times New Roman" w:cs="Times New Roman" w:eastAsia="Times New Roman" w:hint="default"/>
        </w:rPr>
        <w:t>1</w:t>
      </w:r>
      <w:r>
        <w:rPr/>
        <w:t>）投资成本确定 </w:t>
      </w:r>
      <w:r>
        <w:rPr>
          <w:spacing w:val="-2"/>
        </w:rPr>
        <w:t>对于企业合并形成的长期股权投资：同一控制下企业合并取得的长期股权投资，在合并日按照取得被合并方所有者权益在最</w:t>
      </w:r>
      <w:r>
        <w:rPr>
          <w:spacing w:val="-64"/>
        </w:rPr>
        <w:t> </w:t>
      </w:r>
      <w:r>
        <w:rPr>
          <w:spacing w:val="-64"/>
        </w:rPr>
      </w:r>
      <w:r>
        <w:rPr>
          <w:spacing w:val="-2"/>
        </w:rPr>
        <w:t>终控制方合并财务报表中的账面价值的份额作为投资成本；非同一控制下企业合并取得的长期股权投资，按照合并成本作为</w:t>
      </w:r>
      <w:r>
        <w:rPr>
          <w:spacing w:val="-64"/>
        </w:rPr>
        <w:t> </w:t>
      </w:r>
      <w:r>
        <w:rPr>
          <w:spacing w:val="-64"/>
        </w:rPr>
      </w:r>
      <w:r>
        <w:rPr/>
        <w:t>长期股权投资的投资成本。</w:t>
      </w:r>
    </w:p>
    <w:p>
      <w:pPr>
        <w:pStyle w:val="BodyText"/>
        <w:spacing w:line="316" w:lineRule="auto" w:before="52"/>
        <w:ind w:right="189"/>
        <w:jc w:val="left"/>
      </w:pPr>
      <w:r>
        <w:rPr>
          <w:spacing w:val="-2"/>
        </w:rPr>
        <w:t>对于以企业合并以外的其他方式取得的长期股权投资：支付现金取得的长期股权投资，按照实际支付的购买价款作为初始投</w:t>
      </w:r>
      <w:r>
        <w:rPr>
          <w:spacing w:val="-64"/>
        </w:rPr>
        <w:t> </w:t>
      </w:r>
      <w:r>
        <w:rPr>
          <w:spacing w:val="-64"/>
        </w:rPr>
      </w:r>
      <w:r>
        <w:rPr/>
        <w:t>资成本；发行权益性证券取得的长期股权投资，以发行权益性证券的公允价值作为初始投资成本</w:t>
      </w:r>
    </w:p>
    <w:p>
      <w:pPr>
        <w:pStyle w:val="BodyText"/>
        <w:spacing w:line="333" w:lineRule="auto" w:before="59"/>
        <w:ind w:right="94"/>
        <w:jc w:val="left"/>
      </w:pPr>
      <w:r>
        <w:rPr/>
        <w:t>（</w:t>
      </w:r>
      <w:r>
        <w:rPr>
          <w:rFonts w:ascii="Times New Roman" w:hAnsi="Times New Roman" w:cs="Times New Roman" w:eastAsia="Times New Roman" w:hint="default"/>
        </w:rPr>
        <w:t>2</w:t>
      </w:r>
      <w:r>
        <w:rPr/>
        <w:t>）后续计量及损益确认方法 </w:t>
      </w:r>
      <w:r>
        <w:rPr>
          <w:spacing w:val="-2"/>
        </w:rPr>
        <w:t>采用成本法核算的长期股权投资，按照初始投资成本计量，被投资单位宣告分派的现金股利或利润，确认为投资收益计入当</w:t>
      </w:r>
      <w:r>
        <w:rPr>
          <w:spacing w:val="-65"/>
        </w:rPr>
        <w:t> </w:t>
      </w:r>
      <w:r>
        <w:rPr>
          <w:spacing w:val="-65"/>
        </w:rPr>
      </w:r>
      <w:r>
        <w:rPr/>
        <w:t>期损益。 </w:t>
      </w:r>
      <w:r>
        <w:rPr>
          <w:spacing w:val="-2"/>
        </w:rPr>
        <w:t>采用权益法核算的长期股权投资，初始投资成本大于投资时应享有被投资单位可辨认净资产公允价值份额的，以初始投资成</w:t>
      </w:r>
      <w:r>
        <w:rPr>
          <w:spacing w:val="-64"/>
        </w:rPr>
        <w:t> </w:t>
      </w:r>
      <w:r>
        <w:rPr>
          <w:spacing w:val="-64"/>
        </w:rPr>
      </w:r>
      <w:r>
        <w:rPr>
          <w:spacing w:val="-4"/>
        </w:rPr>
        <w:t>本作为长期股权投资成本；初始投资成本小于投资时应享有被投资单位可辨认净资产公允价值份额的，其差额计入当期损益，</w:t>
      </w:r>
    </w:p>
    <w:p>
      <w:pPr>
        <w:spacing w:after="0" w:line="333"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并相应调增长期股权投资成本。</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16" w:lineRule="auto"/>
        <w:ind w:right="150"/>
        <w:jc w:val="both"/>
      </w:pPr>
      <w:r>
        <w:rPr>
          <w:spacing w:val="-2"/>
        </w:rPr>
        <w:t>采用权益法核算的长期股权投资，本集团按应享有或应分担的被投资单位的净损益份额确认当期投资损益。确认被投资单位</w:t>
      </w:r>
      <w:r>
        <w:rPr>
          <w:spacing w:val="-64"/>
        </w:rPr>
        <w:t> </w:t>
      </w:r>
      <w:r>
        <w:rPr>
          <w:spacing w:val="-64"/>
        </w:rPr>
      </w:r>
      <w:r>
        <w:rPr>
          <w:spacing w:val="-2"/>
        </w:rPr>
        <w:t>发生的净亏损，以长期股权投资的账面价值以及其他实质上构成对被投资单位净投资的长期权益减记至零为限，但本集团负</w:t>
      </w:r>
      <w:r>
        <w:rPr>
          <w:spacing w:val="-64"/>
        </w:rPr>
        <w:t> </w:t>
      </w:r>
      <w:r>
        <w:rPr>
          <w:spacing w:val="-64"/>
        </w:rPr>
      </w:r>
      <w:r>
        <w:rPr>
          <w:spacing w:val="-2"/>
        </w:rPr>
        <w:t>有承担额外损失义务且符合或有事项准则所规定的预计负债确认条件的，继续确认投资损失并作为预计负债核算。被投资单</w:t>
      </w:r>
      <w:r>
        <w:rPr>
          <w:spacing w:val="-64"/>
        </w:rPr>
        <w:t> </w:t>
      </w:r>
      <w:r>
        <w:rPr>
          <w:spacing w:val="-64"/>
        </w:rPr>
      </w:r>
      <w:r>
        <w:rPr>
          <w:spacing w:val="-2"/>
        </w:rPr>
        <w:t>位除净损益、其他综合收益和利润分配以外所有者权益的其他变动，调整长期股权投资的账面价值并计入资本公积。被投资</w:t>
      </w:r>
      <w:r>
        <w:rPr>
          <w:spacing w:val="-63"/>
        </w:rPr>
        <w:t> </w:t>
      </w:r>
      <w:r>
        <w:rPr>
          <w:spacing w:val="-63"/>
        </w:rPr>
      </w:r>
      <w:r>
        <w:rPr>
          <w:spacing w:val="-2"/>
        </w:rPr>
        <w:t>单位分派的利润或现金股利于宣告分派时按照本集团应分得的部分，相应减少长期股权投资的账面价值。本集团与被投资单</w:t>
      </w:r>
      <w:r>
        <w:rPr>
          <w:spacing w:val="-64"/>
        </w:rPr>
        <w:t> </w:t>
      </w:r>
      <w:r>
        <w:rPr>
          <w:spacing w:val="-64"/>
        </w:rPr>
      </w:r>
      <w:r>
        <w:rPr>
          <w:spacing w:val="-2"/>
        </w:rPr>
        <w:t>位之间未实现的内部交易损益按照持股比例计算归属于本集团的部分，予以抵销，在此基础上确认投资损益。本集团与被投</w:t>
      </w:r>
      <w:r>
        <w:rPr>
          <w:spacing w:val="-66"/>
        </w:rPr>
        <w:t> </w:t>
      </w:r>
      <w:r>
        <w:rPr>
          <w:spacing w:val="-66"/>
        </w:rPr>
      </w:r>
      <w:r>
        <w:rPr/>
        <w:t>资单位发生的内部交易损失，其中属于资产减值损失的部分，相应的未实现损失不予抵销。</w:t>
      </w:r>
    </w:p>
    <w:p>
      <w:pPr>
        <w:pStyle w:val="BodyText"/>
        <w:spacing w:line="333" w:lineRule="auto" w:before="59"/>
        <w:ind w:right="150"/>
        <w:jc w:val="left"/>
      </w:pPr>
      <w:r>
        <w:rPr/>
        <w:t>（</w:t>
      </w:r>
      <w:r>
        <w:rPr>
          <w:rFonts w:ascii="Times New Roman" w:hAnsi="Times New Roman" w:cs="Times New Roman" w:eastAsia="Times New Roman" w:hint="default"/>
        </w:rPr>
        <w:t>3</w:t>
      </w:r>
      <w:r>
        <w:rPr/>
        <w:t>）确定对被投资单位具有控制、共同控制的依据 </w:t>
      </w:r>
      <w:r>
        <w:rPr>
          <w:spacing w:val="-2"/>
        </w:rPr>
        <w:t>控制是指拥有对被投资单位的权力，通过参与被投资单位的相关活动而享有可变回报，并且有能力运用对被投资单位的权力</w:t>
      </w:r>
      <w:r>
        <w:rPr>
          <w:spacing w:val="-64"/>
        </w:rPr>
        <w:t> </w:t>
      </w:r>
      <w:r>
        <w:rPr>
          <w:spacing w:val="-64"/>
        </w:rPr>
      </w:r>
      <w:r>
        <w:rPr/>
        <w:t>影响其回报金额。 </w:t>
      </w:r>
      <w:r>
        <w:rPr>
          <w:spacing w:val="-2"/>
        </w:rPr>
        <w:t>共同控制是指按照相关约定对某项安排所共有的控制，并且该安排的相关活动必须经过本集团及分享控制权的其他参与方一</w:t>
      </w:r>
      <w:r>
        <w:rPr>
          <w:spacing w:val="-64"/>
        </w:rPr>
        <w:t> </w:t>
      </w:r>
      <w:r>
        <w:rPr>
          <w:spacing w:val="-64"/>
        </w:rPr>
      </w:r>
      <w:r>
        <w:rPr/>
        <w:t>致同意后才能决策。</w:t>
      </w:r>
    </w:p>
    <w:p>
      <w:pPr>
        <w:pStyle w:val="BodyText"/>
        <w:spacing w:line="340" w:lineRule="auto" w:before="47"/>
        <w:ind w:right="174"/>
        <w:jc w:val="left"/>
      </w:pPr>
      <w:r>
        <w:rPr/>
        <w:t>（</w:t>
      </w:r>
      <w:r>
        <w:rPr>
          <w:rFonts w:ascii="Times New Roman" w:hAnsi="Times New Roman" w:cs="Times New Roman" w:eastAsia="Times New Roman" w:hint="default"/>
        </w:rPr>
        <w:t>4</w:t>
      </w:r>
      <w:r>
        <w:rPr/>
        <w:t>）长期股权投资减值 对子公司、合营企业、联营企业的长期股权投资，当其可收回金额低于其账面价值时，账面价值减记至可收回金额</w:t>
      </w:r>
      <w:r>
        <w:rPr>
          <w:rFonts w:ascii="Times New Roman" w:hAnsi="Times New Roman" w:cs="Times New Roman" w:eastAsia="Times New Roman" w:hint="default"/>
        </w:rPr>
        <w:t>(</w:t>
      </w:r>
      <w:r>
        <w:rPr/>
        <w:t>附注五</w:t>
      </w:r>
    </w:p>
    <w:p>
      <w:pPr>
        <w:pStyle w:val="BodyText"/>
        <w:spacing w:line="228" w:lineRule="exact"/>
        <w:ind w:right="0"/>
        <w:jc w:val="both"/>
      </w:pPr>
      <w:r>
        <w:rPr/>
        <w:t>（</w:t>
      </w:r>
      <w:r>
        <w:rPr>
          <w:rFonts w:ascii="Times New Roman" w:hAnsi="Times New Roman" w:cs="Times New Roman" w:eastAsia="Times New Roman" w:hint="default"/>
        </w:rPr>
        <w:t>22)</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Heading3"/>
        <w:spacing w:line="240" w:lineRule="auto"/>
        <w:ind w:right="0"/>
        <w:jc w:val="both"/>
        <w:rPr>
          <w:b w:val="0"/>
          <w:bCs w:val="0"/>
        </w:rPr>
      </w:pPr>
      <w:bookmarkStart w:name="15、投资性房地产" w:id="187"/>
      <w:bookmarkEnd w:id="18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974"/>
        <w:jc w:val="left"/>
      </w:pPr>
      <w:r>
        <w:rPr/>
        <w:t>投资性房地产计量模式 不适用</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bookmarkStart w:name="16、固定资产" w:id="188"/>
      <w:bookmarkEnd w:id="18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jc w:val="both"/>
      </w:pPr>
      <w:r>
        <w:rPr>
          <w:spacing w:val="-2"/>
        </w:rPr>
        <w:t>固定资产主要包括运输工具、计算机及电子设备以及办公设备等。固定资产在与其有关的经济利益很可能流入本集团、且其</w:t>
      </w:r>
      <w:r>
        <w:rPr>
          <w:spacing w:val="-63"/>
        </w:rPr>
        <w:t> </w:t>
      </w:r>
      <w:r>
        <w:rPr>
          <w:spacing w:val="-63"/>
        </w:rPr>
      </w:r>
      <w:r>
        <w:rPr>
          <w:spacing w:val="-2"/>
        </w:rPr>
        <w:t>成本能够可靠计量时予以确认。购置或新建的固定资产按取得时的成本进行初始计量。与固定资产有关的后续支出，在与其</w:t>
      </w:r>
      <w:r>
        <w:rPr>
          <w:spacing w:val="-63"/>
        </w:rPr>
        <w:t> </w:t>
      </w:r>
      <w:r>
        <w:rPr>
          <w:spacing w:val="-63"/>
        </w:rPr>
      </w:r>
      <w:r>
        <w:rPr>
          <w:spacing w:val="-5"/>
        </w:rPr>
        <w:t>有关的经济利益很可能流入本集团且其成本能够可靠计量时，计入固定资产成本；对于被替换的部分，终止确认其账面价值；</w:t>
      </w:r>
      <w:r>
        <w:rPr>
          <w:spacing w:val="-76"/>
        </w:rPr>
        <w:t> </w:t>
      </w:r>
      <w:r>
        <w:rPr>
          <w:spacing w:val="-76"/>
        </w:rPr>
      </w:r>
      <w:r>
        <w:rPr/>
        <w:t>所有其他后续支出于发生时计入当期损益。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计算机及电子设备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33.33%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33.33%</w:t>
            </w:r>
          </w:p>
        </w:tc>
      </w:tr>
    </w:tbl>
    <w:p>
      <w:pPr>
        <w:pStyle w:val="BodyText"/>
        <w:spacing w:line="240" w:lineRule="auto" w:before="49"/>
        <w:ind w:right="150"/>
        <w:jc w:val="left"/>
      </w:pPr>
      <w:r>
        <w:rPr/>
        <w:t>对固定资产的预计使用寿命、预计净残值和折旧方法于每年年度终了进行复核并作适当调整。</w:t>
      </w:r>
    </w:p>
    <w:p>
      <w:pPr>
        <w:pStyle w:val="BodyText"/>
        <w:spacing w:line="240" w:lineRule="auto" w:before="117"/>
        <w:ind w:right="150"/>
        <w:jc w:val="left"/>
      </w:pPr>
      <w:r>
        <w:rPr/>
        <w:t>（</w:t>
      </w:r>
      <w:r>
        <w:rPr>
          <w:rFonts w:ascii="Times New Roman" w:hAnsi="Times New Roman" w:cs="Times New Roman" w:eastAsia="Times New Roman" w:hint="default"/>
        </w:rPr>
        <w:t>3</w:t>
      </w:r>
      <w:r>
        <w:rPr/>
        <w:t>）当固定资产的可收回金额低于其账面价值时，账面价值减记至可收回金额（附注五</w:t>
      </w:r>
      <w:r>
        <w:rPr>
          <w:rFonts w:ascii="Times New Roman" w:hAnsi="Times New Roman" w:cs="Times New Roman" w:eastAsia="Times New Roman" w:hint="default"/>
        </w:rPr>
        <w:t>(22)</w:t>
      </w:r>
      <w:r>
        <w:rPr/>
        <w:t>）。</w:t>
      </w:r>
    </w:p>
    <w:p>
      <w:pPr>
        <w:pStyle w:val="BodyText"/>
        <w:spacing w:line="240" w:lineRule="auto" w:before="101"/>
        <w:ind w:right="150"/>
        <w:jc w:val="left"/>
      </w:pPr>
      <w:r>
        <w:rPr/>
        <w:t>（</w:t>
      </w:r>
      <w:r>
        <w:rPr>
          <w:rFonts w:ascii="Times New Roman" w:hAnsi="Times New Roman" w:cs="Times New Roman" w:eastAsia="Times New Roman" w:hint="default"/>
        </w:rPr>
        <w:t>4</w:t>
      </w:r>
      <w:r>
        <w:rPr/>
        <w:t>）固定资产的处置</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50"/>
        <w:jc w:val="left"/>
      </w:pPr>
      <w:r>
        <w:rPr>
          <w:spacing w:val="-2"/>
        </w:rPr>
        <w:t>当固定资产被处置、或者预期通过使用或处置不能产生经济利益时，终止确认该固定资产。固定资产出售、转让、报废或毁</w:t>
      </w:r>
      <w:r>
        <w:rPr>
          <w:spacing w:val="-65"/>
        </w:rPr>
        <w:t> </w:t>
      </w:r>
      <w:r>
        <w:rPr>
          <w:spacing w:val="-65"/>
        </w:rPr>
      </w:r>
      <w:r>
        <w:rPr/>
        <w:t>损的处置收入扣除其账面价值和相关税费后的金额计入当期损益。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both"/>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50"/>
        <w:jc w:val="both"/>
      </w:pPr>
      <w:r>
        <w:rPr>
          <w:spacing w:val="-4"/>
        </w:rPr>
        <w:t>当本公司租入的固定资产符合下列一项或数标准时，确认为融资租入固定资产：（</w:t>
      </w:r>
      <w:r>
        <w:rPr>
          <w:rFonts w:ascii="Times New Roman" w:hAnsi="Times New Roman" w:cs="Times New Roman" w:eastAsia="Times New Roman" w:hint="default"/>
          <w:spacing w:val="-4"/>
        </w:rPr>
        <w:t>1</w:t>
      </w:r>
      <w:r>
        <w:rPr>
          <w:spacing w:val="-4"/>
        </w:rPr>
        <w:t>）在租赁期届满时，资产的所有权转移给</w:t>
      </w:r>
      <w:r>
        <w:rPr>
          <w:spacing w:val="-42"/>
        </w:rPr>
        <w:t> </w:t>
      </w:r>
      <w:r>
        <w:rPr>
          <w:spacing w:val="-42"/>
        </w:rPr>
      </w:r>
      <w:r>
        <w:rPr>
          <w:spacing w:val="-3"/>
        </w:rPr>
        <w:t>本公司。（</w:t>
      </w:r>
      <w:r>
        <w:rPr>
          <w:rFonts w:ascii="Times New Roman" w:hAnsi="Times New Roman" w:cs="Times New Roman" w:eastAsia="Times New Roman" w:hint="default"/>
          <w:spacing w:val="-3"/>
        </w:rPr>
        <w:t>2</w:t>
      </w:r>
      <w:r>
        <w:rPr>
          <w:spacing w:val="-3"/>
        </w:rPr>
        <w:t>）本公司有购买租赁资产的选择权，所订立价款预计将远低于行使时允值因而在开</w:t>
      </w:r>
      <w:r>
        <w:rPr>
          <w:spacing w:val="30"/>
        </w:rPr>
        <w:t> </w:t>
      </w:r>
      <w:r>
        <w:rPr/>
        <w:t>始日就可以合理确定本公司</w:t>
      </w:r>
      <w:r>
        <w:rPr>
          <w:spacing w:val="-85"/>
        </w:rPr>
        <w:t> </w:t>
      </w:r>
      <w:r>
        <w:rPr>
          <w:spacing w:val="-85"/>
        </w:rPr>
      </w:r>
      <w:r>
        <w:rPr>
          <w:spacing w:val="-5"/>
        </w:rPr>
        <w:t>将会行使这种选择权。（</w:t>
      </w:r>
      <w:r>
        <w:rPr>
          <w:rFonts w:ascii="Times New Roman" w:hAnsi="Times New Roman" w:cs="Times New Roman" w:eastAsia="Times New Roman" w:hint="default"/>
          <w:spacing w:val="-5"/>
        </w:rPr>
        <w:t>3</w:t>
      </w:r>
      <w:r>
        <w:rPr>
          <w:spacing w:val="-5"/>
        </w:rPr>
        <w:t>）即使资产的所有权不转移，但租赁期占用寿命大部分。（</w:t>
      </w:r>
      <w:r>
        <w:rPr>
          <w:rFonts w:ascii="Times New Roman" w:hAnsi="Times New Roman" w:cs="Times New Roman" w:eastAsia="Times New Roman" w:hint="default"/>
          <w:spacing w:val="-5"/>
        </w:rPr>
        <w:t>4</w:t>
      </w:r>
      <w:r>
        <w:rPr>
          <w:spacing w:val="-5"/>
        </w:rPr>
        <w:t>）本公司在租赁开始日的最低付款额现</w:t>
      </w:r>
      <w:r>
        <w:rPr>
          <w:spacing w:val="-75"/>
        </w:rPr>
        <w:t> </w:t>
      </w:r>
      <w:r>
        <w:rPr>
          <w:spacing w:val="-75"/>
        </w:rPr>
      </w:r>
      <w:r>
        <w:rPr/>
        <w:t>值，</w:t>
      </w:r>
      <w:r>
        <w:rPr>
          <w:spacing w:val="11"/>
        </w:rPr>
        <w:t> </w:t>
      </w:r>
      <w:r>
        <w:rPr>
          <w:spacing w:val="-2"/>
        </w:rPr>
        <w:t>几乎相当于租赁开始日资产公允价值。（</w:t>
      </w:r>
      <w:r>
        <w:rPr>
          <w:rFonts w:ascii="Times New Roman" w:hAnsi="Times New Roman" w:cs="Times New Roman" w:eastAsia="Times New Roman" w:hint="default"/>
          <w:spacing w:val="-2"/>
        </w:rPr>
        <w:t>5</w:t>
      </w:r>
      <w:r>
        <w:rPr>
          <w:spacing w:val="-2"/>
        </w:rPr>
        <w:t>）租赁资产性质特殊，如果不作较大改造只有本公司才能使用。融资租赁租</w:t>
      </w:r>
      <w:r>
        <w:rPr>
          <w:spacing w:val="-88"/>
        </w:rPr>
        <w:t> </w:t>
      </w:r>
      <w:r>
        <w:rPr>
          <w:spacing w:val="-2"/>
        </w:rPr>
        <w:t>入的固定资产，按开始日公允价值与最低付款额现值两者中较低者作为入账价值。最低租赁付款额作为长期应付款的入账价</w:t>
      </w:r>
      <w:r>
        <w:rPr>
          <w:spacing w:val="-64"/>
        </w:rPr>
        <w:t> </w:t>
      </w:r>
      <w:r>
        <w:rPr>
          <w:spacing w:val="-64"/>
        </w:rPr>
      </w:r>
      <w:r>
        <w:rPr>
          <w:spacing w:val="-2"/>
        </w:rPr>
        <w:t>值，其差额作为未确认融资费用。在租赁谈判和签订合同过程中发生的，可归属于租赁项目的手续费、律师费、差旅费、印</w:t>
      </w:r>
      <w:r>
        <w:rPr>
          <w:spacing w:val="-70"/>
        </w:rPr>
        <w:t> </w:t>
      </w:r>
      <w:r>
        <w:rPr>
          <w:spacing w:val="-70"/>
        </w:rPr>
      </w:r>
      <w:r>
        <w:rPr/>
        <w:t>花税等初始直接费用</w:t>
      </w:r>
      <w:r>
        <w:rPr>
          <w:spacing w:val="1"/>
        </w:rPr>
        <w:t> </w:t>
      </w:r>
      <w:r>
        <w:rPr/>
        <w:t>，计入租入资产价值。未确认融资费用在租赁期内各个期间采用实际利率法进行分摊。本公司采用与</w:t>
      </w:r>
      <w:r>
        <w:rPr/>
        <w:t> </w:t>
      </w:r>
      <w:r>
        <w:rPr>
          <w:spacing w:val="-2"/>
        </w:rPr>
        <w:t>自有固定资产相一致的折旧政策计提融资租入固定资产折旧。能够合理确定租赁期届满时取得资产所有权的，在租赁资产使</w:t>
      </w:r>
      <w:r>
        <w:rPr>
          <w:spacing w:val="-64"/>
        </w:rPr>
        <w:t> </w:t>
      </w:r>
      <w:r>
        <w:rPr>
          <w:spacing w:val="-64"/>
        </w:rPr>
      </w:r>
      <w:r>
        <w:rPr>
          <w:spacing w:val="-2"/>
        </w:rPr>
        <w:t>用寿命内计提折旧。无法合理确定租赁期届满时能够取得租赁资产所有权的，在租赁期与租赁资产使用寿命两者中较短的期</w:t>
      </w:r>
      <w:r>
        <w:rPr>
          <w:spacing w:val="-64"/>
        </w:rPr>
        <w:t> </w:t>
      </w:r>
      <w:r>
        <w:rPr>
          <w:spacing w:val="-64"/>
        </w:rPr>
      </w:r>
      <w:r>
        <w:rPr/>
        <w:t>间内计提折旧。</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bookmarkStart w:name="17、在建工程" w:id="192"/>
      <w:bookmarkEnd w:id="19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14"/>
        <w:jc w:val="left"/>
      </w:pPr>
      <w:r>
        <w:rPr/>
        <w:t>公司是否需要遵守特殊行业的披露要求 否</w:t>
      </w:r>
    </w:p>
    <w:p>
      <w:pPr>
        <w:pStyle w:val="BodyText"/>
        <w:spacing w:line="316" w:lineRule="auto" w:before="29"/>
        <w:ind w:right="150"/>
        <w:jc w:val="both"/>
      </w:pPr>
      <w:r>
        <w:rPr>
          <w:spacing w:val="-2"/>
        </w:rPr>
        <w:t>在建工程按实际发生的成本计量。实际成本包括建筑成本、安装成本、符合资本化条件的借款费用以及其他为使在建工程达</w:t>
      </w:r>
      <w:r>
        <w:rPr>
          <w:spacing w:val="-65"/>
        </w:rPr>
        <w:t> </w:t>
      </w:r>
      <w:r>
        <w:rPr>
          <w:spacing w:val="-65"/>
        </w:rPr>
      </w:r>
      <w:r>
        <w:rPr>
          <w:spacing w:val="-2"/>
        </w:rPr>
        <w:t>到预定可使用状态所发生的必要支出。在建工程在达到预定可使用状态时，根据工程预算、造价或者工程实际成本等，按估</w:t>
      </w:r>
      <w:r>
        <w:rPr>
          <w:spacing w:val="-64"/>
        </w:rPr>
        <w:t> </w:t>
      </w:r>
      <w:r>
        <w:rPr>
          <w:spacing w:val="-64"/>
        </w:rPr>
      </w:r>
      <w:r>
        <w:rPr>
          <w:spacing w:val="-2"/>
        </w:rPr>
        <w:t>计的价值转入固定资产并自次月起开始计提折旧。当在建工程的可收回金额低于其账面价值时，账面价值减记至可收回金额</w:t>
      </w:r>
    </w:p>
    <w:p>
      <w:pPr>
        <w:pStyle w:val="BodyText"/>
        <w:spacing w:line="240" w:lineRule="auto" w:before="18"/>
        <w:ind w:right="0"/>
        <w:jc w:val="both"/>
      </w:pPr>
      <w:r>
        <w:rPr/>
        <w:t>（附注五</w:t>
      </w:r>
      <w:r>
        <w:rPr>
          <w:rFonts w:ascii="Times New Roman" w:hAnsi="Times New Roman" w:cs="Times New Roman" w:eastAsia="Times New Roman" w:hint="default"/>
        </w:rPr>
        <w:t>(22)</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pStyle w:val="Heading3"/>
        <w:spacing w:line="240" w:lineRule="auto"/>
        <w:ind w:right="0"/>
        <w:jc w:val="both"/>
        <w:rPr>
          <w:b w:val="0"/>
          <w:bCs w:val="0"/>
        </w:rPr>
      </w:pPr>
      <w:bookmarkStart w:name="18、借款费用" w:id="193"/>
      <w:bookmarkEnd w:id="19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19、生物资产" w:id="194"/>
      <w:bookmarkEnd w:id="194"/>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20、油气资产" w:id="195"/>
      <w:bookmarkEnd w:id="195"/>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21、无形资产" w:id="196"/>
      <w:bookmarkEnd w:id="196"/>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计价方法、使用寿命、减值测试" w:id="197"/>
      <w:bookmarkEnd w:id="19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公司是否需要遵守特殊行业的披露要求</w:t>
      </w:r>
    </w:p>
    <w:p>
      <w:pPr>
        <w:spacing w:after="0" w:line="240"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38" w:lineRule="auto" w:before="44"/>
        <w:ind w:right="243"/>
        <w:jc w:val="left"/>
      </w:pPr>
      <w:r>
        <w:rPr/>
        <w:t>否 </w:t>
      </w:r>
      <w:r>
        <w:rPr>
          <w:spacing w:val="-2"/>
        </w:rPr>
        <w:t>对于使用寿命有限的无形资产，本集团将无形资产的成本扣除累计摊销及减值后按直线法在预计使用寿命内摊销，除非该无</w:t>
      </w:r>
      <w:r>
        <w:rPr>
          <w:spacing w:val="-64"/>
        </w:rPr>
        <w:t> </w:t>
      </w:r>
      <w:r>
        <w:rPr>
          <w:spacing w:val="-64"/>
        </w:rPr>
      </w:r>
      <w:r>
        <w:rPr/>
        <w:t>形资产符合持有待售的条件。</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462"/>
        <w:gridCol w:w="2465"/>
        <w:gridCol w:w="2462"/>
        <w:gridCol w:w="2465"/>
      </w:tblGrid>
      <w:tr>
        <w:trPr>
          <w:trHeight w:val="427" w:hRule="exact"/>
        </w:trPr>
        <w:tc>
          <w:tcPr>
            <w:tcW w:w="2462" w:type="dxa"/>
            <w:tcBorders>
              <w:top w:val="single" w:sz="6" w:space="0" w:color="000000"/>
              <w:left w:val="single" w:sz="6" w:space="0" w:color="000000"/>
              <w:bottom w:val="single" w:sz="6" w:space="0" w:color="000000"/>
              <w:right w:val="single" w:sz="6" w:space="0" w:color="000000"/>
            </w:tcBorders>
          </w:tcPr>
          <w:p>
            <w:pP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7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83" w:right="0"/>
              <w:jc w:val="left"/>
              <w:rPr>
                <w:rFonts w:ascii="宋体" w:hAnsi="宋体" w:cs="宋体" w:eastAsia="宋体" w:hint="default"/>
                <w:sz w:val="18"/>
                <w:szCs w:val="18"/>
              </w:rPr>
            </w:pPr>
            <w:r>
              <w:rPr>
                <w:rFonts w:ascii="宋体" w:hAnsi="宋体" w:cs="宋体" w:eastAsia="宋体" w:hint="default"/>
                <w:sz w:val="18"/>
                <w:szCs w:val="18"/>
              </w:rPr>
              <w:t>预计净残值率</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年摊销率</w:t>
            </w:r>
          </w:p>
        </w:tc>
      </w:tr>
      <w:tr>
        <w:trPr>
          <w:trHeight w:val="427" w:hRule="exact"/>
        </w:trPr>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64"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年</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0%</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z w:val="18"/>
              </w:rPr>
              <w:t>12.50%</w:t>
            </w:r>
          </w:p>
        </w:tc>
      </w:tr>
      <w:tr>
        <w:trPr>
          <w:trHeight w:val="427" w:hRule="exact"/>
        </w:trPr>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hAnsi="宋体" w:cs="宋体" w:eastAsia="宋体" w:hint="default"/>
                <w:sz w:val="18"/>
                <w:szCs w:val="18"/>
              </w:rPr>
              <w:t>软件</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0%</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z w:val="18"/>
              </w:rPr>
              <w:t>20.00%</w:t>
            </w:r>
          </w:p>
        </w:tc>
      </w:tr>
    </w:tbl>
    <w:p>
      <w:pPr>
        <w:pStyle w:val="BodyText"/>
        <w:spacing w:line="717" w:lineRule="auto" w:before="49"/>
        <w:ind w:right="2394"/>
        <w:jc w:val="left"/>
      </w:pPr>
      <w:r>
        <w:rPr/>
        <w:t>对使用寿命有限的无形资产的预计使用寿命及摊销方法于每年年度终了进行复核并作适当调整。 当无形资产的可收回金额低于其账面价值时，账面价值减记至可收回金额（附注五</w:t>
      </w:r>
      <w:r>
        <w:rPr>
          <w:rFonts w:ascii="Times New Roman" w:hAnsi="Times New Roman" w:cs="Times New Roman" w:eastAsia="Times New Roman" w:hint="default"/>
        </w:rPr>
        <w:t>(22)</w:t>
      </w:r>
      <w:r>
        <w:rPr/>
        <w:t>）。</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内部研究开发支出会计政策" w:id="198"/>
      <w:bookmarkEnd w:id="19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243"/>
        <w:jc w:val="left"/>
      </w:pPr>
      <w:r>
        <w:rPr>
          <w:spacing w:val="-2"/>
        </w:rPr>
        <w:t>内部研究开发项目支出根据其性质以及研发活动最终形成无形资产是否具有较大不确定性，被分为研究阶段支出和开发阶段</w:t>
      </w:r>
      <w:r>
        <w:rPr>
          <w:spacing w:val="-64"/>
        </w:rPr>
        <w:t> </w:t>
      </w:r>
      <w:r>
        <w:rPr>
          <w:spacing w:val="-64"/>
        </w:rPr>
      </w:r>
      <w:r>
        <w:rPr/>
        <w:t>支出。</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left="572" w:right="243"/>
        <w:jc w:val="left"/>
      </w:pPr>
      <w:r>
        <w:rPr/>
        <w:t>研究阶段的支出，于发生时计入当期损益；开发阶段的支出，同时满足下列条件的，予以资本化：</w:t>
      </w:r>
    </w:p>
    <w:p>
      <w:pPr>
        <w:pStyle w:val="BodyText"/>
        <w:spacing w:line="240" w:lineRule="auto" w:before="117"/>
        <w:ind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42"/>
        </w:rPr>
        <w:t> </w:t>
      </w:r>
      <w:r>
        <w:rPr/>
        <w:t>完成该无形资产以使其能够使用或出售在技术上具有可行性；</w:t>
      </w:r>
    </w:p>
    <w:p>
      <w:pPr>
        <w:pStyle w:val="BodyText"/>
        <w:spacing w:line="240" w:lineRule="auto" w:before="101"/>
        <w:ind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42"/>
        </w:rPr>
        <w:t> </w:t>
      </w:r>
      <w:r>
        <w:rPr/>
        <w:t>管理层具有完成该无形资产并使用或出售的意图；</w:t>
      </w:r>
    </w:p>
    <w:p>
      <w:pPr>
        <w:pStyle w:val="BodyText"/>
        <w:spacing w:line="240" w:lineRule="auto" w:before="103"/>
        <w:ind w:left="153"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42"/>
        </w:rPr>
        <w:t> </w:t>
      </w:r>
      <w:r>
        <w:rPr/>
        <w:t>能够证明该无形资产将如何产生经济利益；</w:t>
      </w:r>
    </w:p>
    <w:p>
      <w:pPr>
        <w:pStyle w:val="BodyText"/>
        <w:spacing w:line="240" w:lineRule="auto" w:before="103"/>
        <w:ind w:left="153"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42"/>
        </w:rPr>
        <w:t> </w:t>
      </w:r>
      <w:r>
        <w:rPr/>
        <w:t>有足够的技术、财务资源和其他资源支持，以完成该无形资产的开发，并有能力使用或出售该无形资产；以及</w:t>
      </w:r>
    </w:p>
    <w:p>
      <w:pPr>
        <w:pStyle w:val="BodyText"/>
        <w:tabs>
          <w:tab w:pos="573" w:val="left" w:leader="none"/>
        </w:tabs>
        <w:spacing w:line="324" w:lineRule="auto" w:before="101"/>
        <w:ind w:left="153" w:right="243" w:hanging="1"/>
        <w:jc w:val="left"/>
      </w:pPr>
      <w:r>
        <w:rPr>
          <w:rFonts w:ascii="Times New Roman" w:hAnsi="Times New Roman" w:cs="Times New Roman" w:eastAsia="Times New Roman" w:hint="default"/>
        </w:rPr>
        <w:t>•</w:t>
        <w:tab/>
      </w:r>
      <w:r>
        <w:rPr/>
        <w:t>归属于该无形资产开发阶段的支出能够可靠地计量。 </w:t>
      </w:r>
      <w:r>
        <w:rPr>
          <w:spacing w:val="-4"/>
        </w:rPr>
        <w:t>不满足上述条件的开发阶段的支出，于发生时计入当期损益。以前期间已计入损益的开发支出不在以后期间重新确认为资产。</w:t>
      </w:r>
      <w:r>
        <w:rPr>
          <w:spacing w:val="-45"/>
        </w:rPr>
        <w:t> </w:t>
      </w:r>
      <w:r>
        <w:rPr>
          <w:spacing w:val="-45"/>
        </w:rPr>
      </w:r>
      <w:r>
        <w:rPr>
          <w:spacing w:val="-2"/>
        </w:rPr>
        <w:t>已资本化的开发阶段的支出在资产负债表上列示为开发支出，自该项目达到预定用途之日起转为无形资产并按照前述软件的</w:t>
      </w:r>
      <w:r>
        <w:rPr>
          <w:spacing w:val="-65"/>
        </w:rPr>
        <w:t> </w:t>
      </w:r>
      <w:r>
        <w:rPr>
          <w:spacing w:val="-65"/>
        </w:rPr>
      </w:r>
      <w:r>
        <w:rPr/>
        <w:t>预计使用寿命进行摊销。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3"/>
        <w:spacing w:line="240" w:lineRule="auto"/>
        <w:ind w:right="0"/>
        <w:jc w:val="both"/>
        <w:rPr>
          <w:b w:val="0"/>
          <w:bCs w:val="0"/>
        </w:rPr>
      </w:pPr>
      <w:bookmarkStart w:name="22、长期资产减值" w:id="199"/>
      <w:bookmarkEnd w:id="199"/>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330"/>
        <w:jc w:val="both"/>
      </w:pPr>
      <w:r>
        <w:rPr>
          <w:spacing w:val="-5"/>
        </w:rPr>
        <w:t>固定资产、在建工程、使用寿命有限的无形资产及对子公司、合营企业的长期股权投资等，于资产负债表日存在减值迹象的，</w:t>
      </w:r>
      <w:r>
        <w:rPr>
          <w:spacing w:val="-78"/>
        </w:rPr>
        <w:t> </w:t>
      </w:r>
      <w:r>
        <w:rPr>
          <w:spacing w:val="-78"/>
        </w:rPr>
      </w:r>
      <w:r>
        <w:rPr>
          <w:spacing w:val="-2"/>
        </w:rPr>
        <w:t>进行减值测试；尚未达到可使用状态的无形资产，无论是否存在减值迹象，至少每年进行减值测试。减值测试结果表明资产</w:t>
      </w:r>
      <w:r>
        <w:rPr>
          <w:spacing w:val="-65"/>
        </w:rPr>
        <w:t> </w:t>
      </w:r>
      <w:r>
        <w:rPr>
          <w:spacing w:val="-65"/>
        </w:rPr>
      </w:r>
      <w:r>
        <w:rPr>
          <w:spacing w:val="-2"/>
        </w:rPr>
        <w:t>的可收回金额低于其账面价值的，按其差额计提减值准备并计入减值损失。可收回金额为资产的公允价值减去处置费用后的</w:t>
      </w:r>
      <w:r>
        <w:rPr>
          <w:spacing w:val="-64"/>
        </w:rPr>
        <w:t> </w:t>
      </w:r>
      <w:r>
        <w:rPr>
          <w:spacing w:val="-64"/>
        </w:rPr>
      </w:r>
      <w:r>
        <w:rPr>
          <w:spacing w:val="-2"/>
        </w:rPr>
        <w:t>净额与资产预计未来现金流量的现值两者之间的较高者。资产减值准备按单项资产为基础计算并确认，如果难以对单项资产</w:t>
      </w:r>
      <w:r>
        <w:rPr>
          <w:spacing w:val="-64"/>
        </w:rPr>
        <w:t> </w:t>
      </w:r>
      <w:r>
        <w:rPr>
          <w:spacing w:val="-64"/>
        </w:rPr>
      </w:r>
      <w:r>
        <w:rPr>
          <w:spacing w:val="-2"/>
        </w:rPr>
        <w:t>的可收回金额进行估计的，以该资产所属的资产组确定资产组的可收回金额。资产组是能够独立产生现金流入的最小资产组</w:t>
      </w:r>
      <w:r>
        <w:rPr>
          <w:spacing w:val="-64"/>
        </w:rPr>
        <w:t> </w:t>
      </w:r>
      <w:r>
        <w:rPr>
          <w:spacing w:val="-64"/>
        </w:rPr>
      </w:r>
      <w:r>
        <w:rPr/>
        <w:t>合。</w:t>
      </w:r>
    </w:p>
    <w:p>
      <w:pPr>
        <w:pStyle w:val="BodyText"/>
        <w:spacing w:line="316" w:lineRule="auto" w:before="59"/>
        <w:ind w:right="330"/>
        <w:jc w:val="both"/>
      </w:pPr>
      <w:r>
        <w:rPr>
          <w:spacing w:val="-2"/>
        </w:rPr>
        <w:t>在财务报表中单独列示的商誉，无论是否存在减值迹象，至少每年进行减值测试。减值测试时，商誉的账面价值分摊至预期</w:t>
      </w:r>
      <w:r>
        <w:rPr>
          <w:spacing w:val="-64"/>
        </w:rPr>
        <w:t> </w:t>
      </w:r>
      <w:r>
        <w:rPr>
          <w:spacing w:val="-64"/>
        </w:rPr>
      </w:r>
      <w:r>
        <w:rPr>
          <w:spacing w:val="-2"/>
        </w:rPr>
        <w:t>从企业合并的协同效应中受益的资产组或资产组组合。测试结果表明包含分摊的商誉的资产组或资产组组合的可收回金额低</w:t>
      </w:r>
      <w:r>
        <w:rPr>
          <w:spacing w:val="-64"/>
        </w:rPr>
        <w:t> </w:t>
      </w:r>
      <w:r>
        <w:rPr>
          <w:spacing w:val="-64"/>
        </w:rPr>
      </w:r>
      <w:r>
        <w:rPr>
          <w:spacing w:val="-2"/>
        </w:rPr>
        <w:t>于其账面价值的，确认相应的减值损失。减值损失金额先抵减分摊至该资产组或资产组组合的商誉的账面价值，再根据资产</w:t>
      </w:r>
      <w:r>
        <w:rPr>
          <w:spacing w:val="-63"/>
        </w:rPr>
        <w:t> </w:t>
      </w:r>
      <w:r>
        <w:rPr>
          <w:spacing w:val="-63"/>
        </w:rPr>
      </w:r>
      <w:r>
        <w:rPr/>
        <w:t>组或资产组组合中除商誉以外的其他各项资产的账面价值所占比重，按比例抵减其他各项资产的账面价值。</w:t>
      </w:r>
    </w:p>
    <w:p>
      <w:pPr>
        <w:pStyle w:val="BodyText"/>
        <w:spacing w:line="240" w:lineRule="auto" w:before="57"/>
        <w:ind w:right="0"/>
        <w:jc w:val="both"/>
      </w:pPr>
      <w:r>
        <w:rPr/>
        <w:t>上述资产减值损失一经确认，以后期间不予转回价值得以恢复的部分。</w:t>
      </w:r>
    </w:p>
    <w:p>
      <w:pPr>
        <w:spacing w:after="0" w:line="240" w:lineRule="auto"/>
        <w:jc w:val="both"/>
        <w:sectPr>
          <w:footerReference w:type="default" r:id="rId18"/>
          <w:pgSz w:w="11910" w:h="16840"/>
          <w:pgMar w:footer="982" w:header="745" w:top="1060" w:bottom="1180" w:left="980" w:right="80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23、长期待摊费用" w:id="200"/>
      <w:bookmarkEnd w:id="20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6"/>
        <w:jc w:val="both"/>
      </w:pPr>
      <w:r>
        <w:rPr/>
        <w:t>长期待摊费用包括经营租入固定资产改良及其他已经发生但应由本期和以后各期负担的、分摊期限在一年以上的各项费用，</w:t>
      </w:r>
      <w:r>
        <w:rPr>
          <w:spacing w:val="-86"/>
        </w:rPr>
        <w:t> </w:t>
      </w:r>
      <w:r>
        <w:rPr>
          <w:spacing w:val="-86"/>
        </w:rPr>
      </w:r>
      <w:r>
        <w:rPr/>
        <w:t>按预计受益期间分期平均摊销，并以实际支出减去累计摊销后的净额列示。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both"/>
        <w:rPr>
          <w:b w:val="0"/>
          <w:bCs w:val="0"/>
        </w:rPr>
      </w:pPr>
      <w:bookmarkStart w:name="24、职工薪酬" w:id="201"/>
      <w:bookmarkEnd w:id="201"/>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短期薪酬的会计处理方法" w:id="202"/>
      <w:bookmarkEnd w:id="20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jc w:val="both"/>
      </w:pPr>
      <w:r>
        <w:rPr>
          <w:spacing w:val="-2"/>
        </w:rPr>
        <w:t>短期薪酬包括工资、奖金、津贴和补贴、职工福利费、医疗保险费、工伤保险费、生育保险费、住房公积金、工会和教育经</w:t>
      </w:r>
      <w:r>
        <w:rPr>
          <w:spacing w:val="-65"/>
        </w:rPr>
        <w:t> </w:t>
      </w:r>
      <w:r>
        <w:rPr>
          <w:spacing w:val="-65"/>
        </w:rPr>
      </w:r>
      <w:r>
        <w:rPr>
          <w:spacing w:val="-2"/>
        </w:rPr>
        <w:t>费、短期带薪缺勤等。本集团在职工提供服务的会计期间，将实际发生的短期薪酬确认为负债，并计入当期损益或相关资产</w:t>
      </w:r>
      <w:r>
        <w:rPr>
          <w:spacing w:val="-64"/>
        </w:rPr>
        <w:t> </w:t>
      </w:r>
      <w:r>
        <w:rPr>
          <w:spacing w:val="-64"/>
        </w:rPr>
      </w:r>
      <w:r>
        <w:rPr/>
        <w:t>成本。其中，非货币性福利按照公允价值计量。</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离职后福利的会计处理方法" w:id="203"/>
      <w:bookmarkEnd w:id="20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jc w:val="both"/>
      </w:pPr>
      <w:r>
        <w:rPr>
          <w:spacing w:val="-2"/>
        </w:rPr>
        <w:t>离职后福利计划分类为设定提存计划和设定受益计划。设定提存计划是本集团向独立的基金缴存固定费用后，不再承担进一</w:t>
      </w:r>
      <w:r>
        <w:rPr>
          <w:spacing w:val="-64"/>
        </w:rPr>
        <w:t> </w:t>
      </w:r>
      <w:r>
        <w:rPr>
          <w:spacing w:val="-64"/>
        </w:rPr>
      </w:r>
      <w:r>
        <w:rPr>
          <w:spacing w:val="-2"/>
        </w:rPr>
        <w:t>步支付义务的离职后福利计划；设定受益计划是除设定提存计划以外的离职后福利计划。于报告期内，本集团的离职后福利</w:t>
      </w:r>
      <w:r>
        <w:rPr>
          <w:spacing w:val="-63"/>
        </w:rPr>
        <w:t> </w:t>
      </w:r>
      <w:r>
        <w:rPr>
          <w:spacing w:val="-63"/>
        </w:rPr>
      </w:r>
      <w:r>
        <w:rPr/>
        <w:t>主要是为员工缴纳的基本养老保险和失业保险，均属于设定提存计划。</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0"/>
        <w:jc w:val="both"/>
      </w:pPr>
      <w:r>
        <w:rPr/>
        <w:t>基本养老保险</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16" w:lineRule="auto"/>
        <w:ind w:right="190"/>
        <w:jc w:val="both"/>
      </w:pPr>
      <w:r>
        <w:rPr>
          <w:spacing w:val="-2"/>
        </w:rPr>
        <w:t>本集团职工参加了由当地劳动和社会保障部门组织实施的社会基本养老保险。本集团以当地规定的社会基本养老保险缴纳基</w:t>
      </w:r>
      <w:r>
        <w:rPr>
          <w:spacing w:val="-64"/>
        </w:rPr>
        <w:t> </w:t>
      </w:r>
      <w:r>
        <w:rPr>
          <w:spacing w:val="-64"/>
        </w:rPr>
      </w:r>
      <w:r>
        <w:rPr>
          <w:spacing w:val="-2"/>
        </w:rPr>
        <w:t>数和比例，按月向当地社会基本养老保险经办机构缴纳养老保险费。职工退休后，当地劳动及社会保障部门有责任向已退休</w:t>
      </w:r>
      <w:r>
        <w:rPr>
          <w:spacing w:val="-66"/>
        </w:rPr>
        <w:t> </w:t>
      </w:r>
      <w:r>
        <w:rPr>
          <w:spacing w:val="-66"/>
        </w:rPr>
      </w:r>
      <w:r>
        <w:rPr>
          <w:spacing w:val="-2"/>
        </w:rPr>
        <w:t>员工支付社会基本养老金。本集团在职工提供服务的会计期间，将根据上述社保规定计算应缴纳的金额确认为负债，并计入</w:t>
      </w:r>
      <w:r>
        <w:rPr>
          <w:spacing w:val="-63"/>
        </w:rPr>
        <w:t> </w:t>
      </w:r>
      <w:r>
        <w:rPr>
          <w:spacing w:val="-63"/>
        </w:rPr>
      </w:r>
      <w:r>
        <w:rPr/>
        <w:t>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both"/>
        <w:rPr>
          <w:b w:val="0"/>
          <w:bCs w:val="0"/>
        </w:rPr>
      </w:pPr>
      <w:bookmarkStart w:name="（3）辞退福利的会计处理方法" w:id="204"/>
      <w:bookmarkEnd w:id="20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3"/>
        <w:jc w:val="both"/>
      </w:pPr>
      <w:r>
        <w:rPr>
          <w:spacing w:val="-2"/>
        </w:rPr>
        <w:t>本集团在职工劳动合同到期之前解除与职工的劳动关系、或者为鼓励职工自愿接受裁减而提出给予补偿，在本集团不能单方</w:t>
      </w:r>
      <w:r>
        <w:rPr>
          <w:spacing w:val="-64"/>
        </w:rPr>
        <w:t> </w:t>
      </w:r>
      <w:r>
        <w:rPr>
          <w:spacing w:val="-64"/>
        </w:rPr>
      </w:r>
      <w:r>
        <w:rPr>
          <w:spacing w:val="-2"/>
        </w:rPr>
        <w:t>面撤回解除劳动关系计划或裁减建议时和确认与涉及支付辞退福利的重组相关的成本费用时两者孰早日，确认因解除与职工</w:t>
      </w:r>
      <w:r>
        <w:rPr>
          <w:spacing w:val="-64"/>
        </w:rPr>
        <w:t> </w:t>
      </w:r>
      <w:r>
        <w:rPr>
          <w:spacing w:val="-64"/>
        </w:rPr>
      </w:r>
      <w:r>
        <w:rPr/>
        <w:t>的劳动关系给予补偿而产生的负债，同时计入当期损益。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0"/>
        <w:jc w:val="both"/>
      </w:pPr>
      <w:r>
        <w:rPr/>
        <w:t>预期在资产负债表日起一年内需支付的辞退福利，列示为流动负债。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3"/>
        <w:spacing w:line="240" w:lineRule="auto"/>
        <w:ind w:right="0"/>
        <w:jc w:val="both"/>
        <w:rPr>
          <w:b w:val="0"/>
          <w:bCs w:val="0"/>
        </w:rPr>
      </w:pPr>
      <w:bookmarkStart w:name="（4）其他长期职工福利的会计处理方法" w:id="205"/>
      <w:bookmarkEnd w:id="20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25、预计负债" w:id="206"/>
      <w:bookmarkEnd w:id="206"/>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因亏损合同等形成的现时义务，当履行该义务很可能导致经济利益的流出，且其金额能够可靠计量时，确认为预计负债。</w:t>
      </w:r>
    </w:p>
    <w:p>
      <w:pPr>
        <w:spacing w:after="0" w:line="240" w:lineRule="auto"/>
        <w:jc w:val="both"/>
        <w:sectPr>
          <w:footerReference w:type="default" r:id="rId19"/>
          <w:pgSz w:w="11910" w:h="16840"/>
          <w:pgMar w:footer="982" w:header="745" w:top="1060" w:bottom="1180" w:left="980" w:right="94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16" w:lineRule="auto"/>
        <w:ind w:right="190"/>
        <w:jc w:val="both"/>
      </w:pPr>
      <w:r>
        <w:rPr>
          <w:spacing w:val="-2"/>
        </w:rPr>
        <w:t>预计负债按照履行相关现时义务所需支出的最佳估计数进行初始计量，并综合考虑与或有事项有关的风险、不确定性和货币</w:t>
      </w:r>
      <w:r>
        <w:rPr>
          <w:spacing w:val="-64"/>
        </w:rPr>
        <w:t> </w:t>
      </w:r>
      <w:r>
        <w:rPr>
          <w:spacing w:val="-64"/>
        </w:rPr>
      </w:r>
      <w:r>
        <w:rPr>
          <w:spacing w:val="-2"/>
        </w:rPr>
        <w:t>时间价值等因素。货币时间价值影响重大的，通过对相关未来现金流出进行折现后确定最佳估计数；因随着时间推移所进行</w:t>
      </w:r>
      <w:r>
        <w:rPr>
          <w:spacing w:val="-63"/>
        </w:rPr>
        <w:t> </w:t>
      </w:r>
      <w:r>
        <w:rPr>
          <w:spacing w:val="-63"/>
        </w:rPr>
      </w:r>
      <w:r>
        <w:rPr/>
        <w:t>的折现还原而导致的预计负债账面价值的增加金额，确认为利息费用。</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717" w:lineRule="auto"/>
        <w:ind w:right="2434"/>
        <w:jc w:val="left"/>
      </w:pPr>
      <w:r>
        <w:rPr/>
        <w:t>于资产负债表日，对预计负债的账面价值进行复核并作适当调整，以反映当前的最佳估计数。 预期在资产负债表日起一年内需支付的预计负债，列示为流动负债。</w:t>
      </w:r>
    </w:p>
    <w:p>
      <w:pPr>
        <w:spacing w:line="240" w:lineRule="auto" w:before="10"/>
        <w:rPr>
          <w:rFonts w:ascii="宋体" w:hAnsi="宋体" w:cs="宋体" w:eastAsia="宋体" w:hint="default"/>
          <w:sz w:val="26"/>
          <w:szCs w:val="26"/>
        </w:rPr>
      </w:pPr>
    </w:p>
    <w:p>
      <w:pPr>
        <w:pStyle w:val="Heading3"/>
        <w:spacing w:line="240" w:lineRule="auto"/>
        <w:ind w:right="189"/>
        <w:jc w:val="left"/>
        <w:rPr>
          <w:b w:val="0"/>
          <w:bCs w:val="0"/>
        </w:rPr>
      </w:pPr>
      <w:bookmarkStart w:name="26、股份支付" w:id="207"/>
      <w:bookmarkEnd w:id="207"/>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06" w:firstLine="288"/>
        <w:jc w:val="both"/>
      </w:pPr>
      <w:r>
        <w:rPr/>
        <w:t>就本集团为获取员工服务而定向发行的本公司限制性人民币普通股</w:t>
      </w:r>
      <w:r>
        <w:rPr>
          <w:rFonts w:ascii="Times New Roman" w:hAnsi="Times New Roman" w:cs="Times New Roman" w:eastAsia="Times New Roman" w:hint="default"/>
        </w:rPr>
        <w:t>A</w:t>
      </w:r>
      <w:r>
        <w:rPr/>
        <w:t>股，本集团将该股份支付交易作为权益结算的股份 </w:t>
      </w:r>
      <w:r>
        <w:rPr>
          <w:spacing w:val="-2"/>
        </w:rPr>
        <w:t>支付处理，以授予日权益工具的公允价值计量。在等待期内的每个资产负债表日，以对可达到解锁条件权益工具数量的最佳</w:t>
      </w:r>
      <w:r>
        <w:rPr>
          <w:spacing w:val="-63"/>
        </w:rPr>
        <w:t> </w:t>
      </w:r>
      <w:r>
        <w:rPr>
          <w:spacing w:val="-63"/>
        </w:rPr>
      </w:r>
      <w:r>
        <w:rPr/>
        <w:t>估计为基础，按照权益工具授予日的公允价值，将当期取得的本集团员工的服务计入相关成本和费用，相应增加资本公积。</w:t>
      </w:r>
    </w:p>
    <w:p>
      <w:pPr>
        <w:pStyle w:val="BodyText"/>
        <w:spacing w:line="316" w:lineRule="auto" w:before="24"/>
        <w:ind w:right="190" w:firstLine="288"/>
        <w:jc w:val="both"/>
      </w:pPr>
      <w:r>
        <w:rPr>
          <w:spacing w:val="-1"/>
        </w:rPr>
        <w:t>确认上述公允价值时，应当按照本公司股份的市场价格计量，同时考虑授予股份所依据的条款和条件（不包括市场条件</w:t>
      </w:r>
      <w:r>
        <w:rPr/>
        <w:t> </w:t>
      </w:r>
      <w:r>
        <w:rPr>
          <w:spacing w:val="-2"/>
        </w:rPr>
        <w:t>之外的可行权条件）进行调整。授予条款和条件规定股份的转让在解锁日后受到限制，则在估计所授予股份的公允价值时予</w:t>
      </w:r>
      <w:r>
        <w:rPr>
          <w:spacing w:val="-63"/>
        </w:rPr>
        <w:t> </w:t>
      </w:r>
      <w:r>
        <w:rPr>
          <w:spacing w:val="-63"/>
        </w:rPr>
      </w:r>
      <w:r>
        <w:rPr>
          <w:spacing w:val="-2"/>
        </w:rPr>
        <w:t>以考虑。非市场条件的影响包括在对预计可行权数量的估计中，在资产负债表日，后续信息表明可行权权益工具的数量与以</w:t>
      </w:r>
      <w:r>
        <w:rPr>
          <w:spacing w:val="-66"/>
        </w:rPr>
        <w:t> </w:t>
      </w:r>
      <w:r>
        <w:rPr>
          <w:spacing w:val="-66"/>
        </w:rPr>
      </w:r>
      <w:r>
        <w:rPr>
          <w:spacing w:val="-2"/>
        </w:rPr>
        <w:t>前估计不同的，则对其进行调整，并在可行权日，调整至实际可行权的权益工具数量。在可行权日之后，不再对已确认的相</w:t>
      </w:r>
      <w:r>
        <w:rPr>
          <w:spacing w:val="-67"/>
        </w:rPr>
        <w:t> </w:t>
      </w:r>
      <w:r>
        <w:rPr>
          <w:spacing w:val="-67"/>
        </w:rPr>
      </w:r>
      <w:r>
        <w:rPr/>
        <w:t>关成本或费用和所有者权益总额进行调整。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2"/>
          <w:szCs w:val="22"/>
        </w:rPr>
      </w:pPr>
    </w:p>
    <w:p>
      <w:pPr>
        <w:pStyle w:val="Heading3"/>
        <w:spacing w:line="240" w:lineRule="auto"/>
        <w:ind w:right="189"/>
        <w:jc w:val="left"/>
        <w:rPr>
          <w:b w:val="0"/>
          <w:bCs w:val="0"/>
        </w:rPr>
      </w:pPr>
      <w:bookmarkStart w:name="27、优先股、永续债等其他金融工具" w:id="208"/>
      <w:bookmarkEnd w:id="208"/>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89"/>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89"/>
        <w:jc w:val="left"/>
        <w:rPr>
          <w:b w:val="0"/>
          <w:bCs w:val="0"/>
        </w:rPr>
      </w:pPr>
      <w:bookmarkStart w:name="28、收入" w:id="209"/>
      <w:bookmarkEnd w:id="209"/>
      <w:r>
        <w:rPr>
          <w:b w:val="0"/>
          <w:bCs w:val="0"/>
        </w:rPr>
      </w: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 公司是否需要遵守特殊行业的披露要求 否</w:t>
      </w:r>
    </w:p>
    <w:p>
      <w:pPr>
        <w:pStyle w:val="BodyText"/>
        <w:spacing w:line="316" w:lineRule="auto" w:before="29"/>
        <w:ind w:right="189"/>
        <w:jc w:val="left"/>
      </w:pPr>
      <w:r>
        <w:rPr>
          <w:spacing w:val="-2"/>
        </w:rPr>
        <w:t>收入的金额按照本集团在日常经营活动中销售商品和提供劳务时，已收或应收合同或协议价款的公允价值确定。收入按扣除</w:t>
      </w:r>
      <w:r>
        <w:rPr>
          <w:spacing w:val="-64"/>
        </w:rPr>
        <w:t> </w:t>
      </w:r>
      <w:r>
        <w:rPr>
          <w:spacing w:val="-64"/>
        </w:rPr>
      </w:r>
      <w:r>
        <w:rPr/>
        <w:t>销售折让及销售退回的净额列示。</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6" w:lineRule="auto"/>
        <w:ind w:right="189"/>
        <w:jc w:val="left"/>
      </w:pPr>
      <w:r>
        <w:rPr>
          <w:spacing w:val="-2"/>
        </w:rPr>
        <w:t>与交易相关的经济利益能够流入本集团，相关的收入能够可靠计量且满足下列各项经营活动的特定收入确认标准时，确认相</w:t>
      </w:r>
      <w:r>
        <w:rPr>
          <w:spacing w:val="-64"/>
        </w:rPr>
        <w:t> </w:t>
      </w:r>
      <w:r>
        <w:rPr>
          <w:spacing w:val="-64"/>
        </w:rPr>
      </w:r>
      <w:r>
        <w:rPr/>
        <w:t>关的收入：</w:t>
      </w:r>
    </w:p>
    <w:p>
      <w:pPr>
        <w:pStyle w:val="BodyText"/>
        <w:spacing w:line="319" w:lineRule="auto" w:before="59"/>
        <w:ind w:right="94"/>
        <w:jc w:val="left"/>
      </w:pPr>
      <w:r>
        <w:rPr/>
        <w:t>（</w:t>
      </w:r>
      <w:r>
        <w:rPr>
          <w:rFonts w:ascii="Times New Roman" w:hAnsi="Times New Roman" w:cs="Times New Roman" w:eastAsia="Times New Roman" w:hint="default"/>
        </w:rPr>
        <w:t>1</w:t>
      </w:r>
      <w:r>
        <w:rPr/>
        <w:t>）软件开发收入 软件开发主要为定制软件开发业务，包括软件的设计、开发、测试和实施，主要包含四个关键阶段，分别是需求调研阶段、</w:t>
      </w:r>
      <w:r>
        <w:rPr>
          <w:spacing w:val="-86"/>
        </w:rPr>
        <w:t> </w:t>
      </w:r>
      <w:r>
        <w:rPr>
          <w:spacing w:val="-86"/>
        </w:rPr>
      </w:r>
      <w:r>
        <w:rPr/>
        <w:t>开发与测试阶段、系统上线运行阶段、客户验收阶段。定制软件开发合同约定的收款方式一般为签订合同后收取约</w:t>
      </w:r>
      <w:r>
        <w:rPr>
          <w:rFonts w:ascii="Times New Roman" w:hAnsi="Times New Roman" w:cs="Times New Roman" w:eastAsia="Times New Roman" w:hint="default"/>
        </w:rPr>
        <w:t>30%</w:t>
      </w:r>
      <w:r>
        <w:rPr/>
        <w:t>合同 款，出具上线报告后收取约</w:t>
      </w:r>
      <w:r>
        <w:rPr>
          <w:rFonts w:ascii="Times New Roman" w:hAnsi="Times New Roman" w:cs="Times New Roman" w:eastAsia="Times New Roman" w:hint="default"/>
        </w:rPr>
        <w:t>30%</w:t>
      </w:r>
      <w:r>
        <w:rPr/>
        <w:t>合同款，出具验收报告后收取约</w:t>
      </w:r>
      <w:r>
        <w:rPr>
          <w:rFonts w:ascii="Times New Roman" w:hAnsi="Times New Roman" w:cs="Times New Roman" w:eastAsia="Times New Roman" w:hint="default"/>
        </w:rPr>
        <w:t>30%</w:t>
      </w:r>
      <w:r>
        <w:rPr/>
        <w:t>合同款，质保期结束后收取剩余约</w:t>
      </w:r>
      <w:r>
        <w:rPr>
          <w:rFonts w:ascii="Times New Roman" w:hAnsi="Times New Roman" w:cs="Times New Roman" w:eastAsia="Times New Roman" w:hint="default"/>
        </w:rPr>
        <w:t>10%</w:t>
      </w:r>
      <w:r>
        <w:rPr/>
        <w:t>合同款。</w:t>
      </w:r>
    </w:p>
    <w:p>
      <w:pPr>
        <w:spacing w:after="0" w:line="319"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0"/>
        <w:jc w:val="both"/>
      </w:pPr>
      <w:r>
        <w:rPr>
          <w:spacing w:val="-2"/>
        </w:rPr>
        <w:t>定制软件开发收入在软件主要功能通过测试并且取得客户确认的上线报告时点开始按照完工百分比法确认收入，完工进度按</w:t>
      </w:r>
      <w:r>
        <w:rPr>
          <w:spacing w:val="-64"/>
        </w:rPr>
        <w:t> </w:t>
      </w:r>
      <w:r>
        <w:rPr>
          <w:spacing w:val="-64"/>
        </w:rPr>
      </w:r>
      <w:r>
        <w:rPr>
          <w:spacing w:val="-2"/>
        </w:rPr>
        <w:t>已经发生的成本占预计总成本的比例确定。对于没有上线报告的软件开发项目，公司在项目完成并取得客户最终确认时，按</w:t>
      </w:r>
      <w:r>
        <w:rPr>
          <w:spacing w:val="-63"/>
        </w:rPr>
        <w:t> </w:t>
      </w:r>
      <w:r>
        <w:rPr>
          <w:spacing w:val="-63"/>
        </w:rPr>
      </w:r>
      <w:r>
        <w:rPr/>
        <w:t>合同金额确认收入。</w:t>
      </w:r>
    </w:p>
    <w:p>
      <w:pPr>
        <w:pStyle w:val="BodyText"/>
        <w:spacing w:line="328" w:lineRule="auto" w:before="59"/>
        <w:ind w:right="189"/>
        <w:jc w:val="left"/>
      </w:pPr>
      <w:r>
        <w:rPr/>
        <w:t>（</w:t>
      </w:r>
      <w:r>
        <w:rPr>
          <w:rFonts w:ascii="Times New Roman" w:hAnsi="Times New Roman" w:cs="Times New Roman" w:eastAsia="Times New Roman" w:hint="default"/>
        </w:rPr>
        <w:t>2</w:t>
      </w:r>
      <w:r>
        <w:rPr/>
        <w:t>）维护服务收入 </w:t>
      </w:r>
      <w:r>
        <w:rPr>
          <w:spacing w:val="-2"/>
        </w:rPr>
        <w:t>维护服务业务是指公司对已销售的软件开发服务、系统集成等，为客户提供的后续技术支持或维护服务。公司在合同约定的</w:t>
      </w:r>
      <w:r>
        <w:rPr>
          <w:spacing w:val="-63"/>
        </w:rPr>
        <w:t> </w:t>
      </w:r>
      <w:r>
        <w:rPr>
          <w:spacing w:val="-63"/>
        </w:rPr>
      </w:r>
      <w:r>
        <w:rPr/>
        <w:t>服务期内，对维护费按月平均分摊确认收入。</w:t>
      </w:r>
    </w:p>
    <w:p>
      <w:pPr>
        <w:pStyle w:val="BodyText"/>
        <w:spacing w:line="333" w:lineRule="auto" w:before="50"/>
        <w:ind w:right="189"/>
        <w:jc w:val="left"/>
      </w:pPr>
      <w:r>
        <w:rPr/>
        <w:t>（</w:t>
      </w:r>
      <w:r>
        <w:rPr>
          <w:rFonts w:ascii="Times New Roman" w:hAnsi="Times New Roman" w:cs="Times New Roman" w:eastAsia="Times New Roman" w:hint="default"/>
        </w:rPr>
        <w:t>3</w:t>
      </w:r>
      <w:r>
        <w:rPr/>
        <w:t>）第三方软硬件及系统集成收入 第三方软硬件产品收入是指公司根据合同约定外购指定的软硬件产品并按客户要求安装集成后向客户提交工作成果所获得 的收入。本公司在完成软硬件安装集成调试且经客户确认后确认收入。 </w:t>
      </w:r>
      <w:r>
        <w:rPr>
          <w:spacing w:val="-2"/>
        </w:rPr>
        <w:t>系统集成是指本公司外购通用设备后自行或委外加工成定制产品，再辅以操作系统配套后进行安装调试。本公司在定制系统</w:t>
      </w:r>
      <w:r>
        <w:rPr>
          <w:spacing w:val="-64"/>
        </w:rPr>
        <w:t> </w:t>
      </w:r>
      <w:r>
        <w:rPr>
          <w:spacing w:val="-64"/>
        </w:rPr>
      </w:r>
      <w:r>
        <w:rPr/>
        <w:t>集成产品交付客户并安装调试经客户验收确认后确认收入。</w:t>
      </w:r>
    </w:p>
    <w:p>
      <w:pPr>
        <w:pStyle w:val="BodyText"/>
        <w:spacing w:line="340" w:lineRule="auto" w:before="47"/>
        <w:ind w:right="4954"/>
        <w:jc w:val="left"/>
      </w:pPr>
      <w:r>
        <w:rPr/>
        <w:t>（</w:t>
      </w:r>
      <w:r>
        <w:rPr>
          <w:rFonts w:ascii="Times New Roman" w:hAnsi="Times New Roman" w:cs="Times New Roman" w:eastAsia="Times New Roman" w:hint="default"/>
        </w:rPr>
        <w:t>4</w:t>
      </w:r>
      <w:r>
        <w:rPr/>
        <w:t>）利息收入 利息收入按借出或存入货币资金的时间和实际利率计算确定。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9"/>
        <w:ind w:right="189"/>
        <w:jc w:val="left"/>
        <w:rPr>
          <w:b w:val="0"/>
          <w:bCs w:val="0"/>
        </w:rPr>
      </w:pPr>
      <w:bookmarkStart w:name="29、政府补助" w:id="210"/>
      <w:bookmarkEnd w:id="210"/>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9"/>
        <w:jc w:val="left"/>
        <w:rPr>
          <w:b w:val="0"/>
          <w:bCs w:val="0"/>
        </w:rPr>
      </w:pPr>
      <w:bookmarkStart w:name="（1）与资产相关的政府补助判断依据及会计处理方法" w:id="211"/>
      <w:bookmarkEnd w:id="211"/>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9"/>
        <w:jc w:val="left"/>
      </w:pPr>
      <w:r>
        <w:rPr>
          <w:spacing w:val="-2"/>
        </w:rPr>
        <w:t>与资产相关的政府补助，是指企业取得的、用于购建或以其他方式形成长期资产的政府补助。与收益相关的政府补助是指除</w:t>
      </w:r>
      <w:r>
        <w:rPr>
          <w:spacing w:val="-63"/>
        </w:rPr>
        <w:t> </w:t>
      </w:r>
      <w:r>
        <w:rPr>
          <w:spacing w:val="-63"/>
        </w:rPr>
      </w:r>
      <w:r>
        <w:rPr/>
        <w:t>与资产相关的政府补助之外的政府补助。</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316" w:lineRule="auto"/>
        <w:ind w:right="189"/>
        <w:jc w:val="left"/>
      </w:pPr>
      <w:r>
        <w:rPr>
          <w:spacing w:val="-2"/>
        </w:rPr>
        <w:t>与资产相关的政府补助，确认为递延收益，并在相关资产使用寿命内平均分配，计入当期损益。按照名义金额计量的政府补</w:t>
      </w:r>
      <w:r>
        <w:rPr>
          <w:spacing w:val="-65"/>
        </w:rPr>
        <w:t> </w:t>
      </w:r>
      <w:r>
        <w:rPr>
          <w:spacing w:val="-65"/>
        </w:rPr>
      </w:r>
      <w:r>
        <w:rPr/>
        <w:t>助，直接计入当期损益。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189"/>
        <w:jc w:val="left"/>
        <w:rPr>
          <w:b w:val="0"/>
          <w:bCs w:val="0"/>
        </w:rPr>
      </w:pPr>
      <w:bookmarkStart w:name="（2）与收益相关的政府补助判断依据及会计处理方法" w:id="212"/>
      <w:bookmarkEnd w:id="212"/>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89"/>
        <w:jc w:val="left"/>
      </w:pPr>
      <w:r>
        <w:rPr>
          <w:spacing w:val="-2"/>
        </w:rPr>
        <w:t>与收益相关的政府补助，用于补偿以后期间的相关费用或损失的，确认为递延收益，并在确认相关费用的期间，计入当期损</w:t>
      </w:r>
      <w:r>
        <w:rPr>
          <w:spacing w:val="-64"/>
        </w:rPr>
        <w:t> </w:t>
      </w:r>
      <w:r>
        <w:rPr>
          <w:spacing w:val="-64"/>
        </w:rPr>
      </w:r>
      <w:r>
        <w:rPr/>
        <w:t>益；用于补偿已发生的相关费用或损失的，直接计入当期损益。 </w:t>
      </w:r>
      <w:r>
        <w:rPr>
          <w:spacing w:val="-2"/>
        </w:rPr>
        <w:t>与企业日常活动相关的政府补助，应当按照经济业务实质，计入其他收益或冲减相关成本费用。与企业日常活动无关的政府</w:t>
      </w:r>
    </w:p>
    <w:p>
      <w:pPr>
        <w:pStyle w:val="BodyText"/>
        <w:spacing w:line="240" w:lineRule="auto" w:before="2"/>
        <w:ind w:right="189"/>
        <w:jc w:val="left"/>
      </w:pPr>
      <w:r>
        <w:rPr/>
        <w:t>补助，应当计入营业外收支。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3"/>
        <w:spacing w:line="240" w:lineRule="auto"/>
        <w:ind w:right="189"/>
        <w:jc w:val="left"/>
        <w:rPr>
          <w:b w:val="0"/>
          <w:bCs w:val="0"/>
        </w:rPr>
      </w:pPr>
      <w:bookmarkStart w:name="30、递延所得税资产/递延所得税负债" w:id="213"/>
      <w:bookmarkEnd w:id="213"/>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spacing w:val="-2"/>
        </w:rPr>
        <w:t>递延所得税资产和递延所得税负债根据资产和负债的计税基础与其账面价值的差额（暂时性差异）计算确认。对于按照税法</w:t>
      </w:r>
      <w:r>
        <w:rPr>
          <w:spacing w:val="-66"/>
        </w:rPr>
        <w:t> </w:t>
      </w:r>
      <w:r>
        <w:rPr>
          <w:spacing w:val="-66"/>
        </w:rPr>
      </w:r>
      <w:r>
        <w:rPr>
          <w:spacing w:val="-4"/>
        </w:rPr>
        <w:t>规定能够于以后年度抵减应纳税所得额的可抵扣亏损，确认相应的递延所得税资产。对于商誉的初始确认产生的暂时性差异，</w:t>
      </w:r>
      <w:r>
        <w:rPr>
          <w:spacing w:val="-44"/>
        </w:rPr>
        <w:t> </w:t>
      </w:r>
      <w:r>
        <w:rPr>
          <w:spacing w:val="-44"/>
        </w:rPr>
      </w:r>
      <w:r>
        <w:rPr>
          <w:spacing w:val="-2"/>
        </w:rPr>
        <w:t>不确认相应的递延所得税负债。对于既不影响会计利润也不影响应纳税所得额（或可抵扣亏损）的非企业合并的交易中产生</w:t>
      </w:r>
      <w:r>
        <w:rPr>
          <w:spacing w:val="-63"/>
        </w:rPr>
        <w:t> </w:t>
      </w:r>
      <w:r>
        <w:rPr>
          <w:spacing w:val="-63"/>
        </w:rPr>
      </w:r>
      <w:r>
        <w:rPr>
          <w:spacing w:val="-2"/>
        </w:rPr>
        <w:t>的资产或负债的初始确认形成的暂时性差异，不确认相应的递延所得税资产和递延所得税负债。于资产负债表日，递延所得</w:t>
      </w:r>
      <w:r>
        <w:rPr>
          <w:spacing w:val="-66"/>
        </w:rPr>
        <w:t> </w:t>
      </w:r>
      <w:r>
        <w:rPr>
          <w:spacing w:val="-66"/>
        </w:rPr>
      </w:r>
      <w:r>
        <w:rPr/>
        <w:t>税资产和递延所得税负债，按照预期收回该资产或清偿该负债期间的适用税率计量。</w:t>
      </w:r>
    </w:p>
    <w:p>
      <w:pPr>
        <w:pStyle w:val="BodyText"/>
        <w:spacing w:line="360" w:lineRule="auto" w:before="57"/>
        <w:ind w:right="189"/>
        <w:jc w:val="left"/>
      </w:pPr>
      <w:r>
        <w:rPr/>
        <w:t>递延所得税资产的确认以很可能取得用来抵扣可抵扣暂时性差异、可抵扣亏损和税款抵减的应纳税所得额为限。 </w:t>
      </w:r>
      <w:r>
        <w:rPr>
          <w:spacing w:val="-2"/>
        </w:rPr>
        <w:t>对与子公司、联营企业及合营企业投资相关的应纳税暂时性差异，确认递延所得税负债，除非本集团能够控制该暂时性差异</w:t>
      </w:r>
    </w:p>
    <w:p>
      <w:pPr>
        <w:spacing w:after="0" w:line="36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3"/>
        <w:jc w:val="both"/>
      </w:pPr>
      <w:r>
        <w:rPr>
          <w:spacing w:val="-2"/>
        </w:rPr>
        <w:t>转回的时间且该暂时性差异在可预见的未来很可能不会转回。对与子公司、联营企业及合营企业投资相关的可抵扣暂时性差</w:t>
      </w:r>
      <w:r>
        <w:rPr>
          <w:spacing w:val="-64"/>
        </w:rPr>
        <w:t> </w:t>
      </w:r>
      <w:r>
        <w:rPr>
          <w:spacing w:val="-64"/>
        </w:rPr>
      </w:r>
      <w:r>
        <w:rPr>
          <w:spacing w:val="-2"/>
        </w:rPr>
        <w:t>异，当该暂时性差异在可预见的未来很可能转回且未来很可能获得用来抵扣可抵扣暂时性差异的应纳税所得额时，确认递延</w:t>
      </w:r>
      <w:r>
        <w:rPr>
          <w:spacing w:val="-64"/>
        </w:rPr>
        <w:t> </w:t>
      </w:r>
      <w:r>
        <w:rPr>
          <w:spacing w:val="-64"/>
        </w:rPr>
      </w:r>
      <w:r>
        <w:rPr/>
        <w:t>所得税资产。</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189"/>
        <w:jc w:val="left"/>
      </w:pPr>
      <w:r>
        <w:rPr/>
        <w:t>同时满足下列条件的递延所得税资产和递延所得税负债以抵销后的净额列示：</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tabs>
          <w:tab w:pos="572" w:val="left" w:leader="none"/>
        </w:tabs>
        <w:spacing w:line="240" w:lineRule="auto"/>
        <w:ind w:right="189"/>
        <w:jc w:val="left"/>
      </w:pPr>
      <w:r>
        <w:rPr>
          <w:rFonts w:ascii="Times New Roman" w:hAnsi="Times New Roman" w:cs="Times New Roman" w:eastAsia="Times New Roman" w:hint="default"/>
        </w:rPr>
        <w:t>•</w:t>
        <w:tab/>
      </w:r>
      <w:r>
        <w:rPr/>
        <w:t>递延所得税资产和递延所得税负债与同一税收征管部门对本集团内同一纳税主体征收的所得税相关；</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tabs>
          <w:tab w:pos="573" w:val="left" w:leader="none"/>
        </w:tabs>
        <w:spacing w:line="240" w:lineRule="auto"/>
        <w:ind w:right="189"/>
        <w:jc w:val="left"/>
      </w:pPr>
      <w:r>
        <w:rPr>
          <w:rFonts w:ascii="Times New Roman" w:hAnsi="Times New Roman" w:cs="Times New Roman" w:eastAsia="Times New Roman" w:hint="default"/>
        </w:rPr>
        <w:t>•</w:t>
        <w:tab/>
      </w:r>
      <w:r>
        <w:rPr/>
        <w:t>本集团内该纳税主体拥有以净额结算当期所得税资产及当期所得税负债的法定权利。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3"/>
        <w:spacing w:line="240" w:lineRule="auto"/>
        <w:ind w:right="189"/>
        <w:jc w:val="left"/>
        <w:rPr>
          <w:b w:val="0"/>
          <w:bCs w:val="0"/>
        </w:rPr>
      </w:pPr>
      <w:bookmarkStart w:name="31、租赁" w:id="214"/>
      <w:bookmarkEnd w:id="214"/>
      <w:r>
        <w:rPr>
          <w:b w:val="0"/>
          <w:bCs w:val="0"/>
        </w:rPr>
      </w: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89"/>
        <w:jc w:val="left"/>
        <w:rPr>
          <w:b w:val="0"/>
          <w:bCs w:val="0"/>
        </w:rPr>
      </w:pPr>
      <w:bookmarkStart w:name="（1）经营租赁的会计处理方法" w:id="215"/>
      <w:bookmarkEnd w:id="21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3874"/>
        <w:jc w:val="left"/>
      </w:pPr>
      <w:r>
        <w:rPr/>
        <w:t>经营租赁的租金支出在租赁期内按照直线法计入相关资产成本或当期损益。 经营租赁的租金收入在租赁期内按照直线法确认。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189"/>
        <w:jc w:val="left"/>
        <w:rPr>
          <w:b w:val="0"/>
          <w:bCs w:val="0"/>
        </w:rPr>
      </w:pPr>
      <w:bookmarkStart w:name="（2）融资租赁的会计处理方法" w:id="216"/>
      <w:bookmarkEnd w:id="21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9"/>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89"/>
        <w:jc w:val="left"/>
        <w:rPr>
          <w:b w:val="0"/>
          <w:bCs w:val="0"/>
        </w:rPr>
      </w:pPr>
      <w:bookmarkStart w:name="32、其他重要的会计政策和会计估计" w:id="217"/>
      <w:bookmarkEnd w:id="217"/>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89"/>
        <w:jc w:val="left"/>
      </w:pPr>
      <w:r>
        <w:rPr/>
        <w:t>本集团根据历史经验和其他因素，包括对未来事项的合理预期，对所采用的重要会计估计和关键判断进行持续的评价。</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189"/>
        <w:jc w:val="left"/>
      </w:pPr>
      <w:r>
        <w:rPr/>
        <w:t>下列重要会计估计及关键假设存在会导致下一会计年度资产和负债的账面价值出现重大调整的重要风险：</w:t>
      </w:r>
    </w:p>
    <w:p>
      <w:pPr>
        <w:pStyle w:val="BodyText"/>
        <w:spacing w:line="324" w:lineRule="auto" w:before="117"/>
        <w:ind w:right="189"/>
        <w:jc w:val="left"/>
      </w:pPr>
      <w:r>
        <w:rPr/>
        <w:t>（</w:t>
      </w:r>
      <w:r>
        <w:rPr>
          <w:rFonts w:ascii="Times New Roman" w:hAnsi="Times New Roman" w:cs="Times New Roman" w:eastAsia="Times New Roman" w:hint="default"/>
        </w:rPr>
        <w:t>1</w:t>
      </w:r>
      <w:r>
        <w:rPr/>
        <w:t>）应收款项的减值 </w:t>
      </w:r>
      <w:r>
        <w:rPr>
          <w:spacing w:val="-2"/>
        </w:rPr>
        <w:t>本集团在资产负债表日复核摊余成本计量的应收款项，以评估是否出现减值情况，并在出现减值情况时评估减值损失的具体</w:t>
      </w:r>
      <w:r>
        <w:rPr>
          <w:spacing w:val="-64"/>
        </w:rPr>
        <w:t> </w:t>
      </w:r>
      <w:r>
        <w:rPr>
          <w:spacing w:val="-64"/>
        </w:rPr>
      </w:r>
      <w:r>
        <w:rPr>
          <w:spacing w:val="-2"/>
        </w:rPr>
        <w:t>金额。减值的客观证据包括显示单项或组合应收款项预计未来现金流量出现大幅下降的可观察数据、显示单项或组合应收款</w:t>
      </w:r>
      <w:r>
        <w:rPr>
          <w:spacing w:val="-64"/>
        </w:rPr>
        <w:t> </w:t>
      </w:r>
      <w:r>
        <w:rPr>
          <w:spacing w:val="-64"/>
        </w:rPr>
      </w:r>
      <w:r>
        <w:rPr>
          <w:spacing w:val="-2"/>
        </w:rPr>
        <w:t>项中债务人的财务状况出现重大负面变动的可观察数据等事项。如果有证据表明该应收款项价值已恢复，且客观上与确认该</w:t>
      </w:r>
      <w:r>
        <w:rPr>
          <w:spacing w:val="-64"/>
        </w:rPr>
        <w:t> </w:t>
      </w:r>
      <w:r>
        <w:rPr>
          <w:spacing w:val="-64"/>
        </w:rPr>
      </w:r>
      <w:r>
        <w:rPr/>
        <w:t>损失后发生的事项有关，则将原确认的减值损失予以转回。</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321" w:lineRule="auto"/>
        <w:ind w:right="94"/>
        <w:jc w:val="left"/>
      </w:pPr>
      <w:r>
        <w:rPr/>
        <w:t>（</w:t>
      </w:r>
      <w:r>
        <w:rPr>
          <w:rFonts w:ascii="Times New Roman" w:hAnsi="Times New Roman" w:cs="Times New Roman" w:eastAsia="Times New Roman" w:hint="default"/>
        </w:rPr>
        <w:t>2</w:t>
      </w:r>
      <w:r>
        <w:rPr/>
        <w:t>）亏损合同计提的预计负债 本集团主要从事软件开发业务及第三方软硬件及系统集成业务，管理层会对待执行合约的预计将发生的合约成本进行估计，</w:t>
      </w:r>
      <w:r>
        <w:rPr>
          <w:spacing w:val="-86"/>
        </w:rPr>
        <w:t> </w:t>
      </w:r>
      <w:r>
        <w:rPr>
          <w:spacing w:val="-86"/>
        </w:rPr>
      </w:r>
      <w:r>
        <w:rPr>
          <w:spacing w:val="-2"/>
        </w:rPr>
        <w:t>合约成本包括开发人员人工成本、为项目发生的差旅费用等。如果管理层预计在履行合同义务过程中将发生的合约成本预期</w:t>
      </w:r>
      <w:r>
        <w:rPr>
          <w:spacing w:val="-64"/>
        </w:rPr>
        <w:t> </w:t>
      </w:r>
      <w:r>
        <w:rPr>
          <w:spacing w:val="-64"/>
        </w:rPr>
      </w:r>
      <w:r>
        <w:rPr>
          <w:spacing w:val="-2"/>
        </w:rPr>
        <w:t>将超过与合同相关的未来流入经济利益的，则该待执行合同即变成了亏损合同。待执行合同变成亏损合同时，有合同标的资</w:t>
      </w:r>
      <w:r>
        <w:rPr>
          <w:spacing w:val="-63"/>
        </w:rPr>
        <w:t> </w:t>
      </w:r>
      <w:r>
        <w:rPr>
          <w:spacing w:val="-63"/>
        </w:rPr>
      </w:r>
      <w:r>
        <w:rPr>
          <w:spacing w:val="-2"/>
        </w:rPr>
        <w:t>产的，应当先对标的资产进行减值测试并按规定确认减值损失，如预计亏损超过该减值损失，管理层将超过部分确认为预计</w:t>
      </w:r>
      <w:r>
        <w:rPr>
          <w:spacing w:val="-63"/>
        </w:rPr>
        <w:t> </w:t>
      </w:r>
      <w:r>
        <w:rPr>
          <w:spacing w:val="-63"/>
        </w:rPr>
      </w:r>
      <w:r>
        <w:rPr>
          <w:spacing w:val="-2"/>
        </w:rPr>
        <w:t>负债；无合同标的资产的，亏损合同相关义务满足预计负债确认条件时确认相关预计负债。于资产负债表日，管理层对亏损</w:t>
      </w:r>
      <w:r>
        <w:rPr>
          <w:spacing w:val="-66"/>
        </w:rPr>
        <w:t> </w:t>
      </w:r>
      <w:r>
        <w:rPr>
          <w:spacing w:val="-66"/>
        </w:rPr>
      </w:r>
      <w:r>
        <w:rPr/>
        <w:t>合同形成的预计负债进行复核并作适当调整，以反映当前的最佳估计数。</w:t>
      </w:r>
    </w:p>
    <w:p>
      <w:pPr>
        <w:pStyle w:val="BodyText"/>
        <w:spacing w:line="240" w:lineRule="auto" w:before="53"/>
        <w:ind w:right="189"/>
        <w:jc w:val="left"/>
      </w:pPr>
      <w:r>
        <w:rPr/>
        <w:t>（</w:t>
      </w:r>
      <w:r>
        <w:rPr>
          <w:rFonts w:ascii="Times New Roman" w:hAnsi="Times New Roman" w:cs="Times New Roman" w:eastAsia="Times New Roman" w:hint="default"/>
        </w:rPr>
        <w:t>3</w:t>
      </w:r>
      <w:r>
        <w:rPr/>
        <w:t>）商誉的减值</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38" w:lineRule="auto" w:before="44"/>
        <w:ind w:right="189"/>
        <w:jc w:val="left"/>
      </w:pPr>
      <w:r>
        <w:rPr/>
        <w:t>在资产负债表日对于商誉无论是否出现减值迹象，本集团每年均会估计其可收回金额。 </w:t>
      </w:r>
      <w:r>
        <w:rPr>
          <w:spacing w:val="-2"/>
        </w:rPr>
        <w:t>可收回金额是资产（或资产组）的公允价值减去处置费用后的净额与资产（或资产组）预计未来现金流量的现值两者之间的</w:t>
      </w:r>
      <w:r>
        <w:rPr>
          <w:spacing w:val="-64"/>
        </w:rPr>
        <w:t> </w:t>
      </w:r>
      <w:r>
        <w:rPr>
          <w:spacing w:val="-64"/>
        </w:rPr>
      </w:r>
      <w:r>
        <w:rPr>
          <w:spacing w:val="-2"/>
        </w:rPr>
        <w:t>较高者。由于本集团不能可靠获得资产（或资产组）的公开市价，因此不能可靠准确估计资产的公允价值。在预计未来现金</w:t>
      </w:r>
    </w:p>
    <w:p>
      <w:pPr>
        <w:pStyle w:val="BodyText"/>
        <w:spacing w:line="338" w:lineRule="auto" w:before="2"/>
        <w:ind w:right="94"/>
        <w:jc w:val="left"/>
      </w:pPr>
      <w:r>
        <w:rPr>
          <w:spacing w:val="-2"/>
        </w:rPr>
        <w:t>流量现值时，需要对该资产（或资产组）产品的销售增长、毛利以及计算现值时使用的折现率等作出重大判断。本集团在估</w:t>
      </w:r>
      <w:r>
        <w:rPr>
          <w:spacing w:val="-67"/>
        </w:rPr>
        <w:t> </w:t>
      </w:r>
      <w:r>
        <w:rPr>
          <w:spacing w:val="-67"/>
        </w:rPr>
      </w:r>
      <w:r>
        <w:rPr/>
        <w:t>计可收回金额时会采用所有能够获得的相关资料，包括根据合理和可支持的假设所作出有关销售增长和毛利等数据的预测。</w:t>
      </w:r>
      <w:r>
        <w:rPr>
          <w:spacing w:val="-86"/>
        </w:rPr>
        <w:t> </w:t>
      </w:r>
      <w:r>
        <w:rPr>
          <w:spacing w:val="-86"/>
        </w:rPr>
      </w:r>
      <w:r>
        <w:rPr>
          <w:spacing w:val="-2"/>
        </w:rPr>
        <w:t>为进行商誉减值测试，商誉会分配至一组现金产生单位。这些现金产生单位组合亦即本集团为内部管理目的监察商誉的最低</w:t>
      </w:r>
    </w:p>
    <w:p>
      <w:pPr>
        <w:pStyle w:val="BodyText"/>
        <w:spacing w:line="316" w:lineRule="auto" w:before="2"/>
        <w:ind w:right="189"/>
        <w:jc w:val="left"/>
      </w:pPr>
      <w:r>
        <w:rPr>
          <w:spacing w:val="-2"/>
        </w:rPr>
        <w:t>层次。现金产生单位的可收回金额根据折现现金流量法厘定的使用价值确定。该方法考虑了现金产生单位最近可合理估计的</w:t>
      </w:r>
      <w:r>
        <w:rPr>
          <w:spacing w:val="-64"/>
        </w:rPr>
        <w:t> </w:t>
      </w:r>
      <w:r>
        <w:rPr>
          <w:spacing w:val="-64"/>
        </w:rPr>
      </w:r>
      <w:r>
        <w:rPr/>
        <w:t>未来现金流量以及合理的折现率，计算上述资产组的未来现金流量现值。</w:t>
      </w:r>
    </w:p>
    <w:p>
      <w:pPr>
        <w:pStyle w:val="BodyText"/>
        <w:spacing w:line="324" w:lineRule="auto" w:before="59"/>
        <w:ind w:right="189"/>
        <w:jc w:val="left"/>
      </w:pPr>
      <w:r>
        <w:rPr/>
        <w:t>（</w:t>
      </w:r>
      <w:r>
        <w:rPr>
          <w:rFonts w:ascii="Times New Roman" w:hAnsi="Times New Roman" w:cs="Times New Roman" w:eastAsia="Times New Roman" w:hint="default"/>
        </w:rPr>
        <w:t>4</w:t>
      </w:r>
      <w:r>
        <w:rPr/>
        <w:t>）所得税 </w:t>
      </w:r>
      <w:r>
        <w:rPr>
          <w:spacing w:val="-2"/>
        </w:rPr>
        <w:t>本集团在多个地区缴纳企业所得税。在正常的经营活动中，部分交易和事项的最终税务处理存在不确定性。在计提各个地区</w:t>
      </w:r>
      <w:r>
        <w:rPr>
          <w:spacing w:val="-65"/>
        </w:rPr>
        <w:t> </w:t>
      </w:r>
      <w:r>
        <w:rPr>
          <w:spacing w:val="-65"/>
        </w:rPr>
      </w:r>
      <w:r>
        <w:rPr>
          <w:spacing w:val="-2"/>
        </w:rPr>
        <w:t>的所得税费用时，本集团需要作出重大判断。如果这些税务事项的最终认定结果与最初入账的金额存在差异，该差异将对作</w:t>
      </w:r>
      <w:r>
        <w:rPr>
          <w:spacing w:val="-63"/>
        </w:rPr>
        <w:t> </w:t>
      </w:r>
      <w:r>
        <w:rPr>
          <w:spacing w:val="-63"/>
        </w:rPr>
      </w:r>
      <w:r>
        <w:rPr/>
        <w:t>出上述最终认定期间的所得税费用和递延所得税的金额产生影响。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189"/>
        <w:jc w:val="left"/>
        <w:rPr>
          <w:b w:val="0"/>
          <w:bCs w:val="0"/>
        </w:rPr>
      </w:pPr>
      <w:bookmarkStart w:name="33、重要会计政策和会计估计变更" w:id="218"/>
      <w:bookmarkEnd w:id="218"/>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9"/>
        <w:jc w:val="left"/>
        <w:rPr>
          <w:b w:val="0"/>
          <w:bCs w:val="0"/>
        </w:rPr>
      </w:pPr>
      <w:bookmarkStart w:name="（1）重要会计政策变更" w:id="219"/>
      <w:bookmarkEnd w:id="21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49"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128"/>
              <w:jc w:val="both"/>
              <w:rPr>
                <w:rFonts w:ascii="宋体" w:hAnsi="宋体" w:cs="宋体" w:eastAsia="宋体" w:hint="default"/>
                <w:sz w:val="18"/>
                <w:szCs w:val="18"/>
              </w:rPr>
            </w:pPr>
            <w:r>
              <w:rPr>
                <w:rFonts w:ascii="宋体" w:hAnsi="宋体" w:cs="宋体" w:eastAsia="宋体" w:hint="default"/>
                <w:sz w:val="18"/>
                <w:szCs w:val="18"/>
              </w:rPr>
              <w:t>在利润表中分别列示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 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日召开了第二届 董事会第十二次会议及第二届监事会第 十一次会议，审议通过了《关于会计政 </w:t>
            </w:r>
            <w:r>
              <w:rPr>
                <w:rFonts w:ascii="宋体" w:hAnsi="宋体" w:cs="宋体" w:eastAsia="宋体" w:hint="default"/>
                <w:spacing w:val="-7"/>
                <w:sz w:val="18"/>
                <w:szCs w:val="18"/>
              </w:rPr>
              <w:t>策变更的议案》，该事项无需提交股东大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会审议。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5"/>
              <w:ind w:left="23" w:right="54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影响金额 </w:t>
            </w:r>
            <w:r>
              <w:rPr>
                <w:rFonts w:ascii="Times New Roman" w:hAnsi="Times New Roman" w:cs="Times New Roman" w:eastAsia="Times New Roman" w:hint="default"/>
                <w:sz w:val="18"/>
                <w:szCs w:val="18"/>
              </w:rPr>
              <w:t>138,101,213.43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元，调整上期金额</w:t>
            </w:r>
          </w:p>
          <w:p>
            <w:pPr>
              <w:pStyle w:val="TableParagraph"/>
              <w:spacing w:line="240" w:lineRule="auto" w:before="57"/>
              <w:ind w:left="23" w:right="0"/>
              <w:jc w:val="left"/>
              <w:rPr>
                <w:rFonts w:ascii="Times New Roman" w:hAnsi="Times New Roman" w:cs="Times New Roman" w:eastAsia="Times New Roman" w:hint="default"/>
                <w:sz w:val="18"/>
                <w:szCs w:val="18"/>
              </w:rPr>
            </w:pPr>
            <w:r>
              <w:rPr>
                <w:rFonts w:ascii="Times New Roman"/>
                <w:sz w:val="18"/>
              </w:rPr>
              <w:t>122,086,980.58</w:t>
            </w:r>
          </w:p>
        </w:tc>
      </w:tr>
      <w:tr>
        <w:trPr>
          <w:trHeight w:val="1651"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2"/>
              <w:jc w:val="left"/>
              <w:rPr>
                <w:rFonts w:ascii="宋体" w:hAnsi="宋体" w:cs="宋体" w:eastAsia="宋体" w:hint="default"/>
                <w:sz w:val="18"/>
                <w:szCs w:val="18"/>
              </w:rPr>
            </w:pPr>
            <w:r>
              <w:rPr>
                <w:rFonts w:ascii="宋体" w:hAnsi="宋体" w:cs="宋体" w:eastAsia="宋体" w:hint="default"/>
                <w:sz w:val="18"/>
                <w:szCs w:val="18"/>
              </w:rPr>
              <w:t>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日起，与本公司日常 活动相关的政府补助，从</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4"/>
                <w:sz w:val="18"/>
                <w:szCs w:val="18"/>
              </w:rPr>
              <w:t>项目重分类至</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其他收益</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项目。比较数据</w:t>
            </w:r>
            <w:r>
              <w:rPr>
                <w:rFonts w:ascii="宋体" w:hAnsi="宋体" w:cs="宋体" w:eastAsia="宋体" w:hint="default"/>
                <w:sz w:val="18"/>
                <w:szCs w:val="18"/>
              </w:rPr>
              <w:t> 不调整。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日召开了第二届 董事会第十二次会议及第二届监事会第 十一次会议，审议通过了《关于会计政 </w:t>
            </w:r>
            <w:r>
              <w:rPr>
                <w:rFonts w:ascii="宋体" w:hAnsi="宋体" w:cs="宋体" w:eastAsia="宋体" w:hint="default"/>
                <w:spacing w:val="-7"/>
                <w:sz w:val="18"/>
                <w:szCs w:val="18"/>
              </w:rPr>
              <w:t>策变更的议案》，该事项无需提交股东大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会审议。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从</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项目影响金额 </w:t>
            </w:r>
            <w:r>
              <w:rPr>
                <w:rFonts w:ascii="Times New Roman" w:hAnsi="Times New Roman" w:cs="Times New Roman" w:eastAsia="Times New Roman" w:hint="default"/>
                <w:sz w:val="18"/>
                <w:szCs w:val="18"/>
              </w:rPr>
              <w:t>32,694,932.24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r>
      <w:tr>
        <w:trPr>
          <w:trHeight w:val="1649"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3"/>
              <w:jc w:val="left"/>
              <w:rPr>
                <w:rFonts w:ascii="宋体" w:hAnsi="宋体" w:cs="宋体" w:eastAsia="宋体" w:hint="default"/>
                <w:sz w:val="18"/>
                <w:szCs w:val="18"/>
              </w:rPr>
            </w:pPr>
            <w:r>
              <w:rPr>
                <w:rFonts w:ascii="宋体" w:hAnsi="宋体" w:cs="宋体" w:eastAsia="宋体" w:hint="default"/>
                <w:spacing w:val="-4"/>
                <w:w w:val="99"/>
                <w:sz w:val="18"/>
                <w:szCs w:val="18"/>
              </w:rPr>
              <w:t>在利润表中新增</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资产处置收益</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项目，将</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 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 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日召开了第二届 董事会第十二次会议及第二届监事会第 十一次会议，审议通过了《关于会计政 </w:t>
            </w:r>
            <w:r>
              <w:rPr>
                <w:rFonts w:ascii="宋体" w:hAnsi="宋体" w:cs="宋体" w:eastAsia="宋体" w:hint="default"/>
                <w:spacing w:val="-7"/>
                <w:sz w:val="18"/>
                <w:szCs w:val="18"/>
              </w:rPr>
              <w:t>策变更的议案》，该事项无需提交股东大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会审议。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22"/>
              <w:jc w:val="both"/>
              <w:rPr>
                <w:rFonts w:ascii="宋体" w:hAnsi="宋体" w:cs="宋体" w:eastAsia="宋体" w:hint="default"/>
                <w:sz w:val="18"/>
                <w:szCs w:val="18"/>
              </w:rPr>
            </w:pPr>
            <w:r>
              <w:rPr>
                <w:rFonts w:ascii="宋体" w:hAnsi="宋体" w:cs="宋体" w:eastAsia="宋体" w:hint="default"/>
                <w:sz w:val="18"/>
                <w:szCs w:val="18"/>
              </w:rPr>
              <w:t>从</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 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影响金额</w:t>
            </w:r>
            <w:r>
              <w:rPr>
                <w:rFonts w:ascii="Times New Roman" w:hAnsi="Times New Roman" w:cs="Times New Roman" w:eastAsia="Times New Roman" w:hint="default"/>
                <w:sz w:val="18"/>
                <w:szCs w:val="18"/>
              </w:rPr>
              <w:t>-28,040.09</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元，调整上期金额 </w:t>
            </w:r>
            <w:r>
              <w:rPr>
                <w:rFonts w:ascii="Times New Roman" w:hAnsi="Times New Roman" w:cs="Times New Roman" w:eastAsia="Times New Roman" w:hint="default"/>
                <w:sz w:val="18"/>
                <w:szCs w:val="18"/>
              </w:rPr>
              <w:t>154,518.34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3"/>
        <w:spacing w:line="240" w:lineRule="auto" w:before="36"/>
        <w:ind w:right="189"/>
        <w:jc w:val="left"/>
        <w:rPr>
          <w:b w:val="0"/>
          <w:bCs w:val="0"/>
        </w:rPr>
      </w:pPr>
      <w:bookmarkStart w:name="（2）重要会计估计变更" w:id="220"/>
      <w:bookmarkEnd w:id="22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89"/>
        <w:jc w:val="left"/>
        <w:rPr>
          <w:b w:val="0"/>
          <w:bCs w:val="0"/>
        </w:rPr>
      </w:pPr>
      <w:bookmarkStart w:name="34、其他" w:id="221"/>
      <w:bookmarkEnd w:id="221"/>
      <w:r>
        <w:rPr>
          <w:b w:val="0"/>
          <w:bCs w:val="0"/>
        </w:rPr>
      </w:r>
      <w:r>
        <w:rPr>
          <w:rFonts w:ascii="Times New Roman" w:hAnsi="Times New Roman" w:cs="Times New Roman" w:eastAsia="Times New Roman" w:hint="default"/>
        </w:rPr>
        <w:t>34</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9"/>
        <w:jc w:val="left"/>
      </w:pPr>
      <w:r>
        <w:rPr/>
        <w:t>无。</w:t>
      </w:r>
    </w:p>
    <w:p>
      <w:pPr>
        <w:spacing w:after="0" w:line="240" w:lineRule="auto"/>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50"/>
        <w:jc w:val="left"/>
        <w:rPr>
          <w:b w:val="0"/>
          <w:bCs w:val="0"/>
        </w:rPr>
      </w:pPr>
      <w:bookmarkStart w:name="六、税项" w:id="222"/>
      <w:bookmarkEnd w:id="222"/>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0"/>
        <w:jc w:val="left"/>
        <w:rPr>
          <w:b w:val="0"/>
          <w:bCs w:val="0"/>
        </w:rPr>
      </w:pPr>
      <w:bookmarkStart w:name="1、主要税种及税率" w:id="223"/>
      <w:bookmarkEnd w:id="22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9" w:space="0" w:color="D4D4D4"/>
              <w:right w:val="single" w:sz="4" w:space="0" w:color="000000"/>
            </w:tcBorders>
          </w:tcPr>
          <w:p>
            <w:pPr>
              <w:pStyle w:val="TableParagraph"/>
              <w:spacing w:line="316" w:lineRule="auto" w:before="49"/>
              <w:ind w:left="17" w:right="95"/>
              <w:jc w:val="both"/>
              <w:rPr>
                <w:rFonts w:ascii="宋体" w:hAnsi="宋体" w:cs="宋体" w:eastAsia="宋体" w:hint="default"/>
                <w:sz w:val="18"/>
                <w:szCs w:val="18"/>
              </w:rPr>
            </w:pPr>
            <w:r>
              <w:rPr>
                <w:rFonts w:ascii="宋体" w:hAnsi="宋体" w:cs="宋体" w:eastAsia="宋体" w:hint="default"/>
                <w:sz w:val="18"/>
                <w:szCs w:val="18"/>
              </w:rPr>
              <w:t>应纳税增值额（应纳税额按应纳税销售 额乘以适用税率扣除当期允许抵扣进项 税后的余额计算）</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应缴纳的增值税等税额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应缴纳的增值税等税额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应缴纳的增值税等税额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50"/>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朗新科技股份有限公司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子公司合肥新耀能源科技有限公司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税收优惠" w:id="224"/>
      <w:bookmarkEnd w:id="22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2" w:lineRule="auto"/>
        <w:ind w:right="150"/>
        <w:jc w:val="left"/>
      </w:pPr>
      <w:r>
        <w:rPr>
          <w:rFonts w:ascii="Times New Roman" w:hAnsi="Times New Roman" w:cs="Times New Roman" w:eastAsia="Times New Roman" w:hint="default"/>
          <w:spacing w:val="-8"/>
          <w:w w:val="99"/>
        </w:rPr>
        <w:t>(1)</w:t>
      </w:r>
      <w:r>
        <w:rPr>
          <w:spacing w:val="-8"/>
          <w:w w:val="99"/>
        </w:rPr>
        <w:t>根据财政部《关于软件和集成电路产业企业所得税优惠政策有关问题的通知》（财税</w:t>
      </w:r>
      <w:r>
        <w:rPr>
          <w:rFonts w:ascii="Times New Roman" w:hAnsi="Times New Roman" w:cs="Times New Roman" w:eastAsia="Times New Roman" w:hint="default"/>
          <w:spacing w:val="-8"/>
          <w:w w:val="99"/>
        </w:rPr>
        <w:t>[2016]49</w:t>
      </w:r>
      <w:r>
        <w:rPr>
          <w:spacing w:val="-8"/>
          <w:w w:val="99"/>
        </w:rPr>
        <w:t>号）（以下简称</w:t>
      </w:r>
      <w:r>
        <w:rPr>
          <w:rFonts w:ascii="Times New Roman" w:hAnsi="Times New Roman" w:cs="Times New Roman" w:eastAsia="Times New Roman" w:hint="default"/>
          <w:spacing w:val="-8"/>
          <w:w w:val="99"/>
        </w:rPr>
        <w:t>“49</w:t>
      </w:r>
      <w:r>
        <w:rPr>
          <w:spacing w:val="-8"/>
          <w:w w:val="99"/>
        </w:rPr>
        <w:t>号通知</w:t>
      </w:r>
      <w:r>
        <w:rPr>
          <w:rFonts w:ascii="Times New Roman" w:hAnsi="Times New Roman" w:cs="Times New Roman" w:eastAsia="Times New Roman" w:hint="default"/>
          <w:spacing w:val="-8"/>
          <w:w w:val="99"/>
        </w:rPr>
        <w:t>”</w:t>
      </w:r>
      <w:r>
        <w:rPr>
          <w:spacing w:val="-8"/>
          <w:w w:val="99"/>
        </w:rPr>
        <w:t>），</w:t>
      </w:r>
      <w:r>
        <w:rPr>
          <w:spacing w:val="-66"/>
          <w:w w:val="99"/>
        </w:rPr>
        <w:t> </w:t>
      </w:r>
      <w:r>
        <w:rPr>
          <w:spacing w:val="-2"/>
        </w:rPr>
        <w:t>原享受财税〔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27</w:t>
      </w:r>
      <w:r>
        <w:rPr>
          <w:spacing w:val="-2"/>
        </w:rPr>
        <w:t>号文件规定的税收优惠政策的软件、集成电路企业如继续享受原税收优惠政策可按照《国家税务总局</w:t>
      </w:r>
      <w:r>
        <w:rPr>
          <w:spacing w:val="-61"/>
        </w:rPr>
        <w:t> </w:t>
      </w:r>
      <w:r>
        <w:rPr>
          <w:spacing w:val="-61"/>
        </w:rPr>
      </w:r>
      <w:r>
        <w:rPr>
          <w:spacing w:val="-2"/>
        </w:rPr>
        <w:t>关于发布〈企业所得税优惠政策事项办理办法〉的公告》（国家税务总局公告</w:t>
      </w:r>
      <w:r>
        <w:rPr>
          <w:rFonts w:ascii="Times New Roman" w:hAnsi="Times New Roman" w:cs="Times New Roman" w:eastAsia="Times New Roman" w:hint="default"/>
          <w:spacing w:val="-2"/>
        </w:rPr>
        <w:t>2015</w:t>
      </w:r>
      <w:r>
        <w:rPr>
          <w:spacing w:val="-2"/>
        </w:rPr>
        <w:t>年第</w:t>
      </w:r>
      <w:r>
        <w:rPr>
          <w:rFonts w:ascii="Times New Roman" w:hAnsi="Times New Roman" w:cs="Times New Roman" w:eastAsia="Times New Roman" w:hint="default"/>
          <w:spacing w:val="-2"/>
        </w:rPr>
        <w:t>76</w:t>
      </w:r>
      <w:r>
        <w:rPr>
          <w:spacing w:val="-2"/>
        </w:rPr>
        <w:t>号）的规定在每年所得税汇算清缴</w:t>
      </w:r>
      <w:r>
        <w:rPr>
          <w:spacing w:val="-63"/>
        </w:rPr>
        <w:t> </w:t>
      </w:r>
      <w:r>
        <w:rPr>
          <w:spacing w:val="-63"/>
        </w:rPr>
      </w:r>
      <w:r>
        <w:rPr>
          <w:spacing w:val="-2"/>
        </w:rPr>
        <w:t>时向税务机关备案并同时提交《享受企业所得税优惠政策的软件和集成电路企业备案资料明细表》等备案资料以便后期税务</w:t>
      </w:r>
      <w:r>
        <w:rPr>
          <w:spacing w:val="-65"/>
        </w:rPr>
        <w:t> </w:t>
      </w:r>
      <w:r>
        <w:rPr>
          <w:spacing w:val="-65"/>
        </w:rPr>
      </w:r>
      <w:r>
        <w:rPr>
          <w:spacing w:val="-2"/>
        </w:rPr>
        <w:t>机关核查。于</w:t>
      </w:r>
      <w:r>
        <w:rPr>
          <w:rFonts w:ascii="Times New Roman" w:hAnsi="Times New Roman" w:cs="Times New Roman" w:eastAsia="Times New Roman" w:hint="default"/>
          <w:spacing w:val="-2"/>
        </w:rPr>
        <w:t>2016</w:t>
      </w:r>
      <w:r>
        <w:rPr>
          <w:spacing w:val="-2"/>
        </w:rPr>
        <w:t>年度及</w:t>
      </w:r>
      <w:r>
        <w:rPr>
          <w:rFonts w:ascii="Times New Roman" w:hAnsi="Times New Roman" w:cs="Times New Roman" w:eastAsia="Times New Roman" w:hint="default"/>
          <w:spacing w:val="-2"/>
        </w:rPr>
        <w:t>2017</w:t>
      </w:r>
      <w:r>
        <w:rPr>
          <w:spacing w:val="-2"/>
        </w:rPr>
        <w:t>年度，本公司经评估判断自身符合上述</w:t>
      </w:r>
      <w:r>
        <w:rPr>
          <w:rFonts w:ascii="Times New Roman" w:hAnsi="Times New Roman" w:cs="Times New Roman" w:eastAsia="Times New Roman" w:hint="default"/>
          <w:spacing w:val="-2"/>
        </w:rPr>
        <w:t>49</w:t>
      </w:r>
      <w:r>
        <w:rPr>
          <w:spacing w:val="-2"/>
        </w:rPr>
        <w:t>号通知列明的相关条件并将按照规定于汇算清缴时向</w:t>
      </w:r>
      <w:r>
        <w:rPr>
          <w:spacing w:val="-60"/>
        </w:rPr>
        <w:t> </w:t>
      </w:r>
      <w:r>
        <w:rPr>
          <w:spacing w:val="-60"/>
        </w:rPr>
      </w:r>
      <w:r>
        <w:rPr/>
        <w:t>税务机关进行备案，故采用</w:t>
      </w:r>
      <w:r>
        <w:rPr>
          <w:rFonts w:ascii="Times New Roman" w:hAnsi="Times New Roman" w:cs="Times New Roman" w:eastAsia="Times New Roman" w:hint="default"/>
        </w:rPr>
        <w:t>10%</w:t>
      </w:r>
      <w:r>
        <w:rPr/>
        <w:t>的所得税优惠税率计算</w:t>
      </w:r>
      <w:r>
        <w:rPr>
          <w:rFonts w:ascii="Times New Roman" w:hAnsi="Times New Roman" w:cs="Times New Roman" w:eastAsia="Times New Roman" w:hint="default"/>
        </w:rPr>
        <w:t>2016</w:t>
      </w:r>
      <w:r>
        <w:rPr/>
        <w:t>年度及</w:t>
      </w:r>
      <w:r>
        <w:rPr>
          <w:rFonts w:ascii="Times New Roman" w:hAnsi="Times New Roman" w:cs="Times New Roman" w:eastAsia="Times New Roman" w:hint="default"/>
        </w:rPr>
        <w:t>2017</w:t>
      </w:r>
      <w:r>
        <w:rPr/>
        <w:t>年度应缴纳的所得税。</w:t>
      </w:r>
      <w:r>
        <w:rPr>
          <w:w w:val="99"/>
        </w:rPr>
        <w:t> </w:t>
      </w:r>
      <w:r>
        <w:rPr>
          <w:rFonts w:ascii="Times New Roman" w:hAnsi="Times New Roman" w:cs="Times New Roman" w:eastAsia="Times New Roman" w:hint="default"/>
          <w:spacing w:val="-2"/>
        </w:rPr>
        <w:t>(2)</w:t>
      </w:r>
      <w:r>
        <w:rPr>
          <w:spacing w:val="-2"/>
        </w:rPr>
        <w:t>本公司的子公司新耀能源科技有限公司（</w:t>
      </w:r>
      <w:r>
        <w:rPr>
          <w:rFonts w:ascii="Times New Roman" w:hAnsi="Times New Roman" w:cs="Times New Roman" w:eastAsia="Times New Roman" w:hint="default"/>
          <w:spacing w:val="-2"/>
        </w:rPr>
        <w:t>“</w:t>
      </w:r>
      <w:r>
        <w:rPr>
          <w:spacing w:val="-2"/>
        </w:rPr>
        <w:t>嘉兴新耀</w:t>
      </w:r>
      <w:r>
        <w:rPr>
          <w:rFonts w:ascii="Times New Roman" w:hAnsi="Times New Roman" w:cs="Times New Roman" w:eastAsia="Times New Roman" w:hint="default"/>
          <w:spacing w:val="-2"/>
        </w:rPr>
        <w:t>”</w:t>
      </w:r>
      <w:r>
        <w:rPr>
          <w:spacing w:val="-2"/>
        </w:rPr>
        <w:t>）、合肥新耀能源科技有限公司（</w:t>
      </w:r>
      <w:r>
        <w:rPr>
          <w:rFonts w:ascii="Times New Roman" w:hAnsi="Times New Roman" w:cs="Times New Roman" w:eastAsia="Times New Roman" w:hint="default"/>
          <w:spacing w:val="-2"/>
        </w:rPr>
        <w:t>“</w:t>
      </w:r>
      <w:r>
        <w:rPr>
          <w:spacing w:val="-2"/>
        </w:rPr>
        <w:t>合肥新耀</w:t>
      </w:r>
      <w:r>
        <w:rPr>
          <w:rFonts w:ascii="Times New Roman" w:hAnsi="Times New Roman" w:cs="Times New Roman" w:eastAsia="Times New Roman" w:hint="default"/>
          <w:spacing w:val="-2"/>
        </w:rPr>
        <w:t>”</w:t>
      </w:r>
      <w:r>
        <w:rPr>
          <w:spacing w:val="-2"/>
        </w:rPr>
        <w:t>）分别经过嘉兴市秀洲</w:t>
      </w:r>
      <w:r>
        <w:rPr>
          <w:spacing w:val="-50"/>
        </w:rPr>
        <w:t> </w:t>
      </w:r>
      <w:r>
        <w:rPr>
          <w:spacing w:val="-50"/>
        </w:rPr>
      </w:r>
      <w:r>
        <w:rPr/>
        <w:t>区国家税务局、安徽省合肥市高新技术产业开发区国家税务局认定符合小型微利企业条件（年应纳税所得额低于</w:t>
      </w:r>
      <w:r>
        <w:rPr>
          <w:rFonts w:ascii="Times New Roman" w:hAnsi="Times New Roman" w:cs="Times New Roman" w:eastAsia="Times New Roman" w:hint="default"/>
        </w:rPr>
        <w:t>20</w:t>
      </w:r>
      <w:r>
        <w:rPr/>
        <w:t>万元</w:t>
      </w:r>
      <w:r>
        <w:rPr>
          <w:rFonts w:ascii="Times New Roman" w:hAnsi="Times New Roman" w:cs="Times New Roman" w:eastAsia="Times New Roman" w:hint="default"/>
        </w:rPr>
        <w:t>(</w:t>
      </w:r>
      <w:r>
        <w:rPr/>
        <w:t>含</w:t>
      </w:r>
      <w:r>
        <w:rPr>
          <w:w w:val="99"/>
        </w:rPr>
        <w:t> </w:t>
      </w:r>
      <w:r>
        <w:rPr>
          <w:rFonts w:ascii="Times New Roman" w:hAnsi="Times New Roman" w:cs="Times New Roman" w:eastAsia="Times New Roman" w:hint="default"/>
          <w:spacing w:val="-2"/>
        </w:rPr>
        <w:t>20</w:t>
      </w:r>
      <w:r>
        <w:rPr>
          <w:spacing w:val="-2"/>
        </w:rPr>
        <w:t>万元</w:t>
      </w:r>
      <w:r>
        <w:rPr>
          <w:rFonts w:ascii="Times New Roman" w:hAnsi="Times New Roman" w:cs="Times New Roman" w:eastAsia="Times New Roman" w:hint="default"/>
          <w:spacing w:val="-2"/>
        </w:rPr>
        <w:t>)</w:t>
      </w:r>
      <w:r>
        <w:rPr>
          <w:spacing w:val="-2"/>
        </w:rPr>
        <w:t>的小型微利企业），自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日，其所得减按</w:t>
      </w:r>
      <w:r>
        <w:rPr>
          <w:rFonts w:ascii="Times New Roman" w:hAnsi="Times New Roman" w:cs="Times New Roman" w:eastAsia="Times New Roman" w:hint="default"/>
          <w:spacing w:val="-2"/>
        </w:rPr>
        <w:t>50%</w:t>
      </w:r>
      <w:r>
        <w:rPr>
          <w:spacing w:val="-2"/>
        </w:rPr>
        <w:t>计入应纳税所得额，按</w:t>
      </w:r>
      <w:r>
        <w:rPr>
          <w:rFonts w:ascii="Times New Roman" w:hAnsi="Times New Roman" w:cs="Times New Roman" w:eastAsia="Times New Roman" w:hint="default"/>
          <w:spacing w:val="-2"/>
        </w:rPr>
        <w:t>20%</w:t>
      </w:r>
      <w:r>
        <w:rPr>
          <w:spacing w:val="-2"/>
        </w:rPr>
        <w:t>的税率缴纳企业</w:t>
      </w:r>
      <w:r>
        <w:rPr>
          <w:spacing w:val="-51"/>
        </w:rPr>
        <w:t> </w:t>
      </w:r>
      <w:r>
        <w:rPr/>
        <w:t>所得税。其中，新耀能源科技有限公司</w:t>
      </w:r>
      <w:r>
        <w:rPr>
          <w:rFonts w:ascii="Times New Roman" w:hAnsi="Times New Roman" w:cs="Times New Roman" w:eastAsia="Times New Roman" w:hint="default"/>
        </w:rPr>
        <w:t>2016</w:t>
      </w:r>
      <w:r>
        <w:rPr/>
        <w:t>年度及</w:t>
      </w:r>
      <w:r>
        <w:rPr>
          <w:rFonts w:ascii="Times New Roman" w:hAnsi="Times New Roman" w:cs="Times New Roman" w:eastAsia="Times New Roman" w:hint="default"/>
        </w:rPr>
        <w:t>2017</w:t>
      </w:r>
      <w:r>
        <w:rPr/>
        <w:t>年度因当期应纳税所得额超过小型微利企业认定标准，故其于</w:t>
      </w:r>
      <w:r>
        <w:rPr>
          <w:rFonts w:ascii="Times New Roman" w:hAnsi="Times New Roman" w:cs="Times New Roman" w:eastAsia="Times New Roman" w:hint="default"/>
        </w:rPr>
        <w:t>2016</w:t>
      </w:r>
      <w:r>
        <w:rPr>
          <w:rFonts w:ascii="Times New Roman" w:hAnsi="Times New Roman" w:cs="Times New Roman" w:eastAsia="Times New Roman" w:hint="default"/>
          <w:w w:val="99"/>
        </w:rPr>
        <w:t> </w:t>
      </w:r>
      <w:r>
        <w:rPr/>
        <w:t>年度及</w:t>
      </w:r>
      <w:r>
        <w:rPr>
          <w:rFonts w:ascii="Times New Roman" w:hAnsi="Times New Roman" w:cs="Times New Roman" w:eastAsia="Times New Roman" w:hint="default"/>
        </w:rPr>
        <w:t>2017</w:t>
      </w:r>
      <w:r>
        <w:rPr/>
        <w:t>年度实际执行</w:t>
      </w:r>
      <w:r>
        <w:rPr>
          <w:rFonts w:ascii="Times New Roman" w:hAnsi="Times New Roman" w:cs="Times New Roman" w:eastAsia="Times New Roman" w:hint="default"/>
        </w:rPr>
        <w:t>25%</w:t>
      </w:r>
      <w:r>
        <w:rPr/>
        <w:t>的企业所得税率。</w:t>
      </w:r>
      <w:r>
        <w:rPr>
          <w:w w:val="99"/>
        </w:rPr>
        <w:t> </w:t>
      </w:r>
      <w:r>
        <w:rPr>
          <w:rFonts w:ascii="Times New Roman" w:hAnsi="Times New Roman" w:cs="Times New Roman" w:eastAsia="Times New Roman" w:hint="default"/>
        </w:rPr>
        <w:t>(3)</w:t>
      </w:r>
      <w:r>
        <w:rPr/>
        <w:t>本集团归属于技术开发、技术咨询服务的销售按</w:t>
      </w:r>
      <w:r>
        <w:rPr>
          <w:rFonts w:ascii="Times New Roman" w:hAnsi="Times New Roman" w:cs="Times New Roman" w:eastAsia="Times New Roman" w:hint="default"/>
        </w:rPr>
        <w:t>6%</w:t>
      </w:r>
      <w:r>
        <w:rPr/>
        <w:t>的销项税税率计算缴纳增值税，归属于自行开发软件的销售按</w:t>
      </w:r>
      <w:r>
        <w:rPr>
          <w:rFonts w:ascii="Times New Roman" w:hAnsi="Times New Roman" w:cs="Times New Roman" w:eastAsia="Times New Roman" w:hint="default"/>
        </w:rPr>
        <w:t>17%</w:t>
      </w:r>
      <w:r>
        <w:rPr/>
        <w:t>的</w:t>
      </w:r>
      <w:r>
        <w:rPr>
          <w:w w:val="99"/>
        </w:rPr>
        <w:t> </w:t>
      </w:r>
      <w:r>
        <w:rPr/>
        <w:t>销项税税率计算缴纳增值税。根据财政部和国家税务总局</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日发出《关于软件产品增值税政策的通知》（财税</w:t>
      </w:r>
      <w:r>
        <w:rPr>
          <w:w w:val="99"/>
        </w:rPr>
        <w:t> </w:t>
      </w:r>
      <w:r>
        <w:rPr>
          <w:rFonts w:ascii="Times New Roman" w:hAnsi="Times New Roman" w:cs="Times New Roman" w:eastAsia="Times New Roman" w:hint="default"/>
          <w:spacing w:val="-2"/>
        </w:rPr>
        <w:t>[2011]100</w:t>
      </w:r>
      <w:r>
        <w:rPr>
          <w:spacing w:val="-2"/>
        </w:rPr>
        <w:t>号），本集团销售的经认证的自行开发软件在获得主管税务机关审批并按</w:t>
      </w:r>
      <w:r>
        <w:rPr>
          <w:rFonts w:ascii="Times New Roman" w:hAnsi="Times New Roman" w:cs="Times New Roman" w:eastAsia="Times New Roman" w:hint="default"/>
          <w:spacing w:val="-2"/>
        </w:rPr>
        <w:t>17%</w:t>
      </w:r>
      <w:r>
        <w:rPr>
          <w:spacing w:val="-2"/>
        </w:rPr>
        <w:t>税率征收增值税后，对增值税实际税</w:t>
      </w:r>
      <w:r>
        <w:rPr>
          <w:spacing w:val="-57"/>
        </w:rPr>
        <w:t> </w:t>
      </w:r>
      <w:r>
        <w:rPr>
          <w:spacing w:val="-57"/>
        </w:rPr>
      </w:r>
      <w:r>
        <w:rPr/>
        <w:t>负超过</w:t>
      </w:r>
      <w:r>
        <w:rPr>
          <w:rFonts w:ascii="Times New Roman" w:hAnsi="Times New Roman" w:cs="Times New Roman" w:eastAsia="Times New Roman" w:hint="default"/>
        </w:rPr>
        <w:t>3%</w:t>
      </w:r>
      <w:r>
        <w:rPr/>
        <w:t>的部分实行即征即退政策。</w:t>
      </w:r>
    </w:p>
    <w:p>
      <w:pPr>
        <w:spacing w:after="0" w:line="302"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line="487" w:lineRule="auto" w:before="36"/>
        <w:ind w:left="152" w:right="6883" w:firstLine="0"/>
        <w:jc w:val="left"/>
        <w:rPr>
          <w:rFonts w:ascii="宋体" w:hAnsi="宋体" w:cs="宋体" w:eastAsia="宋体" w:hint="default"/>
          <w:sz w:val="21"/>
          <w:szCs w:val="21"/>
        </w:rPr>
      </w:pPr>
      <w:bookmarkStart w:name="3、其他" w:id="225"/>
      <w:bookmarkEnd w:id="22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26"/>
      <w:bookmarkEnd w:id="226"/>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27"/>
      <w:bookmarkEnd w:id="22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40,085.06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712,401,641.14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310,712,062.68</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4,013,739.00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1,645,709.00</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716,415,509.71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312,397,856.74</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40,085.06</w:t>
            </w:r>
          </w:p>
        </w:tc>
      </w:tr>
    </w:tbl>
    <w:p>
      <w:pPr>
        <w:pStyle w:val="BodyText"/>
        <w:spacing w:line="240" w:lineRule="auto" w:before="49"/>
        <w:ind w:right="150"/>
        <w:jc w:val="left"/>
      </w:pPr>
      <w:r>
        <w:rPr/>
        <w:t>其他说明</w:t>
      </w:r>
    </w:p>
    <w:p>
      <w:pPr>
        <w:pStyle w:val="BodyText"/>
        <w:spacing w:line="300" w:lineRule="auto" w:before="117"/>
        <w:ind w:right="189"/>
        <w:jc w:val="left"/>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w:t>
      </w:r>
      <w:r>
        <w:rPr>
          <w:rFonts w:ascii="Times New Roman" w:hAnsi="Times New Roman" w:cs="Times New Roman" w:eastAsia="Times New Roman" w:hint="default"/>
        </w:rPr>
        <w:t>4,013,739.00</w:t>
      </w:r>
      <w:r>
        <w:rPr/>
        <w:t>元为本集团向银行申请开具无条件、不可撤销的履约保函所存入的保证金存 款（</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1,645,709.00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150"/>
        <w:jc w:val="left"/>
        <w:rPr>
          <w:b w:val="0"/>
          <w:bCs w:val="0"/>
        </w:rPr>
      </w:pPr>
      <w:bookmarkStart w:name="2、以公允价值计量且其变动计入当期损益的金融资产" w:id="228"/>
      <w:bookmarkEnd w:id="22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3、衍生金融资产" w:id="229"/>
      <w:bookmarkEnd w:id="22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0"/>
        <w:jc w:val="left"/>
        <w:rPr>
          <w:b w:val="0"/>
          <w:bCs w:val="0"/>
        </w:rPr>
      </w:pPr>
      <w:bookmarkStart w:name="4、应收票据" w:id="230"/>
      <w:bookmarkEnd w:id="230"/>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1）应收票据分类列示" w:id="231"/>
      <w:bookmarkEnd w:id="23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24,632,467.47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31,595,553.07</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24,632,467.47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31,595,553.07</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期末公司已质押的应收票据" w:id="232"/>
      <w:bookmarkEnd w:id="232"/>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5"/>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334" w:hRule="exact"/>
        </w:trPr>
        <w:tc>
          <w:tcPr>
            <w:tcW w:w="4782" w:type="dxa"/>
            <w:tcBorders>
              <w:top w:val="nil" w:sz="6" w:space="0" w:color="auto"/>
              <w:left w:val="nil" w:sz="6" w:space="0" w:color="auto"/>
              <w:bottom w:val="single" w:sz="4" w:space="0" w:color="000000"/>
              <w:right w:val="nil" w:sz="6" w:space="0" w:color="auto"/>
            </w:tcBorders>
          </w:tcPr>
          <w:p>
            <w:pPr/>
          </w:p>
        </w:tc>
        <w:tc>
          <w:tcPr>
            <w:tcW w:w="477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4"/>
        <w:rPr>
          <w:rFonts w:ascii="宋体" w:hAnsi="宋体" w:cs="宋体" w:eastAsia="宋体" w:hint="default"/>
          <w:sz w:val="19"/>
          <w:szCs w:val="19"/>
        </w:rPr>
      </w:pPr>
    </w:p>
    <w:p>
      <w:pPr>
        <w:pStyle w:val="Heading3"/>
        <w:spacing w:line="240" w:lineRule="auto" w:before="36"/>
        <w:ind w:right="150"/>
        <w:jc w:val="left"/>
        <w:rPr>
          <w:b w:val="0"/>
          <w:bCs w:val="0"/>
        </w:rPr>
      </w:pPr>
      <w:r>
        <w:rPr/>
        <w:pict>
          <v:group style="position:absolute;margin-left:55.200001pt;margin-top:-49.656315pt;width:484.8pt;height:.1pt;mso-position-horizontal-relative:page;mso-position-vertical-relative:paragraph;z-index:-931792" coordorigin="1104,-993" coordsize="9696,2">
            <v:shape style="position:absolute;left:1104;top:-993;width:9696;height:2" coordorigin="1104,-993" coordsize="9696,0" path="m1104,-993l10800,-993e" filled="false" stroked="true" strokeweight=".72pt" strokecolor="#000000">
              <v:path arrowok="t"/>
            </v:shape>
            <w10:wrap type="none"/>
          </v:group>
        </w:pict>
      </w:r>
      <w:bookmarkStart w:name="（3）期末公司已背书或贴现且在资产负债表日尚未到期的应收票据" w:id="233"/>
      <w:bookmarkEnd w:id="233"/>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4"/>
        <w:rPr>
          <w:rFonts w:ascii="宋体" w:hAnsi="宋体" w:cs="宋体" w:eastAsia="宋体" w:hint="default"/>
          <w:sz w:val="19"/>
          <w:szCs w:val="19"/>
        </w:rPr>
      </w:pPr>
    </w:p>
    <w:p>
      <w:pPr>
        <w:pStyle w:val="Heading3"/>
        <w:spacing w:line="240" w:lineRule="auto" w:before="36"/>
        <w:ind w:right="150"/>
        <w:jc w:val="left"/>
        <w:rPr>
          <w:b w:val="0"/>
          <w:bCs w:val="0"/>
        </w:rPr>
      </w:pPr>
      <w:bookmarkStart w:name="（4）期末公司因出票人未履约而将其转应收账款的票据" w:id="234"/>
      <w:bookmarkEnd w:id="234"/>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5、应收账款" w:id="235"/>
      <w:bookmarkEnd w:id="235"/>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应收账款分类披露" w:id="236"/>
      <w:bookmarkEnd w:id="23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624"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676,167,</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527.69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29,187,1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05.97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4.32%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646,980,4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21.72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598,452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,880.41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26,870,89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9.04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571,581,98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1.37</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676,167,</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527.69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29,187,1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05.97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4.32%</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646,980,4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21.72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598,452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,880.41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26,870,89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9.04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571,581,98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1.37</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7"/>
        <w:gridCol w:w="2393"/>
        <w:gridCol w:w="2392"/>
      </w:tblGrid>
      <w:tr>
        <w:trPr>
          <w:trHeight w:val="205" w:hRule="exact"/>
        </w:trPr>
        <w:tc>
          <w:tcPr>
            <w:tcW w:w="2375"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375" w:type="dxa"/>
            <w:vMerge/>
            <w:tcBorders>
              <w:left w:val="single" w:sz="4" w:space="0" w:color="000000"/>
              <w:bottom w:val="nil" w:sz="6" w:space="0" w:color="auto"/>
              <w:right w:val="single" w:sz="4" w:space="0" w:color="000000"/>
            </w:tcBorders>
            <w:shd w:val="clear" w:color="auto" w:fill="D4D4D4"/>
          </w:tcPr>
          <w:p>
            <w:pPr/>
          </w:p>
        </w:tc>
        <w:tc>
          <w:tcPr>
            <w:tcW w:w="23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7"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540,580,887.79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4,335,904.43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82,707,758.47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8,270,775.85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35,986,135.13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7,197,227.03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12,312,808.73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6,156,404.36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4,510,477.57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3,157,334.30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69,460.00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69,460.00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676,167,527.69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29,187,105.97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bl>
    <w:p>
      <w:pPr>
        <w:pStyle w:val="BodyText"/>
        <w:spacing w:line="357" w:lineRule="auto" w:before="49"/>
        <w:ind w:right="2394"/>
        <w:jc w:val="left"/>
      </w:pPr>
      <w:r>
        <w:rPr/>
        <w:t>确定该组合依据的说明： 本集团根据历史经验及对客户组合信用评价持续评价按组合所计提坏账准备的依据及合理性。</w:t>
      </w:r>
    </w:p>
    <w:p>
      <w:pPr>
        <w:spacing w:line="240" w:lineRule="auto" w:before="1"/>
        <w:rPr>
          <w:rFonts w:ascii="宋体" w:hAnsi="宋体" w:cs="宋体" w:eastAsia="宋体" w:hint="default"/>
          <w:sz w:val="26"/>
          <w:szCs w:val="26"/>
        </w:rPr>
      </w:pPr>
    </w:p>
    <w:p>
      <w:pPr>
        <w:pStyle w:val="BodyText"/>
        <w:spacing w:line="240" w:lineRule="auto"/>
        <w:ind w:right="150"/>
        <w:jc w:val="left"/>
      </w:pPr>
      <w:r>
        <w:rPr/>
        <w:t>组合中，采用余额百分比法计提坏账准备的应收账款：</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5"/>
        <w:rPr>
          <w:rFonts w:ascii="宋体" w:hAnsi="宋体" w:cs="宋体" w:eastAsia="宋体" w:hint="default"/>
          <w:sz w:val="21"/>
          <w:szCs w:val="21"/>
        </w:rPr>
      </w:pPr>
    </w:p>
    <w:p>
      <w:pPr>
        <w:pStyle w:val="Heading3"/>
        <w:spacing w:line="240" w:lineRule="auto"/>
        <w:ind w:right="150"/>
        <w:jc w:val="left"/>
        <w:rPr>
          <w:b w:val="0"/>
          <w:bCs w:val="0"/>
        </w:rPr>
      </w:pPr>
      <w:bookmarkStart w:name="（2）本期计提、收回或转回的坏账准备情况" w:id="237"/>
      <w:bookmarkEnd w:id="2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38" w:lineRule="auto" w:before="44"/>
        <w:ind w:right="-8"/>
        <w:jc w:val="left"/>
      </w:pPr>
      <w:r>
        <w:rPr/>
        <w:t>本期计提坏账准备金额</w:t>
      </w:r>
      <w:r>
        <w:rPr>
          <w:spacing w:val="-47"/>
        </w:rPr>
        <w:t> </w:t>
      </w:r>
      <w:r>
        <w:rPr>
          <w:rFonts w:ascii="Times New Roman" w:hAnsi="Times New Roman" w:cs="Times New Roman" w:eastAsia="Times New Roman" w:hint="default"/>
        </w:rPr>
        <w:t>2,513,486.76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91,279.83</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864" w:space="1963"/>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3）本期实际核销的应收账款情况" w:id="238"/>
      <w:bookmarkEnd w:id="23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实际核销的应收款项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106,000.00</w:t>
            </w:r>
          </w:p>
        </w:tc>
      </w:tr>
    </w:tbl>
    <w:p>
      <w:pPr>
        <w:pStyle w:val="BodyText"/>
        <w:spacing w:line="240" w:lineRule="auto" w:before="49"/>
        <w:ind w:right="150"/>
        <w:jc w:val="left"/>
      </w:pPr>
      <w:r>
        <w:rPr/>
        <w:t>其中重要的应收账款核销情况：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23" w:right="5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5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4）按欠款方归集的期末余额前五名的应收账款情况" w:id="239"/>
      <w:bookmarkEnd w:id="23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tbl>
      <w:tblPr>
        <w:tblW w:w="0" w:type="auto"/>
        <w:jc w:val="left"/>
        <w:tblInd w:w="131" w:type="dxa"/>
        <w:tblLayout w:type="fixed"/>
        <w:tblCellMar>
          <w:top w:w="0" w:type="dxa"/>
          <w:left w:w="0" w:type="dxa"/>
          <w:bottom w:w="0" w:type="dxa"/>
          <w:right w:w="0" w:type="dxa"/>
        </w:tblCellMar>
        <w:tblLook w:val="01E0"/>
      </w:tblPr>
      <w:tblGrid>
        <w:gridCol w:w="1634"/>
        <w:gridCol w:w="1930"/>
        <w:gridCol w:w="1702"/>
        <w:gridCol w:w="1558"/>
      </w:tblGrid>
      <w:tr>
        <w:trPr>
          <w:trHeight w:val="650" w:hRule="exact"/>
        </w:trPr>
        <w:tc>
          <w:tcPr>
            <w:tcW w:w="1634" w:type="dxa"/>
            <w:tcBorders>
              <w:top w:val="nil" w:sz="6" w:space="0" w:color="auto"/>
              <w:left w:val="nil" w:sz="6" w:space="0" w:color="auto"/>
              <w:bottom w:val="single" w:sz="6" w:space="0" w:color="000000"/>
              <w:right w:val="single" w:sz="6" w:space="0" w:color="000000"/>
            </w:tcBorders>
          </w:tcPr>
          <w:p>
            <w:pPr>
              <w:pStyle w:val="TableParagraph"/>
              <w:spacing w:line="240" w:lineRule="auto" w:before="36"/>
              <w:ind w:left="2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31</w:t>
            </w:r>
            <w:r>
              <w:rPr>
                <w:rFonts w:ascii="宋体" w:hAnsi="宋体" w:cs="宋体" w:eastAsia="宋体" w:hint="default"/>
                <w:sz w:val="16"/>
                <w:szCs w:val="16"/>
              </w:rPr>
              <w:t>日</w:t>
            </w:r>
          </w:p>
        </w:tc>
        <w:tc>
          <w:tcPr>
            <w:tcW w:w="193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余额</w:t>
            </w:r>
          </w:p>
        </w:tc>
        <w:tc>
          <w:tcPr>
            <w:tcW w:w="170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6"/>
              <w:ind w:left="520"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558" w:type="dxa"/>
            <w:tcBorders>
              <w:top w:val="nil" w:sz="6" w:space="0" w:color="auto"/>
              <w:left w:val="single" w:sz="6" w:space="0" w:color="000000"/>
              <w:bottom w:val="single" w:sz="6" w:space="0" w:color="000000"/>
              <w:right w:val="single" w:sz="6" w:space="0" w:color="000000"/>
            </w:tcBorders>
          </w:tcPr>
          <w:p>
            <w:pPr>
              <w:pStyle w:val="TableParagraph"/>
              <w:spacing w:line="357" w:lineRule="auto" w:before="36"/>
              <w:ind w:left="612" w:right="48" w:hanging="562"/>
              <w:jc w:val="left"/>
              <w:rPr>
                <w:rFonts w:ascii="宋体" w:hAnsi="宋体" w:cs="宋体" w:eastAsia="宋体" w:hint="default"/>
                <w:sz w:val="16"/>
                <w:szCs w:val="16"/>
              </w:rPr>
            </w:pPr>
            <w:r>
              <w:rPr>
                <w:rFonts w:ascii="宋体" w:hAnsi="宋体" w:cs="宋体" w:eastAsia="宋体" w:hint="default"/>
                <w:sz w:val="16"/>
                <w:szCs w:val="16"/>
              </w:rPr>
              <w:t>占应收账款余额总额</w:t>
            </w:r>
            <w:r>
              <w:rPr>
                <w:rFonts w:ascii="宋体" w:hAnsi="宋体" w:cs="宋体" w:eastAsia="宋体" w:hint="default"/>
                <w:w w:val="100"/>
                <w:sz w:val="16"/>
                <w:szCs w:val="16"/>
              </w:rPr>
              <w:t> </w:t>
            </w:r>
            <w:r>
              <w:rPr>
                <w:rFonts w:ascii="宋体" w:hAnsi="宋体" w:cs="宋体" w:eastAsia="宋体" w:hint="default"/>
                <w:sz w:val="16"/>
                <w:szCs w:val="16"/>
              </w:rPr>
              <w:t>比例</w:t>
            </w:r>
          </w:p>
        </w:tc>
      </w:tr>
      <w:tr>
        <w:trPr>
          <w:trHeight w:val="650" w:hRule="exact"/>
        </w:trPr>
        <w:tc>
          <w:tcPr>
            <w:tcW w:w="1634" w:type="dxa"/>
            <w:tcBorders>
              <w:top w:val="single" w:sz="6" w:space="0" w:color="000000"/>
              <w:left w:val="nil" w:sz="6" w:space="0" w:color="auto"/>
              <w:bottom w:val="single" w:sz="6" w:space="0" w:color="000000"/>
              <w:right w:val="single" w:sz="6" w:space="0" w:color="000000"/>
            </w:tcBorders>
          </w:tcPr>
          <w:p>
            <w:pPr>
              <w:pStyle w:val="TableParagraph"/>
              <w:spacing w:line="357" w:lineRule="auto" w:before="26"/>
              <w:ind w:left="26" w:right="91" w:firstLine="64"/>
              <w:jc w:val="left"/>
              <w:rPr>
                <w:rFonts w:ascii="宋体" w:hAnsi="宋体" w:cs="宋体" w:eastAsia="宋体" w:hint="default"/>
                <w:sz w:val="16"/>
                <w:szCs w:val="16"/>
              </w:rPr>
            </w:pPr>
            <w:r>
              <w:rPr>
                <w:rFonts w:ascii="宋体" w:hAnsi="宋体" w:cs="宋体" w:eastAsia="宋体" w:hint="default"/>
                <w:sz w:val="16"/>
                <w:szCs w:val="16"/>
              </w:rPr>
              <w:t>余额前五名的应收账</w:t>
            </w:r>
            <w:r>
              <w:rPr>
                <w:rFonts w:ascii="宋体" w:hAnsi="宋体" w:cs="宋体" w:eastAsia="宋体" w:hint="default"/>
                <w:w w:val="100"/>
                <w:sz w:val="16"/>
                <w:szCs w:val="16"/>
              </w:rPr>
              <w:t> </w:t>
            </w:r>
            <w:r>
              <w:rPr>
                <w:rFonts w:ascii="宋体" w:hAnsi="宋体" w:cs="宋体" w:eastAsia="宋体" w:hint="default"/>
                <w:sz w:val="16"/>
                <w:szCs w:val="16"/>
              </w:rPr>
              <w:t>款总额</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11" w:right="0"/>
              <w:jc w:val="left"/>
              <w:rPr>
                <w:rFonts w:ascii="Times New Roman" w:hAnsi="Times New Roman" w:cs="Times New Roman" w:eastAsia="Times New Roman" w:hint="default"/>
                <w:sz w:val="16"/>
                <w:szCs w:val="16"/>
              </w:rPr>
            </w:pPr>
            <w:r>
              <w:rPr>
                <w:rFonts w:ascii="Times New Roman"/>
                <w:sz w:val="16"/>
              </w:rPr>
              <w:t>156,675,823.93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42" w:right="0"/>
              <w:jc w:val="left"/>
              <w:rPr>
                <w:rFonts w:ascii="Times New Roman" w:hAnsi="Times New Roman" w:cs="Times New Roman" w:eastAsia="Times New Roman" w:hint="default"/>
                <w:sz w:val="16"/>
                <w:szCs w:val="16"/>
              </w:rPr>
            </w:pPr>
            <w:r>
              <w:rPr>
                <w:rFonts w:ascii="Times New Roman"/>
                <w:sz w:val="16"/>
              </w:rPr>
              <w:t>9,340,947.14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23.17%</w:t>
            </w:r>
          </w:p>
        </w:tc>
      </w:tr>
    </w:tbl>
    <w:p>
      <w:pPr>
        <w:spacing w:line="240" w:lineRule="auto" w:before="9"/>
        <w:rPr>
          <w:rFonts w:ascii="宋体" w:hAnsi="宋体" w:cs="宋体" w:eastAsia="宋体" w:hint="default"/>
          <w:sz w:val="20"/>
          <w:szCs w:val="20"/>
        </w:rPr>
      </w:pPr>
    </w:p>
    <w:p>
      <w:pPr>
        <w:pStyle w:val="Heading3"/>
        <w:spacing w:line="240" w:lineRule="auto" w:before="36"/>
        <w:ind w:right="150"/>
        <w:jc w:val="left"/>
        <w:rPr>
          <w:b w:val="0"/>
          <w:bCs w:val="0"/>
        </w:rPr>
      </w:pPr>
      <w:bookmarkStart w:name="（5）因金融资产转移而终止确认的应收账款" w:id="240"/>
      <w:bookmarkEnd w:id="24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0"/>
        <w:jc w:val="left"/>
      </w:pPr>
      <w:r>
        <w:rPr/>
        <w:t>无。</w:t>
      </w:r>
    </w:p>
    <w:p>
      <w:pPr>
        <w:spacing w:after="0" w:line="24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6）转移应收账款且继续涉入形成的资产、负债金额" w:id="241"/>
      <w:bookmarkEnd w:id="24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54"/>
        <w:jc w:val="left"/>
      </w:pPr>
      <w:r>
        <w:rPr/>
        <w:t>无。 其他说明：</w:t>
      </w:r>
    </w:p>
    <w:p>
      <w:pPr>
        <w:spacing w:line="240" w:lineRule="auto" w:before="2"/>
        <w:rPr>
          <w:rFonts w:ascii="宋体" w:hAnsi="宋体" w:cs="宋体" w:eastAsia="宋体" w:hint="default"/>
          <w:sz w:val="20"/>
          <w:szCs w:val="20"/>
        </w:rPr>
      </w:pPr>
    </w:p>
    <w:p>
      <w:pPr>
        <w:pStyle w:val="Heading3"/>
        <w:spacing w:line="240" w:lineRule="auto"/>
        <w:ind w:right="150"/>
        <w:jc w:val="left"/>
        <w:rPr>
          <w:b w:val="0"/>
          <w:bCs w:val="0"/>
        </w:rPr>
      </w:pPr>
      <w:bookmarkStart w:name="6、预付款项" w:id="242"/>
      <w:bookmarkEnd w:id="242"/>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预付款项按账龄列示" w:id="243"/>
      <w:bookmarkEnd w:id="24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8" w:type="dxa"/>
            <w:gridSpan w:val="2"/>
            <w:vMerge/>
            <w:tcBorders>
              <w:left w:val="single" w:sz="4" w:space="0" w:color="000000"/>
              <w:bottom w:val="single" w:sz="4" w:space="0" w:color="000000"/>
              <w:right w:val="single" w:sz="4" w:space="0" w:color="000000"/>
            </w:tcBorders>
            <w:shd w:val="clear" w:color="auto" w:fill="D4D4D4"/>
          </w:tcPr>
          <w:p>
            <w:pPr/>
          </w:p>
        </w:tc>
        <w:tc>
          <w:tcPr>
            <w:tcW w:w="3830"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21,198,242.04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8,949,984.99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76.84%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2,697,478.30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23.16%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3" w:space="0" w:color="D4D4D4"/>
              <w:bottom w:val="single" w:sz="4" w:space="0" w:color="000000"/>
              <w:right w:val="single" w:sz="10" w:space="0" w:color="D4D4D4"/>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21,198,242.04</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11,647,463.29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4917"/>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日，不存在账龄超过一年的预付款项。</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pStyle w:val="Heading3"/>
        <w:spacing w:line="240" w:lineRule="auto"/>
        <w:ind w:right="150"/>
        <w:jc w:val="left"/>
        <w:rPr>
          <w:b w:val="0"/>
          <w:bCs w:val="0"/>
        </w:rPr>
      </w:pPr>
      <w:bookmarkStart w:name="（2）按预付对象归集的期末余额前五名的预付款情况" w:id="244"/>
      <w:bookmarkEnd w:id="24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7"/>
          <w:szCs w:val="27"/>
        </w:rPr>
      </w:pPr>
    </w:p>
    <w:p>
      <w:pPr>
        <w:spacing w:line="1815" w:lineRule="exact"/>
        <w:ind w:left="154" w:right="0" w:firstLine="0"/>
        <w:rPr>
          <w:rFonts w:ascii="宋体" w:hAnsi="宋体" w:cs="宋体" w:eastAsia="宋体" w:hint="default"/>
          <w:sz w:val="20"/>
          <w:szCs w:val="20"/>
        </w:rPr>
      </w:pPr>
      <w:r>
        <w:rPr>
          <w:rFonts w:ascii="宋体" w:hAnsi="宋体" w:cs="宋体" w:eastAsia="宋体" w:hint="default"/>
          <w:position w:val="-35"/>
          <w:sz w:val="20"/>
          <w:szCs w:val="20"/>
        </w:rPr>
        <w:drawing>
          <wp:inline distT="0" distB="0" distL="0" distR="0">
            <wp:extent cx="5705473" cy="11525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1" cstate="print"/>
                    <a:stretch>
                      <a:fillRect/>
                    </a:stretch>
                  </pic:blipFill>
                  <pic:spPr>
                    <a:xfrm>
                      <a:off x="0" y="0"/>
                      <a:ext cx="5705473" cy="1152525"/>
                    </a:xfrm>
                    <a:prstGeom prst="rect">
                      <a:avLst/>
                    </a:prstGeom>
                  </pic:spPr>
                </pic:pic>
              </a:graphicData>
            </a:graphic>
          </wp:inline>
        </w:drawing>
      </w:r>
      <w:r>
        <w:rPr>
          <w:rFonts w:ascii="宋体" w:hAnsi="宋体" w:cs="宋体" w:eastAsia="宋体" w:hint="default"/>
          <w:position w:val="-35"/>
          <w:sz w:val="20"/>
          <w:szCs w:val="20"/>
        </w:rPr>
      </w:r>
    </w:p>
    <w:p>
      <w:pPr>
        <w:pStyle w:val="BodyText"/>
        <w:spacing w:line="240" w:lineRule="auto" w:before="84"/>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7、应收利息" w:id="245"/>
      <w:bookmarkEnd w:id="245"/>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应收利息分类" w:id="246"/>
      <w:bookmarkEnd w:id="246"/>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6"/>
        <w:ind w:right="150"/>
        <w:jc w:val="left"/>
        <w:rPr>
          <w:b w:val="0"/>
          <w:bCs w:val="0"/>
        </w:rPr>
      </w:pPr>
      <w:bookmarkStart w:name="（2）重要逾期利息" w:id="247"/>
      <w:bookmarkEnd w:id="247"/>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50"/>
        <w:jc w:val="left"/>
      </w:pPr>
      <w:r>
        <w:rPr/>
        <w:t>其他说明：</w:t>
      </w:r>
    </w:p>
    <w:p>
      <w:pPr>
        <w:spacing w:after="0" w:line="240" w:lineRule="auto"/>
        <w:jc w:val="left"/>
        <w:sectPr>
          <w:footerReference w:type="default" r:id="rId20"/>
          <w:pgSz w:w="11910" w:h="16840"/>
          <w:pgMar w:footer="982" w:header="745" w:top="1060" w:bottom="1180" w:left="980" w:right="980"/>
          <w:pgNumType w:start="11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8、应收股利" w:id="248"/>
      <w:bookmarkEnd w:id="248"/>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应收股利" w:id="249"/>
      <w:bookmarkEnd w:id="249"/>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重要的账龄超过1年的应收股利" w:id="250"/>
      <w:bookmarkEnd w:id="250"/>
      <w:r>
        <w:rPr>
          <w:b w:val="0"/>
          <w:bCs w:val="0"/>
        </w:rPr>
      </w:r>
      <w:r>
        <w:rPr/>
        <w:t>（</w:t>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9、其他应收款" w:id="251"/>
      <w:bookmarkEnd w:id="251"/>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1）其他应收款分类披露" w:id="252"/>
      <w:bookmarkEnd w:id="25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4D4D4"/>
          </w:tcPr>
          <w:p>
            <w:pP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4" w:type="dxa"/>
            <w:vMerge/>
            <w:tcBorders>
              <w:left w:val="single" w:sz="4" w:space="0" w:color="000000"/>
              <w:bottom w:val="nil" w:sz="6" w:space="0" w:color="auto"/>
              <w:right w:val="single" w:sz="4" w:space="0" w:color="000000"/>
            </w:tcBorders>
            <w:shd w:val="clear" w:color="auto" w:fill="D4D4D4"/>
          </w:tcPr>
          <w:p>
            <w:pPr/>
          </w:p>
        </w:tc>
        <w:tc>
          <w:tcPr>
            <w:tcW w:w="152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6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4"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34" w:type="dxa"/>
            <w:vMerge/>
            <w:tcBorders>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34" w:type="dxa"/>
            <w:vMerge w:val="restart"/>
            <w:tcBorders>
              <w:top w:val="single" w:sz="4" w:space="0" w:color="FFFFFF"/>
              <w:left w:val="single" w:sz="4" w:space="0" w:color="000000"/>
              <w:right w:val="single" w:sz="4" w:space="0" w:color="000000"/>
            </w:tcBorders>
            <w:shd w:val="clear" w:color="auto" w:fill="D4D4D4"/>
          </w:tcPr>
          <w:p>
            <w:pP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34" w:type="dxa"/>
            <w:vMerge/>
            <w:tcBorders>
              <w:left w:val="single" w:sz="4" w:space="0" w:color="000000"/>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34"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38,992,9</w:t>
            </w:r>
          </w:p>
          <w:p>
            <w:pPr>
              <w:pStyle w:val="TableParagraph"/>
              <w:spacing w:line="240" w:lineRule="auto" w:before="105"/>
              <w:ind w:left="315" w:right="0"/>
              <w:jc w:val="left"/>
              <w:rPr>
                <w:rFonts w:ascii="Times New Roman" w:hAnsi="Times New Roman" w:cs="Times New Roman" w:eastAsia="Times New Roman" w:hint="default"/>
                <w:sz w:val="18"/>
                <w:szCs w:val="18"/>
              </w:rPr>
            </w:pPr>
            <w:r>
              <w:rPr>
                <w:rFonts w:ascii="Times New Roman"/>
                <w:sz w:val="18"/>
              </w:rPr>
              <w:t>98.86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2,229,36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5.72%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36,763,62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9.45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21,555,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839.86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2,032,785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19,523,054.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r>
      <w:tr>
        <w:trPr>
          <w:trHeight w:val="161" w:hRule="exact"/>
        </w:trPr>
        <w:tc>
          <w:tcPr>
            <w:tcW w:w="1634" w:type="dxa"/>
            <w:tcBorders>
              <w:top w:val="single" w:sz="4" w:space="0" w:color="000000"/>
              <w:left w:val="single" w:sz="4" w:space="0" w:color="000000"/>
              <w:bottom w:val="nil" w:sz="6" w:space="0" w:color="auto"/>
              <w:right w:val="single" w:sz="4" w:space="0" w:color="000000"/>
            </w:tcBorders>
            <w:shd w:val="clear" w:color="auto" w:fill="D4D4D4"/>
          </w:tcPr>
          <w:p>
            <w:pPr/>
          </w:p>
        </w:tc>
        <w:tc>
          <w:tcPr>
            <w:tcW w:w="763" w:type="dxa"/>
            <w:vMerge w:val="restart"/>
            <w:tcBorders>
              <w:top w:val="single" w:sz="4" w:space="0" w:color="000000"/>
              <w:left w:val="single" w:sz="9" w:space="0" w:color="D4D4D4"/>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38,992,9</w:t>
            </w:r>
          </w:p>
          <w:p>
            <w:pPr>
              <w:pStyle w:val="TableParagraph"/>
              <w:spacing w:line="240" w:lineRule="auto" w:before="105"/>
              <w:ind w:left="320" w:right="0"/>
              <w:jc w:val="left"/>
              <w:rPr>
                <w:rFonts w:ascii="Times New Roman" w:hAnsi="Times New Roman" w:cs="Times New Roman" w:eastAsia="Times New Roman" w:hint="default"/>
                <w:sz w:val="18"/>
                <w:szCs w:val="18"/>
              </w:rPr>
            </w:pPr>
            <w:r>
              <w:rPr>
                <w:rFonts w:ascii="Times New Roman"/>
                <w:sz w:val="18"/>
              </w:rPr>
              <w:t>98.86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2,229,36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9.41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5.72%</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36,763,62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9.45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21,555,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839.86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2,032,785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9.43%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19,523,054.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r>
      <w:tr>
        <w:trPr>
          <w:trHeight w:val="391" w:hRule="exact"/>
        </w:trPr>
        <w:tc>
          <w:tcPr>
            <w:tcW w:w="163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3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2"/>
      </w:tblGrid>
      <w:tr>
        <w:trPr>
          <w:trHeight w:val="205" w:hRule="exact"/>
        </w:trPr>
        <w:tc>
          <w:tcPr>
            <w:tcW w:w="2379" w:type="dxa"/>
            <w:tcBorders>
              <w:top w:val="single" w:sz="4" w:space="0" w:color="000000"/>
              <w:left w:val="single" w:sz="4" w:space="0" w:color="000000"/>
              <w:bottom w:val="nil" w:sz="6" w:space="0" w:color="auto"/>
              <w:right w:val="single" w:sz="4" w:space="0" w:color="000000"/>
            </w:tcBorders>
            <w:shd w:val="clear" w:color="auto" w:fill="D4D4D4"/>
          </w:tcPr>
          <w:p>
            <w:pPr/>
          </w:p>
        </w:tc>
        <w:tc>
          <w:tcPr>
            <w:tcW w:w="7178"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32,684,400.26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322,375.05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2,877,729.35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287,772.94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374,044.03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74,808.81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3,006,825.22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1,503,412.61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70.00%</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38,992,998.86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2,229,369.41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5.72%</w:t>
            </w:r>
          </w:p>
        </w:tc>
      </w:tr>
    </w:tbl>
    <w:p>
      <w:pPr>
        <w:pStyle w:val="BodyText"/>
        <w:spacing w:line="357" w:lineRule="auto" w:before="49"/>
        <w:ind w:right="2394"/>
        <w:jc w:val="left"/>
      </w:pPr>
      <w:r>
        <w:rPr/>
        <w:t>确定该组合依据的说明： 本集团根据历史经验及对客户组合信用评价持续评价按组合所计提坏账准备的依据及合理性。</w:t>
      </w:r>
    </w:p>
    <w:p>
      <w:pPr>
        <w:spacing w:line="240" w:lineRule="auto" w:before="1"/>
        <w:rPr>
          <w:rFonts w:ascii="宋体" w:hAnsi="宋体" w:cs="宋体" w:eastAsia="宋体" w:hint="default"/>
          <w:sz w:val="26"/>
          <w:szCs w:val="26"/>
        </w:rPr>
      </w:pPr>
    </w:p>
    <w:p>
      <w:pPr>
        <w:pStyle w:val="BodyText"/>
        <w:spacing w:line="240" w:lineRule="auto"/>
        <w:ind w:right="150"/>
        <w:jc w:val="left"/>
      </w:pPr>
      <w:r>
        <w:rPr/>
        <w:t>组合中，采用余额百分比法计提坏账准备的其他应收款：</w:t>
      </w:r>
    </w:p>
    <w:p>
      <w:pPr>
        <w:pStyle w:val="BodyText"/>
        <w:spacing w:line="338" w:lineRule="auto" w:before="117"/>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0"/>
        <w:jc w:val="left"/>
        <w:rPr>
          <w:b w:val="0"/>
          <w:bCs w:val="0"/>
        </w:rPr>
      </w:pPr>
      <w:bookmarkStart w:name="（2）本期计提、收回或转回的坏账准备情况" w:id="253"/>
      <w:bookmarkEnd w:id="25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38" w:lineRule="auto" w:before="44"/>
        <w:ind w:right="-5"/>
        <w:jc w:val="left"/>
      </w:pPr>
      <w:r>
        <w:rPr/>
        <w:t>本期计提坏账准备金额</w:t>
      </w:r>
      <w:r>
        <w:rPr>
          <w:spacing w:val="-48"/>
        </w:rPr>
        <w:t> </w:t>
      </w:r>
      <w:r>
        <w:rPr>
          <w:rFonts w:ascii="Times New Roman" w:hAnsi="Times New Roman" w:cs="Times New Roman" w:eastAsia="Times New Roman" w:hint="default"/>
        </w:rPr>
        <w:t>202,037.72</w:t>
      </w:r>
      <w:r>
        <w:rPr>
          <w:rFonts w:ascii="Times New Roman" w:hAnsi="Times New Roman" w:cs="Times New Roman" w:eastAsia="Times New Roman" w:hint="default"/>
          <w:spacing w:val="-2"/>
        </w:rPr>
        <w:t> </w:t>
      </w:r>
      <w:r>
        <w:rPr/>
        <w:t>元；本期收回或转回坏账准备金额</w:t>
      </w:r>
      <w:r>
        <w:rPr>
          <w:spacing w:val="-48"/>
        </w:rPr>
        <w:t> </w:t>
      </w:r>
      <w:r>
        <w:rPr>
          <w:rFonts w:ascii="Times New Roman" w:hAnsi="Times New Roman" w:cs="Times New Roman" w:eastAsia="Times New Roman" w:hint="default"/>
        </w:rPr>
        <w:t>2,454.01</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638" w:space="2189"/>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3）本期实际核销的其他应收款情况" w:id="254"/>
      <w:bookmarkEnd w:id="25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1"/>
        <w:gridCol w:w="4788"/>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6,082.57</w:t>
            </w:r>
          </w:p>
        </w:tc>
      </w:tr>
    </w:tbl>
    <w:p>
      <w:pPr>
        <w:pStyle w:val="BodyText"/>
        <w:spacing w:line="240" w:lineRule="auto" w:before="49"/>
        <w:ind w:right="150"/>
        <w:jc w:val="left"/>
      </w:pPr>
      <w:r>
        <w:rPr/>
        <w:t>其中重要的其他应收款核销情况：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85"/>
      </w:tblGrid>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6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5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4）其他应收款按款项性质分类情况" w:id="255"/>
      <w:bookmarkEnd w:id="25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应收押金及保证金款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31,128,646.24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13,008,329.66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转入从兴电力业务应收款及代收款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4,989,408.52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6,329,616.12</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应收员工借款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1,457,837.42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1,488,179.27</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暂付款及其他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1,417,106.68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729,714.81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38,992,998.86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21,555,839.86</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5）按欠款方归集的期末余额前五名的其他应收款情况" w:id="256"/>
      <w:bookmarkEnd w:id="25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10,119,100.00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一年以内及一到两 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173,011.00</w:t>
            </w:r>
            <w:r>
              <w:rPr>
                <w:rFonts w:ascii="Times New Roman"/>
                <w:sz w:val="18"/>
              </w:rPr>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转入从兴电力业务 应收及代垫款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4,989,408.52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一到两年及三到四 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1,657,968.34</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1,884,000.00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18,840.00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1,340,855.61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一年以内及一到两 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19,288.82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1,320,156.50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0"/>
                <w:sz w:val="18"/>
                <w:szCs w:val="18"/>
              </w:rPr>
              <w:t>一年以内、一到两年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及四到五年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39,933.65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19,653,520.63</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1,909,041.81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6）涉及政府补助的应收款项" w:id="257"/>
      <w:bookmarkEnd w:id="25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7）因金融资产转移而终止确认的其他应收款" w:id="258"/>
      <w:bookmarkEnd w:id="25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8）转移其他应收款且继续涉入形成的资产、负债金额" w:id="259"/>
      <w:bookmarkEnd w:id="25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10、存货" w:id="260"/>
      <w:bookmarkEnd w:id="260"/>
      <w:r>
        <w:rPr>
          <w:b w:val="0"/>
          <w:bCs w:val="0"/>
        </w:rPr>
      </w:r>
      <w:r>
        <w:rPr>
          <w:rFonts w:ascii="Times New Roman" w:hAnsi="Times New Roman" w:cs="Times New Roman" w:eastAsia="Times New Roman" w:hint="default"/>
        </w:rPr>
        <w:t>10</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534"/>
        <w:jc w:val="left"/>
      </w:pPr>
      <w:r>
        <w:rPr/>
        <w:t>公司是否需要遵守房地产行业的披露要求 否</w:t>
      </w:r>
    </w:p>
    <w:p>
      <w:pPr>
        <w:spacing w:line="240" w:lineRule="auto" w:before="2"/>
        <w:rPr>
          <w:rFonts w:ascii="宋体" w:hAnsi="宋体" w:cs="宋体" w:eastAsia="宋体" w:hint="default"/>
          <w:sz w:val="20"/>
          <w:szCs w:val="20"/>
        </w:rPr>
      </w:pPr>
    </w:p>
    <w:p>
      <w:pPr>
        <w:pStyle w:val="Heading3"/>
        <w:spacing w:line="240" w:lineRule="auto"/>
        <w:ind w:right="150"/>
        <w:jc w:val="left"/>
        <w:rPr>
          <w:b w:val="0"/>
          <w:bCs w:val="0"/>
        </w:rPr>
      </w:pPr>
      <w:bookmarkStart w:name="（1）存货分类" w:id="261"/>
      <w:bookmarkEnd w:id="26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61,304,198.12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311,265.62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60,992,932.50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65,044,706.32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1,104,730.36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63,939,975.96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12,302,627.83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12,302,627.83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18,802,296.02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18,802,296.02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73,606,825.95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311,265.62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73,295,560.33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83,847,002.34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1,104,730.36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82,742,271.98</w:t>
            </w:r>
          </w:p>
        </w:tc>
      </w:tr>
    </w:tbl>
    <w:p>
      <w:pPr>
        <w:pStyle w:val="BodyText"/>
        <w:spacing w:line="338" w:lineRule="auto" w:before="49"/>
        <w:ind w:right="1497"/>
        <w:jc w:val="left"/>
      </w:pPr>
      <w:r>
        <w:rPr/>
        <w:t>公司是否需遵守《深圳证券交易所行业信息披露指引第</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3"/>
        <w:ind w:right="597"/>
        <w:jc w:val="left"/>
      </w:pPr>
      <w:r>
        <w:rPr/>
        <w:t>公司是否需遵守《深圳证券交易所创业板行业信息披露指引第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777"/>
        <w:jc w:val="left"/>
      </w:pPr>
      <w:r>
        <w:rPr/>
        <w:t>公司是否需遵守《深圳证券交易所创业板行业信息披露指引第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5"/>
        <w:rPr>
          <w:rFonts w:ascii="宋体" w:hAnsi="宋体" w:cs="宋体" w:eastAsia="宋体" w:hint="default"/>
          <w:sz w:val="21"/>
          <w:szCs w:val="21"/>
        </w:rPr>
      </w:pPr>
    </w:p>
    <w:p>
      <w:pPr>
        <w:pStyle w:val="Heading3"/>
        <w:spacing w:line="240" w:lineRule="auto"/>
        <w:ind w:right="150"/>
        <w:jc w:val="left"/>
        <w:rPr>
          <w:b w:val="0"/>
          <w:bCs w:val="0"/>
        </w:rPr>
      </w:pPr>
      <w:bookmarkStart w:name="（2）存货跌价准备" w:id="262"/>
      <w:bookmarkEnd w:id="26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1,104,730.36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793,477.05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311,265.62</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1,104,730.36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793,477.05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311,265.62</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3）存货期末余额含有借款费用资本化金额的说明" w:id="263"/>
      <w:bookmarkEnd w:id="26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4）期末建造合同形成的已完工未结算资产情况" w:id="264"/>
      <w:bookmarkEnd w:id="26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11、持有待售的资产" w:id="265"/>
      <w:bookmarkEnd w:id="265"/>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12、一年内到期的非流动资产" w:id="266"/>
      <w:bookmarkEnd w:id="266"/>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13、其他流动资产" w:id="267"/>
      <w:bookmarkEnd w:id="267"/>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890,783.83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890,855.52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14、可供出售金融资产" w:id="268"/>
      <w:bookmarkEnd w:id="268"/>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可供出售金融资产情况" w:id="269"/>
      <w:bookmarkEnd w:id="26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5"/>
        <w:gridCol w:w="1198"/>
        <w:gridCol w:w="1195"/>
        <w:gridCol w:w="1248"/>
        <w:gridCol w:w="1368"/>
        <w:gridCol w:w="1368"/>
      </w:tblGrid>
      <w:tr>
        <w:trPr>
          <w:trHeight w:val="401" w:hRule="exact"/>
        </w:trPr>
        <w:tc>
          <w:tcPr>
            <w:tcW w:w="19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98"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期末按公允价值计量的可供出售金融资产" w:id="270"/>
      <w:bookmarkEnd w:id="27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3）期末按成本计量的可供出售金融资产" w:id="271"/>
      <w:bookmarkEnd w:id="27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1"/>
        <w:gridCol w:w="869"/>
        <w:gridCol w:w="871"/>
        <w:gridCol w:w="869"/>
        <w:gridCol w:w="871"/>
        <w:gridCol w:w="869"/>
        <w:gridCol w:w="871"/>
        <w:gridCol w:w="869"/>
        <w:gridCol w:w="871"/>
      </w:tblGrid>
      <w:tr>
        <w:trPr>
          <w:trHeight w:val="403" w:hRule="exact"/>
        </w:trPr>
        <w:tc>
          <w:tcPr>
            <w:tcW w:w="8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4"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4D4D4"/>
          </w:tcPr>
          <w:p>
            <w:pPr/>
          </w:p>
        </w:tc>
        <w:tc>
          <w:tcPr>
            <w:tcW w:w="871" w:type="dxa"/>
            <w:vMerge/>
            <w:tcBorders>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4）报告期内可供出售金融资产减值的变动情况" w:id="272"/>
      <w:bookmarkEnd w:id="272"/>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5）可供出售权益工具期末公允价值严重下跌或非暂时性下跌但未计提减值准备的相关说" w:id="273"/>
      <w:bookmarkEnd w:id="27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15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15、持有至到期投资" w:id="274"/>
      <w:bookmarkEnd w:id="274"/>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持有至到期投资情况" w:id="275"/>
      <w:bookmarkEnd w:id="275"/>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期末重要的持有至到期投资" w:id="276"/>
      <w:bookmarkEnd w:id="276"/>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3）本期重分类的持有至到期投资" w:id="277"/>
      <w:bookmarkEnd w:id="277"/>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16、长期应收款" w:id="278"/>
      <w:bookmarkEnd w:id="27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长期应收款情况" w:id="279"/>
      <w:bookmarkEnd w:id="27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6"/>
        <w:gridCol w:w="1166"/>
        <w:gridCol w:w="1169"/>
        <w:gridCol w:w="1166"/>
        <w:gridCol w:w="1166"/>
        <w:gridCol w:w="1164"/>
      </w:tblGrid>
      <w:tr>
        <w:trPr>
          <w:trHeight w:val="403" w:hRule="exact"/>
        </w:trPr>
        <w:tc>
          <w:tcPr>
            <w:tcW w:w="140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4D4D4"/>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因金融资产转移而终止确认的长期应收款" w:id="280"/>
      <w:bookmarkEnd w:id="28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3）转移长期应收款且继续涉入形成的资产、负债金额" w:id="281"/>
      <w:bookmarkEnd w:id="281"/>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17、长期股权投资" w:id="282"/>
      <w:bookmarkEnd w:id="282"/>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01"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1"/>
              <w:jc w:val="left"/>
              <w:rPr>
                <w:rFonts w:ascii="宋体" w:hAnsi="宋体" w:cs="宋体" w:eastAsia="宋体" w:hint="default"/>
                <w:sz w:val="18"/>
                <w:szCs w:val="18"/>
              </w:rPr>
            </w:pPr>
            <w:r>
              <w:rPr>
                <w:rFonts w:ascii="宋体" w:hAnsi="宋体" w:cs="宋体" w:eastAsia="宋体" w:hint="default"/>
                <w:sz w:val="18"/>
                <w:szCs w:val="18"/>
              </w:rPr>
              <w:t>邦道科技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21,636,81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36,134,42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57,771,24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10" w:space="0" w:color="D4D4D4"/>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21,636,81</w:t>
            </w:r>
          </w:p>
          <w:p>
            <w:pPr>
              <w:pStyle w:val="TableParagraph"/>
              <w:spacing w:line="240" w:lineRule="auto" w:before="102"/>
              <w:ind w:left="443" w:right="0"/>
              <w:jc w:val="left"/>
              <w:rPr>
                <w:rFonts w:ascii="Times New Roman" w:hAnsi="Times New Roman" w:cs="Times New Roman" w:eastAsia="Times New Roman" w:hint="default"/>
                <w:sz w:val="18"/>
                <w:szCs w:val="18"/>
              </w:rPr>
            </w:pPr>
            <w:r>
              <w:rPr>
                <w:rFonts w:ascii="Times New Roman"/>
                <w:sz w:val="18"/>
              </w:rPr>
              <w:t>9.63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36,134,42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2.97</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57,771,24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6.60</w:t>
            </w: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4D4D4"/>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10" w:space="0" w:color="D4D4D4"/>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3" w:hRule="exact"/>
        </w:trPr>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10" w:space="0" w:color="D4D4D4"/>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21,636,81</w:t>
            </w:r>
          </w:p>
          <w:p>
            <w:pPr>
              <w:pStyle w:val="TableParagraph"/>
              <w:spacing w:line="240" w:lineRule="auto" w:before="102"/>
              <w:ind w:left="443" w:right="0"/>
              <w:jc w:val="left"/>
              <w:rPr>
                <w:rFonts w:ascii="Times New Roman" w:hAnsi="Times New Roman" w:cs="Times New Roman" w:eastAsia="Times New Roman" w:hint="default"/>
                <w:sz w:val="18"/>
                <w:szCs w:val="18"/>
              </w:rPr>
            </w:pPr>
            <w:r>
              <w:rPr>
                <w:rFonts w:ascii="Times New Roman"/>
                <w:sz w:val="18"/>
              </w:rPr>
              <w:t>9.63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36,134,42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2.97</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57,771,24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6.60</w:t>
            </w: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vMerge/>
            <w:tcBorders>
              <w:left w:val="single" w:sz="10" w:space="0" w:color="D4D4D4"/>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10" w:space="0" w:color="D4D4D4"/>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其他说明</w:t>
      </w:r>
    </w:p>
    <w:p>
      <w:pPr>
        <w:pStyle w:val="BodyText"/>
        <w:spacing w:line="300" w:lineRule="auto" w:before="115"/>
        <w:ind w:right="15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月，本公司与蚂蚁金融服务集团的全资子公司上海云钜投资管理有限公司（以下简称</w:t>
      </w:r>
      <w:r>
        <w:rPr>
          <w:rFonts w:ascii="Times New Roman" w:hAnsi="Times New Roman" w:cs="Times New Roman" w:eastAsia="Times New Roman" w:hint="default"/>
          <w:spacing w:val="-2"/>
        </w:rPr>
        <w:t>“</w:t>
      </w:r>
      <w:r>
        <w:rPr>
          <w:spacing w:val="-2"/>
        </w:rPr>
        <w:t>上海云钜</w:t>
      </w:r>
      <w:r>
        <w:rPr>
          <w:rFonts w:ascii="Times New Roman" w:hAnsi="Times New Roman" w:cs="Times New Roman" w:eastAsia="Times New Roman" w:hint="default"/>
          <w:spacing w:val="-2"/>
        </w:rPr>
        <w:t>”</w:t>
      </w:r>
      <w:r>
        <w:rPr>
          <w:spacing w:val="-2"/>
        </w:rPr>
        <w:t>）、无锡朴元投资</w:t>
      </w:r>
      <w:r>
        <w:rPr>
          <w:spacing w:val="-39"/>
        </w:rPr>
        <w:t> </w:t>
      </w:r>
      <w:r>
        <w:rPr>
          <w:spacing w:val="-39"/>
        </w:rPr>
      </w:r>
      <w:r>
        <w:rPr>
          <w:spacing w:val="-8"/>
        </w:rPr>
        <w:t>合伙企业（有限合伙）（以下简称</w:t>
      </w:r>
      <w:r>
        <w:rPr>
          <w:rFonts w:ascii="Times New Roman" w:hAnsi="Times New Roman" w:cs="Times New Roman" w:eastAsia="Times New Roman" w:hint="default"/>
          <w:spacing w:val="-8"/>
        </w:rPr>
        <w:t>“</w:t>
      </w:r>
      <w:r>
        <w:rPr>
          <w:spacing w:val="-8"/>
        </w:rPr>
        <w:t>无锡朴元</w:t>
      </w:r>
      <w:r>
        <w:rPr>
          <w:rFonts w:ascii="Times New Roman" w:hAnsi="Times New Roman" w:cs="Times New Roman" w:eastAsia="Times New Roman" w:hint="default"/>
          <w:spacing w:val="-8"/>
        </w:rPr>
        <w:t>”</w:t>
      </w:r>
      <w:r>
        <w:rPr>
          <w:spacing w:val="-8"/>
        </w:rPr>
        <w:t>）签订发起设立协议，共同出资成立邦道科技有限公司（以下简称</w:t>
      </w:r>
      <w:r>
        <w:rPr>
          <w:rFonts w:ascii="Times New Roman" w:hAnsi="Times New Roman" w:cs="Times New Roman" w:eastAsia="Times New Roman" w:hint="default"/>
          <w:spacing w:val="-8"/>
        </w:rPr>
        <w:t>“</w:t>
      </w:r>
      <w:r>
        <w:rPr>
          <w:spacing w:val="-8"/>
        </w:rPr>
        <w:t>邦道科技</w:t>
      </w:r>
      <w:r>
        <w:rPr>
          <w:rFonts w:ascii="Times New Roman" w:hAnsi="Times New Roman" w:cs="Times New Roman" w:eastAsia="Times New Roman" w:hint="default"/>
          <w:spacing w:val="-8"/>
        </w:rPr>
        <w:t>”</w:t>
      </w:r>
      <w:r>
        <w:rPr>
          <w:spacing w:val="-8"/>
        </w:rPr>
        <w:t>），</w:t>
      </w:r>
      <w:r>
        <w:rPr>
          <w:spacing w:val="-88"/>
        </w:rPr>
        <w:t> </w:t>
      </w:r>
      <w:r>
        <w:rPr>
          <w:spacing w:val="-1"/>
        </w:rPr>
        <w:t>其主营业务为公共事业行业专业化的</w:t>
      </w:r>
      <w:r>
        <w:rPr>
          <w:rFonts w:ascii="Times New Roman" w:hAnsi="Times New Roman" w:cs="Times New Roman" w:eastAsia="Times New Roman" w:hint="default"/>
          <w:spacing w:val="-1"/>
        </w:rPr>
        <w:t>EBPP</w:t>
      </w:r>
      <w:r>
        <w:rPr>
          <w:spacing w:val="-1"/>
        </w:rPr>
        <w:t>（电子账单处理及支付系统）技术与运营服务。邦道科技注册资本</w:t>
      </w:r>
      <w:r>
        <w:rPr>
          <w:rFonts w:ascii="Times New Roman" w:hAnsi="Times New Roman" w:cs="Times New Roman" w:eastAsia="Times New Roman" w:hint="default"/>
          <w:spacing w:val="-1"/>
        </w:rPr>
        <w:t>5,000</w:t>
      </w:r>
      <w:r>
        <w:rPr>
          <w:spacing w:val="-1"/>
        </w:rPr>
        <w:t>万元，其</w:t>
      </w:r>
      <w:r>
        <w:rPr>
          <w:spacing w:val="-55"/>
        </w:rPr>
        <w:t> </w:t>
      </w:r>
      <w:r>
        <w:rPr>
          <w:spacing w:val="-55"/>
        </w:rPr>
      </w:r>
      <w:r>
        <w:rPr/>
        <w:t>中本公司认缴出资</w:t>
      </w:r>
      <w:r>
        <w:rPr>
          <w:rFonts w:ascii="Times New Roman" w:hAnsi="Times New Roman" w:cs="Times New Roman" w:eastAsia="Times New Roman" w:hint="default"/>
        </w:rPr>
        <w:t>2,000</w:t>
      </w:r>
      <w:r>
        <w:rPr/>
        <w:t>万元，出资比例</w:t>
      </w:r>
      <w:r>
        <w:rPr>
          <w:rFonts w:ascii="Times New Roman" w:hAnsi="Times New Roman" w:cs="Times New Roman" w:eastAsia="Times New Roman" w:hint="default"/>
        </w:rPr>
        <w:t>40%</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日实际已出资</w:t>
      </w:r>
      <w:r>
        <w:rPr>
          <w:rFonts w:ascii="Times New Roman" w:hAnsi="Times New Roman" w:cs="Times New Roman" w:eastAsia="Times New Roman" w:hint="default"/>
        </w:rPr>
        <w:t>1,000</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both"/>
        <w:rPr>
          <w:b w:val="0"/>
          <w:bCs w:val="0"/>
        </w:rPr>
      </w:pPr>
      <w:bookmarkStart w:name="18、投资性房地产" w:id="283"/>
      <w:bookmarkEnd w:id="283"/>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采用成本计量模式的投资性房地产" w:id="284"/>
      <w:bookmarkEnd w:id="28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bookmarkStart w:name="（2）采用公允价值计量模式的投资性房地产" w:id="285"/>
      <w:bookmarkEnd w:id="28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3）未办妥产权证书的投资性房地产情况" w:id="286"/>
      <w:bookmarkEnd w:id="28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19、固定资产" w:id="287"/>
      <w:bookmarkEnd w:id="287"/>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固定资产情况" w:id="288"/>
      <w:bookmarkEnd w:id="28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71" w:right="0"/>
              <w:jc w:val="left"/>
              <w:rPr>
                <w:rFonts w:ascii="宋体" w:hAnsi="宋体" w:cs="宋体" w:eastAsia="宋体" w:hint="default"/>
                <w:sz w:val="18"/>
                <w:szCs w:val="18"/>
              </w:rPr>
            </w:pPr>
            <w:r>
              <w:rPr>
                <w:rFonts w:ascii="宋体" w:hAnsi="宋体" w:cs="宋体" w:eastAsia="宋体" w:hint="default"/>
                <w:sz w:val="18"/>
                <w:szCs w:val="18"/>
              </w:rPr>
              <w:t>计算机及电子设备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光伏发电设备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342,481.14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17,265,828.63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4,393,066.74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513,964.95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22,515,341.46</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488,085.66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3,726,513.36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644,046.88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4,858,645.90</w:t>
            </w:r>
            <w:r>
              <w:rPr>
                <w:rFonts w:ascii="Times New Roman"/>
                <w:sz w:val="18"/>
              </w:rPr>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6,261,029.68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6,261,029.68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188,448.80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1,849,603.27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1,612.33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2,039,664.40</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642,118.00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19,142,738.72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5,035,501.29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6,774,994.63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31,595,352.64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95,589.65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14,243,591.78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3,258,820.58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38,547.36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17,636,549.37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72,442.47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2,531,924.24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695,528.07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234,399.36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3,534,294.14</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55,836.64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1,849,603.23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1,612.33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1,907,052.20</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112,195.48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14,925,912.79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3,952,736.32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272,946.72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19,263,791.31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529,922.52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4,216,825.93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1,082,764.97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6,502,047.91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12,331,561.33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246,891.49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3,022,236.85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1,134,246.16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475,417.59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4,878,792.09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暂时闲置的固定资产情况" w:id="289"/>
      <w:bookmarkEnd w:id="28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3）通过融资租赁租入的固定资产情况" w:id="290"/>
      <w:bookmarkEnd w:id="29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4）通过经营租赁租出的固定资产" w:id="291"/>
      <w:bookmarkEnd w:id="29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5）未办妥产权证书的固定资产情况" w:id="292"/>
      <w:bookmarkEnd w:id="29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0"/>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20、在建工程" w:id="293"/>
      <w:bookmarkEnd w:id="293"/>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在建工程情况" w:id="294"/>
      <w:bookmarkEnd w:id="29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光伏电站项目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932,858.98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932,858.98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932,858.98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932,858.98</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重要在建工程项目本期变动情况" w:id="295"/>
      <w:bookmarkEnd w:id="29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分布式 光伏电 站项目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9,985,69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932,858.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5,328,17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6,261,02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62.70%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3"/>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9,985,69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932,858.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5,328,17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6,261,02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9.68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3）本期计提在建工程减值准备情况" w:id="296"/>
      <w:bookmarkEnd w:id="29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21、工程物资" w:id="297"/>
      <w:bookmarkEnd w:id="297"/>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22、固定资产清理" w:id="298"/>
      <w:bookmarkEnd w:id="298"/>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23、生产性生物资产" w:id="299"/>
      <w:bookmarkEnd w:id="299"/>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采用成本计量模式的生产性生物资产" w:id="300"/>
      <w:bookmarkEnd w:id="30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0"/>
        <w:jc w:val="left"/>
        <w:rPr>
          <w:b w:val="0"/>
          <w:bCs w:val="0"/>
        </w:rPr>
      </w:pPr>
      <w:bookmarkStart w:name="（2）采用公允价值计量模式的生产性生物资产" w:id="301"/>
      <w:bookmarkEnd w:id="30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0"/>
        <w:jc w:val="left"/>
        <w:rPr>
          <w:b w:val="0"/>
          <w:bCs w:val="0"/>
        </w:rPr>
      </w:pPr>
      <w:bookmarkStart w:name="24、油气资产" w:id="302"/>
      <w:bookmarkEnd w:id="302"/>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0"/>
        <w:jc w:val="left"/>
        <w:rPr>
          <w:b w:val="0"/>
          <w:bCs w:val="0"/>
        </w:rPr>
      </w:pPr>
      <w:bookmarkStart w:name="25、无形资产" w:id="303"/>
      <w:bookmarkEnd w:id="303"/>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无形资产情况" w:id="304"/>
      <w:bookmarkEnd w:id="30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t>公司是否需遵守《深圳证券交易所创业板行业信息披露指引第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1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2"/>
        <w:gridCol w:w="1208"/>
        <w:gridCol w:w="1195"/>
        <w:gridCol w:w="1195"/>
        <w:gridCol w:w="1198"/>
        <w:gridCol w:w="1195"/>
        <w:gridCol w:w="1195"/>
        <w:gridCol w:w="1198"/>
      </w:tblGrid>
      <w:tr>
        <w:trPr>
          <w:trHeight w:val="401" w:hRule="exact"/>
        </w:trPr>
        <w:tc>
          <w:tcPr>
            <w:tcW w:w="1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single" w:sz="4" w:space="0" w:color="000000"/>
              <w:left w:val="single" w:sz="10" w:space="0" w:color="D4D4D4"/>
              <w:bottom w:val="single" w:sz="4" w:space="0" w:color="000000"/>
              <w:right w:val="single" w:sz="4" w:space="0" w:color="000000"/>
            </w:tcBorders>
            <w:shd w:val="clear" w:color="auto" w:fill="E1FFFF"/>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管理信息系统</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right="101"/>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tc>
        <w:tc>
          <w:tcPr>
            <w:tcW w:w="120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3,100,000.00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42,118,636.39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11,300,607.39</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56,519,243.78</w:t>
            </w:r>
          </w:p>
        </w:tc>
      </w:tr>
    </w:tbl>
    <w:p>
      <w:pPr>
        <w:spacing w:after="0" w:line="240" w:lineRule="auto"/>
        <w:jc w:val="center"/>
        <w:rPr>
          <w:rFonts w:ascii="Times New Roman" w:hAnsi="Times New Roman" w:cs="Times New Roman" w:eastAsia="Times New Roman" w:hint="default"/>
          <w:sz w:val="18"/>
          <w:szCs w:val="18"/>
        </w:rPr>
        <w:sectPr>
          <w:footerReference w:type="default" r:id="rId22"/>
          <w:pgSz w:w="11910" w:h="16840"/>
          <w:pgMar w:footer="982" w:header="745" w:top="1060" w:bottom="1180" w:left="980" w:right="98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362"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pacing w:val="-15"/>
                <w:sz w:val="18"/>
                <w:szCs w:val="18"/>
              </w:rPr>
              <w:t> </w:t>
            </w: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700,329.38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700,329.38</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433,470.94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433,470.94</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pacing w:val="-15"/>
                <w:sz w:val="18"/>
                <w:szCs w:val="18"/>
              </w:rPr>
              <w:t> </w:t>
            </w: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42,818,965.77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11,734,078.33</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57,653,044.10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775,000.00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35,692,902.72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3,610,536.57</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40,078,439.29</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pacing w:val="-15"/>
                <w:sz w:val="18"/>
                <w:szCs w:val="18"/>
              </w:rPr>
              <w:t> </w:t>
            </w: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387,500.00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6,217,952.48</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2,276,642.76</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8,882,095.24</w:t>
            </w:r>
            <w:r>
              <w:rPr>
                <w:rFonts w:ascii="Times New Roman"/>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pacing w:val="-15"/>
                <w:sz w:val="18"/>
                <w:szCs w:val="18"/>
              </w:rPr>
              <w:t> </w:t>
            </w: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1,162,500.00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41,910,855.20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5,887,179.33</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48,960,534.53</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362"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1,937,500.00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908,110.57</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5,846,899.00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8,692,509.57</w:t>
            </w:r>
            <w:r>
              <w:rPr>
                <w:rFonts w:ascii="Times New Roman"/>
                <w:sz w:val="18"/>
              </w:rPr>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2,325,000.00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6,425,733.67</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7,690,070.82</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16,440,804.49</w:t>
            </w:r>
          </w:p>
        </w:tc>
      </w:tr>
    </w:tbl>
    <w:p>
      <w:pPr>
        <w:pStyle w:val="BodyText"/>
        <w:spacing w:line="240" w:lineRule="auto" w:before="49"/>
        <w:ind w:right="15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67.26%</w:t>
      </w:r>
      <w:r>
        <w:rPr/>
        <w:t>。</w:t>
      </w:r>
    </w:p>
    <w:p>
      <w:pPr>
        <w:spacing w:line="240" w:lineRule="auto" w:before="13"/>
        <w:rPr>
          <w:rFonts w:ascii="宋体" w:hAnsi="宋体" w:cs="宋体" w:eastAsia="宋体" w:hint="default"/>
          <w:sz w:val="25"/>
          <w:szCs w:val="25"/>
        </w:rPr>
      </w:pPr>
    </w:p>
    <w:p>
      <w:pPr>
        <w:pStyle w:val="Heading3"/>
        <w:spacing w:line="240" w:lineRule="auto"/>
        <w:ind w:right="150"/>
        <w:jc w:val="left"/>
        <w:rPr>
          <w:b w:val="0"/>
          <w:bCs w:val="0"/>
        </w:rPr>
      </w:pPr>
      <w:bookmarkStart w:name="（2）未办妥产权证书的土地使用权情况" w:id="305"/>
      <w:bookmarkEnd w:id="30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0"/>
        <w:ind w:right="1494"/>
        <w:jc w:val="left"/>
      </w:pPr>
      <w:r>
        <w:rPr/>
        <w:t>其他说明： 无形资产中的外购软件主要为支持本集团业务的智能电网应用平台、视频通信业务平台及金蝶财务软件。</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3"/>
        <w:spacing w:line="240" w:lineRule="auto"/>
        <w:ind w:right="150"/>
        <w:jc w:val="left"/>
        <w:rPr>
          <w:b w:val="0"/>
          <w:bCs w:val="0"/>
        </w:rPr>
      </w:pPr>
      <w:bookmarkStart w:name="26、开发支出" w:id="306"/>
      <w:bookmarkEnd w:id="306"/>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0"/>
        <w:gridCol w:w="3187"/>
        <w:gridCol w:w="1063"/>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27、商誉" w:id="307"/>
      <w:bookmarkEnd w:id="307"/>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商誉账面原值" w:id="308"/>
      <w:bookmarkEnd w:id="30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从兴电力业务</w:t>
            </w:r>
            <w:r>
              <w:rPr>
                <w:rFonts w:ascii="Times New Roman" w:hAnsi="Times New Roman" w:cs="Times New Roman" w:eastAsia="Times New Roman" w:hint="default"/>
                <w:sz w:val="18"/>
                <w:szCs w:val="18"/>
              </w:rPr>
              <w:t>(a)</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8,520,081.59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8,520,081.59</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天正信华</w:t>
            </w:r>
            <w:r>
              <w:rPr>
                <w:rFonts w:ascii="Times New Roman" w:hAnsi="Times New Roman" w:cs="Times New Roman" w:eastAsia="Times New Roman" w:hint="default"/>
                <w:sz w:val="18"/>
                <w:szCs w:val="18"/>
              </w:rPr>
              <w:t>(b)</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15,008,803.02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15,008,803.02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朗新金关</w:t>
            </w:r>
            <w:r>
              <w:rPr>
                <w:rFonts w:ascii="Times New Roman" w:hAnsi="Times New Roman" w:cs="Times New Roman" w:eastAsia="Times New Roman" w:hint="default"/>
                <w:sz w:val="18"/>
                <w:szCs w:val="18"/>
              </w:rPr>
              <w:t>(c)</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7,875,967.88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7,875,967.88</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23,528,884.61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7,875,967.88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31,404,852.49</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商誉减值准备" w:id="309"/>
      <w:bookmarkEnd w:id="30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6"/>
        <w:gridCol w:w="1366"/>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49"/>
        <w:ind w:right="5094"/>
        <w:jc w:val="left"/>
      </w:pPr>
      <w:r>
        <w:rPr/>
        <w:t>说明商誉减值测试过程、参数及商誉减值损失的确认方法： 本公司对如下分摊至本集团资产组的商誉进行减值评估：</w:t>
      </w:r>
    </w:p>
    <w:tbl>
      <w:tblPr>
        <w:tblW w:w="0" w:type="auto"/>
        <w:jc w:val="left"/>
        <w:tblInd w:w="148" w:type="dxa"/>
        <w:tblLayout w:type="fixed"/>
        <w:tblCellMar>
          <w:top w:w="0" w:type="dxa"/>
          <w:left w:w="0" w:type="dxa"/>
          <w:bottom w:w="0" w:type="dxa"/>
          <w:right w:w="0" w:type="dxa"/>
        </w:tblCellMar>
        <w:tblLook w:val="01E0"/>
      </w:tblPr>
      <w:tblGrid>
        <w:gridCol w:w="1620"/>
        <w:gridCol w:w="1560"/>
        <w:gridCol w:w="2021"/>
      </w:tblGrid>
      <w:tr>
        <w:trPr>
          <w:trHeight w:val="34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6"/>
                <w:szCs w:val="16"/>
              </w:rPr>
            </w:pPr>
            <w:r>
              <w:rPr>
                <w:rFonts w:ascii="宋体"/>
                <w:w w:val="100"/>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1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31</w:t>
            </w:r>
            <w:r>
              <w:rPr>
                <w:rFonts w:ascii="宋体" w:hAnsi="宋体" w:cs="宋体" w:eastAsia="宋体" w:hint="default"/>
                <w:sz w:val="16"/>
                <w:szCs w:val="16"/>
              </w:rPr>
              <w:t>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4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2016</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31</w:t>
            </w:r>
            <w:r>
              <w:rPr>
                <w:rFonts w:ascii="宋体" w:hAnsi="宋体" w:cs="宋体" w:eastAsia="宋体" w:hint="default"/>
                <w:sz w:val="16"/>
                <w:szCs w:val="16"/>
              </w:rPr>
              <w:t>日</w:t>
            </w:r>
          </w:p>
        </w:tc>
      </w:tr>
      <w:tr>
        <w:trPr>
          <w:trHeight w:val="34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从兴电力业务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8,520,081.59</w:t>
            </w:r>
            <w:r>
              <w:rPr>
                <w:rFonts w:ascii="Times New Roman"/>
                <w:sz w:val="16"/>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spacing w:val="-1"/>
                <w:sz w:val="16"/>
              </w:rPr>
              <w:t>8,520,081.59</w:t>
            </w:r>
            <w:r>
              <w:rPr>
                <w:rFonts w:ascii="Times New Roman"/>
                <w:sz w:val="16"/>
              </w:rPr>
            </w:r>
          </w:p>
        </w:tc>
      </w:tr>
      <w:tr>
        <w:trPr>
          <w:trHeight w:val="34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天正信华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15,008,803.02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15,008,803.02</w:t>
            </w:r>
          </w:p>
        </w:tc>
      </w:tr>
      <w:tr>
        <w:trPr>
          <w:trHeight w:val="34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朗新金关</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7,875,967.88</w:t>
            </w:r>
            <w:r>
              <w:rPr>
                <w:rFonts w:ascii="Times New Roman"/>
                <w:sz w:val="16"/>
              </w:rPr>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31,404,852.49</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23,528,884.61</w:t>
            </w:r>
          </w:p>
        </w:tc>
      </w:tr>
    </w:tbl>
    <w:p>
      <w:pPr>
        <w:spacing w:line="240" w:lineRule="auto" w:before="9"/>
        <w:rPr>
          <w:rFonts w:ascii="宋体" w:hAnsi="宋体" w:cs="宋体" w:eastAsia="宋体" w:hint="default"/>
          <w:sz w:val="28"/>
          <w:szCs w:val="28"/>
        </w:rPr>
      </w:pPr>
    </w:p>
    <w:p>
      <w:pPr>
        <w:pStyle w:val="BodyText"/>
        <w:spacing w:line="316" w:lineRule="auto" w:before="44"/>
        <w:ind w:right="150"/>
        <w:jc w:val="left"/>
      </w:pPr>
      <w:r>
        <w:rPr>
          <w:spacing w:val="-2"/>
        </w:rPr>
        <w:t>资产组的可收回金额是依据管理层批准的每个资产负债表日的五年期预算，采用现金流量预测方法计算，此外超过该五年期</w:t>
      </w:r>
      <w:r>
        <w:rPr>
          <w:spacing w:val="-64"/>
        </w:rPr>
        <w:t> </w:t>
      </w:r>
      <w:r>
        <w:rPr>
          <w:spacing w:val="-64"/>
        </w:rPr>
      </w:r>
      <w:r>
        <w:rPr/>
        <w:t>的现金流量增长率为零作出推算。</w:t>
      </w:r>
    </w:p>
    <w:p>
      <w:pPr>
        <w:pStyle w:val="BodyText"/>
        <w:spacing w:line="240" w:lineRule="auto" w:before="59"/>
        <w:ind w:right="150"/>
        <w:jc w:val="left"/>
      </w:pPr>
      <w:r>
        <w:rPr/>
        <w:t>采用未来现金流量折现方法的主要假设：</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0"/>
        <w:gridCol w:w="1560"/>
        <w:gridCol w:w="1819"/>
        <w:gridCol w:w="1680"/>
      </w:tblGrid>
      <w:tr>
        <w:trPr>
          <w:trHeight w:val="343"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38"/>
              <w:ind w:left="7"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5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31</w:t>
            </w:r>
            <w:r>
              <w:rPr>
                <w:rFonts w:ascii="宋体" w:hAnsi="宋体" w:cs="宋体" w:eastAsia="宋体" w:hint="default"/>
                <w:sz w:val="16"/>
                <w:szCs w:val="16"/>
              </w:rPr>
              <w:t>日</w:t>
            </w:r>
          </w:p>
        </w:tc>
      </w:tr>
      <w:tr>
        <w:trPr>
          <w:trHeight w:val="341" w:hRule="exact"/>
        </w:trPr>
        <w:tc>
          <w:tcPr>
            <w:tcW w:w="1620"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56" w:right="0"/>
              <w:jc w:val="left"/>
              <w:rPr>
                <w:rFonts w:ascii="宋体" w:hAnsi="宋体" w:cs="宋体" w:eastAsia="宋体" w:hint="default"/>
                <w:sz w:val="16"/>
                <w:szCs w:val="16"/>
              </w:rPr>
            </w:pPr>
            <w:r>
              <w:rPr>
                <w:rFonts w:ascii="宋体" w:hAnsi="宋体" w:cs="宋体" w:eastAsia="宋体" w:hint="default"/>
                <w:sz w:val="16"/>
                <w:szCs w:val="16"/>
              </w:rPr>
              <w:t>从兴电力</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85" w:right="0"/>
              <w:jc w:val="left"/>
              <w:rPr>
                <w:rFonts w:ascii="宋体" w:hAnsi="宋体" w:cs="宋体" w:eastAsia="宋体" w:hint="default"/>
                <w:sz w:val="16"/>
                <w:szCs w:val="16"/>
              </w:rPr>
            </w:pPr>
            <w:r>
              <w:rPr>
                <w:rFonts w:ascii="宋体" w:hAnsi="宋体" w:cs="宋体" w:eastAsia="宋体" w:hint="default"/>
                <w:sz w:val="16"/>
                <w:szCs w:val="16"/>
              </w:rPr>
              <w:t>天正信华</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15" w:right="0"/>
              <w:jc w:val="left"/>
              <w:rPr>
                <w:rFonts w:ascii="宋体" w:hAnsi="宋体" w:cs="宋体" w:eastAsia="宋体" w:hint="default"/>
                <w:sz w:val="16"/>
                <w:szCs w:val="16"/>
              </w:rPr>
            </w:pPr>
            <w:r>
              <w:rPr>
                <w:rFonts w:ascii="宋体" w:hAnsi="宋体" w:cs="宋体" w:eastAsia="宋体" w:hint="default"/>
                <w:sz w:val="16"/>
                <w:szCs w:val="16"/>
              </w:rPr>
              <w:t>朗新金关</w:t>
            </w:r>
          </w:p>
        </w:tc>
      </w:tr>
      <w:tr>
        <w:trPr>
          <w:trHeight w:val="34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left"/>
              <w:rPr>
                <w:rFonts w:ascii="宋体" w:hAnsi="宋体" w:cs="宋体" w:eastAsia="宋体" w:hint="default"/>
                <w:sz w:val="16"/>
                <w:szCs w:val="16"/>
              </w:rPr>
            </w:pPr>
            <w:r>
              <w:rPr>
                <w:rFonts w:ascii="宋体" w:hAnsi="宋体" w:cs="宋体" w:eastAsia="宋体" w:hint="default"/>
                <w:sz w:val="16"/>
                <w:szCs w:val="16"/>
              </w:rPr>
              <w:t>收入增长率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1"/>
                <w:sz w:val="16"/>
              </w:rPr>
              <w:t>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z w:val="16"/>
              </w:rPr>
              <w:t>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1"/>
                <w:sz w:val="16"/>
              </w:rPr>
              <w:t>20%-150%</w:t>
            </w:r>
          </w:p>
        </w:tc>
      </w:tr>
      <w:tr>
        <w:trPr>
          <w:trHeight w:val="34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平均毛利率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41%-43%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44%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83%</w:t>
            </w:r>
          </w:p>
        </w:tc>
      </w:tr>
      <w:tr>
        <w:trPr>
          <w:trHeight w:val="34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折现率</w:t>
            </w:r>
            <w:r>
              <w:rPr>
                <w:rFonts w:ascii="Times New Roman" w:hAnsi="Times New Roman" w:cs="Times New Roman" w:eastAsia="Times New Roman" w:hint="default"/>
                <w:sz w:val="16"/>
                <w:szCs w:val="16"/>
              </w:rPr>
              <w:t>(</w:t>
            </w:r>
            <w:r>
              <w:rPr>
                <w:rFonts w:ascii="宋体" w:hAnsi="宋体" w:cs="宋体" w:eastAsia="宋体" w:hint="default"/>
                <w:sz w:val="16"/>
                <w:szCs w:val="16"/>
              </w:rPr>
              <w:t>税后</w:t>
            </w:r>
            <w:r>
              <w:rPr>
                <w:rFonts w:ascii="Times New Roman" w:hAnsi="Times New Roman" w:cs="Times New Roman" w:eastAsia="Times New Roman" w:hint="default"/>
                <w:sz w:val="16"/>
                <w:szCs w:val="16"/>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1"/>
                <w:sz w:val="16"/>
              </w:rPr>
              <w:t>16.72%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1"/>
                <w:sz w:val="16"/>
              </w:rPr>
              <w:t>16.62%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1"/>
                <w:sz w:val="16"/>
              </w:rPr>
              <w:t>17.79%</w:t>
            </w:r>
          </w:p>
        </w:tc>
      </w:tr>
    </w:tbl>
    <w:p>
      <w:pPr>
        <w:spacing w:line="240" w:lineRule="auto" w:before="2"/>
        <w:rPr>
          <w:rFonts w:ascii="宋体" w:hAnsi="宋体" w:cs="宋体" w:eastAsia="宋体" w:hint="default"/>
          <w:sz w:val="27"/>
          <w:szCs w:val="27"/>
        </w:rPr>
      </w:pPr>
    </w:p>
    <w:p>
      <w:pPr>
        <w:pStyle w:val="BodyText"/>
        <w:spacing w:line="338" w:lineRule="auto" w:before="44"/>
        <w:ind w:right="150"/>
        <w:jc w:val="left"/>
      </w:pPr>
      <w:r>
        <w:rPr>
          <w:spacing w:val="-2"/>
        </w:rPr>
        <w:t>管理层根据历史经验及对市场发展的预测确定收入增长率及预测毛利率，并采用能够反映相关资产组的特定风险的税后利率</w:t>
      </w:r>
      <w:r>
        <w:rPr>
          <w:spacing w:val="-64"/>
        </w:rPr>
        <w:t> </w:t>
      </w:r>
      <w:r>
        <w:rPr>
          <w:spacing w:val="-64"/>
        </w:rPr>
      </w:r>
      <w:r>
        <w:rPr/>
        <w:t>为折现率。上述假设用以分析本公司内与商誉对应的各资产组的可收回金额。 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日，本集团未发现上述商誉存在减值。</w:t>
      </w:r>
    </w:p>
    <w:p>
      <w:pPr>
        <w:spacing w:line="240" w:lineRule="auto" w:before="7"/>
        <w:rPr>
          <w:rFonts w:ascii="宋体" w:hAnsi="宋体" w:cs="宋体" w:eastAsia="宋体" w:hint="default"/>
          <w:sz w:val="25"/>
          <w:szCs w:val="25"/>
        </w:rPr>
      </w:pPr>
    </w:p>
    <w:p>
      <w:pPr>
        <w:pStyle w:val="BodyText"/>
        <w:spacing w:line="240" w:lineRule="auto"/>
        <w:ind w:right="0"/>
        <w:jc w:val="both"/>
      </w:pPr>
      <w:r>
        <w:rPr/>
        <w:t>其他说明</w:t>
      </w:r>
    </w:p>
    <w:p>
      <w:pPr>
        <w:pStyle w:val="BodyText"/>
        <w:spacing w:line="309" w:lineRule="auto" w:before="115"/>
        <w:ind w:right="150"/>
        <w:jc w:val="both"/>
      </w:pPr>
      <w:r>
        <w:rPr>
          <w:rFonts w:ascii="Times New Roman" w:hAnsi="Times New Roman" w:cs="Times New Roman" w:eastAsia="Times New Roman" w:hint="default"/>
        </w:rPr>
        <w:t>(a)</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日，本公司完成向从兴公司收购其电力软件开发业务的交易。本次交易对价约为</w:t>
      </w:r>
      <w:r>
        <w:rPr>
          <w:rFonts w:ascii="Times New Roman" w:hAnsi="Times New Roman" w:cs="Times New Roman" w:eastAsia="Times New Roman" w:hint="default"/>
        </w:rPr>
        <w:t>3,586</w:t>
      </w:r>
      <w:r>
        <w:rPr/>
        <w:t>万元，经本公司聘</w:t>
      </w:r>
      <w:r>
        <w:rPr>
          <w:w w:val="99"/>
        </w:rPr>
        <w:t> </w:t>
      </w:r>
      <w:r>
        <w:rPr>
          <w:spacing w:val="-2"/>
          <w:w w:val="99"/>
        </w:rPr>
        <w:t>请的独立第三方评估师银信资产评估有限公司评估并出具的评估报告，前述从兴电力业务可辨认净资产的公允价值与账面价</w:t>
      </w:r>
      <w:r>
        <w:rPr>
          <w:spacing w:val="-64"/>
          <w:w w:val="99"/>
        </w:rPr>
        <w:t> </w:t>
      </w:r>
      <w:r>
        <w:rPr>
          <w:spacing w:val="-64"/>
          <w:w w:val="99"/>
        </w:rPr>
      </w:r>
      <w:r>
        <w:rPr/>
        <w:t>值差异不重大，约为</w:t>
      </w:r>
      <w:r>
        <w:rPr>
          <w:rFonts w:ascii="Times New Roman" w:hAnsi="Times New Roman" w:cs="Times New Roman" w:eastAsia="Times New Roman" w:hint="default"/>
        </w:rPr>
        <w:t>2,734</w:t>
      </w:r>
      <w:r>
        <w:rPr/>
        <w:t>万元。本次交易价格大于可辨认净资产公允价值的差额约</w:t>
      </w:r>
      <w:r>
        <w:rPr>
          <w:rFonts w:ascii="Times New Roman" w:hAnsi="Times New Roman" w:cs="Times New Roman" w:eastAsia="Times New Roman" w:hint="default"/>
        </w:rPr>
        <w:t>852</w:t>
      </w:r>
      <w:r>
        <w:rPr/>
        <w:t>万元形成商誉。</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300" w:lineRule="auto"/>
        <w:ind w:right="150"/>
        <w:jc w:val="both"/>
      </w:pPr>
      <w:r>
        <w:rPr>
          <w:rFonts w:ascii="Times New Roman" w:hAnsi="Times New Roman" w:cs="Times New Roman" w:eastAsia="Times New Roman" w:hint="default"/>
          <w:spacing w:val="-2"/>
        </w:rPr>
        <w:t>(b)</w:t>
      </w:r>
      <w:r>
        <w:rPr>
          <w:spacing w:val="-2"/>
        </w:rPr>
        <w:t>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日，本公司完成收购天正信华的股权，交易双方最终确定的交易价格为</w:t>
      </w:r>
      <w:r>
        <w:rPr>
          <w:rFonts w:ascii="Times New Roman" w:hAnsi="Times New Roman" w:cs="Times New Roman" w:eastAsia="Times New Roman" w:hint="default"/>
          <w:spacing w:val="-2"/>
        </w:rPr>
        <w:t>2,082</w:t>
      </w:r>
      <w:r>
        <w:rPr>
          <w:spacing w:val="-2"/>
        </w:rPr>
        <w:t>万元。经本公司聘请的独立第</w:t>
      </w:r>
      <w:r>
        <w:rPr>
          <w:spacing w:val="-39"/>
        </w:rPr>
        <w:t> </w:t>
      </w:r>
      <w:r>
        <w:rPr>
          <w:spacing w:val="-39"/>
        </w:rPr>
      </w:r>
      <w:r>
        <w:rPr/>
        <w:t>三方评估师银信资产评估有限公司评估并出具的评估报告，天正信华交易日可辨认净资产的公允价值约为</w:t>
      </w:r>
      <w:r>
        <w:rPr>
          <w:rFonts w:ascii="Times New Roman" w:hAnsi="Times New Roman" w:cs="Times New Roman" w:eastAsia="Times New Roman" w:hint="default"/>
        </w:rPr>
        <w:t>581</w:t>
      </w:r>
      <w:r>
        <w:rPr/>
        <w:t>万元。本次交</w:t>
      </w:r>
      <w:r>
        <w:rPr>
          <w:w w:val="99"/>
        </w:rPr>
        <w:t> </w:t>
      </w:r>
      <w:r>
        <w:rPr/>
        <w:t>易最终价格大于可辨认净资产公允价值的差额约</w:t>
      </w:r>
      <w:r>
        <w:rPr>
          <w:rFonts w:ascii="Times New Roman" w:hAnsi="Times New Roman" w:cs="Times New Roman" w:eastAsia="Times New Roman" w:hint="default"/>
        </w:rPr>
        <w:t>1,501</w:t>
      </w:r>
      <w:r>
        <w:rPr/>
        <w:t>万元形成商誉。</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0"/>
        <w:jc w:val="both"/>
      </w:pPr>
      <w:r>
        <w:rPr>
          <w:rFonts w:ascii="Times New Roman" w:hAnsi="Times New Roman" w:cs="Times New Roman" w:eastAsia="Times New Roman" w:hint="default"/>
        </w:rPr>
        <w:t>(c)</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日，本公司完成朗新金关股权收购及增资，交易的总对价为</w:t>
      </w:r>
      <w:r>
        <w:rPr>
          <w:rFonts w:ascii="Times New Roman" w:hAnsi="Times New Roman" w:cs="Times New Roman" w:eastAsia="Times New Roman" w:hint="default"/>
        </w:rPr>
        <w:t>1,500.00</w:t>
      </w:r>
      <w:r>
        <w:rPr/>
        <w:t>万元，其中对价</w:t>
      </w:r>
      <w:r>
        <w:rPr>
          <w:rFonts w:ascii="Times New Roman" w:hAnsi="Times New Roman" w:cs="Times New Roman" w:eastAsia="Times New Roman" w:hint="default"/>
        </w:rPr>
        <w:t>300.00</w:t>
      </w:r>
      <w:r>
        <w:rPr/>
        <w:t>万元购买现有股</w:t>
      </w:r>
    </w:p>
    <w:p>
      <w:pPr>
        <w:spacing w:after="0" w:line="240"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9" w:lineRule="auto" w:before="44"/>
        <w:ind w:right="153"/>
        <w:jc w:val="both"/>
      </w:pPr>
      <w:r>
        <w:rPr/>
        <w:t>东所持有的股份，其余对价</w:t>
      </w:r>
      <w:r>
        <w:rPr>
          <w:rFonts w:ascii="Times New Roman" w:hAnsi="Times New Roman" w:cs="Times New Roman" w:eastAsia="Times New Roman" w:hint="default"/>
        </w:rPr>
        <w:t>12,000,000</w:t>
      </w:r>
      <w:r>
        <w:rPr/>
        <w:t>元作为向朗新金关的增资。交易完成后，朗新科技持有朗新金关</w:t>
      </w:r>
      <w:r>
        <w:rPr>
          <w:rFonts w:ascii="Times New Roman" w:hAnsi="Times New Roman" w:cs="Times New Roman" w:eastAsia="Times New Roman" w:hint="default"/>
        </w:rPr>
        <w:t>51%</w:t>
      </w:r>
      <w:r>
        <w:rPr/>
        <w:t>股份，本公司取 </w:t>
      </w:r>
      <w:r>
        <w:rPr>
          <w:spacing w:val="-2"/>
        </w:rPr>
        <w:t>得控制权。经本公司聘请的独立第三方评估师银信资产评估有限公司评估，朗新科技按持股比例所享有的朗新金关交易日可</w:t>
      </w:r>
      <w:r>
        <w:rPr>
          <w:spacing w:val="-64"/>
        </w:rPr>
        <w:t> </w:t>
      </w:r>
      <w:r>
        <w:rPr>
          <w:spacing w:val="-64"/>
        </w:rPr>
      </w:r>
      <w:r>
        <w:rPr/>
        <w:t>辨认净资产的公允价值约为</w:t>
      </w:r>
      <w:r>
        <w:rPr>
          <w:rFonts w:ascii="Times New Roman" w:hAnsi="Times New Roman" w:cs="Times New Roman" w:eastAsia="Times New Roman" w:hint="default"/>
        </w:rPr>
        <w:t>712.40</w:t>
      </w:r>
      <w:r>
        <w:rPr/>
        <w:t>万元。本次交易最终价格大于可辨认净资产公允价值的差额约</w:t>
      </w:r>
      <w:r>
        <w:rPr>
          <w:rFonts w:ascii="Times New Roman" w:hAnsi="Times New Roman" w:cs="Times New Roman" w:eastAsia="Times New Roman" w:hint="default"/>
        </w:rPr>
        <w:t>768.60</w:t>
      </w:r>
      <w:r>
        <w:rPr/>
        <w:t>万元形成商誉。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3"/>
        <w:spacing w:line="240" w:lineRule="auto"/>
        <w:ind w:right="0"/>
        <w:jc w:val="both"/>
        <w:rPr>
          <w:b w:val="0"/>
          <w:bCs w:val="0"/>
        </w:rPr>
      </w:pPr>
      <w:bookmarkStart w:name="28、长期待摊费用" w:id="310"/>
      <w:bookmarkEnd w:id="310"/>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7,563,994.83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2,181,233.66</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2,877,875.06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6,867,353.43</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7,563,994.83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2,181,233.66</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2,877,875.06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6,867,353.43</w:t>
            </w:r>
            <w:r>
              <w:rPr>
                <w:rFonts w:ascii="Times New Roman"/>
                <w:sz w:val="18"/>
              </w:rPr>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29、递延所得税资产/递延所得税负债" w:id="311"/>
      <w:bookmarkEnd w:id="311"/>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未经抵销的递延所得税资产" w:id="312"/>
      <w:bookmarkEnd w:id="31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31,727,741.00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2,946,982.66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27,182,236.40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2,714,292.01</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亏损合同</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616,514.86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61,651.49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6,040,669.86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604,066.99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8,065,945.00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806,594.50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1,908,075.44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190,807.55</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已纳税收入及成本确认 时点差异</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4,911,373.16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491,137.32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22,352,671.92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2,235,267.19</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23,040,000.00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24,740,000.00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2,783,218.00</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7,965,462.95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796,546.30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76,327,036.97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7,781,912.27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82,223,653.62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8,527,651.74</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未经抵销的递延所得税负债" w:id="313"/>
      <w:bookmarkEnd w:id="31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1,937,500.00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290,625.00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2,325,000.00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348,750.00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1,937,500.00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290,625.00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2,325,000.00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348,750.00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3）以抵销后净额列示的递延所得税资产或负债" w:id="314"/>
      <w:bookmarkEnd w:id="31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c>
          <w:tcPr>
            <w:tcW w:w="1913"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7,781,912.27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8,527,651.74</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290,625.00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348,750.00</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4）未确认递延所得税资产明细" w:id="315"/>
      <w:bookmarkEnd w:id="31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42,514,549.17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37,652,138.81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2,340,553.65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1,817,023.54</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44,855,102.82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39,469,162.35</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5）未确认递延所得税资产的可抵扣亏损将于以下年度到期" w:id="316"/>
      <w:bookmarkEnd w:id="31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9,326,514.10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9,326,514.10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18,910,613.58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18,910,613.58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6,370,131.52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6,370,131.52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3,044,879.61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3,044,879.61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4,862,410.36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42,514,549.17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37,652,138.81</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both"/>
      </w:pPr>
      <w:r>
        <w:rPr/>
        <w:t>其他说明：</w:t>
      </w:r>
    </w:p>
    <w:p>
      <w:pPr>
        <w:pStyle w:val="BodyText"/>
        <w:spacing w:line="307" w:lineRule="auto" w:before="115"/>
        <w:ind w:right="152"/>
        <w:jc w:val="both"/>
      </w:pPr>
      <w:r>
        <w:rPr>
          <w:spacing w:val="-2"/>
        </w:rPr>
        <w:t>注：本集团于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日对定制软件开发业务的收入确认政策进行变更并进行追溯调整，导致</w:t>
      </w:r>
      <w:r>
        <w:rPr>
          <w:rFonts w:ascii="Times New Roman" w:hAnsi="Times New Roman" w:cs="Times New Roman" w:eastAsia="Times New Roman" w:hint="default"/>
          <w:spacing w:val="-2"/>
        </w:rPr>
        <w:t>2016</w:t>
      </w:r>
      <w:r>
        <w:rPr>
          <w:spacing w:val="-2"/>
        </w:rPr>
        <w:t>年以前年度部分定制软</w:t>
      </w:r>
      <w:r>
        <w:rPr>
          <w:spacing w:val="-59"/>
        </w:rPr>
        <w:t> </w:t>
      </w:r>
      <w:r>
        <w:rPr>
          <w:spacing w:val="-59"/>
        </w:rPr>
      </w:r>
      <w:r>
        <w:rPr>
          <w:spacing w:val="-2"/>
        </w:rPr>
        <w:t>件开发业务的收入及成本向以后年度递延，而该等收入已经在</w:t>
      </w:r>
      <w:r>
        <w:rPr>
          <w:rFonts w:ascii="Times New Roman" w:hAnsi="Times New Roman" w:cs="Times New Roman" w:eastAsia="Times New Roman" w:hint="default"/>
          <w:spacing w:val="-2"/>
        </w:rPr>
        <w:t>2016</w:t>
      </w:r>
      <w:r>
        <w:rPr>
          <w:spacing w:val="-2"/>
        </w:rPr>
        <w:t>年（不含</w:t>
      </w:r>
      <w:r>
        <w:rPr>
          <w:rFonts w:ascii="Times New Roman" w:hAnsi="Times New Roman" w:cs="Times New Roman" w:eastAsia="Times New Roman" w:hint="default"/>
          <w:spacing w:val="-2"/>
        </w:rPr>
        <w:t>2016</w:t>
      </w:r>
      <w:r>
        <w:rPr>
          <w:spacing w:val="-2"/>
        </w:rPr>
        <w:t>年）以前年度计入企业所得税应纳税所得额</w:t>
      </w:r>
      <w:r>
        <w:rPr>
          <w:spacing w:val="-62"/>
        </w:rPr>
        <w:t> </w:t>
      </w:r>
      <w:r>
        <w:rPr>
          <w:spacing w:val="-62"/>
        </w:rPr>
      </w:r>
      <w:r>
        <w:rPr>
          <w:spacing w:val="-2"/>
        </w:rPr>
        <w:t>并已缴纳所得税。经管理层评估，该等已经缴纳企业所得税递延至以后期间的收入和成本可以在以后年度的应纳税所得额中</w:t>
      </w:r>
      <w:r>
        <w:rPr>
          <w:spacing w:val="-64"/>
        </w:rPr>
        <w:t> </w:t>
      </w:r>
      <w:r>
        <w:rPr>
          <w:spacing w:val="-64"/>
        </w:rPr>
      </w:r>
      <w:r>
        <w:rPr/>
        <w:t>扣除，并对此已纳税收入及成本产生的暂时性差异确认为递延所得税资产。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7"/>
          <w:szCs w:val="17"/>
        </w:rPr>
      </w:pPr>
    </w:p>
    <w:p>
      <w:pPr>
        <w:pStyle w:val="Heading3"/>
        <w:spacing w:line="240" w:lineRule="auto"/>
        <w:ind w:right="0"/>
        <w:jc w:val="both"/>
        <w:rPr>
          <w:b w:val="0"/>
          <w:bCs w:val="0"/>
        </w:rPr>
      </w:pPr>
      <w:bookmarkStart w:name="30、其他非流动资产" w:id="317"/>
      <w:bookmarkEnd w:id="317"/>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31、短期借款" w:id="318"/>
      <w:bookmarkEnd w:id="318"/>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短期借款分类" w:id="319"/>
      <w:bookmarkEnd w:id="31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0"/>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2）已逾期未偿还的短期借款情况" w:id="320"/>
      <w:bookmarkEnd w:id="32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0"/>
        <w:jc w:val="left"/>
      </w:pPr>
      <w:r>
        <w:rPr/>
        <w:t>本期末已逾期未偿还的短期借款总额为元，其中重要的已逾期未偿还的短期借款情况如下：</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32、以公允价值计量且其变动计入当期损益的金融负债" w:id="321"/>
      <w:bookmarkEnd w:id="321"/>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33、衍生金融负债" w:id="322"/>
      <w:bookmarkEnd w:id="322"/>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0"/>
        <w:jc w:val="left"/>
        <w:rPr>
          <w:b w:val="0"/>
          <w:bCs w:val="0"/>
        </w:rPr>
      </w:pPr>
      <w:bookmarkStart w:name="34、应付票据" w:id="323"/>
      <w:bookmarkEnd w:id="323"/>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0"/>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35、应付账款" w:id="324"/>
      <w:bookmarkEnd w:id="324"/>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1）应付账款列示" w:id="325"/>
      <w:bookmarkEnd w:id="32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应付项目外包款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96,211,143.68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98,769,947.98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应付人力外包款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1,624,026.40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1,078,168.36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应付硬件物资等采购款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7,102,228.72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3,788,336.73</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104,937,398.80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103,636,453.07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2）账龄超过1年的重要应付账款" w:id="326"/>
      <w:bookmarkEnd w:id="326"/>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项目外包款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8,269,673.36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主要为项目外包款，由于长期合作，该 款项尚未最后结清。</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8,269,673.36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36、预收款项" w:id="327"/>
      <w:bookmarkEnd w:id="327"/>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预收款项列示" w:id="328"/>
      <w:bookmarkEnd w:id="32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77,242,230.63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75,897,234.46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77,242,230.63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75,897,234.46</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账龄超过1年的重要预收款项" w:id="329"/>
      <w:bookmarkEnd w:id="329"/>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102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预收定制软件开发项目款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17,241,729.66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主要为预收定制软件开发项目的预收 款，鉴于项目尚未完成，该款项尚未结 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17,241,729.66</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3）期末建造合同形成的已结算未完工项目情况" w:id="330"/>
      <w:bookmarkEnd w:id="33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7"/>
        <w:gridCol w:w="4790"/>
      </w:tblGrid>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37、应付职工薪酬" w:id="331"/>
      <w:bookmarkEnd w:id="331"/>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应付职工薪酬列示" w:id="332"/>
      <w:bookmarkEnd w:id="33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51,545,162.00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341,695,601.31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317,567,648.44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75,673,114.87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1,293,989.71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32,036,316.61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31,772,202.67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1,558,103.65</w:t>
            </w:r>
            <w:r>
              <w:rPr>
                <w:rFonts w:ascii="Times New Roman"/>
                <w:sz w:val="18"/>
              </w:rPr>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52,839,151.71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373,731,917.92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349,339,851.11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77,231,218.52</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短期薪酬列示" w:id="333"/>
      <w:bookmarkEnd w:id="33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50,658,223.17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300,885,472.88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276,014,024.74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75,529,671.31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1,372,960.79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18,063,805.58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17,864,145.26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1,572,621.11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1,252,372.05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15,958,458.96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15,746,274.73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1,464,556.28</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7,211.73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614,718.63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609,835.16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12,095.20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113,377.01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1,490,627.99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1,508,035.37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95,969.63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-519,272.17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22,655,170.40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22,643,535.70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-507,637.47</w:t>
            </w:r>
            <w:r>
              <w:rPr>
                <w:rFonts w:ascii="Times New Roman"/>
                <w:sz w:val="18"/>
              </w:rPr>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33,250.21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91,152.45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1,045,942.74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-921,540.08</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51,545,162.00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341,695,601.31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317,567,648.44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75,673,114.87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3）设定提存计划列示" w:id="334"/>
      <w:bookmarkEnd w:id="33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1,095,963.88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30,731,951.44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30,464,740.70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1,363,174.62</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198,025.83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1,304,365.17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1,307,461.97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194,929.03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1,293,989.71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32,036,316.61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31,772,202.67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1,558,103.65</w:t>
            </w:r>
            <w:r>
              <w:rPr>
                <w:rFonts w:ascii="Times New Roman"/>
                <w:sz w:val="18"/>
              </w:rPr>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38、应交税费" w:id="335"/>
      <w:bookmarkEnd w:id="335"/>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173,044.87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10,638,442.96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9,086,317.04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10,293,946.19</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1,342,274.23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895,275.01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1,224,541.15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761,757.09</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524,803.35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326,467.33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349,868.91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217,644.88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85,597.63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140,695.93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12,786,447.18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23,274,229.39</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39、应付利息" w:id="336"/>
      <w:bookmarkEnd w:id="336"/>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0"/>
        <w:jc w:val="left"/>
      </w:pPr>
      <w:r>
        <w:rPr/>
        <w:t>重要的已逾期未支付的利息情况：</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40、应付股利" w:id="337"/>
      <w:bookmarkEnd w:id="337"/>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0"/>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2"/>
        <w:rPr>
          <w:rFonts w:ascii="宋体" w:hAnsi="宋体" w:cs="宋体" w:eastAsia="宋体" w:hint="default"/>
          <w:sz w:val="26"/>
          <w:szCs w:val="26"/>
        </w:rPr>
      </w:pPr>
    </w:p>
    <w:p>
      <w:pPr>
        <w:pStyle w:val="Heading3"/>
        <w:spacing w:line="240" w:lineRule="auto"/>
        <w:ind w:right="150"/>
        <w:jc w:val="left"/>
        <w:rPr>
          <w:b w:val="0"/>
          <w:bCs w:val="0"/>
        </w:rPr>
      </w:pPr>
      <w:bookmarkStart w:name="41、其他应付款" w:id="338"/>
      <w:bookmarkEnd w:id="338"/>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按款项性质列示其他应付款" w:id="339"/>
      <w:bookmarkEnd w:id="33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153,236,709.00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暂收款及保证金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6,896,544.44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4,917,091.52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3,428,086.27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1,960,237.42</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756,277.29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346,749.55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164,317,617.00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7,224,078.49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账龄超过1年的重要其他应付款" w:id="340"/>
      <w:bookmarkEnd w:id="340"/>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38" w:lineRule="auto" w:before="49"/>
        <w:ind w:right="144"/>
        <w:jc w:val="left"/>
      </w:pPr>
      <w:r>
        <w:rPr/>
        <w:t>其他说明 根据附注十三所述之限制性股票激励计划，所授限制性股票的第一个解除限售期（解锁比例</w:t>
      </w:r>
      <w:r>
        <w:rPr>
          <w:rFonts w:ascii="宋体" w:hAnsi="宋体" w:cs="宋体" w:eastAsia="宋体" w:hint="default"/>
        </w:rPr>
        <w:t>20%</w:t>
      </w:r>
      <w:r>
        <w:rPr/>
        <w:t>）为自授予登记完成之日起</w:t>
      </w:r>
      <w:r>
        <w:rPr>
          <w:spacing w:val="-85"/>
        </w:rPr>
        <w:t> </w:t>
      </w:r>
      <w:r>
        <w:rPr>
          <w:spacing w:val="-85"/>
        </w:rPr>
      </w:r>
      <w:r>
        <w:rPr>
          <w:rFonts w:ascii="宋体" w:hAnsi="宋体" w:cs="宋体" w:eastAsia="宋体" w:hint="default"/>
        </w:rPr>
        <w:t>12</w:t>
      </w:r>
      <w:r>
        <w:rPr/>
        <w:t>个月后的首个交易日起至授予登记完成之日起</w:t>
      </w:r>
      <w:r>
        <w:rPr>
          <w:rFonts w:ascii="宋体" w:hAnsi="宋体" w:cs="宋体" w:eastAsia="宋体" w:hint="default"/>
        </w:rPr>
        <w:t>24</w:t>
      </w:r>
      <w:r>
        <w:rPr/>
        <w:t>个月内的最后一个交易日当日止；第二个解除限售期（解锁比例</w:t>
      </w:r>
      <w:r>
        <w:rPr>
          <w:rFonts w:ascii="宋体" w:hAnsi="宋体" w:cs="宋体" w:eastAsia="宋体" w:hint="default"/>
        </w:rPr>
        <w:t>40%</w:t>
      </w:r>
      <w:r>
        <w:rPr/>
        <w:t>）为</w:t>
      </w:r>
    </w:p>
    <w:p>
      <w:pPr>
        <w:spacing w:after="0" w:line="338"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12"/>
        <w:jc w:val="left"/>
      </w:pPr>
      <w:r>
        <w:rPr>
          <w:spacing w:val="-2"/>
        </w:rPr>
        <w:t>自授予登记完成之日起</w:t>
      </w:r>
      <w:r>
        <w:rPr>
          <w:rFonts w:ascii="宋体" w:hAnsi="宋体" w:cs="宋体" w:eastAsia="宋体" w:hint="default"/>
          <w:spacing w:val="-2"/>
        </w:rPr>
        <w:t>24</w:t>
      </w:r>
      <w:r>
        <w:rPr>
          <w:spacing w:val="-2"/>
        </w:rPr>
        <w:t>个月后的首个交易日起至授予登记完成之日起</w:t>
      </w:r>
      <w:r>
        <w:rPr>
          <w:rFonts w:ascii="宋体" w:hAnsi="宋体" w:cs="宋体" w:eastAsia="宋体" w:hint="default"/>
          <w:spacing w:val="-2"/>
        </w:rPr>
        <w:t>36</w:t>
      </w:r>
      <w:r>
        <w:rPr>
          <w:spacing w:val="-2"/>
        </w:rPr>
        <w:t>个月内的最后一个交易日当日止；第三个解除限售</w:t>
      </w:r>
      <w:r>
        <w:rPr>
          <w:spacing w:val="-62"/>
        </w:rPr>
        <w:t> </w:t>
      </w:r>
      <w:r>
        <w:rPr>
          <w:spacing w:val="-62"/>
        </w:rPr>
      </w:r>
      <w:r>
        <w:rPr/>
        <w:t>期（解锁比例</w:t>
      </w:r>
      <w:r>
        <w:rPr>
          <w:rFonts w:ascii="宋体" w:hAnsi="宋体" w:cs="宋体" w:eastAsia="宋体" w:hint="default"/>
        </w:rPr>
        <w:t>40%</w:t>
      </w:r>
      <w:r>
        <w:rPr/>
        <w:t>）为自授予登记完成之日起</w:t>
      </w:r>
      <w:r>
        <w:rPr>
          <w:rFonts w:ascii="宋体" w:hAnsi="宋体" w:cs="宋体" w:eastAsia="宋体" w:hint="default"/>
        </w:rPr>
        <w:t>36</w:t>
      </w:r>
      <w:r>
        <w:rPr/>
        <w:t>个月后的首个交易日起至授予登记完成之日起</w:t>
      </w:r>
      <w:r>
        <w:rPr>
          <w:rFonts w:ascii="宋体" w:hAnsi="宋体" w:cs="宋体" w:eastAsia="宋体" w:hint="default"/>
        </w:rPr>
        <w:t>48</w:t>
      </w:r>
      <w:r>
        <w:rPr/>
        <w:t>个月内的最后一个交易日当</w:t>
      </w:r>
      <w:r>
        <w:rPr>
          <w:spacing w:val="-85"/>
        </w:rPr>
        <w:t> </w:t>
      </w:r>
      <w:r>
        <w:rPr/>
        <w:t>日止。</w:t>
      </w:r>
      <w:r>
        <w:rPr>
          <w:rFonts w:ascii="宋体" w:hAnsi="宋体" w:cs="宋体" w:eastAsia="宋体" w:hint="default"/>
        </w:rPr>
        <w:t> </w:t>
      </w:r>
      <w:r>
        <w:rPr>
          <w:rFonts w:ascii="宋体" w:hAnsi="宋体" w:cs="宋体" w:eastAsia="宋体" w:hint="default"/>
        </w:rPr>
        <w:t> </w:t>
      </w:r>
      <w:r>
        <w:rPr/>
        <w:t>对于解锁日未达到解锁条件的限制性股票，由公司以授予价格回购并注销。于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日，本公司所授予之全部 </w:t>
      </w:r>
      <w:r>
        <w:rPr>
          <w:rFonts w:ascii="宋体" w:hAnsi="宋体" w:cs="宋体" w:eastAsia="宋体" w:hint="default"/>
          <w:spacing w:val="-2"/>
        </w:rPr>
        <w:t>11,760,300</w:t>
      </w:r>
      <w:r>
        <w:rPr>
          <w:spacing w:val="-2"/>
        </w:rPr>
        <w:t>股限制性股票均处于锁定期内，本公司就回购义务金额</w:t>
      </w:r>
      <w:r>
        <w:rPr>
          <w:rFonts w:ascii="宋体" w:hAnsi="宋体" w:cs="宋体" w:eastAsia="宋体" w:hint="default"/>
          <w:spacing w:val="-2"/>
        </w:rPr>
        <w:t>153,236,709.00</w:t>
      </w:r>
      <w:r>
        <w:rPr>
          <w:spacing w:val="-2"/>
        </w:rPr>
        <w:t>万元确认为其他应付款并相应增加库存股。</w:t>
      </w:r>
    </w:p>
    <w:p>
      <w:pPr>
        <w:spacing w:line="240" w:lineRule="auto" w:before="11"/>
        <w:rPr>
          <w:rFonts w:ascii="宋体" w:hAnsi="宋体" w:cs="宋体" w:eastAsia="宋体" w:hint="default"/>
          <w:sz w:val="22"/>
          <w:szCs w:val="22"/>
        </w:rPr>
      </w:pPr>
    </w:p>
    <w:p>
      <w:pPr>
        <w:pStyle w:val="Heading3"/>
        <w:spacing w:line="240" w:lineRule="auto"/>
        <w:ind w:right="112"/>
        <w:jc w:val="left"/>
        <w:rPr>
          <w:b w:val="0"/>
          <w:bCs w:val="0"/>
        </w:rPr>
      </w:pPr>
      <w:bookmarkStart w:name="42、持有待售的负债" w:id="341"/>
      <w:bookmarkEnd w:id="341"/>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2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
        <w:jc w:val="left"/>
        <w:rPr>
          <w:b w:val="0"/>
          <w:bCs w:val="0"/>
        </w:rPr>
      </w:pPr>
      <w:bookmarkStart w:name="43、一年内到期的非流动负债" w:id="342"/>
      <w:bookmarkEnd w:id="34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
        <w:jc w:val="left"/>
        <w:rPr>
          <w:b w:val="0"/>
          <w:bCs w:val="0"/>
        </w:rPr>
      </w:pPr>
      <w:bookmarkStart w:name="44、其他流动负债" w:id="343"/>
      <w:bookmarkEnd w:id="34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待转销项税额（注）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13,554,533.05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9,392,517.96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亏损合同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616,514.86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6,040,669.86</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14,171,047.91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15,433,187.82</w:t>
            </w:r>
          </w:p>
        </w:tc>
      </w:tr>
    </w:tbl>
    <w:p>
      <w:pPr>
        <w:pStyle w:val="BodyText"/>
        <w:spacing w:line="240" w:lineRule="auto" w:before="49"/>
        <w:ind w:right="112"/>
        <w:jc w:val="left"/>
      </w:pPr>
      <w:r>
        <w:rPr/>
        <w:t>短期应付债券的增减变动：</w:t>
      </w:r>
    </w:p>
    <w:p>
      <w:pPr>
        <w:pStyle w:val="BodyText"/>
        <w:spacing w:line="240" w:lineRule="auto" w:before="117"/>
        <w:ind w:left="0" w:right="29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799"/>
        <w:gridCol w:w="797"/>
        <w:gridCol w:w="799"/>
        <w:gridCol w:w="798"/>
        <w:gridCol w:w="798"/>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38" w:lineRule="auto" w:before="49"/>
        <w:ind w:right="112"/>
        <w:jc w:val="left"/>
      </w:pPr>
      <w:r>
        <w:rPr/>
        <w:t>其他说明： </w:t>
      </w:r>
      <w:r>
        <w:rPr>
          <w:spacing w:val="-2"/>
        </w:rPr>
        <w:t>注：本集团以收讫服务款项、开具发票或者依据合同取得服务收入款项收款权利孰早的时点作为确认增值税销项税额的纳税</w:t>
      </w:r>
      <w:r>
        <w:rPr>
          <w:spacing w:val="-64"/>
        </w:rPr>
        <w:t> </w:t>
      </w:r>
      <w:r>
        <w:rPr>
          <w:spacing w:val="-64"/>
        </w:rPr>
      </w:r>
      <w:r>
        <w:rPr>
          <w:spacing w:val="-1"/>
        </w:rPr>
        <w:t>义务时点；同时本集团根据附注五</w:t>
      </w:r>
      <w:r>
        <w:rPr>
          <w:rFonts w:ascii="Times New Roman" w:hAnsi="Times New Roman" w:cs="Times New Roman" w:eastAsia="Times New Roman" w:hint="default"/>
          <w:spacing w:val="-1"/>
        </w:rPr>
        <w:t>(28)</w:t>
      </w:r>
      <w:r>
        <w:rPr>
          <w:spacing w:val="-1"/>
        </w:rPr>
        <w:t>的收入确认政策确认定制软件开发的劳务收入，部分收入确认时点会快于其增值税销</w:t>
      </w:r>
    </w:p>
    <w:p>
      <w:pPr>
        <w:pStyle w:val="BodyText"/>
        <w:spacing w:line="217" w:lineRule="exact"/>
        <w:ind w:right="112"/>
        <w:jc w:val="left"/>
      </w:pPr>
      <w:r>
        <w:rPr/>
        <w:t>项税额纳税义务时点，故该等收入所对应的增值税销项税额因尚未满足增值税销项税额纳税义务时点（但需于以后期间确认</w:t>
      </w:r>
    </w:p>
    <w:p>
      <w:pPr>
        <w:pStyle w:val="BodyText"/>
        <w:spacing w:line="240" w:lineRule="auto" w:before="76"/>
        <w:ind w:right="112"/>
        <w:jc w:val="left"/>
      </w:pPr>
      <w:r>
        <w:rPr/>
        <w:t>的销项税额）在</w:t>
      </w:r>
      <w:r>
        <w:rPr>
          <w:rFonts w:ascii="Times New Roman" w:hAnsi="Times New Roman" w:cs="Times New Roman" w:eastAsia="Times New Roman" w:hint="default"/>
        </w:rPr>
        <w:t>“</w:t>
      </w:r>
      <w:r>
        <w:rPr/>
        <w:t>待转销项税额</w:t>
      </w:r>
      <w:r>
        <w:rPr>
          <w:rFonts w:ascii="Times New Roman" w:hAnsi="Times New Roman" w:cs="Times New Roman" w:eastAsia="Times New Roman" w:hint="default"/>
        </w:rPr>
        <w:t>”</w:t>
      </w:r>
      <w:r>
        <w:rPr/>
        <w:t>下核算。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112"/>
        <w:jc w:val="left"/>
        <w:rPr>
          <w:b w:val="0"/>
          <w:bCs w:val="0"/>
        </w:rPr>
      </w:pPr>
      <w:bookmarkStart w:name="45、长期借款" w:id="344"/>
      <w:bookmarkEnd w:id="34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
        <w:jc w:val="left"/>
        <w:rPr>
          <w:b w:val="0"/>
          <w:bCs w:val="0"/>
        </w:rPr>
      </w:pPr>
      <w:bookmarkStart w:name="（1）长期借款分类" w:id="345"/>
      <w:bookmarkEnd w:id="34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293"/>
        <w:jc w:val="right"/>
      </w:pPr>
      <w:r>
        <w:rPr/>
        <w:t>单位：</w:t>
      </w:r>
      <w:r>
        <w:rPr>
          <w:spacing w:val="1"/>
        </w:rPr>
        <w:t> </w:t>
      </w:r>
      <w:r>
        <w:rPr/>
        <w:t>元</w:t>
      </w:r>
    </w:p>
    <w:p>
      <w:pPr>
        <w:spacing w:after="0" w:line="240" w:lineRule="auto"/>
        <w:jc w:val="right"/>
        <w:sectPr>
          <w:pgSz w:w="11910" w:h="16840"/>
          <w:pgMar w:header="745" w:footer="982" w:top="1060" w:bottom="1180" w:left="980" w:right="8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0"/>
        <w:ind w:right="7614"/>
        <w:jc w:val="left"/>
      </w:pPr>
      <w:r>
        <w:rPr/>
        <w:t>长期借款分类的说明： 其他说明，包括利率区间：</w:t>
      </w:r>
    </w:p>
    <w:p>
      <w:pPr>
        <w:spacing w:line="240" w:lineRule="auto" w:before="6"/>
        <w:rPr>
          <w:rFonts w:ascii="宋体" w:hAnsi="宋体" w:cs="宋体" w:eastAsia="宋体" w:hint="default"/>
          <w:sz w:val="20"/>
          <w:szCs w:val="20"/>
        </w:rPr>
      </w:pPr>
    </w:p>
    <w:p>
      <w:pPr>
        <w:pStyle w:val="Heading3"/>
        <w:spacing w:line="240" w:lineRule="auto"/>
        <w:ind w:right="150"/>
        <w:jc w:val="left"/>
        <w:rPr>
          <w:b w:val="0"/>
          <w:bCs w:val="0"/>
        </w:rPr>
      </w:pPr>
      <w:bookmarkStart w:name="46、应付债券" w:id="346"/>
      <w:bookmarkEnd w:id="346"/>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应付债券" w:id="347"/>
      <w:bookmarkEnd w:id="347"/>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应付债券的增减变动（不包括划分为金融负债的优先股、永续债等其他金融工具）" w:id="348"/>
      <w:bookmarkEnd w:id="34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3"/>
        <w:spacing w:line="240" w:lineRule="auto" w:before="36"/>
        <w:ind w:right="150"/>
        <w:jc w:val="left"/>
        <w:rPr>
          <w:b w:val="0"/>
          <w:bCs w:val="0"/>
        </w:rPr>
      </w:pPr>
      <w:bookmarkStart w:name="（3）可转换公司债券的转股条件、转股时间说明" w:id="349"/>
      <w:bookmarkEnd w:id="34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4）划分为金融负债的其他金融工具说明" w:id="350"/>
      <w:bookmarkEnd w:id="350"/>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60"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653" w:space="4174"/>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6534"/>
        <w:jc w:val="left"/>
      </w:pPr>
      <w:r>
        <w:rPr/>
        <w:t>其他金融工具划分为金融负债的依据说明 其他说明</w:t>
      </w:r>
    </w:p>
    <w:p>
      <w:pPr>
        <w:spacing w:line="240" w:lineRule="auto" w:before="2"/>
        <w:rPr>
          <w:rFonts w:ascii="宋体" w:hAnsi="宋体" w:cs="宋体" w:eastAsia="宋体" w:hint="default"/>
          <w:sz w:val="20"/>
          <w:szCs w:val="20"/>
        </w:rPr>
      </w:pPr>
    </w:p>
    <w:p>
      <w:pPr>
        <w:pStyle w:val="Heading3"/>
        <w:spacing w:line="240" w:lineRule="auto"/>
        <w:ind w:right="150"/>
        <w:jc w:val="left"/>
        <w:rPr>
          <w:b w:val="0"/>
          <w:bCs w:val="0"/>
        </w:rPr>
      </w:pPr>
      <w:bookmarkStart w:name="47、长期应付款" w:id="351"/>
      <w:bookmarkEnd w:id="351"/>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按款项性质列示长期应付款" w:id="352"/>
      <w:bookmarkEnd w:id="352"/>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48、长期应付职工薪酬" w:id="353"/>
      <w:bookmarkEnd w:id="353"/>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长期应付职工薪酬表" w:id="354"/>
      <w:bookmarkEnd w:id="35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2）设定受益计划变动情况" w:id="355"/>
      <w:bookmarkEnd w:id="35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0"/>
        <w:jc w:val="left"/>
      </w:pPr>
      <w:r>
        <w:rPr/>
        <w:t>设定受益计划义务现值：</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150"/>
        <w:jc w:val="left"/>
      </w:pPr>
      <w:r>
        <w:rPr/>
        <w:t>计划资产：</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50"/>
        <w:jc w:val="left"/>
      </w:pPr>
      <w:r>
        <w:rPr/>
        <w:t>设定受益计划净负债（净资产）</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49"/>
        <w:ind w:right="257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49、专项应付款" w:id="356"/>
      <w:bookmarkEnd w:id="356"/>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50、预计负债" w:id="357"/>
      <w:bookmarkEnd w:id="357"/>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5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51、递延收益" w:id="358"/>
      <w:bookmarkEnd w:id="358"/>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24,740,000.00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2,400,000.00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政府补贴</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24,740,000.00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2,400,000.00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23,040,000.00</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0"/>
        <w:jc w:val="left"/>
      </w:pPr>
      <w:r>
        <w:rPr/>
        <w:t>涉及政府补助的项目：</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3"/>
        <w:gridCol w:w="1063"/>
        <w:gridCol w:w="1061"/>
        <w:gridCol w:w="1063"/>
        <w:gridCol w:w="1063"/>
        <w:gridCol w:w="1063"/>
        <w:gridCol w:w="1063"/>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年无锡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center"/>
              <w:rPr>
                <w:rFonts w:ascii="Times New Roman" w:hAnsi="Times New Roman" w:cs="Times New Roman" w:eastAsia="Times New Roman" w:hint="default"/>
                <w:sz w:val="18"/>
                <w:szCs w:val="18"/>
              </w:rPr>
            </w:pPr>
            <w:r>
              <w:rPr>
                <w:rFonts w:ascii="Times New Roman"/>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3" w:right="0"/>
              <w:jc w:val="center"/>
              <w:rPr>
                <w:rFonts w:ascii="Times New Roman" w:hAnsi="Times New Roman" w:cs="Times New Roman" w:eastAsia="Times New Roman" w:hint="default"/>
                <w:sz w:val="18"/>
                <w:szCs w:val="18"/>
              </w:rPr>
            </w:pPr>
            <w:r>
              <w:rPr>
                <w:rFonts w:ascii="Times New Roman"/>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3"/>
        <w:gridCol w:w="1063"/>
        <w:gridCol w:w="1061"/>
        <w:gridCol w:w="1063"/>
        <w:gridCol w:w="1063"/>
        <w:gridCol w:w="1063"/>
        <w:gridCol w:w="1063"/>
      </w:tblGrid>
      <w:tr>
        <w:trPr>
          <w:trHeight w:val="98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7"/>
              <w:jc w:val="both"/>
              <w:rPr>
                <w:rFonts w:ascii="宋体" w:hAnsi="宋体" w:cs="宋体" w:eastAsia="宋体" w:hint="default"/>
                <w:sz w:val="18"/>
                <w:szCs w:val="18"/>
              </w:rPr>
            </w:pPr>
            <w:r>
              <w:rPr>
                <w:rFonts w:ascii="宋体" w:hAnsi="宋体" w:cs="宋体" w:eastAsia="宋体" w:hint="default"/>
                <w:sz w:val="18"/>
                <w:szCs w:val="18"/>
              </w:rPr>
              <w:t>市新区第二 十批产业升 级基金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无锡市区科 技创新创业 领军人才及 团队拨款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江苏省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年第一批省 级高层次创 新创业人才 引进计划专 项款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省级工 业和信息产 业转型升级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国家级火炬 计划项目扶 持资金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省级高层次 创新创业人 才引进计划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年江苏 省科技成果 转化专项资 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省级工 业和信息产 业转型升级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嘉兴电站建 设装修补助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批软件和云 计算产业扶 持资金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4,100,000.00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52、其他非流动负债" w:id="359"/>
      <w:bookmarkEnd w:id="359"/>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53、股本" w:id="360"/>
      <w:bookmarkEnd w:id="360"/>
      <w:r>
        <w:rPr>
          <w:b w:val="0"/>
          <w:bCs w:val="0"/>
        </w:rPr>
      </w: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198"/>
        <w:gridCol w:w="1195"/>
        <w:gridCol w:w="1195"/>
        <w:gridCol w:w="1198"/>
        <w:gridCol w:w="1195"/>
        <w:gridCol w:w="1184"/>
        <w:gridCol w:w="1208"/>
      </w:tblGrid>
      <w:tr>
        <w:trPr>
          <w:trHeight w:val="206" w:hRule="exact"/>
        </w:trPr>
        <w:tc>
          <w:tcPr>
            <w:tcW w:w="1183"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8" w:type="dxa"/>
            <w:tcBorders>
              <w:top w:val="single" w:sz="4" w:space="0" w:color="000000"/>
              <w:left w:val="single" w:sz="4" w:space="0" w:color="000000"/>
              <w:bottom w:val="nil" w:sz="6" w:space="0" w:color="auto"/>
              <w:right w:val="single" w:sz="4" w:space="0" w:color="000000"/>
            </w:tcBorders>
            <w:shd w:val="clear" w:color="auto" w:fill="D4D4D4"/>
          </w:tcPr>
          <w:p>
            <w:pPr/>
          </w:p>
        </w:tc>
        <w:tc>
          <w:tcPr>
            <w:tcW w:w="5968"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1183" w:type="dxa"/>
            <w:vMerge w:val="restart"/>
            <w:tcBorders>
              <w:top w:val="nil" w:sz="6" w:space="0" w:color="auto"/>
              <w:left w:val="single" w:sz="4" w:space="0" w:color="000000"/>
              <w:right w:val="single" w:sz="4" w:space="0" w:color="000000"/>
            </w:tcBorders>
            <w:shd w:val="clear" w:color="auto" w:fill="D4D4D4"/>
          </w:tcPr>
          <w:p>
            <w:pPr/>
          </w:p>
        </w:tc>
        <w:tc>
          <w:tcPr>
            <w:tcW w:w="11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8" w:type="dxa"/>
            <w:gridSpan w:val="5"/>
            <w:vMerge/>
            <w:tcBorders>
              <w:left w:val="single" w:sz="4" w:space="0" w:color="000000"/>
              <w:bottom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3" w:type="dxa"/>
            <w:vMerge/>
            <w:tcBorders>
              <w:left w:val="single" w:sz="4" w:space="0" w:color="000000"/>
              <w:bottom w:val="nil" w:sz="6" w:space="0" w:color="auto"/>
              <w:right w:val="single" w:sz="4" w:space="0" w:color="000000"/>
            </w:tcBorders>
            <w:shd w:val="clear" w:color="auto" w:fill="D4D4D4"/>
          </w:tcPr>
          <w:p>
            <w:pPr/>
          </w:p>
        </w:tc>
        <w:tc>
          <w:tcPr>
            <w:tcW w:w="1198" w:type="dxa"/>
            <w:vMerge/>
            <w:tcBorders>
              <w:left w:val="single" w:sz="4" w:space="0" w:color="000000"/>
              <w:bottom w:val="nil" w:sz="6" w:space="0" w:color="auto"/>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360,000,000.00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56,760,300.00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56,760,300.00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416,760,300.00</w:t>
            </w:r>
          </w:p>
        </w:tc>
      </w:tr>
    </w:tbl>
    <w:p>
      <w:pPr>
        <w:pStyle w:val="BodyText"/>
        <w:spacing w:line="240" w:lineRule="auto" w:before="49"/>
        <w:ind w:right="0"/>
        <w:jc w:val="both"/>
      </w:pPr>
      <w:r>
        <w:rPr/>
        <w:t>其他说明：</w:t>
      </w:r>
    </w:p>
    <w:p>
      <w:pPr>
        <w:pStyle w:val="BodyText"/>
        <w:spacing w:line="300" w:lineRule="auto" w:before="117"/>
        <w:ind w:right="150"/>
        <w:jc w:val="both"/>
      </w:pPr>
      <w:r>
        <w:rPr>
          <w:rFonts w:ascii="Times New Roman" w:hAnsi="Times New Roman" w:cs="Times New Roman" w:eastAsia="Times New Roman" w:hint="default"/>
        </w:rPr>
        <w:t>(1)</w:t>
      </w:r>
      <w:r>
        <w:rPr/>
        <w:t>如附注三所述，根据中国证券监督管理委员会证监许可</w:t>
      </w:r>
      <w:r>
        <w:rPr>
          <w:rFonts w:ascii="Times New Roman" w:hAnsi="Times New Roman" w:cs="Times New Roman" w:eastAsia="Times New Roman" w:hint="default"/>
        </w:rPr>
        <w:t>[2017] 1101</w:t>
      </w:r>
      <w:r>
        <w:rPr/>
        <w:t>号文《关于核准朗新科技股份有限公司首次公开发行</w:t>
      </w:r>
      <w:r>
        <w:rPr>
          <w:spacing w:val="-65"/>
        </w:rPr>
        <w:t> </w:t>
      </w:r>
      <w:r>
        <w:rPr>
          <w:spacing w:val="-65"/>
        </w:rPr>
      </w:r>
      <w:r>
        <w:rPr>
          <w:spacing w:val="-1"/>
        </w:rPr>
        <w:t>股票的批复》，本公司截至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26</w:t>
      </w:r>
      <w:r>
        <w:rPr>
          <w:spacing w:val="-1"/>
        </w:rPr>
        <w:t>日止完成了向境内投资者首次公开发行</w:t>
      </w:r>
      <w:r>
        <w:rPr>
          <w:rFonts w:ascii="Times New Roman" w:hAnsi="Times New Roman" w:cs="Times New Roman" w:eastAsia="Times New Roman" w:hint="default"/>
          <w:spacing w:val="-1"/>
        </w:rPr>
        <w:t>45,000,000</w:t>
      </w:r>
      <w:r>
        <w:rPr>
          <w:spacing w:val="-1"/>
        </w:rPr>
        <w:t>股人民币普通股</w:t>
      </w:r>
      <w:r>
        <w:rPr>
          <w:rFonts w:ascii="Times New Roman" w:hAnsi="Times New Roman" w:cs="Times New Roman" w:eastAsia="Times New Roman" w:hint="default"/>
          <w:spacing w:val="-1"/>
        </w:rPr>
        <w:t>A</w:t>
      </w:r>
      <w:r>
        <w:rPr>
          <w:spacing w:val="-1"/>
        </w:rPr>
        <w:t>股的工作，募集</w:t>
      </w:r>
      <w:r>
        <w:rPr>
          <w:spacing w:val="-68"/>
        </w:rPr>
        <w:t> </w:t>
      </w:r>
      <w:r>
        <w:rPr>
          <w:spacing w:val="-68"/>
        </w:rPr>
      </w:r>
      <w:r>
        <w:rPr/>
        <w:t>资金总额计人民币</w:t>
      </w:r>
      <w:r>
        <w:rPr>
          <w:rFonts w:ascii="Times New Roman" w:hAnsi="Times New Roman" w:cs="Times New Roman" w:eastAsia="Times New Roman" w:hint="default"/>
        </w:rPr>
        <w:t>247,950,000.00</w:t>
      </w:r>
      <w:r>
        <w:rPr/>
        <w:t>元。募集资金总额扣除所有股票发行费用后的募集资金净额为人民币</w:t>
      </w:r>
      <w:r>
        <w:rPr>
          <w:rFonts w:ascii="Times New Roman" w:hAnsi="Times New Roman" w:cs="Times New Roman" w:eastAsia="Times New Roman" w:hint="default"/>
        </w:rPr>
        <w:t>200,679,300.00</w:t>
      </w:r>
      <w:r>
        <w:rPr/>
        <w:t>元，其</w:t>
      </w:r>
      <w:r>
        <w:rPr>
          <w:spacing w:val="-3"/>
        </w:rPr>
        <w:t> </w:t>
      </w:r>
      <w:r>
        <w:rPr>
          <w:spacing w:val="-2"/>
        </w:rPr>
        <w:t>中增加股本人民币</w:t>
      </w:r>
      <w:r>
        <w:rPr>
          <w:rFonts w:ascii="Times New Roman" w:hAnsi="Times New Roman" w:cs="Times New Roman" w:eastAsia="Times New Roman" w:hint="default"/>
          <w:spacing w:val="-2"/>
        </w:rPr>
        <w:t>45,000,000.00</w:t>
      </w:r>
      <w:r>
        <w:rPr>
          <w:spacing w:val="-2"/>
        </w:rPr>
        <w:t>元，增加资本公积人民币</w:t>
      </w:r>
      <w:r>
        <w:rPr>
          <w:rFonts w:ascii="Times New Roman" w:hAnsi="Times New Roman" w:cs="Times New Roman" w:eastAsia="Times New Roman" w:hint="default"/>
          <w:spacing w:val="-2"/>
        </w:rPr>
        <w:t>155,679,300.00</w:t>
      </w:r>
      <w:r>
        <w:rPr>
          <w:spacing w:val="-2"/>
        </w:rPr>
        <w:t>元。所有增加出资均以人民币现金形式投入。上述股</w:t>
      </w:r>
      <w:r>
        <w:rPr>
          <w:spacing w:val="-46"/>
        </w:rPr>
        <w:t> </w:t>
      </w:r>
      <w:r>
        <w:rPr>
          <w:spacing w:val="-46"/>
        </w:rPr>
      </w:r>
      <w:r>
        <w:rPr>
          <w:spacing w:val="-1"/>
        </w:rPr>
        <w:t>本增加已由普华永道中天会计师事务所（特殊普通合伙）于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27</w:t>
      </w:r>
      <w:r>
        <w:rPr>
          <w:spacing w:val="-1"/>
        </w:rPr>
        <w:t>日出具的普华永道中天验字</w:t>
      </w:r>
      <w:r>
        <w:rPr>
          <w:rFonts w:ascii="Times New Roman" w:hAnsi="Times New Roman" w:cs="Times New Roman" w:eastAsia="Times New Roman" w:hint="default"/>
          <w:spacing w:val="-1"/>
        </w:rPr>
        <w:t>(2017)</w:t>
      </w:r>
      <w:r>
        <w:rPr>
          <w:spacing w:val="-1"/>
        </w:rPr>
        <w:t>第</w:t>
      </w:r>
      <w:r>
        <w:rPr>
          <w:rFonts w:ascii="Times New Roman" w:hAnsi="Times New Roman" w:cs="Times New Roman" w:eastAsia="Times New Roman" w:hint="default"/>
          <w:spacing w:val="-1"/>
        </w:rPr>
        <w:t>725</w:t>
      </w:r>
      <w:r>
        <w:rPr>
          <w:spacing w:val="-1"/>
        </w:rPr>
        <w:t>号验资报告</w:t>
      </w:r>
      <w:r>
        <w:rPr>
          <w:spacing w:val="-57"/>
        </w:rPr>
        <w:t> </w:t>
      </w:r>
      <w:r>
        <w:rPr>
          <w:spacing w:val="-57"/>
        </w:rPr>
      </w:r>
      <w:r>
        <w:rPr/>
        <w:t>所验证。</w:t>
      </w:r>
    </w:p>
    <w:p>
      <w:pPr>
        <w:spacing w:line="240" w:lineRule="auto" w:before="3"/>
        <w:rPr>
          <w:rFonts w:ascii="宋体" w:hAnsi="宋体" w:cs="宋体" w:eastAsia="宋体" w:hint="default"/>
          <w:sz w:val="26"/>
          <w:szCs w:val="26"/>
        </w:rPr>
      </w:pPr>
    </w:p>
    <w:p>
      <w:pPr>
        <w:pStyle w:val="BodyText"/>
        <w:spacing w:line="300" w:lineRule="auto"/>
        <w:ind w:right="146"/>
        <w:jc w:val="both"/>
      </w:pPr>
      <w:r>
        <w:rPr>
          <w:rFonts w:ascii="Times New Roman" w:hAnsi="Times New Roman" w:cs="Times New Roman" w:eastAsia="Times New Roman" w:hint="default"/>
          <w:spacing w:val="-1"/>
        </w:rPr>
        <w:t>(2)</w:t>
      </w:r>
      <w:r>
        <w:rPr>
          <w:spacing w:val="-1"/>
        </w:rPr>
        <w:t>根据附注三及附注十三所述之限制性股票激励计划，截至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6</w:t>
      </w:r>
      <w:r>
        <w:rPr>
          <w:spacing w:val="-1"/>
        </w:rPr>
        <w:t>日止，本公司从限制性股票激励对象处收到全部募</w:t>
      </w:r>
      <w:r>
        <w:rPr>
          <w:spacing w:val="-54"/>
        </w:rPr>
        <w:t> </w:t>
      </w:r>
      <w:r>
        <w:rPr>
          <w:spacing w:val="-54"/>
        </w:rPr>
      </w:r>
      <w:r>
        <w:rPr/>
        <w:t>集股款人民币</w:t>
      </w:r>
      <w:r>
        <w:rPr>
          <w:rFonts w:ascii="Times New Roman" w:hAnsi="Times New Roman" w:cs="Times New Roman" w:eastAsia="Times New Roman" w:hint="default"/>
        </w:rPr>
        <w:t>153,236,709.00</w:t>
      </w:r>
      <w:r>
        <w:rPr/>
        <w:t>元，其中增加股本人民币</w:t>
      </w:r>
      <w:r>
        <w:rPr>
          <w:rFonts w:ascii="Times New Roman" w:hAnsi="Times New Roman" w:cs="Times New Roman" w:eastAsia="Times New Roman" w:hint="default"/>
        </w:rPr>
        <w:t>11,760,300.00</w:t>
      </w:r>
      <w:r>
        <w:rPr/>
        <w:t>元，增加资本公积人民币</w:t>
      </w:r>
      <w:r>
        <w:rPr>
          <w:rFonts w:ascii="Times New Roman" w:hAnsi="Times New Roman" w:cs="Times New Roman" w:eastAsia="Times New Roman" w:hint="default"/>
        </w:rPr>
        <w:t>141,476,409.00</w:t>
      </w:r>
      <w:r>
        <w:rPr/>
        <w:t>元，所有募集资</w:t>
      </w:r>
      <w:r>
        <w:rPr>
          <w:spacing w:val="-58"/>
        </w:rPr>
        <w:t> </w:t>
      </w:r>
      <w:r>
        <w:rPr>
          <w:spacing w:val="-58"/>
        </w:rPr>
      </w:r>
      <w:r>
        <w:rPr>
          <w:spacing w:val="-2"/>
        </w:rPr>
        <w:t>金均以人民币现金形式投入。上述股本增加已由普华永道中天会计师事务所（特殊普通合伙）于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日出具的普华</w:t>
      </w:r>
      <w:r>
        <w:rPr>
          <w:spacing w:val="-60"/>
        </w:rPr>
        <w:t> </w:t>
      </w:r>
      <w:r>
        <w:rPr>
          <w:spacing w:val="-60"/>
        </w:rPr>
      </w:r>
      <w:r>
        <w:rPr/>
        <w:t>永道中天验字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1082</w:t>
      </w:r>
      <w:r>
        <w:rPr/>
        <w:t>号验资报告所验证。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4"/>
        <w:ind w:right="0"/>
        <w:jc w:val="both"/>
        <w:rPr>
          <w:b w:val="0"/>
          <w:bCs w:val="0"/>
        </w:rPr>
      </w:pPr>
      <w:bookmarkStart w:name="54、其他权益工具" w:id="361"/>
      <w:bookmarkEnd w:id="361"/>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期末发行在外的优先股、永续债等其他金融工具基本情况" w:id="362"/>
      <w:bookmarkEnd w:id="362"/>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2）期末发行在外的优先股、永续债等金融工具变动情况表" w:id="363"/>
      <w:bookmarkEnd w:id="363"/>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3654"/>
        <w:jc w:val="left"/>
      </w:pPr>
      <w:r>
        <w:rPr/>
        <w:t>其他权益工具本期增减变动情况、变动原因说明，以及相关会计处理的依据： 其他说明：</w:t>
      </w:r>
    </w:p>
    <w:p>
      <w:pPr>
        <w:spacing w:after="0" w:line="36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55、资本公积" w:id="364"/>
      <w:bookmarkEnd w:id="364"/>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146,209,029.40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298,046,694.94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444,255,724.34</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7,965,462.95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7,965,462.95</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146,209,029.40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306,012,157.89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452,221,187.29</w:t>
            </w:r>
            <w:r>
              <w:rPr>
                <w:rFonts w:ascii="Times New Roman"/>
                <w:sz w:val="18"/>
              </w:rPr>
            </w:r>
          </w:p>
        </w:tc>
      </w:tr>
    </w:tbl>
    <w:p>
      <w:pPr>
        <w:pStyle w:val="BodyText"/>
        <w:spacing w:line="240" w:lineRule="auto" w:before="49"/>
        <w:ind w:right="150"/>
        <w:jc w:val="left"/>
      </w:pPr>
      <w:r>
        <w:rPr/>
        <w:t>其他说明，包括本期增减变动情况、变动原因说明：</w:t>
      </w:r>
    </w:p>
    <w:p>
      <w:pPr>
        <w:pStyle w:val="BodyText"/>
        <w:spacing w:line="300" w:lineRule="auto" w:before="117"/>
        <w:ind w:right="150"/>
        <w:jc w:val="left"/>
      </w:pPr>
      <w:r>
        <w:rPr>
          <w:rFonts w:ascii="Times New Roman" w:hAnsi="Times New Roman" w:cs="Times New Roman" w:eastAsia="Times New Roman" w:hint="default"/>
          <w:spacing w:val="-2"/>
        </w:rPr>
        <w:t>(1)</w:t>
      </w:r>
      <w:r>
        <w:rPr>
          <w:spacing w:val="-2"/>
        </w:rPr>
        <w:t>如附注七</w:t>
      </w:r>
      <w:r>
        <w:rPr>
          <w:rFonts w:ascii="Times New Roman" w:hAnsi="Times New Roman" w:cs="Times New Roman" w:eastAsia="Times New Roman" w:hint="default"/>
          <w:spacing w:val="-2"/>
        </w:rPr>
        <w:t>(53)</w:t>
      </w:r>
      <w:r>
        <w:rPr>
          <w:spacing w:val="-2"/>
        </w:rPr>
        <w:t>中</w:t>
      </w:r>
      <w:r>
        <w:rPr>
          <w:rFonts w:ascii="Times New Roman" w:hAnsi="Times New Roman" w:cs="Times New Roman" w:eastAsia="Times New Roman" w:hint="default"/>
          <w:spacing w:val="-2"/>
        </w:rPr>
        <w:t>(1)(2)</w:t>
      </w:r>
      <w:r>
        <w:rPr>
          <w:spacing w:val="-2"/>
        </w:rPr>
        <w:t>所述，于</w:t>
      </w:r>
      <w:r>
        <w:rPr>
          <w:rFonts w:ascii="Times New Roman" w:hAnsi="Times New Roman" w:cs="Times New Roman" w:eastAsia="Times New Roman" w:hint="default"/>
          <w:spacing w:val="-2"/>
        </w:rPr>
        <w:t>2017</w:t>
      </w:r>
      <w:r>
        <w:rPr>
          <w:spacing w:val="-2"/>
        </w:rPr>
        <w:t>年度本集团因首次公开发行人民币普通股</w:t>
      </w:r>
      <w:r>
        <w:rPr>
          <w:rFonts w:ascii="Times New Roman" w:hAnsi="Times New Roman" w:cs="Times New Roman" w:eastAsia="Times New Roman" w:hint="default"/>
          <w:spacing w:val="-2"/>
        </w:rPr>
        <w:t>A</w:t>
      </w:r>
      <w:r>
        <w:rPr>
          <w:spacing w:val="-2"/>
        </w:rPr>
        <w:t>股股票及限制性股票激励计划，分别募集资</w:t>
      </w:r>
      <w:r>
        <w:rPr>
          <w:spacing w:val="-31"/>
        </w:rPr>
        <w:t> </w:t>
      </w:r>
      <w:r>
        <w:rPr>
          <w:spacing w:val="-31"/>
        </w:rPr>
      </w:r>
      <w:r>
        <w:rPr>
          <w:spacing w:val="-2"/>
        </w:rPr>
        <w:t>金人民币</w:t>
      </w:r>
      <w:r>
        <w:rPr>
          <w:rFonts w:ascii="Times New Roman" w:hAnsi="Times New Roman" w:cs="Times New Roman" w:eastAsia="Times New Roman" w:hint="default"/>
          <w:spacing w:val="-2"/>
        </w:rPr>
        <w:t>200,679,300.00</w:t>
      </w:r>
      <w:r>
        <w:rPr>
          <w:spacing w:val="-2"/>
        </w:rPr>
        <w:t>元及</w:t>
      </w:r>
      <w:r>
        <w:rPr>
          <w:rFonts w:ascii="Times New Roman" w:hAnsi="Times New Roman" w:cs="Times New Roman" w:eastAsia="Times New Roman" w:hint="default"/>
          <w:spacing w:val="-2"/>
        </w:rPr>
        <w:t>153,236,709.00</w:t>
      </w:r>
      <w:r>
        <w:rPr>
          <w:spacing w:val="-2"/>
        </w:rPr>
        <w:t>元，其中分别增加股本人民币</w:t>
      </w:r>
      <w:r>
        <w:rPr>
          <w:rFonts w:ascii="Times New Roman" w:hAnsi="Times New Roman" w:cs="Times New Roman" w:eastAsia="Times New Roman" w:hint="default"/>
          <w:spacing w:val="-2"/>
        </w:rPr>
        <w:t>45,000,000.00</w:t>
      </w:r>
      <w:r>
        <w:rPr>
          <w:spacing w:val="-2"/>
        </w:rPr>
        <w:t>元及</w:t>
      </w:r>
      <w:r>
        <w:rPr>
          <w:rFonts w:ascii="Times New Roman" w:hAnsi="Times New Roman" w:cs="Times New Roman" w:eastAsia="Times New Roman" w:hint="default"/>
          <w:spacing w:val="-2"/>
        </w:rPr>
        <w:t>11,760,300.00</w:t>
      </w:r>
      <w:r>
        <w:rPr>
          <w:spacing w:val="-2"/>
        </w:rPr>
        <w:t>元，增加资本公积人</w:t>
      </w:r>
      <w:r>
        <w:rPr>
          <w:spacing w:val="-24"/>
        </w:rPr>
        <w:t> </w:t>
      </w:r>
      <w:r>
        <w:rPr>
          <w:spacing w:val="-24"/>
        </w:rPr>
      </w:r>
      <w:r>
        <w:rPr>
          <w:spacing w:val="-2"/>
        </w:rPr>
        <w:t>民币</w:t>
      </w:r>
      <w:r>
        <w:rPr>
          <w:rFonts w:ascii="Times New Roman" w:hAnsi="Times New Roman" w:cs="Times New Roman" w:eastAsia="Times New Roman" w:hint="default"/>
          <w:spacing w:val="-2"/>
        </w:rPr>
        <w:t>155,679,300.00</w:t>
      </w:r>
      <w:r>
        <w:rPr>
          <w:spacing w:val="-2"/>
        </w:rPr>
        <w:t>元及</w:t>
      </w:r>
      <w:r>
        <w:rPr>
          <w:rFonts w:ascii="Times New Roman" w:hAnsi="Times New Roman" w:cs="Times New Roman" w:eastAsia="Times New Roman" w:hint="default"/>
          <w:spacing w:val="-2"/>
        </w:rPr>
        <w:t>141,476,409.00</w:t>
      </w:r>
      <w:r>
        <w:rPr>
          <w:spacing w:val="-2"/>
        </w:rPr>
        <w:t>元。如附注九</w:t>
      </w:r>
      <w:r>
        <w:rPr>
          <w:rFonts w:ascii="Times New Roman" w:hAnsi="Times New Roman" w:cs="Times New Roman" w:eastAsia="Times New Roman" w:hint="default"/>
          <w:spacing w:val="-2"/>
        </w:rPr>
        <w:t>(2)</w:t>
      </w:r>
      <w:r>
        <w:rPr>
          <w:spacing w:val="-2"/>
        </w:rPr>
        <w:t>中</w:t>
      </w:r>
      <w:r>
        <w:rPr>
          <w:rFonts w:ascii="Times New Roman" w:hAnsi="Times New Roman" w:cs="Times New Roman" w:eastAsia="Times New Roman" w:hint="default"/>
          <w:spacing w:val="-2"/>
        </w:rPr>
        <w:t>(1)(2)</w:t>
      </w:r>
      <w:r>
        <w:rPr>
          <w:spacing w:val="-2"/>
        </w:rPr>
        <w:t>所述，转让新耀能源、朗新数据、朗新云商股权时处置对价与</w:t>
      </w:r>
      <w:r>
        <w:rPr>
          <w:spacing w:val="-36"/>
        </w:rPr>
        <w:t> </w:t>
      </w:r>
      <w:r>
        <w:rPr>
          <w:spacing w:val="-36"/>
        </w:rPr>
      </w:r>
      <w:r>
        <w:rPr/>
        <w:t>按处置的股权比例计算的子公司净资产份额的差额，增加资本公积</w:t>
      </w:r>
      <w:r>
        <w:rPr>
          <w:rFonts w:ascii="Times New Roman" w:hAnsi="Times New Roman" w:cs="Times New Roman" w:eastAsia="Times New Roman" w:hint="default"/>
        </w:rPr>
        <w:t>890,985.94</w:t>
      </w:r>
      <w:r>
        <w:rPr/>
        <w:t>元。 </w:t>
      </w:r>
      <w:r>
        <w:rPr>
          <w:rFonts w:ascii="Times New Roman" w:hAnsi="Times New Roman" w:cs="Times New Roman" w:eastAsia="Times New Roman" w:hint="default"/>
        </w:rPr>
        <w:t>(2)</w:t>
      </w:r>
      <w:r>
        <w:rPr/>
        <w:t>就附注十三所述之限制性股票激励计划，于</w:t>
      </w:r>
      <w:r>
        <w:rPr>
          <w:rFonts w:ascii="Times New Roman" w:hAnsi="Times New Roman" w:cs="Times New Roman" w:eastAsia="Times New Roman" w:hint="default"/>
        </w:rPr>
        <w:t>2017</w:t>
      </w:r>
      <w:r>
        <w:rPr/>
        <w:t>年度本集团因取得的上述激励对象的服务而计入相关成本或费用并相应 增加资本公积</w:t>
      </w:r>
      <w:r>
        <w:rPr>
          <w:rFonts w:ascii="Times New Roman" w:hAnsi="Times New Roman" w:cs="Times New Roman" w:eastAsia="Times New Roman" w:hint="default"/>
        </w:rPr>
        <w:t>7,965,462.95</w:t>
      </w:r>
      <w:r>
        <w:rPr/>
        <w:t>元。</w:t>
      </w:r>
    </w:p>
    <w:p>
      <w:pPr>
        <w:spacing w:line="240" w:lineRule="auto" w:before="5"/>
        <w:rPr>
          <w:rFonts w:ascii="宋体" w:hAnsi="宋体" w:cs="宋体" w:eastAsia="宋体" w:hint="default"/>
          <w:sz w:val="22"/>
          <w:szCs w:val="22"/>
        </w:rPr>
      </w:pPr>
    </w:p>
    <w:p>
      <w:pPr>
        <w:pStyle w:val="Heading3"/>
        <w:spacing w:line="240" w:lineRule="auto"/>
        <w:ind w:right="150"/>
        <w:jc w:val="left"/>
        <w:rPr>
          <w:b w:val="0"/>
          <w:bCs w:val="0"/>
        </w:rPr>
      </w:pPr>
      <w:bookmarkStart w:name="56、库存股" w:id="365"/>
      <w:bookmarkEnd w:id="365"/>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153,236,709.00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153,236,709.00</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153,236,709.00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153,236,709.00</w:t>
            </w:r>
            <w:r>
              <w:rPr>
                <w:rFonts w:ascii="Times New Roman"/>
                <w:sz w:val="18"/>
              </w:rPr>
            </w:r>
          </w:p>
        </w:tc>
      </w:tr>
    </w:tbl>
    <w:p>
      <w:pPr>
        <w:pStyle w:val="BodyText"/>
        <w:spacing w:line="240" w:lineRule="auto" w:before="49"/>
        <w:ind w:right="150"/>
        <w:jc w:val="left"/>
      </w:pPr>
      <w:r>
        <w:rPr/>
        <w:t>其他说明，包括本期增减变动情况、变动原因说明：</w:t>
      </w:r>
    </w:p>
    <w:p>
      <w:pPr>
        <w:pStyle w:val="BodyText"/>
        <w:spacing w:line="300" w:lineRule="auto" w:before="115"/>
        <w:ind w:right="189"/>
        <w:jc w:val="left"/>
      </w:pPr>
      <w:r>
        <w:rPr/>
        <w:t>就附注十三所述之限制性股票激励计划，本集团于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日就相关回购义务确认库存股</w:t>
      </w:r>
      <w:r>
        <w:rPr>
          <w:rFonts w:ascii="Times New Roman" w:hAnsi="Times New Roman" w:cs="Times New Roman" w:eastAsia="Times New Roman" w:hint="default"/>
        </w:rPr>
        <w:t>153,236,709.00</w:t>
      </w:r>
      <w:r>
        <w:rPr/>
        <w:t>元，详见附注 七</w:t>
      </w:r>
      <w:r>
        <w:rPr>
          <w:spacing w:val="-17"/>
        </w:rPr>
        <w:t> </w:t>
      </w:r>
      <w:r>
        <w:rPr>
          <w:rFonts w:ascii="Times New Roman" w:hAnsi="Times New Roman" w:cs="Times New Roman" w:eastAsia="Times New Roman" w:hint="default"/>
        </w:rPr>
        <w:t>(41)</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150"/>
        <w:jc w:val="left"/>
        <w:rPr>
          <w:b w:val="0"/>
          <w:bCs w:val="0"/>
        </w:rPr>
      </w:pPr>
      <w:bookmarkStart w:name="57、其他综合收益" w:id="366"/>
      <w:bookmarkEnd w:id="366"/>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09"/>
        <w:gridCol w:w="1068"/>
        <w:gridCol w:w="936"/>
        <w:gridCol w:w="1152"/>
        <w:gridCol w:w="934"/>
        <w:gridCol w:w="936"/>
        <w:gridCol w:w="936"/>
        <w:gridCol w:w="799"/>
      </w:tblGrid>
      <w:tr>
        <w:trPr>
          <w:trHeight w:val="403" w:hRule="exact"/>
        </w:trPr>
        <w:tc>
          <w:tcPr>
            <w:tcW w:w="280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5" w:hRule="exact"/>
        </w:trPr>
        <w:tc>
          <w:tcPr>
            <w:tcW w:w="2809" w:type="dxa"/>
            <w:vMerge/>
            <w:tcBorders>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4D4D4"/>
          </w:tcPr>
          <w:p>
            <w:pPr/>
          </w:p>
        </w:tc>
      </w:tr>
    </w:tbl>
    <w:p>
      <w:pPr>
        <w:pStyle w:val="BodyText"/>
        <w:spacing w:line="240" w:lineRule="auto" w:before="49"/>
        <w:ind w:right="15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58、专项储备" w:id="367"/>
      <w:bookmarkEnd w:id="367"/>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50"/>
        <w:jc w:val="left"/>
      </w:pPr>
      <w:r>
        <w:rPr/>
        <w:t>其他说明，包括本期增减变动情况、变动原因说明：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59、盈余公积" w:id="368"/>
      <w:bookmarkEnd w:id="368"/>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46,264,008.94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14,281,738.50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60,545,747.44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46,264,008.94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14,281,738.50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60,545,747.44</w:t>
            </w:r>
          </w:p>
        </w:tc>
      </w:tr>
    </w:tbl>
    <w:p>
      <w:pPr>
        <w:pStyle w:val="BodyText"/>
        <w:spacing w:line="240" w:lineRule="auto" w:before="49"/>
        <w:ind w:right="0"/>
        <w:jc w:val="both"/>
      </w:pPr>
      <w:r>
        <w:rPr/>
        <w:t>盈余公积说明，包括本期增减变动情况、变动原因说明：</w:t>
      </w:r>
    </w:p>
    <w:p>
      <w:pPr>
        <w:pStyle w:val="BodyText"/>
        <w:spacing w:line="300" w:lineRule="auto" w:before="115"/>
        <w:ind w:right="131"/>
        <w:jc w:val="both"/>
      </w:pPr>
      <w:r>
        <w:rPr>
          <w:spacing w:val="-1"/>
        </w:rPr>
        <w:t>根据《中华人民共和国公司法》及本公司章程，本公司按年度净利润的</w:t>
      </w:r>
      <w:r>
        <w:rPr>
          <w:rFonts w:ascii="Times New Roman" w:hAnsi="Times New Roman" w:cs="Times New Roman" w:eastAsia="Times New Roman" w:hint="default"/>
          <w:spacing w:val="-1"/>
        </w:rPr>
        <w:t>10%</w:t>
      </w:r>
      <w:r>
        <w:rPr>
          <w:spacing w:val="-1"/>
        </w:rPr>
        <w:t>提取法定盈余公积金，当法定盈余公积金累计额</w:t>
      </w:r>
      <w:r>
        <w:rPr>
          <w:spacing w:val="-86"/>
        </w:rPr>
        <w:t> </w:t>
      </w:r>
      <w:r>
        <w:rPr>
          <w:spacing w:val="-86"/>
        </w:rPr>
      </w:r>
      <w:r>
        <w:rPr>
          <w:spacing w:val="-1"/>
        </w:rPr>
        <w:t>达到注册资本的</w:t>
      </w:r>
      <w:r>
        <w:rPr>
          <w:rFonts w:ascii="Times New Roman" w:hAnsi="Times New Roman" w:cs="Times New Roman" w:eastAsia="Times New Roman" w:hint="default"/>
          <w:spacing w:val="-1"/>
        </w:rPr>
        <w:t>50%</w:t>
      </w:r>
      <w:r>
        <w:rPr>
          <w:spacing w:val="-1"/>
        </w:rPr>
        <w:t>以上时，可不再提取。法定盈余公积金经批准后可用于弥补亏损，或者增加股本。经董事会决议，本公</w:t>
      </w:r>
      <w:r>
        <w:rPr/>
        <w:t> </w:t>
      </w:r>
      <w:r>
        <w:rPr>
          <w:spacing w:val="-4"/>
        </w:rPr>
        <w:t>司</w:t>
      </w:r>
      <w:r>
        <w:rPr>
          <w:rFonts w:ascii="Times New Roman" w:hAnsi="Times New Roman" w:cs="Times New Roman" w:eastAsia="Times New Roman" w:hint="default"/>
          <w:spacing w:val="-4"/>
        </w:rPr>
        <w:t>2017</w:t>
      </w:r>
      <w:r>
        <w:rPr>
          <w:spacing w:val="-4"/>
        </w:rPr>
        <w:t>年按净利润的</w:t>
      </w:r>
      <w:r>
        <w:rPr>
          <w:rFonts w:ascii="Times New Roman" w:hAnsi="Times New Roman" w:cs="Times New Roman" w:eastAsia="Times New Roman" w:hint="default"/>
          <w:spacing w:val="-4"/>
        </w:rPr>
        <w:t>10%</w:t>
      </w:r>
      <w:r>
        <w:rPr>
          <w:spacing w:val="-4"/>
        </w:rPr>
        <w:t>提取法定盈余公积：</w:t>
      </w:r>
      <w:r>
        <w:rPr>
          <w:rFonts w:ascii="Times New Roman" w:hAnsi="Times New Roman" w:cs="Times New Roman" w:eastAsia="Times New Roman" w:hint="default"/>
          <w:spacing w:val="-4"/>
        </w:rPr>
        <w:t>14,281,738.50</w:t>
      </w:r>
      <w:r>
        <w:rPr>
          <w:spacing w:val="-4"/>
        </w:rPr>
        <w:t>元（</w:t>
      </w:r>
      <w:r>
        <w:rPr>
          <w:rFonts w:ascii="Times New Roman" w:hAnsi="Times New Roman" w:cs="Times New Roman" w:eastAsia="Times New Roman" w:hint="default"/>
          <w:spacing w:val="-4"/>
        </w:rPr>
        <w:t>2016</w:t>
      </w:r>
      <w:r>
        <w:rPr>
          <w:spacing w:val="-4"/>
        </w:rPr>
        <w:t>年按净利润的</w:t>
      </w:r>
      <w:r>
        <w:rPr>
          <w:rFonts w:ascii="Times New Roman" w:hAnsi="Times New Roman" w:cs="Times New Roman" w:eastAsia="Times New Roman" w:hint="default"/>
          <w:spacing w:val="-4"/>
        </w:rPr>
        <w:t>10%</w:t>
      </w:r>
      <w:r>
        <w:rPr>
          <w:spacing w:val="-4"/>
        </w:rPr>
        <w:t>提取法定盈余公积金</w:t>
      </w:r>
      <w:r>
        <w:rPr>
          <w:rFonts w:ascii="Times New Roman" w:hAnsi="Times New Roman" w:cs="Times New Roman" w:eastAsia="Times New Roman" w:hint="default"/>
          <w:spacing w:val="-4"/>
        </w:rPr>
        <w:t>12,635,122.96</w:t>
      </w:r>
      <w:r>
        <w:rPr>
          <w:spacing w:val="-4"/>
        </w:rPr>
        <w:t>元）。</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both"/>
        <w:rPr>
          <w:b w:val="0"/>
          <w:bCs w:val="0"/>
        </w:rPr>
      </w:pPr>
      <w:bookmarkStart w:name="60、未分配利润" w:id="369"/>
      <w:bookmarkEnd w:id="369"/>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2"/>
        <w:gridCol w:w="2934"/>
        <w:gridCol w:w="2918"/>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257,131,863.75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174,136,792.84</w:t>
            </w:r>
            <w:r>
              <w:rPr>
                <w:rFonts w:ascii="Times New Roman"/>
                <w:sz w:val="18"/>
              </w:rPr>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257,131,863.75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174,136,792.84</w:t>
            </w:r>
            <w:r>
              <w:rPr>
                <w:rFonts w:ascii="Times New Roman"/>
                <w:sz w:val="18"/>
              </w:rPr>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139,136,836.46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122,086,980.58</w:t>
            </w:r>
            <w:r>
              <w:rPr>
                <w:rFonts w:ascii="Times New Roman"/>
                <w:sz w:val="18"/>
              </w:rPr>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14,281,738.50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12,635,122.96</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转作股本的普通股股利</w:t>
            </w:r>
          </w:p>
        </w:tc>
        <w:tc>
          <w:tcPr>
            <w:tcW w:w="2934" w:type="dxa"/>
            <w:tcBorders>
              <w:top w:val="single" w:sz="4" w:space="0" w:color="000000"/>
              <w:left w:val="single" w:sz="9" w:space="0" w:color="D4D4D4"/>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26,456,786.71</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381,986,961.71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257,131,863.75</w:t>
            </w:r>
            <w:r>
              <w:rPr>
                <w:rFonts w:ascii="Times New Roman"/>
                <w:sz w:val="18"/>
              </w:rPr>
            </w:r>
          </w:p>
        </w:tc>
      </w:tr>
    </w:tbl>
    <w:p>
      <w:pPr>
        <w:pStyle w:val="BodyText"/>
        <w:spacing w:line="240" w:lineRule="auto" w:before="49"/>
        <w:ind w:right="150"/>
        <w:jc w:val="left"/>
      </w:pPr>
      <w:r>
        <w:rPr/>
        <w:t>调整期初未分配利润明细：</w:t>
      </w:r>
    </w:p>
    <w:p>
      <w:pPr>
        <w:pStyle w:val="BodyText"/>
        <w:spacing w:line="240" w:lineRule="auto" w:before="115"/>
        <w:ind w:right="15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15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15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1"/>
        <w:ind w:right="15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150"/>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3"/>
        <w:spacing w:line="240" w:lineRule="auto"/>
        <w:ind w:right="150"/>
        <w:jc w:val="left"/>
        <w:rPr>
          <w:b w:val="0"/>
          <w:bCs w:val="0"/>
        </w:rPr>
      </w:pPr>
      <w:bookmarkStart w:name="61、营业收入和营业成本" w:id="370"/>
      <w:bookmarkEnd w:id="370"/>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5"/>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781,720,850.78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386,645,455.22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748,759,852.79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386,300,004.45</w:t>
            </w:r>
            <w:r>
              <w:rPr>
                <w:rFonts w:ascii="Times New Roman"/>
                <w:sz w:val="18"/>
              </w:rPr>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1,214,190.26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1,214,190.26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750,411.18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750,411.18</w:t>
            </w:r>
            <w:r>
              <w:rPr>
                <w:rFonts w:ascii="Times New Roman"/>
                <w:sz w:val="18"/>
              </w:rPr>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782,935,041.04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387,859,645.48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749,510,263.97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387,050,415.63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62、税金及附加" w:id="371"/>
      <w:bookmarkEnd w:id="371"/>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2,635,432.16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2,547,778.81</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1,129,470.92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1,092,197.28</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406,930.32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145,212.50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752,980.64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728,131.49</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4,924,814.04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4,513,320.08</w:t>
            </w:r>
            <w:r>
              <w:rPr>
                <w:rFonts w:ascii="Times New Roman"/>
                <w:sz w:val="18"/>
              </w:rPr>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63、销售费用" w:id="372"/>
      <w:bookmarkEnd w:id="372"/>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人工成本</w:t>
            </w:r>
            <w:r>
              <w:rPr>
                <w:rFonts w:ascii="Times New Roman" w:hAnsi="Times New Roman" w:cs="Times New Roman" w:eastAsia="Times New Roman" w:hint="default"/>
                <w:sz w:val="18"/>
                <w:szCs w:val="18"/>
              </w:rPr>
              <w:t>(</w:t>
            </w:r>
            <w:r>
              <w:rPr>
                <w:rFonts w:ascii="宋体" w:hAnsi="宋体" w:cs="宋体" w:eastAsia="宋体" w:hint="default"/>
                <w:sz w:val="18"/>
                <w:szCs w:val="18"/>
              </w:rPr>
              <w:t>含股权激励</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42,048,485.23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24,504,151.53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4,023,287.66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3,619,570.68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会议费及业务招待费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24,653,398.95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29,760,246.78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1,450,408.52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873,775.35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9,947,418.33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4,167,056.82</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6,404,274.47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5,444,795.74</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314,051.96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687,764.58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88,841,325.12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69,057,361.48</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64、管理费用" w:id="373"/>
      <w:bookmarkEnd w:id="373"/>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含研发人员工资成本</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96,167,843.83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77,474,336.92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人工成本</w:t>
            </w:r>
            <w:r>
              <w:rPr>
                <w:rFonts w:ascii="Times New Roman" w:hAnsi="Times New Roman" w:cs="Times New Roman" w:eastAsia="Times New Roman" w:hint="default"/>
                <w:sz w:val="18"/>
                <w:szCs w:val="18"/>
              </w:rPr>
              <w:t>(</w:t>
            </w:r>
            <w:r>
              <w:rPr>
                <w:rFonts w:ascii="宋体" w:hAnsi="宋体" w:cs="宋体" w:eastAsia="宋体" w:hint="default"/>
                <w:sz w:val="18"/>
                <w:szCs w:val="18"/>
              </w:rPr>
              <w:t>含股权激励</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71,073,589.58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58,229,521.55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17,848,669.92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16,005,265.24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13,613,597.87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14,815,022.96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6,989,567.22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5,248,870.12</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7,770,428.85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4,066,290.19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8,057,376.25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6,421,035.35</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1,553,225.96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1,404,419.03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2,143,300.21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1,742,719.65</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225,217,599.69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185,407,481.01</w:t>
            </w:r>
            <w:r>
              <w:rPr>
                <w:rFonts w:ascii="Times New Roman"/>
                <w:sz w:val="18"/>
              </w:rPr>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65、财务费用" w:id="374"/>
      <w:bookmarkEnd w:id="374"/>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-4,422,212.13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-4,584,939.96</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132,565.96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153,025.16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-4,289,646.17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-4,431,914.80</w:t>
            </w:r>
            <w:r>
              <w:rPr>
                <w:rFonts w:ascii="Times New Roman"/>
                <w:sz w:val="18"/>
              </w:rPr>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66、资产减值损失" w:id="375"/>
      <w:bookmarkEnd w:id="375"/>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2,621,790.64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6,556,060.02</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70,415.49</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2,621,802.95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6,626,475.51</w:t>
            </w:r>
            <w:r>
              <w:rPr>
                <w:rFonts w:ascii="Times New Roman"/>
                <w:sz w:val="18"/>
              </w:rPr>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67、公允价值变动收益" w:id="376"/>
      <w:bookmarkEnd w:id="376"/>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68、投资收益" w:id="377"/>
      <w:bookmarkEnd w:id="377"/>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49"/>
        <w:gridCol w:w="3190"/>
        <w:gridCol w:w="2918"/>
      </w:tblGrid>
      <w:tr>
        <w:trPr>
          <w:trHeight w:val="401" w:hRule="exact"/>
        </w:trPr>
        <w:tc>
          <w:tcPr>
            <w:tcW w:w="34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36,134,422.97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11,636,519.63</w:t>
            </w:r>
            <w:r>
              <w:rPr>
                <w:rFonts w:ascii="Times New Roman"/>
                <w:sz w:val="18"/>
              </w:rPr>
            </w:r>
          </w:p>
        </w:tc>
      </w:tr>
      <w:tr>
        <w:trPr>
          <w:trHeight w:val="401"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2,048,861.55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38,183,284.52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11,636,519.63</w:t>
            </w:r>
            <w:r>
              <w:rPr>
                <w:rFonts w:ascii="Times New Roman"/>
                <w:sz w:val="18"/>
              </w:rPr>
            </w:r>
          </w:p>
        </w:tc>
      </w:tr>
    </w:tbl>
    <w:p>
      <w:pPr>
        <w:pStyle w:val="BodyText"/>
        <w:spacing w:line="357" w:lineRule="auto" w:before="49"/>
        <w:ind w:right="6534"/>
        <w:jc w:val="left"/>
      </w:pPr>
      <w:r>
        <w:rPr/>
        <w:t>其他说明： 本集团不存在投资收益汇回的重大限制。</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69、资产处置收益" w:id="378"/>
      <w:bookmarkEnd w:id="378"/>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-28,040.09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154,518.34</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70、其他收益" w:id="379"/>
      <w:bookmarkEnd w:id="379"/>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32,694,932.24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71、营业外收入" w:id="380"/>
      <w:bookmarkEnd w:id="380"/>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29,712,221.93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7,804.23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284,273.25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7,804.23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207,804.23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29,996,495.18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207,804.23</w:t>
            </w:r>
          </w:p>
        </w:tc>
      </w:tr>
    </w:tbl>
    <w:p>
      <w:pPr>
        <w:pStyle w:val="BodyText"/>
        <w:spacing w:line="240" w:lineRule="auto" w:before="49"/>
        <w:ind w:right="150"/>
        <w:jc w:val="left"/>
      </w:pPr>
      <w:r>
        <w:rPr/>
        <w:t>计入当期损益的政府补助：</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年无锡 软件园上市 发展奖励补 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无锡软件园</w:t>
            </w:r>
          </w:p>
          <w:p>
            <w:pPr>
              <w:pStyle w:val="TableParagraph"/>
              <w:spacing w:line="316" w:lineRule="auto" w:before="74"/>
              <w:ind w:left="23" w:right="127"/>
              <w:jc w:val="left"/>
              <w:rPr>
                <w:rFonts w:ascii="宋体" w:hAnsi="宋体" w:cs="宋体" w:eastAsia="宋体" w:hint="default"/>
                <w:sz w:val="18"/>
                <w:szCs w:val="18"/>
              </w:rPr>
            </w:pPr>
            <w:r>
              <w:rPr>
                <w:rFonts w:ascii="宋体" w:hAnsi="宋体" w:cs="宋体" w:eastAsia="宋体" w:hint="default"/>
                <w:sz w:val="18"/>
                <w:szCs w:val="18"/>
              </w:rPr>
              <w:t>（江苏省互 联网产业园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p>
            <w:pPr>
              <w:pStyle w:val="TableParagraph"/>
              <w:spacing w:line="240" w:lineRule="auto" w:before="74"/>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13" w:space="0" w:color="D4D4D4"/>
            </w:tcBorders>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0"/>
        <w:jc w:val="left"/>
      </w:pPr>
      <w:r>
        <w:rPr/>
        <w:pict>
          <v:group style="position:absolute;margin-left:163.320007pt;margin-top:-44.038284pt;width:52.7pt;height:23.4pt;mso-position-horizontal-relative:page;mso-position-vertical-relative:paragraph;z-index:-931744" coordorigin="3266,-881" coordsize="1054,468">
            <v:shape style="position:absolute;left:3266;top:-881;width:1054;height:468" coordorigin="3266,-881" coordsize="1054,468" path="m3266,-413l4320,-413,4320,-881,3266,-881,3266,-413xe" filled="true" fillcolor="#ffffff" stroked="false">
              <v:path arrowok="t"/>
              <v:fill type="solid"/>
            </v:shape>
            <w10:wrap type="none"/>
          </v:group>
        </w:pict>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72、营业外支出" w:id="381"/>
      <w:bookmarkEnd w:id="381"/>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5"/>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0" w:space="0" w:color="D4D4D4"/>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亏损合同</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355,941.09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3,670,402.63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1,112.84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11,461.16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1,112.84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0"/>
        <w:gridCol w:w="2395"/>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5" w:right="0"/>
              <w:jc w:val="left"/>
              <w:rPr>
                <w:rFonts w:ascii="Times New Roman" w:hAnsi="Times New Roman" w:cs="Times New Roman" w:eastAsia="Times New Roman" w:hint="default"/>
                <w:sz w:val="18"/>
                <w:szCs w:val="18"/>
              </w:rPr>
            </w:pPr>
            <w:r>
              <w:rPr>
                <w:rFonts w:ascii="Times New Roman"/>
                <w:sz w:val="18"/>
              </w:rPr>
              <w:t>357,053.93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3,688,463.79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73、所得税费用" w:id="382"/>
      <w:bookmarkEnd w:id="382"/>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所得税费用表" w:id="383"/>
      <w:bookmarkEnd w:id="38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9,671,598.83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10,294,212.29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687,614.64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7,005,001.55</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10,359,213.47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17,299,213.84</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会计利润与所得税费用调整过程" w:id="384"/>
      <w:bookmarkEnd w:id="38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148,460,426.90</w:t>
            </w:r>
            <w:r>
              <w:rPr>
                <w:rFonts w:ascii="Times New Roman"/>
                <w:sz w:val="18"/>
              </w:rPr>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14,846,042.69</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-667,071.19</w:t>
            </w:r>
            <w:r>
              <w:rPr>
                <w:rFonts w:ascii="Times New Roman"/>
                <w:sz w:val="18"/>
              </w:rPr>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50,163.86</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-3,613,442.30</w:t>
            </w:r>
            <w:r>
              <w:rPr>
                <w:rFonts w:ascii="Times New Roman"/>
                <w:sz w:val="18"/>
              </w:rPr>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1,990,601.01</w:t>
            </w:r>
            <w:r>
              <w:rPr>
                <w:rFonts w:ascii="Times New Roman"/>
                <w:sz w:val="18"/>
              </w:rPr>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-10,228.70</w:t>
            </w:r>
            <w:r>
              <w:rPr>
                <w:rFonts w:ascii="Times New Roman"/>
                <w:sz w:val="18"/>
              </w:rPr>
            </w:r>
          </w:p>
        </w:tc>
      </w:tr>
      <w:tr>
        <w:trPr>
          <w:trHeight w:val="714"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1,108,850.65</w:t>
            </w:r>
            <w:r>
              <w:rPr>
                <w:rFonts w:ascii="Times New Roman"/>
                <w:sz w:val="18"/>
              </w:rPr>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-3,345,702.55</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10,359,213.47</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74、其他综合收益" w:id="385"/>
      <w:bookmarkEnd w:id="385"/>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75、现金流量表项目" w:id="386"/>
      <w:bookmarkEnd w:id="386"/>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收到的其他与经营活动有关的现金" w:id="387"/>
      <w:bookmarkEnd w:id="38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27,680,187.00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30,768,885.48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4,422,212.13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4,584,939.96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22,259,986.85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174,287.77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54,362,385.98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35,528,113.21</w:t>
            </w:r>
            <w:r>
              <w:rPr>
                <w:rFonts w:ascii="Times New Roman"/>
                <w:sz w:val="18"/>
              </w:rPr>
            </w:r>
          </w:p>
        </w:tc>
      </w:tr>
    </w:tbl>
    <w:p>
      <w:pPr>
        <w:pStyle w:val="BodyText"/>
        <w:spacing w:line="240" w:lineRule="auto" w:before="49"/>
        <w:ind w:right="15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2）支付的其他与经营活动有关的现金" w:id="388"/>
      <w:bookmarkEnd w:id="38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45,316,724.69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43,203,241.24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19,090,352.72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17,151,477.63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会议费及业务招待费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27,818,510.89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31,784,510.73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办公通信费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9,518,485.92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6,793,692.65</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9,947,418.33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4,167,056.82</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9,311,036.01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4,066,290.19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16,404,206.85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6,166,815.35</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10,831,340.00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4,707,776.46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5,936,081.88</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152,945,851.87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119,269,166.49</w:t>
            </w:r>
          </w:p>
        </w:tc>
      </w:tr>
    </w:tbl>
    <w:p>
      <w:pPr>
        <w:pStyle w:val="BodyText"/>
        <w:spacing w:line="240" w:lineRule="auto" w:before="49"/>
        <w:ind w:right="15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3）收到的其他与投资活动有关的现金" w:id="389"/>
      <w:bookmarkEnd w:id="38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r>
              <w:rPr>
                <w:rFonts w:ascii="Times New Roman"/>
                <w:sz w:val="18"/>
              </w:rPr>
            </w:r>
          </w:p>
        </w:tc>
      </w:tr>
    </w:tbl>
    <w:p>
      <w:pPr>
        <w:pStyle w:val="BodyText"/>
        <w:spacing w:line="240" w:lineRule="auto" w:before="49"/>
        <w:ind w:right="15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4）支付的其他与投资活动有关的现金" w:id="390"/>
      <w:bookmarkEnd w:id="39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50"/>
        <w:jc w:val="left"/>
      </w:pPr>
      <w:r>
        <w:rPr/>
        <w:t>支付的其他与投资活动有关的现金说明：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r>
        <w:rPr/>
        <w:pict>
          <v:group style="position:absolute;margin-left:223.320007pt;margin-top:565.859985pt;width:151.2pt;height:40.8pt;mso-position-horizontal-relative:page;mso-position-vertical-relative:page;z-index:-931720" coordorigin="4466,11317" coordsize="3024,816">
            <v:group style="position:absolute;left:4477;top:11328;width:2;height:394" coordorigin="4477,11328" coordsize="2,394">
              <v:shape style="position:absolute;left:4477;top:11328;width:2;height:394" coordorigin="4477,11328" coordsize="0,394" path="m4477,11328l4477,11722e" filled="false" stroked="true" strokeweight="1.08pt" strokecolor="#ffffff">
                <v:path arrowok="t"/>
              </v:shape>
            </v:group>
            <v:group style="position:absolute;left:4488;top:11328;width:3003;height:394" coordorigin="4488,11328" coordsize="3003,394">
              <v:shape style="position:absolute;left:4488;top:11328;width:3003;height:394" coordorigin="4488,11328" coordsize="3003,394" path="m4488,11722l7490,11722,7490,11328,4488,11328,4488,11722xe" filled="true" fillcolor="#ffffff" stroked="false">
                <v:path arrowok="t"/>
                <v:fill type="solid"/>
              </v:shape>
            </v:group>
            <v:group style="position:absolute;left:4477;top:11731;width:2;height:392" coordorigin="4477,11731" coordsize="2,392">
              <v:shape style="position:absolute;left:4477;top:11731;width:2;height:392" coordorigin="4477,11731" coordsize="0,392" path="m4477,11731l4477,12122e" filled="false" stroked="true" strokeweight="1.08pt" strokecolor="#ffffff">
                <v:path arrowok="t"/>
              </v:shape>
            </v:group>
            <v:group style="position:absolute;left:4488;top:11731;width:3003;height:392" coordorigin="4488,11731" coordsize="3003,392">
              <v:shape style="position:absolute;left:4488;top:11731;width:3003;height:392" coordorigin="4488,11731" coordsize="3003,392" path="m4488,12122l7490,12122,7490,11731,4488,11731,4488,12122xe" filled="true" fillcolor="#ffffff" stroked="false">
                <v:path arrowok="t"/>
                <v:fill type="solid"/>
              </v:shape>
            </v:group>
            <w10:wrap type="none"/>
          </v:group>
        </w:pict>
      </w:r>
    </w:p>
    <w:p>
      <w:pPr>
        <w:pStyle w:val="Heading3"/>
        <w:spacing w:line="240" w:lineRule="auto" w:before="36"/>
        <w:ind w:right="150"/>
        <w:jc w:val="left"/>
        <w:rPr>
          <w:b w:val="0"/>
          <w:bCs w:val="0"/>
        </w:rPr>
      </w:pPr>
      <w:bookmarkStart w:name="（5）收到的其他与筹资活动有关的现金" w:id="391"/>
      <w:bookmarkEnd w:id="39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5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6）支付的其他与筹资活动有关的现金" w:id="392"/>
      <w:bookmarkEnd w:id="39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5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76、现金流量表补充资料" w:id="393"/>
      <w:bookmarkEnd w:id="393"/>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现金流量表补充资料" w:id="394"/>
      <w:bookmarkEnd w:id="39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1151"/>
        <w:gridCol w:w="1918"/>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138,101,213.43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122,086,980.58</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2,621,802.95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6,626,475.51</w:t>
            </w:r>
            <w:r>
              <w:rPr>
                <w:rFonts w:ascii="Times New Roman"/>
                <w:sz w:val="18"/>
              </w:rPr>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3,534,294.14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4,044,426.71</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8,882,095.24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10,276,622.82</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2,877,875.06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3,248,039.30</w:t>
            </w:r>
            <w:r>
              <w:rPr>
                <w:rFonts w:ascii="Times New Roman"/>
                <w:sz w:val="18"/>
              </w:rPr>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28,040.09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-154,518.34</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-38,183,284.52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-11,636,519.63</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1"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745,739.47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7,063,126.55</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1"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-58,125.00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-58,125.00</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9,446,699.34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6,836,513.73</w:t>
            </w:r>
            <w:r>
              <w:rPr>
                <w:rFonts w:ascii="Times New Roman"/>
                <w:sz w:val="18"/>
              </w:rPr>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-51,987,677.81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-157,715,136.88</w:t>
            </w:r>
            <w:r>
              <w:rPr>
                <w:rFonts w:ascii="Times New Roman"/>
                <w:sz w:val="18"/>
              </w:rPr>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-35,259,821.80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63,040,601.84</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7,965,462.95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48,714,313.54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53,658,487.19</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36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712,401,770.71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310,752,147.74</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310,752,147.74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305,663,551.85</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401,649,622.97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5,088,595.89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本期支付的取得子公司的现金净额" w:id="395"/>
      <w:bookmarkEnd w:id="39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无锡金关</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12,213,588.65</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无锡金关</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12,213,588.65</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从兴技术有限公司</w:t>
            </w:r>
          </w:p>
        </w:tc>
        <w:tc>
          <w:tcPr>
            <w:tcW w:w="45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天正信华科技有限公司</w:t>
            </w:r>
          </w:p>
        </w:tc>
        <w:tc>
          <w:tcPr>
            <w:tcW w:w="45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2,786,411.35</w:t>
            </w:r>
            <w:r>
              <w:rPr>
                <w:rFonts w:ascii="Times New Roman"/>
                <w:sz w:val="18"/>
              </w:rPr>
            </w:r>
          </w:p>
        </w:tc>
      </w:tr>
    </w:tbl>
    <w:p>
      <w:pPr>
        <w:pStyle w:val="BodyText"/>
        <w:spacing w:line="357" w:lineRule="auto" w:before="49"/>
        <w:ind w:right="5049"/>
        <w:jc w:val="left"/>
      </w:pPr>
      <w:r>
        <w:rPr/>
        <w:t>其他说明： 本年度少数股东尚未实际缴纳的出资金额为</w:t>
      </w:r>
      <w:r>
        <w:rPr>
          <w:rFonts w:ascii="Times New Roman" w:hAnsi="Times New Roman" w:cs="Times New Roman" w:eastAsia="Times New Roman" w:hint="default"/>
        </w:rPr>
        <w:t>1,796,000.00</w:t>
      </w:r>
      <w:r>
        <w:rPr/>
        <w:t>元。</w:t>
      </w:r>
    </w:p>
    <w:p>
      <w:pPr>
        <w:spacing w:line="240" w:lineRule="auto" w:before="9"/>
        <w:rPr>
          <w:rFonts w:ascii="宋体" w:hAnsi="宋体" w:cs="宋体" w:eastAsia="宋体" w:hint="default"/>
          <w:sz w:val="18"/>
          <w:szCs w:val="18"/>
        </w:rPr>
      </w:pPr>
    </w:p>
    <w:p>
      <w:pPr>
        <w:pStyle w:val="Heading3"/>
        <w:spacing w:line="240" w:lineRule="auto"/>
        <w:ind w:right="150"/>
        <w:jc w:val="left"/>
        <w:rPr>
          <w:b w:val="0"/>
          <w:bCs w:val="0"/>
        </w:rPr>
      </w:pPr>
      <w:bookmarkStart w:name="（3）本期收到的处置子公司的现金净额" w:id="396"/>
      <w:bookmarkEnd w:id="39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4）现金和现金等价物的构成" w:id="397"/>
      <w:bookmarkEnd w:id="39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298"/>
        <w:gridCol w:w="3068"/>
        <w:gridCol w:w="3173"/>
      </w:tblGrid>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712,401,770.71</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5" w:right="0"/>
              <w:jc w:val="left"/>
              <w:rPr>
                <w:rFonts w:ascii="Times New Roman" w:hAnsi="Times New Roman" w:cs="Times New Roman" w:eastAsia="Times New Roman" w:hint="default"/>
                <w:sz w:val="18"/>
                <w:szCs w:val="18"/>
              </w:rPr>
            </w:pPr>
            <w:r>
              <w:rPr>
                <w:rFonts w:ascii="Times New Roman"/>
                <w:sz w:val="18"/>
              </w:rPr>
              <w:t>310,752,147.74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5"/>
        <w:gridCol w:w="3058"/>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40,085.06</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712,401,641.14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310,712,062.68</w:t>
            </w:r>
            <w:r>
              <w:rPr>
                <w:rFonts w:ascii="Times New Roman"/>
                <w:sz w:val="18"/>
              </w:rPr>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712,401,770.71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310,752,147.74</w:t>
            </w:r>
            <w:r>
              <w:rPr>
                <w:rFonts w:ascii="Times New Roman"/>
                <w:sz w:val="18"/>
              </w:rPr>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4394" w:firstLine="0"/>
        <w:jc w:val="left"/>
        <w:rPr>
          <w:rFonts w:ascii="宋体" w:hAnsi="宋体" w:cs="宋体" w:eastAsia="宋体" w:hint="default"/>
          <w:sz w:val="21"/>
          <w:szCs w:val="21"/>
        </w:rPr>
      </w:pPr>
      <w:bookmarkStart w:name="77、所有者权益变动表项目注释" w:id="398"/>
      <w:bookmarkEnd w:id="398"/>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399"/>
      <w:bookmarkEnd w:id="399"/>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26" w:type="dxa"/>
            <w:tcBorders>
              <w:top w:val="single" w:sz="4" w:space="0" w:color="000000"/>
              <w:left w:val="single" w:sz="4" w:space="0" w:color="000000"/>
              <w:bottom w:val="nil" w:sz="6" w:space="0" w:color="auto"/>
              <w:right w:val="single" w:sz="4" w:space="0" w:color="000000"/>
            </w:tcBorders>
            <w:shd w:val="clear" w:color="auto" w:fill="D4D4D4"/>
          </w:tcPr>
          <w:p>
            <w:pPr/>
          </w:p>
        </w:tc>
        <w:tc>
          <w:tcPr>
            <w:tcW w:w="3058"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4,013,739.00</w:t>
            </w:r>
            <w:r>
              <w:rPr>
                <w:rFonts w:ascii="Times New Roman"/>
                <w:sz w:val="18"/>
              </w:rPr>
            </w:r>
          </w:p>
        </w:tc>
        <w:tc>
          <w:tcPr>
            <w:tcW w:w="3185"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本公司向银行申请开具无条件、不可撤 销的履约保证金存款</w:t>
            </w:r>
          </w:p>
        </w:tc>
      </w:tr>
      <w:tr>
        <w:trPr>
          <w:trHeight w:val="391" w:hRule="exact"/>
        </w:trPr>
        <w:tc>
          <w:tcPr>
            <w:tcW w:w="33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vMerge/>
            <w:tcBorders>
              <w:left w:val="single" w:sz="10" w:space="0" w:color="D4D4D4"/>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26" w:type="dxa"/>
            <w:tcBorders>
              <w:top w:val="nil" w:sz="6" w:space="0" w:color="auto"/>
              <w:left w:val="single" w:sz="4" w:space="0" w:color="000000"/>
              <w:bottom w:val="single" w:sz="4" w:space="0" w:color="000000"/>
              <w:right w:val="single" w:sz="4" w:space="0" w:color="000000"/>
            </w:tcBorders>
            <w:shd w:val="clear" w:color="auto" w:fill="D4D4D4"/>
          </w:tcPr>
          <w:p>
            <w:pPr/>
          </w:p>
        </w:tc>
        <w:tc>
          <w:tcPr>
            <w:tcW w:w="3058" w:type="dxa"/>
            <w:vMerge/>
            <w:tcBorders>
              <w:left w:val="single" w:sz="10" w:space="0" w:color="D4D4D4"/>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10"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4,013,739.00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79、外币货币性项目" w:id="400"/>
      <w:bookmarkEnd w:id="400"/>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外币货币性项目" w:id="401"/>
      <w:bookmarkEnd w:id="40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2304"/>
        <w:gridCol w:w="2390"/>
        <w:gridCol w:w="2390"/>
      </w:tblGrid>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6.53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129.57</w:t>
            </w:r>
            <w:r>
              <w:rPr>
                <w:rFonts w:ascii="Times New Roman"/>
                <w:sz w:val="18"/>
              </w:rPr>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59" w:lineRule="auto" w:before="120"/>
        <w:ind w:right="150"/>
        <w:jc w:val="left"/>
        <w:rPr>
          <w:b w:val="0"/>
          <w:bCs w:val="0"/>
        </w:rPr>
      </w:pPr>
      <w:bookmarkStart w:name="（2）境外经营实体说明，包括对于重要的境外经营实体，应披露其境外主要经营地、记账" w:id="402"/>
      <w:bookmarkEnd w:id="40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635"/>
        <w:gridCol w:w="1020"/>
        <w:gridCol w:w="1466"/>
      </w:tblGrid>
      <w:tr>
        <w:trPr>
          <w:trHeight w:val="338" w:hRule="exact"/>
        </w:trPr>
        <w:tc>
          <w:tcPr>
            <w:tcW w:w="2635" w:type="dxa"/>
            <w:tcBorders>
              <w:top w:val="nil" w:sz="6" w:space="0" w:color="auto"/>
              <w:left w:val="nil" w:sz="6" w:space="0" w:color="auto"/>
              <w:bottom w:val="single" w:sz="6" w:space="0" w:color="000000"/>
              <w:right w:val="single" w:sz="6" w:space="0" w:color="000000"/>
            </w:tcBorders>
          </w:tcPr>
          <w:p>
            <w:pPr>
              <w:pStyle w:val="TableParagraph"/>
              <w:spacing w:line="240" w:lineRule="auto" w:before="36"/>
              <w:ind w:left="26" w:right="0"/>
              <w:jc w:val="left"/>
              <w:rPr>
                <w:rFonts w:ascii="宋体" w:hAnsi="宋体" w:cs="宋体" w:eastAsia="宋体" w:hint="default"/>
                <w:sz w:val="16"/>
                <w:szCs w:val="16"/>
              </w:rPr>
            </w:pPr>
            <w:r>
              <w:rPr>
                <w:rFonts w:ascii="宋体" w:hAnsi="宋体" w:cs="宋体" w:eastAsia="宋体" w:hint="default"/>
                <w:sz w:val="16"/>
                <w:szCs w:val="16"/>
              </w:rPr>
              <w:t>企业名称</w:t>
            </w:r>
          </w:p>
        </w:tc>
        <w:tc>
          <w:tcPr>
            <w:tcW w:w="102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6"/>
              <w:ind w:left="182" w:right="0"/>
              <w:jc w:val="left"/>
              <w:rPr>
                <w:rFonts w:ascii="宋体" w:hAnsi="宋体" w:cs="宋体" w:eastAsia="宋体" w:hint="default"/>
                <w:sz w:val="16"/>
                <w:szCs w:val="16"/>
              </w:rPr>
            </w:pPr>
            <w:r>
              <w:rPr>
                <w:rFonts w:ascii="宋体" w:hAnsi="宋体" w:cs="宋体" w:eastAsia="宋体" w:hint="default"/>
                <w:sz w:val="16"/>
                <w:szCs w:val="16"/>
              </w:rPr>
              <w:t>经营地址</w:t>
            </w:r>
          </w:p>
        </w:tc>
        <w:tc>
          <w:tcPr>
            <w:tcW w:w="146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宋体" w:hAnsi="宋体" w:cs="宋体" w:eastAsia="宋体" w:hint="default"/>
                <w:sz w:val="16"/>
                <w:szCs w:val="16"/>
              </w:rPr>
              <w:t>记账本位币</w:t>
            </w:r>
          </w:p>
        </w:tc>
      </w:tr>
      <w:tr>
        <w:trPr>
          <w:trHeight w:val="338" w:hRule="exact"/>
        </w:trPr>
        <w:tc>
          <w:tcPr>
            <w:tcW w:w="26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2"/>
              <w:ind w:left="26" w:right="0"/>
              <w:jc w:val="left"/>
              <w:rPr>
                <w:rFonts w:ascii="Times New Roman" w:hAnsi="Times New Roman" w:cs="Times New Roman" w:eastAsia="Times New Roman" w:hint="default"/>
                <w:sz w:val="16"/>
                <w:szCs w:val="16"/>
              </w:rPr>
            </w:pPr>
            <w:r>
              <w:rPr>
                <w:rFonts w:ascii="Times New Roman"/>
                <w:sz w:val="16"/>
              </w:rPr>
              <w:t>LongShineTechnologyCo.,Ltd</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62" w:right="-1"/>
              <w:jc w:val="left"/>
              <w:rPr>
                <w:rFonts w:ascii="宋体" w:hAnsi="宋体" w:cs="宋体" w:eastAsia="宋体" w:hint="default"/>
                <w:sz w:val="16"/>
                <w:szCs w:val="16"/>
              </w:rPr>
            </w:pPr>
            <w:r>
              <w:rPr>
                <w:rFonts w:ascii="宋体" w:hAnsi="宋体" w:cs="宋体" w:eastAsia="宋体" w:hint="default"/>
                <w:sz w:val="16"/>
                <w:szCs w:val="16"/>
              </w:rPr>
              <w:t>厄瓜多尔</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 w:right="0"/>
              <w:jc w:val="center"/>
              <w:rPr>
                <w:rFonts w:ascii="宋体" w:hAnsi="宋体" w:cs="宋体" w:eastAsia="宋体" w:hint="default"/>
                <w:sz w:val="16"/>
                <w:szCs w:val="16"/>
              </w:rPr>
            </w:pPr>
            <w:r>
              <w:rPr>
                <w:rFonts w:ascii="宋体" w:hAnsi="宋体" w:cs="宋体" w:eastAsia="宋体" w:hint="default"/>
                <w:sz w:val="16"/>
                <w:szCs w:val="16"/>
              </w:rPr>
              <w:t>美元</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80、套期" w:id="403"/>
      <w:bookmarkEnd w:id="403"/>
      <w:r>
        <w:rPr>
          <w:b w:val="0"/>
          <w:bCs w:val="0"/>
        </w:rPr>
      </w:r>
      <w:r>
        <w:rPr>
          <w:rFonts w:ascii="Times New Roman" w:hAnsi="Times New Roman" w:cs="Times New Roman" w:eastAsia="Times New Roman" w:hint="default"/>
        </w:rPr>
        <w:t>80</w:t>
      </w:r>
      <w:r>
        <w:rPr/>
        <w:t>、套期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0"/>
        <w:jc w:val="left"/>
      </w:pPr>
      <w:r>
        <w:rPr/>
        <w:t>按照套期类别披露套期项目及相关套期工具、被套期风险的定性和定量信息：</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line="487" w:lineRule="auto" w:before="36"/>
        <w:ind w:left="152" w:right="7350" w:firstLine="0"/>
        <w:jc w:val="left"/>
        <w:rPr>
          <w:rFonts w:ascii="宋体" w:hAnsi="宋体" w:cs="宋体" w:eastAsia="宋体" w:hint="default"/>
          <w:sz w:val="21"/>
          <w:szCs w:val="21"/>
        </w:rPr>
      </w:pPr>
      <w:bookmarkStart w:name="81、其他" w:id="404"/>
      <w:bookmarkEnd w:id="404"/>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405"/>
      <w:bookmarkEnd w:id="405"/>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6"/>
      <w:bookmarkEnd w:id="40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150"/>
        <w:jc w:val="left"/>
        <w:rPr>
          <w:b w:val="0"/>
          <w:bCs w:val="0"/>
        </w:rPr>
      </w:pPr>
      <w:bookmarkStart w:name="（1）本期发生的非同一控制下企业合并" w:id="407"/>
      <w:bookmarkEnd w:id="40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无锡朗新金 关信息科技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协议收购</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已支付</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以上的对价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3,978,241.92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-1,810,902.28</w:t>
            </w:r>
          </w:p>
        </w:tc>
      </w:tr>
    </w:tbl>
    <w:p>
      <w:pPr>
        <w:pStyle w:val="BodyText"/>
        <w:spacing w:line="240" w:lineRule="auto" w:before="49"/>
        <w:ind w:right="150"/>
        <w:jc w:val="left"/>
      </w:pPr>
      <w:r>
        <w:rPr/>
        <w:t>其他说明：</w:t>
      </w:r>
    </w:p>
    <w:p>
      <w:pPr>
        <w:pStyle w:val="BodyText"/>
        <w:spacing w:line="300" w:lineRule="auto" w:before="115"/>
        <w:ind w:right="150"/>
        <w:jc w:val="left"/>
      </w:pPr>
      <w:r>
        <w:rPr>
          <w:spacing w:val="-2"/>
        </w:rPr>
        <w:t>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月，本公司与无锡朗新金关信息科技有限公司原股东签署股权转让及增资协议（以下简称</w:t>
      </w:r>
      <w:r>
        <w:rPr>
          <w:rFonts w:ascii="Times New Roman" w:hAnsi="Times New Roman" w:cs="Times New Roman" w:eastAsia="Times New Roman" w:hint="default"/>
          <w:spacing w:val="-2"/>
        </w:rPr>
        <w:t>“</w:t>
      </w:r>
      <w:r>
        <w:rPr>
          <w:spacing w:val="-2"/>
        </w:rPr>
        <w:t>投资协议</w:t>
      </w:r>
      <w:r>
        <w:rPr>
          <w:rFonts w:ascii="Times New Roman" w:hAnsi="Times New Roman" w:cs="Times New Roman" w:eastAsia="Times New Roman" w:hint="default"/>
          <w:spacing w:val="-2"/>
        </w:rPr>
        <w:t>”</w:t>
      </w:r>
      <w:r>
        <w:rPr>
          <w:spacing w:val="-2"/>
        </w:rPr>
        <w:t>），朗新金</w:t>
      </w:r>
      <w:r>
        <w:rPr>
          <w:spacing w:val="-42"/>
        </w:rPr>
        <w:t> </w:t>
      </w:r>
      <w:r>
        <w:rPr>
          <w:spacing w:val="-42"/>
        </w:rPr>
      </w:r>
      <w:r>
        <w:rPr/>
        <w:t>关是一家专注于海关报关软件开发及平台管理业务的公司。本次交易的总对价为</w:t>
      </w:r>
      <w:r>
        <w:rPr>
          <w:rFonts w:ascii="Times New Roman" w:hAnsi="Times New Roman" w:cs="Times New Roman" w:eastAsia="Times New Roman" w:hint="default"/>
        </w:rPr>
        <w:t>1,500.00</w:t>
      </w:r>
      <w:r>
        <w:rPr/>
        <w:t>万元，其中对价</w:t>
      </w:r>
      <w:r>
        <w:rPr>
          <w:rFonts w:ascii="Times New Roman" w:hAnsi="Times New Roman" w:cs="Times New Roman" w:eastAsia="Times New Roman" w:hint="default"/>
        </w:rPr>
        <w:t>300.00</w:t>
      </w:r>
      <w:r>
        <w:rPr/>
        <w:t>万元购买现 有股东所持有的股份，其余对价</w:t>
      </w:r>
      <w:r>
        <w:rPr>
          <w:rFonts w:ascii="Times New Roman" w:hAnsi="Times New Roman" w:cs="Times New Roman" w:eastAsia="Times New Roman" w:hint="default"/>
        </w:rPr>
        <w:t>1200.00</w:t>
      </w:r>
      <w:r>
        <w:rPr/>
        <w:t>万元作为向朗新金关的增资。交易完成后，朗新科技将持有朗新金关</w:t>
      </w:r>
      <w:r>
        <w:rPr>
          <w:rFonts w:ascii="Times New Roman" w:hAnsi="Times New Roman" w:cs="Times New Roman" w:eastAsia="Times New Roman" w:hint="default"/>
        </w:rPr>
        <w:t>51%</w:t>
      </w:r>
      <w:r>
        <w:rPr/>
        <w:t>股份并取 得控制权。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2"/>
        <w:ind w:right="150"/>
        <w:jc w:val="left"/>
        <w:rPr>
          <w:b w:val="0"/>
          <w:bCs w:val="0"/>
        </w:rPr>
      </w:pPr>
      <w:bookmarkStart w:name="（2）合并成本及商誉" w:id="408"/>
      <w:bookmarkEnd w:id="40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朗新金关</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7,124,032.12</w:t>
            </w:r>
            <w:r>
              <w:rPr>
                <w:rFonts w:ascii="Times New Roman"/>
                <w:sz w:val="18"/>
              </w:rPr>
            </w:r>
          </w:p>
        </w:tc>
      </w:tr>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7,875,967.88</w:t>
            </w:r>
            <w:r>
              <w:rPr>
                <w:rFonts w:ascii="Times New Roman"/>
                <w:sz w:val="18"/>
              </w:rPr>
            </w:r>
          </w:p>
        </w:tc>
      </w:tr>
    </w:tbl>
    <w:p>
      <w:pPr>
        <w:pStyle w:val="BodyText"/>
        <w:spacing w:line="338" w:lineRule="auto" w:before="49"/>
        <w:ind w:right="150"/>
        <w:jc w:val="left"/>
      </w:pPr>
      <w:r>
        <w:rPr/>
        <w:t>合并成本公允价值的确定方法、或有对价及其变动的说明： 本集团采用估值技术来确定上述非同一控制下企业合并所收购的公司的资产负债于购买日的公允价值。 </w:t>
      </w:r>
      <w:r>
        <w:rPr>
          <w:spacing w:val="-2"/>
        </w:rPr>
        <w:t>于收购日朗新金关报关业务的未来经营模式及盈利模式尚在探索中，未来现金流及其他收益无法确定，未识别出未在收购日</w:t>
      </w:r>
    </w:p>
    <w:p>
      <w:pPr>
        <w:pStyle w:val="BodyText"/>
        <w:spacing w:line="338" w:lineRule="auto" w:before="2"/>
        <w:ind w:right="3294"/>
        <w:jc w:val="left"/>
      </w:pPr>
      <w:r>
        <w:rPr/>
        <w:t>报表反映的其他可能为企业带来经济利益流入的可确指的有形、无形资产。 经营负债评估方法为成本法，根据核实经营负债入账价值及预期现金流变动确定。 大额商誉形成的主要原因：</w:t>
      </w:r>
    </w:p>
    <w:p>
      <w:pPr>
        <w:pStyle w:val="BodyText"/>
        <w:spacing w:line="240" w:lineRule="auto" w:before="41"/>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3）被购买方于购买日可辨认资产、负债" w:id="409"/>
      <w:bookmarkEnd w:id="40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2"/>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392" w:type="dxa"/>
            <w:gridSpan w:val="2"/>
            <w:tcBorders>
              <w:top w:val="single" w:sz="4" w:space="0" w:color="000000"/>
              <w:left w:val="single" w:sz="10" w:space="0" w:color="D4D4D4"/>
              <w:bottom w:val="single" w:sz="4" w:space="0" w:color="000000"/>
              <w:right w:val="single" w:sz="4" w:space="0" w:color="000000"/>
            </w:tcBorders>
            <w:shd w:val="clear" w:color="auto" w:fill="E1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12,213,588.65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12,213,588.65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70,898.11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70,898.11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12,172,690.54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12,172,690.54</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5,048,658.42</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5,048,658.42</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7,124,032.12</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7,124,032.12</w:t>
            </w:r>
            <w:r>
              <w:rPr>
                <w:rFonts w:ascii="Times New Roman"/>
                <w:sz w:val="18"/>
              </w:rPr>
            </w:r>
          </w:p>
        </w:tc>
      </w:tr>
    </w:tbl>
    <w:p>
      <w:pPr>
        <w:pStyle w:val="BodyText"/>
        <w:spacing w:line="357" w:lineRule="auto" w:before="49"/>
        <w:ind w:right="6551"/>
        <w:jc w:val="both"/>
      </w:pPr>
      <w:r>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bookmarkStart w:name="（4）购买日之前持有的股权按照公允价值重新计量产生的利得或损失" w:id="410"/>
      <w:bookmarkEnd w:id="41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5）购买日或合并当期期末无法合理确定合并对价或被购买方可辨认资产、负债公允价值" w:id="411"/>
      <w:bookmarkEnd w:id="41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6）其他说明" w:id="412"/>
      <w:bookmarkEnd w:id="412"/>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2、同一控制下企业合并" w:id="413"/>
      <w:bookmarkEnd w:id="41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本期发生的同一控制下企业合并" w:id="414"/>
      <w:bookmarkEnd w:id="41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4"/>
        <w:gridCol w:w="1062"/>
        <w:gridCol w:w="1066"/>
        <w:gridCol w:w="1063"/>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2）合并成本" w:id="415"/>
      <w:bookmarkEnd w:id="41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05pt;mso-position-horizontal-relative:char;mso-position-vertical-relative:line" coordorigin="0,0" coordsize="9579,421">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4774;top:14;width:2;height:392" coordorigin="4774,14" coordsize="2,392">
              <v:shape style="position:absolute;left:4774;top:14;width:2;height:392" coordorigin="4774,14" coordsize="0,392" path="m4774,14l4774,406e" filled="false" stroked="true" strokeweight="1.2pt" strokecolor="#d4d4d4">
                <v:path arrowok="t"/>
              </v:shape>
            </v:group>
            <v:group style="position:absolute;left:34;top:14;width:4728;height:392" coordorigin="34,14" coordsize="4728,392">
              <v:shape style="position:absolute;left:34;top:14;width:4728;height:392" coordorigin="34,14" coordsize="4728,392" path="m34,406l4762,406,4762,14,34,14,34,406xe" filled="true" fillcolor="#d4d4d4"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08pt" strokecolor="#e1ffff">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e1ffff">
                <v:path arrowok="t"/>
              </v:shape>
            </v:group>
            <v:group style="position:absolute;left:4817;top:14;width:4728;height:392" coordorigin="4817,14" coordsize="4728,392">
              <v:shape style="position:absolute;left:4817;top:14;width:4728;height:392" coordorigin="4817,14" coordsize="4728,392" path="m4817,406l9545,406,9545,14,4817,14,4817,406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1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1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4;height:2" coordorigin="10,410" coordsize="4774,2">
              <v:shape style="position:absolute;left:10;top:410;width:4774;height:2" coordorigin="10,410" coordsize="4774,0" path="m10,410l4783,410e" filled="false" stroked="true" strokeweight=".48pt" strokecolor="#000000">
                <v:path arrowok="t"/>
              </v:shape>
            </v:group>
            <v:group style="position:absolute;left:4788;top:5;width:2;height:411" coordorigin="4788,5" coordsize="2,411">
              <v:shape style="position:absolute;left:4788;top:5;width:2;height:411" coordorigin="4788,5" coordsize="0,411" path="m4788,5l4788,415e" filled="false" stroked="true" strokeweight=".48pt" strokecolor="#000000">
                <v:path arrowok="t"/>
              </v:shape>
            </v:group>
            <v:group style="position:absolute;left:4793;top:410;width:4776;height:2" coordorigin="4793,410" coordsize="4776,2">
              <v:shape style="position:absolute;left:4793;top:410;width:4776;height:2" coordorigin="4793,410" coordsize="4776,0" path="m4793,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shape style="position:absolute;left:6;top:10;width:4784;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7614"/>
        <w:jc w:val="left"/>
      </w:pPr>
      <w:r>
        <w:rPr/>
        <w:t>或有对价及其变动的说明： 其他说明：</w:t>
      </w:r>
    </w:p>
    <w:p>
      <w:pPr>
        <w:spacing w:after="0" w:line="36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89"/>
        <w:jc w:val="left"/>
        <w:rPr>
          <w:b w:val="0"/>
          <w:bCs w:val="0"/>
        </w:rPr>
      </w:pPr>
      <w:bookmarkStart w:name="（3）合并日被合并方资产、负债的账面价值" w:id="416"/>
      <w:bookmarkEnd w:id="41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3;top:14;width:2;height:394" coordorigin="23,14" coordsize="2,394">
              <v:shape style="position:absolute;left:23;top:14;width:2;height:394" coordorigin="23,14" coordsize="0,394" path="m23,14l23,408e" filled="false" stroked="true" strokeweight="1.08pt" strokecolor="#d4d4d4">
                <v:path arrowok="t"/>
              </v:shape>
            </v:group>
            <v:group style="position:absolute;left:3180;top:14;width:2;height:394" coordorigin="3180,14" coordsize="2,394">
              <v:shape style="position:absolute;left:3180;top:14;width:2;height:394" coordorigin="3180,14" coordsize="0,394" path="m3180,14l3180,408e" filled="false" stroked="true" strokeweight="1.2pt" strokecolor="#d4d4d4">
                <v:path arrowok="t"/>
              </v:shape>
            </v:group>
            <v:group style="position:absolute;left:34;top:14;width:3135;height:394" coordorigin="34,14" coordsize="3135,394">
              <v:shape style="position:absolute;left:34;top:14;width:3135;height:394" coordorigin="34,14" coordsize="3135,394" path="m34,408l3168,408,3168,14,34,14,34,408xe" filled="true" fillcolor="#d4d4d4" stroked="false">
                <v:path arrowok="t"/>
                <v:fill type="solid"/>
              </v:shape>
            </v:group>
            <v:group style="position:absolute;left:3212;top:14;width:2;height:394" coordorigin="3212,14" coordsize="2,394">
              <v:shape style="position:absolute;left:3212;top:14;width:2;height:394" coordorigin="3212,14" coordsize="0,394" path="m3212,14l3212,408e" filled="false" stroked="true" strokeweight="1.08pt" strokecolor="#e1ffff">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e1ffff">
                <v:path arrowok="t"/>
              </v:shape>
            </v:group>
            <v:group style="position:absolute;left:3223;top:14;width:6324;height:394" coordorigin="3223,14" coordsize="6324,394">
              <v:shape style="position:absolute;left:3223;top:14;width:6324;height:394" coordorigin="3223,14" coordsize="6324,394" path="m3223,408l9547,408,9547,14,3223,14,3223,408xe" filled="true" fillcolor="#e1ffff" stroked="false">
                <v:path arrowok="t"/>
                <v:fill type="solid"/>
              </v:shape>
            </v:group>
            <v:group style="position:absolute;left:10;top:10;width:3180;height:2" coordorigin="10,10" coordsize="3180,2">
              <v:shape style="position:absolute;left:10;top:10;width:3180;height:2" coordorigin="10,10" coordsize="3180,0" path="m10,10l3190,10e" filled="false" stroked="true" strokeweight=".481pt" strokecolor="#000000">
                <v:path arrowok="t"/>
              </v:shape>
            </v:group>
            <v:group style="position:absolute;left:3199;top:10;width:6372;height:2" coordorigin="3199,10" coordsize="6372,2">
              <v:shape style="position:absolute;left:3199;top:10;width:6372;height:2" coordorigin="3199,10" coordsize="6372,0" path="m3199,10l9571,10e" filled="false" stroked="true" strokeweight=".481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4d4d4">
                <v:path arrowok="t"/>
              </v:shape>
            </v:group>
            <v:group style="position:absolute;left:3180;top:418;width:2;height:392" coordorigin="3180,418" coordsize="2,392">
              <v:shape style="position:absolute;left:3180;top:418;width:2;height:392" coordorigin="3180,418" coordsize="0,392" path="m3180,418l3180,809e" filled="false" stroked="true" strokeweight="1.2pt" strokecolor="#d4d4d4">
                <v:path arrowok="t"/>
              </v:shape>
            </v:group>
            <v:group style="position:absolute;left:34;top:418;width:3135;height:392" coordorigin="34,418" coordsize="3135,392">
              <v:shape style="position:absolute;left:34;top:418;width:3135;height:392" coordorigin="34,418" coordsize="3135,392" path="m34,809l3168,809,3168,418,34,418,34,809xe" filled="true" fillcolor="#d4d4d4"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08pt" strokecolor="#d4d4d4">
                <v:path arrowok="t"/>
              </v:shape>
            </v:group>
            <v:group style="position:absolute;left:6370;top:418;width:2;height:392" coordorigin="6370,418" coordsize="2,392">
              <v:shape style="position:absolute;left:6370;top:418;width:2;height:392" coordorigin="6370,418" coordsize="0,392" path="m6370,418l6370,809e" filled="false" stroked="true" strokeweight="1.2pt" strokecolor="#d4d4d4">
                <v:path arrowok="t"/>
              </v:shape>
            </v:group>
            <v:group style="position:absolute;left:3223;top:418;width:3135;height:392" coordorigin="3223,418" coordsize="3135,392">
              <v:shape style="position:absolute;left:3223;top:418;width:3135;height:392" coordorigin="3223,418" coordsize="3135,392" path="m3223,809l6358,809,6358,418,3223,418,3223,809xe" filled="true" fillcolor="#d4d4d4"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08pt" strokecolor="#d4d4d4">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4d4d4">
                <v:path arrowok="t"/>
              </v:shape>
            </v:group>
            <v:group style="position:absolute;left:6413;top:418;width:3135;height:392" coordorigin="6413,418" coordsize="3135,392">
              <v:shape style="position:absolute;left:6413;top:418;width:3135;height:392" coordorigin="6413,418" coordsize="3135,392" path="m6413,809l9547,809,9547,418,6413,418,6413,809xe" filled="true" fillcolor="#d4d4d4" stroked="false">
                <v:path arrowok="t"/>
                <v:fill type="solid"/>
              </v:shape>
            </v:group>
            <v:group style="position:absolute;left:10;top:413;width:3180;height:2" coordorigin="10,413" coordsize="3180,2">
              <v:shape style="position:absolute;left:10;top:413;width:3180;height:2" coordorigin="10,413" coordsize="3180,0" path="m10,413l3190,413e" filled="false" stroked="true" strokeweight=".481pt" strokecolor="#000000">
                <v:path arrowok="t"/>
              </v:shape>
            </v:group>
            <v:group style="position:absolute;left:3199;top:413;width:3180;height:2" coordorigin="3199,413" coordsize="3180,2">
              <v:shape style="position:absolute;left:3199;top:413;width:3180;height:2" coordorigin="3199,413" coordsize="3180,0" path="m3199,413l6379,413e" filled="false" stroked="true" strokeweight=".481pt" strokecolor="#000000">
                <v:path arrowok="t"/>
              </v:shape>
            </v:group>
            <v:group style="position:absolute;left:6389;top:413;width:3183;height:2" coordorigin="6389,413" coordsize="3183,2">
              <v:shape style="position:absolute;left:6389;top:413;width:3183;height:2" coordorigin="6389,413" coordsize="3183,0" path="m6389,413l9571,413e" filled="false" stroked="true" strokeweight=".481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0;height:2" coordorigin="10,814" coordsize="3180,2">
              <v:shape style="position:absolute;left:10;top:814;width:3180;height:2" coordorigin="10,814" coordsize="3180,0" path="m10,814l3190,814e" filled="false" stroked="true" strokeweight=".48pt" strokecolor="#000000">
                <v:path arrowok="t"/>
              </v:shape>
            </v:group>
            <v:group style="position:absolute;left:3194;top:5;width:2;height:814" coordorigin="3194,5" coordsize="2,814">
              <v:shape style="position:absolute;left:3194;top:5;width:2;height:814" coordorigin="3194,5" coordsize="0,814" path="m3194,5l3194,818e" filled="false" stroked="true" strokeweight=".48pt" strokecolor="#000000">
                <v:path arrowok="t"/>
              </v:shape>
            </v:group>
            <v:group style="position:absolute;left:3199;top:814;width:3180;height:2" coordorigin="3199,814" coordsize="3180,2">
              <v:shape style="position:absolute;left:3199;top:814;width:3180;height:2" coordorigin="3199,814" coordsize="3180,0" path="m3199,814l6379,814e" filled="false" stroked="true" strokeweight=".48pt" strokecolor="#000000">
                <v:path arrowok="t"/>
              </v:shape>
            </v:group>
            <v:group style="position:absolute;left:6384;top:408;width:2;height:411" coordorigin="6384,408" coordsize="2,411">
              <v:shape style="position:absolute;left:6384;top:408;width:2;height:411" coordorigin="6384,408" coordsize="0,411" path="m6384,408l6384,818e" filled="false" stroked="true" strokeweight=".48pt" strokecolor="#000000">
                <v:path arrowok="t"/>
              </v:shape>
            </v:group>
            <v:group style="position:absolute;left:6389;top:814;width:3183;height:2" coordorigin="6389,814" coordsize="3183,2">
              <v:shape style="position:absolute;left:6389;top:814;width:3183;height:2" coordorigin="6389,814" coordsize="3183,0" path="m6389,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4;top:413;width:3202;height:401"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79;height:401"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4"/>
        <w:ind w:right="6574"/>
        <w:jc w:val="left"/>
      </w:pPr>
      <w:r>
        <w:rPr/>
        <w:t>企业合并中承担的被合并方的或有负债： 其他说明：</w:t>
      </w:r>
    </w:p>
    <w:p>
      <w:pPr>
        <w:spacing w:line="240" w:lineRule="auto" w:before="2"/>
        <w:rPr>
          <w:rFonts w:ascii="宋体" w:hAnsi="宋体" w:cs="宋体" w:eastAsia="宋体" w:hint="default"/>
          <w:sz w:val="20"/>
          <w:szCs w:val="20"/>
        </w:rPr>
      </w:pPr>
    </w:p>
    <w:p>
      <w:pPr>
        <w:pStyle w:val="Heading3"/>
        <w:spacing w:line="240" w:lineRule="auto"/>
        <w:ind w:right="189"/>
        <w:jc w:val="left"/>
        <w:rPr>
          <w:b w:val="0"/>
          <w:bCs w:val="0"/>
        </w:rPr>
      </w:pPr>
      <w:bookmarkStart w:name="3、反向购买" w:id="417"/>
      <w:bookmarkEnd w:id="41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9"/>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10"/>
        <w:rPr>
          <w:rFonts w:ascii="宋体" w:hAnsi="宋体" w:cs="宋体" w:eastAsia="宋体" w:hint="default"/>
          <w:sz w:val="22"/>
          <w:szCs w:val="22"/>
        </w:rPr>
      </w:pPr>
    </w:p>
    <w:p>
      <w:pPr>
        <w:pStyle w:val="Heading3"/>
        <w:spacing w:line="240" w:lineRule="auto"/>
        <w:ind w:right="189"/>
        <w:jc w:val="left"/>
        <w:rPr>
          <w:b w:val="0"/>
          <w:bCs w:val="0"/>
        </w:rPr>
      </w:pPr>
      <w:bookmarkStart w:name="4、处置子公司" w:id="418"/>
      <w:bookmarkEnd w:id="41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9"/>
        <w:jc w:val="left"/>
      </w:pPr>
      <w:r>
        <w:rPr/>
        <w:t>是否存在单次处置对子公司投资即丧失控制权的情形</w:t>
      </w:r>
    </w:p>
    <w:p>
      <w:pPr>
        <w:pStyle w:val="BodyText"/>
        <w:spacing w:line="340" w:lineRule="auto" w:before="115"/>
        <w:ind w:right="4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1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89"/>
        <w:jc w:val="left"/>
        <w:rPr>
          <w:b w:val="0"/>
          <w:bCs w:val="0"/>
        </w:rPr>
      </w:pPr>
      <w:bookmarkStart w:name="5、其他原因的合并范围变动" w:id="419"/>
      <w:bookmarkEnd w:id="41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9"/>
        <w:jc w:val="left"/>
      </w:pPr>
      <w:r>
        <w:rPr/>
        <w:t>说明其他原因导致的合并范围变动（如，新设子公司、清算子公司等）及其相关情况：</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834"/>
        <w:gridCol w:w="1020"/>
        <w:gridCol w:w="1020"/>
        <w:gridCol w:w="1020"/>
      </w:tblGrid>
      <w:tr>
        <w:trPr>
          <w:trHeight w:val="338" w:hRule="exact"/>
        </w:trPr>
        <w:tc>
          <w:tcPr>
            <w:tcW w:w="2834" w:type="dxa"/>
            <w:tcBorders>
              <w:top w:val="nil" w:sz="6" w:space="0" w:color="auto"/>
              <w:left w:val="nil" w:sz="6" w:space="0" w:color="auto"/>
              <w:bottom w:val="single" w:sz="6" w:space="0" w:color="000000"/>
              <w:right w:val="single" w:sz="6" w:space="0" w:color="000000"/>
            </w:tcBorders>
          </w:tcPr>
          <w:p>
            <w:pPr>
              <w:pStyle w:val="TableParagraph"/>
              <w:spacing w:line="240" w:lineRule="auto" w:before="34"/>
              <w:ind w:left="26" w:right="0"/>
              <w:jc w:val="left"/>
              <w:rPr>
                <w:rFonts w:ascii="宋体" w:hAnsi="宋体" w:cs="宋体" w:eastAsia="宋体" w:hint="default"/>
                <w:sz w:val="16"/>
                <w:szCs w:val="16"/>
              </w:rPr>
            </w:pPr>
            <w:r>
              <w:rPr>
                <w:rFonts w:ascii="宋体"/>
                <w:w w:val="100"/>
                <w:sz w:val="16"/>
              </w:rPr>
              <w:t> </w:t>
            </w:r>
          </w:p>
        </w:tc>
        <w:tc>
          <w:tcPr>
            <w:tcW w:w="102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6"/>
              <w:ind w:left="249" w:right="0"/>
              <w:jc w:val="left"/>
              <w:rPr>
                <w:rFonts w:ascii="宋体" w:hAnsi="宋体" w:cs="宋体" w:eastAsia="宋体" w:hint="default"/>
                <w:sz w:val="16"/>
                <w:szCs w:val="16"/>
              </w:rPr>
            </w:pPr>
            <w:r>
              <w:rPr>
                <w:rFonts w:ascii="宋体" w:hAnsi="宋体" w:cs="宋体" w:eastAsia="宋体" w:hint="default"/>
                <w:sz w:val="16"/>
                <w:szCs w:val="16"/>
              </w:rPr>
              <w:t>取得方式</w:t>
            </w:r>
          </w:p>
        </w:tc>
        <w:tc>
          <w:tcPr>
            <w:tcW w:w="102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年度</w:t>
            </w:r>
          </w:p>
        </w:tc>
        <w:tc>
          <w:tcPr>
            <w:tcW w:w="102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2016</w:t>
            </w:r>
            <w:r>
              <w:rPr>
                <w:rFonts w:ascii="宋体" w:hAnsi="宋体" w:cs="宋体" w:eastAsia="宋体" w:hint="default"/>
                <w:sz w:val="16"/>
                <w:szCs w:val="16"/>
              </w:rPr>
              <w:t>年度</w:t>
            </w:r>
          </w:p>
        </w:tc>
      </w:tr>
      <w:tr>
        <w:trPr>
          <w:trHeight w:val="338"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26" w:right="0"/>
              <w:jc w:val="left"/>
              <w:rPr>
                <w:rFonts w:ascii="宋体" w:hAnsi="宋体" w:cs="宋体" w:eastAsia="宋体" w:hint="default"/>
                <w:sz w:val="16"/>
                <w:szCs w:val="16"/>
              </w:rPr>
            </w:pPr>
            <w:r>
              <w:rPr>
                <w:rFonts w:ascii="宋体" w:hAnsi="宋体" w:cs="宋体" w:eastAsia="宋体" w:hint="default"/>
                <w:sz w:val="16"/>
                <w:szCs w:val="16"/>
              </w:rPr>
              <w:t>朗新云商科技有限公司</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84" w:right="0"/>
              <w:jc w:val="left"/>
              <w:rPr>
                <w:rFonts w:ascii="宋体" w:hAnsi="宋体" w:cs="宋体" w:eastAsia="宋体" w:hint="default"/>
                <w:sz w:val="16"/>
                <w:szCs w:val="16"/>
              </w:rPr>
            </w:pPr>
            <w:r>
              <w:rPr>
                <w:rFonts w:ascii="宋体" w:hAnsi="宋体" w:cs="宋体" w:eastAsia="宋体" w:hint="default"/>
                <w:sz w:val="16"/>
                <w:szCs w:val="16"/>
              </w:rPr>
              <w:t>出资设立</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6"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 w:right="0"/>
              <w:jc w:val="center"/>
              <w:rPr>
                <w:rFonts w:ascii="宋体" w:hAnsi="宋体" w:cs="宋体" w:eastAsia="宋体" w:hint="default"/>
                <w:sz w:val="16"/>
                <w:szCs w:val="16"/>
              </w:rPr>
            </w:pPr>
            <w:r>
              <w:rPr>
                <w:rFonts w:ascii="宋体" w:hAnsi="宋体" w:cs="宋体" w:eastAsia="宋体" w:hint="default"/>
                <w:sz w:val="16"/>
                <w:szCs w:val="16"/>
              </w:rPr>
              <w:t>不适用</w:t>
            </w:r>
          </w:p>
        </w:tc>
      </w:tr>
      <w:tr>
        <w:trPr>
          <w:trHeight w:val="336"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26" w:right="0"/>
              <w:jc w:val="left"/>
              <w:rPr>
                <w:rFonts w:ascii="宋体" w:hAnsi="宋体" w:cs="宋体" w:eastAsia="宋体" w:hint="default"/>
                <w:sz w:val="16"/>
                <w:szCs w:val="16"/>
              </w:rPr>
            </w:pPr>
            <w:r>
              <w:rPr>
                <w:rFonts w:ascii="宋体" w:hAnsi="宋体" w:cs="宋体" w:eastAsia="宋体" w:hint="default"/>
                <w:sz w:val="16"/>
                <w:szCs w:val="16"/>
              </w:rPr>
              <w:t>朗新数据科技有限公司</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hAnsi="宋体" w:cs="宋体" w:eastAsia="宋体" w:hint="default"/>
                <w:sz w:val="16"/>
                <w:szCs w:val="16"/>
              </w:rPr>
              <w:t>出资设立</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6"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16"/>
                <w:szCs w:val="16"/>
              </w:rPr>
            </w:pPr>
            <w:r>
              <w:rPr>
                <w:rFonts w:ascii="宋体" w:hAnsi="宋体" w:cs="宋体" w:eastAsia="宋体" w:hint="default"/>
                <w:sz w:val="16"/>
                <w:szCs w:val="16"/>
              </w:rPr>
              <w:t>不适用</w:t>
            </w:r>
          </w:p>
        </w:tc>
      </w:tr>
      <w:tr>
        <w:trPr>
          <w:trHeight w:val="338"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26" w:right="0"/>
              <w:jc w:val="left"/>
              <w:rPr>
                <w:rFonts w:ascii="宋体" w:hAnsi="宋体" w:cs="宋体" w:eastAsia="宋体" w:hint="default"/>
                <w:sz w:val="16"/>
                <w:szCs w:val="16"/>
              </w:rPr>
            </w:pPr>
            <w:r>
              <w:rPr>
                <w:rFonts w:ascii="宋体" w:hAnsi="宋体" w:cs="宋体" w:eastAsia="宋体" w:hint="default"/>
                <w:sz w:val="16"/>
                <w:szCs w:val="16"/>
              </w:rPr>
              <w:t>朗新科技投资管理无锡有限公司</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hAnsi="宋体" w:cs="宋体" w:eastAsia="宋体" w:hint="default"/>
                <w:sz w:val="16"/>
                <w:szCs w:val="16"/>
              </w:rPr>
              <w:t>出资设立</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6"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center"/>
              <w:rPr>
                <w:rFonts w:ascii="宋体" w:hAnsi="宋体" w:cs="宋体" w:eastAsia="宋体" w:hint="default"/>
                <w:sz w:val="16"/>
                <w:szCs w:val="16"/>
              </w:rPr>
            </w:pPr>
            <w:r>
              <w:rPr>
                <w:rFonts w:ascii="宋体" w:hAnsi="宋体" w:cs="宋体" w:eastAsia="宋体" w:hint="default"/>
                <w:sz w:val="16"/>
                <w:szCs w:val="16"/>
              </w:rPr>
              <w:t>不适用</w:t>
            </w:r>
          </w:p>
        </w:tc>
      </w:tr>
    </w:tbl>
    <w:p>
      <w:pPr>
        <w:spacing w:line="240" w:lineRule="auto" w:before="1"/>
        <w:rPr>
          <w:rFonts w:ascii="宋体" w:hAnsi="宋体" w:cs="宋体" w:eastAsia="宋体" w:hint="default"/>
          <w:sz w:val="21"/>
          <w:szCs w:val="21"/>
        </w:rPr>
      </w:pPr>
    </w:p>
    <w:p>
      <w:pPr>
        <w:pStyle w:val="BodyText"/>
        <w:spacing w:line="300" w:lineRule="auto" w:before="44"/>
        <w:ind w:right="94" w:hanging="1"/>
        <w:jc w:val="left"/>
      </w:pP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日，设立了全资子公司朗新科技投资管理无锡有限公司，注册资本</w:t>
      </w:r>
      <w:r>
        <w:rPr>
          <w:rFonts w:ascii="Times New Roman" w:hAnsi="Times New Roman" w:cs="Times New Roman" w:eastAsia="Times New Roman" w:hint="default"/>
        </w:rPr>
        <w:t>10,000,000.00</w:t>
      </w:r>
      <w:r>
        <w:rPr/>
        <w:t>元，并纳入本公司合并 范围。截至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日，实缴资本</w:t>
      </w:r>
      <w:r>
        <w:rPr>
          <w:rFonts w:ascii="Times New Roman" w:hAnsi="Times New Roman" w:cs="Times New Roman" w:eastAsia="Times New Roman" w:hint="default"/>
        </w:rPr>
        <w:t>10,100.00</w:t>
      </w:r>
      <w:r>
        <w:rPr/>
        <w:t>元。 </w:t>
      </w:r>
      <w:r>
        <w:rPr>
          <w:spacing w:val="-3"/>
        </w:rPr>
        <w:t>本公司于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w:t>
      </w:r>
      <w:r>
        <w:rPr>
          <w:spacing w:val="-3"/>
        </w:rPr>
        <w:t>日，设立了全资子公司朗新云商科技有限公司及朗新数据科技有限公司，注册资本均为</w:t>
      </w:r>
      <w:r>
        <w:rPr>
          <w:rFonts w:ascii="Times New Roman" w:hAnsi="Times New Roman" w:cs="Times New Roman" w:eastAsia="Times New Roman" w:hint="default"/>
          <w:spacing w:val="-3"/>
        </w:rPr>
        <w:t>50,000,000.00</w:t>
      </w:r>
      <w:r>
        <w:rPr>
          <w:spacing w:val="-3"/>
        </w:rPr>
        <w:t>元，</w:t>
      </w:r>
      <w:r>
        <w:rPr>
          <w:spacing w:val="-31"/>
        </w:rPr>
        <w:t> </w:t>
      </w:r>
      <w:r>
        <w:rPr>
          <w:spacing w:val="-2"/>
        </w:rPr>
        <w:t>实缴资本均为</w:t>
      </w:r>
      <w:r>
        <w:rPr>
          <w:rFonts w:ascii="Times New Roman" w:hAnsi="Times New Roman" w:cs="Times New Roman" w:eastAsia="Times New Roman" w:hint="default"/>
          <w:spacing w:val="-2"/>
        </w:rPr>
        <w:t>5,000,000.00</w:t>
      </w:r>
      <w:r>
        <w:rPr>
          <w:spacing w:val="-2"/>
        </w:rPr>
        <w:t>元。于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日，本公司将朗新云商</w:t>
      </w:r>
      <w:r>
        <w:rPr>
          <w:rFonts w:ascii="Times New Roman" w:hAnsi="Times New Roman" w:cs="Times New Roman" w:eastAsia="Times New Roman" w:hint="default"/>
          <w:spacing w:val="-2"/>
        </w:rPr>
        <w:t>49%</w:t>
      </w:r>
      <w:r>
        <w:rPr>
          <w:spacing w:val="-2"/>
        </w:rPr>
        <w:t>的股份及朗新数据</w:t>
      </w:r>
      <w:r>
        <w:rPr>
          <w:rFonts w:ascii="Times New Roman" w:hAnsi="Times New Roman" w:cs="Times New Roman" w:eastAsia="Times New Roman" w:hint="default"/>
          <w:spacing w:val="-2"/>
        </w:rPr>
        <w:t>40%</w:t>
      </w:r>
      <w:r>
        <w:rPr>
          <w:spacing w:val="-2"/>
        </w:rPr>
        <w:t>的股份分别转让给朗新投资</w:t>
      </w:r>
      <w:r>
        <w:rPr>
          <w:spacing w:val="-33"/>
        </w:rPr>
        <w:t> </w:t>
      </w:r>
      <w:r>
        <w:rPr/>
        <w:t>与事业合伙人共同设立的合伙企业，分别对应</w:t>
      </w:r>
      <w:r>
        <w:rPr>
          <w:rFonts w:ascii="Times New Roman" w:hAnsi="Times New Roman" w:cs="Times New Roman" w:eastAsia="Times New Roman" w:hint="default"/>
        </w:rPr>
        <w:t>2,450,000.00</w:t>
      </w:r>
      <w:r>
        <w:rPr/>
        <w:t>元及</w:t>
      </w:r>
      <w:r>
        <w:rPr>
          <w:rFonts w:ascii="Times New Roman" w:hAnsi="Times New Roman" w:cs="Times New Roman" w:eastAsia="Times New Roman" w:hint="default"/>
        </w:rPr>
        <w:t>2,000,000.00</w:t>
      </w:r>
      <w:r>
        <w:rPr/>
        <w:t>元的初始投资额。于此同时，本公司将新耀能源 </w:t>
      </w:r>
      <w:r>
        <w:rPr>
          <w:rFonts w:ascii="Times New Roman" w:hAnsi="Times New Roman" w:cs="Times New Roman" w:eastAsia="Times New Roman" w:hint="default"/>
          <w:spacing w:val="-4"/>
        </w:rPr>
        <w:t>40%</w:t>
      </w:r>
      <w:r>
        <w:rPr>
          <w:spacing w:val="-4"/>
        </w:rPr>
        <w:t>的股份转让与上述合伙企业，对应</w:t>
      </w:r>
      <w:r>
        <w:rPr>
          <w:rFonts w:ascii="Times New Roman" w:hAnsi="Times New Roman" w:cs="Times New Roman" w:eastAsia="Times New Roman" w:hint="default"/>
          <w:spacing w:val="-4"/>
        </w:rPr>
        <w:t>4,600,000.00</w:t>
      </w:r>
      <w:r>
        <w:rPr>
          <w:spacing w:val="-4"/>
        </w:rPr>
        <w:t>元的初始投资额（附注七</w:t>
      </w:r>
      <w:r>
        <w:rPr>
          <w:rFonts w:ascii="Times New Roman" w:hAnsi="Times New Roman" w:cs="Times New Roman" w:eastAsia="Times New Roman" w:hint="default"/>
          <w:spacing w:val="-4"/>
        </w:rPr>
        <w:t>(17)</w:t>
      </w:r>
      <w:r>
        <w:rPr>
          <w:spacing w:val="-4"/>
        </w:rPr>
        <w:t>）。本公司聘请银信资产评估有限公司以</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6</w:t>
      </w:r>
      <w:r>
        <w:rPr/>
        <w:t>与</w:t>
      </w:r>
      <w:r>
        <w:rPr>
          <w:rFonts w:ascii="Times New Roman" w:hAnsi="Times New Roman" w:cs="Times New Roman" w:eastAsia="Times New Roman" w:hint="default"/>
        </w:rPr>
        <w:t>30</w:t>
      </w:r>
      <w:r>
        <w:rPr/>
        <w:t>日为评估基准日对上述子公司股东全部权益市场价值进行了评估并出具评估报告，股权转让对价基于经评估股东全 部权益市场价值的份额确定。</w:t>
      </w:r>
    </w:p>
    <w:p>
      <w:pPr>
        <w:spacing w:after="0" w:line="30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spacing w:line="487" w:lineRule="auto" w:before="36"/>
        <w:ind w:left="152" w:right="7124" w:firstLine="0"/>
        <w:jc w:val="left"/>
        <w:rPr>
          <w:rFonts w:ascii="宋体" w:hAnsi="宋体" w:cs="宋体" w:eastAsia="宋体" w:hint="default"/>
          <w:sz w:val="21"/>
          <w:szCs w:val="21"/>
        </w:rPr>
      </w:pPr>
      <w:bookmarkStart w:name="6、其他" w:id="420"/>
      <w:bookmarkEnd w:id="42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21"/>
      <w:bookmarkEnd w:id="421"/>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22"/>
      <w:bookmarkEnd w:id="42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150"/>
        <w:jc w:val="left"/>
        <w:rPr>
          <w:b w:val="0"/>
          <w:bCs w:val="0"/>
        </w:rPr>
      </w:pPr>
      <w:bookmarkStart w:name="（1）企业集团的构成" w:id="423"/>
      <w:bookmarkEnd w:id="42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北京朗新科技有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技术开发及系统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杭州朗新智能技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中国浙江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暂无业务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5"/>
              <w:jc w:val="left"/>
              <w:rPr>
                <w:rFonts w:ascii="Times New Roman" w:hAnsi="Times New Roman" w:cs="Times New Roman" w:eastAsia="Times New Roman" w:hint="default"/>
                <w:sz w:val="18"/>
                <w:szCs w:val="18"/>
              </w:rPr>
            </w:pPr>
            <w:r>
              <w:rPr>
                <w:rFonts w:ascii="Times New Roman"/>
                <w:spacing w:val="-1"/>
                <w:sz w:val="18"/>
              </w:rPr>
              <w:t>LongshineTechno</w:t>
            </w:r>
            <w:r>
              <w:rPr>
                <w:rFonts w:ascii="Times New Roman"/>
                <w:spacing w:val="1"/>
                <w:sz w:val="18"/>
              </w:rPr>
              <w:t> </w:t>
            </w:r>
            <w:r>
              <w:rPr>
                <w:rFonts w:ascii="Times New Roman"/>
                <w:sz w:val="18"/>
              </w:rPr>
              <w:t>logyCo.,Ltd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厄瓜多尔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厄瓜多尔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暂停业务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新耀能源科技有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中国浙江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能源技术开发、 建设及维护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合肥新耀能源科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中国安徽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能源技术开发、 建设及维护</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北京天正信华科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技术开发及系统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非同一控制下收 购</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无锡朗新金关信 息科技有限公司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软硬件的研发与 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非同一控制下收 购</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朗新云商科技有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中国浙江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技术开发及技术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朗新数据科技有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中国浙江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技术开发及技术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朗新科技投资管 理无锡有限公司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对外投资管理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发起设立</w:t>
            </w:r>
          </w:p>
        </w:tc>
      </w:tr>
    </w:tbl>
    <w:p>
      <w:pPr>
        <w:pStyle w:val="BodyText"/>
        <w:spacing w:line="357" w:lineRule="auto" w:before="49"/>
        <w:ind w:right="185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9"/>
        <w:ind w:right="6714"/>
        <w:jc w:val="left"/>
      </w:pPr>
      <w:r>
        <w:rPr/>
        <w:t>确定公司是代理人还是委托人的依据： 其他说明：</w:t>
      </w:r>
    </w:p>
    <w:p>
      <w:pPr>
        <w:spacing w:line="240" w:lineRule="auto" w:before="2"/>
        <w:rPr>
          <w:rFonts w:ascii="宋体" w:hAnsi="宋体" w:cs="宋体" w:eastAsia="宋体" w:hint="default"/>
          <w:sz w:val="20"/>
          <w:szCs w:val="20"/>
        </w:rPr>
      </w:pPr>
    </w:p>
    <w:p>
      <w:pPr>
        <w:pStyle w:val="Heading3"/>
        <w:spacing w:line="240" w:lineRule="auto"/>
        <w:ind w:right="150"/>
        <w:jc w:val="left"/>
        <w:rPr>
          <w:b w:val="0"/>
          <w:bCs w:val="0"/>
        </w:rPr>
      </w:pPr>
      <w:bookmarkStart w:name="（2）重要的非全资子公司" w:id="424"/>
      <w:bookmarkEnd w:id="42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5"/>
        <w:gridCol w:w="1913"/>
        <w:gridCol w:w="1913"/>
        <w:gridCol w:w="1915"/>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本期归属于少数股东的</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本期向少数股东宣告分</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新耀能源科技有限公司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116,704.60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4,720,360.63</w:t>
            </w:r>
            <w:r>
              <w:rPr>
                <w:rFonts w:ascii="Times New Roman"/>
                <w:sz w:val="18"/>
              </w:rPr>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无锡朗新金关信息科技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-887,342.12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4,161,316.30</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朗新云商科技有限公司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-217,790.55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2,059,772.36</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朗新数据科技有限公司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-47,194.96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1,790,600.16</w:t>
            </w:r>
            <w:r>
              <w:rPr>
                <w:rFonts w:ascii="Times New Roman"/>
                <w:sz w:val="18"/>
              </w:rPr>
            </w:r>
          </w:p>
        </w:tc>
      </w:tr>
    </w:tbl>
    <w:p>
      <w:pPr>
        <w:pStyle w:val="BodyText"/>
        <w:spacing w:line="357" w:lineRule="auto" w:before="49"/>
        <w:ind w:right="545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3"/>
        <w:spacing w:line="240" w:lineRule="auto"/>
        <w:ind w:right="150"/>
        <w:jc w:val="left"/>
        <w:rPr>
          <w:b w:val="0"/>
          <w:bCs w:val="0"/>
        </w:rPr>
      </w:pPr>
      <w:bookmarkStart w:name="（3）重要非全资子公司的主要财务信息" w:id="425"/>
      <w:bookmarkEnd w:id="42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新耀能 源科技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13,385,0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8,842,83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22,227,9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7,927,02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10,427,0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13,876,6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86.34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2,084,30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15,960,9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1,413,58</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3,913,58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0.70</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无锡朗 新金关 信息科 技有限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11,357,3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138,685.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11,496,0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1,134,25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1,134,25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朗新云 商科技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4,419,82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666,435.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5,086,25</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pacing w:val="-5"/>
                <w:sz w:val="18"/>
              </w:rPr>
              <w:t>8.11</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882,641.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882,641.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朗新数 据科技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4,463,58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12,912.1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4,476,50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新耀能源科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8,190,956.97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698,517.31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698,517.31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797,917.85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1,055,885.00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-82,496.90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-82,496.90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1,632,817.91</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无锡朗新金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3,978,241.92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-1,810,902.28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-1,810,902.28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-4,748,972.71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6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5"/>
              <w:jc w:val="left"/>
              <w:rPr>
                <w:rFonts w:ascii="宋体" w:hAnsi="宋体" w:cs="宋体" w:eastAsia="宋体" w:hint="default"/>
                <w:sz w:val="18"/>
                <w:szCs w:val="18"/>
              </w:rPr>
            </w:pPr>
            <w:r>
              <w:rPr>
                <w:rFonts w:ascii="宋体" w:hAnsi="宋体" w:cs="宋体" w:eastAsia="宋体" w:hint="default"/>
                <w:sz w:val="18"/>
                <w:szCs w:val="18"/>
              </w:rPr>
              <w:t>关信息科技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朗新云商科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619,811.32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-796,382.93</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-796,382.93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-646,227.46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朗新数据科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-523,499.60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-523,499.60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-1,146,650.91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89"/>
        <w:jc w:val="left"/>
      </w:pPr>
      <w:r>
        <w:rPr/>
        <w:t>其他说明：</w:t>
      </w:r>
    </w:p>
    <w:p>
      <w:pPr>
        <w:pStyle w:val="BodyText"/>
        <w:spacing w:line="300" w:lineRule="auto" w:before="115"/>
        <w:ind w:right="94" w:hanging="1"/>
        <w:jc w:val="left"/>
      </w:pP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日，设立了全资子公司朗新科技投资管理无锡有限公司，注册资本</w:t>
      </w:r>
      <w:r>
        <w:rPr>
          <w:rFonts w:ascii="Times New Roman" w:hAnsi="Times New Roman" w:cs="Times New Roman" w:eastAsia="Times New Roman" w:hint="default"/>
        </w:rPr>
        <w:t>10,000,000.00</w:t>
      </w:r>
      <w:r>
        <w:rPr/>
        <w:t>元，并纳入本公司合并 范围。截至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日，实缴资本</w:t>
      </w:r>
      <w:r>
        <w:rPr>
          <w:rFonts w:ascii="Times New Roman" w:hAnsi="Times New Roman" w:cs="Times New Roman" w:eastAsia="Times New Roman" w:hint="default"/>
        </w:rPr>
        <w:t>10,100.00</w:t>
      </w:r>
      <w:r>
        <w:rPr/>
        <w:t>元。</w:t>
      </w:r>
    </w:p>
    <w:p>
      <w:pPr>
        <w:spacing w:line="240" w:lineRule="auto" w:before="11"/>
        <w:rPr>
          <w:rFonts w:ascii="宋体" w:hAnsi="宋体" w:cs="宋体" w:eastAsia="宋体" w:hint="default"/>
          <w:sz w:val="24"/>
          <w:szCs w:val="24"/>
        </w:rPr>
      </w:pPr>
    </w:p>
    <w:p>
      <w:pPr>
        <w:pStyle w:val="BodyText"/>
        <w:spacing w:line="300" w:lineRule="auto"/>
        <w:ind w:left="153" w:right="94" w:hanging="1"/>
        <w:jc w:val="left"/>
      </w:pPr>
      <w:r>
        <w:rPr>
          <w:spacing w:val="-3"/>
        </w:rPr>
        <w:t>本公司于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w:t>
      </w:r>
      <w:r>
        <w:rPr>
          <w:spacing w:val="-3"/>
        </w:rPr>
        <w:t>日，设立了全资子公司朗新云商科技有限公司及朗新数据科技有限公司，注册资本均为</w:t>
      </w:r>
      <w:r>
        <w:rPr>
          <w:rFonts w:ascii="Times New Roman" w:hAnsi="Times New Roman" w:cs="Times New Roman" w:eastAsia="Times New Roman" w:hint="default"/>
          <w:spacing w:val="-3"/>
        </w:rPr>
        <w:t>50,000,000.00</w:t>
      </w:r>
      <w:r>
        <w:rPr>
          <w:spacing w:val="-3"/>
        </w:rPr>
        <w:t>元，</w:t>
      </w:r>
      <w:r>
        <w:rPr>
          <w:spacing w:val="-30"/>
        </w:rPr>
        <w:t> </w:t>
      </w:r>
      <w:r>
        <w:rPr>
          <w:spacing w:val="-2"/>
        </w:rPr>
        <w:t>实缴资本均为</w:t>
      </w:r>
      <w:r>
        <w:rPr>
          <w:rFonts w:ascii="Times New Roman" w:hAnsi="Times New Roman" w:cs="Times New Roman" w:eastAsia="Times New Roman" w:hint="default"/>
          <w:spacing w:val="-2"/>
        </w:rPr>
        <w:t>5,000,000.00</w:t>
      </w:r>
      <w:r>
        <w:rPr>
          <w:spacing w:val="-2"/>
        </w:rPr>
        <w:t>元。于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日，本公司将朗新云商</w:t>
      </w:r>
      <w:r>
        <w:rPr>
          <w:rFonts w:ascii="Times New Roman" w:hAnsi="Times New Roman" w:cs="Times New Roman" w:eastAsia="Times New Roman" w:hint="default"/>
          <w:spacing w:val="-2"/>
        </w:rPr>
        <w:t>49%</w:t>
      </w:r>
      <w:r>
        <w:rPr>
          <w:spacing w:val="-2"/>
        </w:rPr>
        <w:t>的股份及朗新数据</w:t>
      </w:r>
      <w:r>
        <w:rPr>
          <w:rFonts w:ascii="Times New Roman" w:hAnsi="Times New Roman" w:cs="Times New Roman" w:eastAsia="Times New Roman" w:hint="default"/>
          <w:spacing w:val="-2"/>
        </w:rPr>
        <w:t>40%</w:t>
      </w:r>
      <w:r>
        <w:rPr>
          <w:spacing w:val="-2"/>
        </w:rPr>
        <w:t>的股份分别转让给朗新投资</w:t>
      </w:r>
      <w:r>
        <w:rPr>
          <w:spacing w:val="-33"/>
        </w:rPr>
        <w:t> </w:t>
      </w:r>
      <w:r>
        <w:rPr/>
        <w:t>与事业合伙人共同设立的合伙企业，分别对应</w:t>
      </w:r>
      <w:r>
        <w:rPr>
          <w:rFonts w:ascii="Times New Roman" w:hAnsi="Times New Roman" w:cs="Times New Roman" w:eastAsia="Times New Roman" w:hint="default"/>
        </w:rPr>
        <w:t>2,450,000.00</w:t>
      </w:r>
      <w:r>
        <w:rPr/>
        <w:t>元及</w:t>
      </w:r>
      <w:r>
        <w:rPr>
          <w:rFonts w:ascii="Times New Roman" w:hAnsi="Times New Roman" w:cs="Times New Roman" w:eastAsia="Times New Roman" w:hint="default"/>
        </w:rPr>
        <w:t>2,000,000.00</w:t>
      </w:r>
      <w:r>
        <w:rPr/>
        <w:t>元的初始投资额。于此同时，本公司将新耀能源 </w:t>
      </w:r>
      <w:r>
        <w:rPr>
          <w:rFonts w:ascii="Times New Roman" w:hAnsi="Times New Roman" w:cs="Times New Roman" w:eastAsia="Times New Roman" w:hint="default"/>
          <w:spacing w:val="-4"/>
        </w:rPr>
        <w:t>40%</w:t>
      </w:r>
      <w:r>
        <w:rPr>
          <w:spacing w:val="-4"/>
        </w:rPr>
        <w:t>的股份转让与上述合伙企业，对应</w:t>
      </w:r>
      <w:r>
        <w:rPr>
          <w:rFonts w:ascii="Times New Roman" w:hAnsi="Times New Roman" w:cs="Times New Roman" w:eastAsia="Times New Roman" w:hint="default"/>
          <w:spacing w:val="-4"/>
        </w:rPr>
        <w:t>4,600,000.00</w:t>
      </w:r>
      <w:r>
        <w:rPr>
          <w:spacing w:val="-4"/>
        </w:rPr>
        <w:t>元的初始投资额（附注七</w:t>
      </w:r>
      <w:r>
        <w:rPr>
          <w:rFonts w:ascii="Times New Roman" w:hAnsi="Times New Roman" w:cs="Times New Roman" w:eastAsia="Times New Roman" w:hint="default"/>
          <w:spacing w:val="-4"/>
        </w:rPr>
        <w:t>(17)</w:t>
      </w:r>
      <w:r>
        <w:rPr>
          <w:spacing w:val="-4"/>
        </w:rPr>
        <w:t>）。本公司聘请银信资产评估有限公司以</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6</w:t>
      </w:r>
      <w:r>
        <w:rPr/>
        <w:t>与</w:t>
      </w:r>
      <w:r>
        <w:rPr>
          <w:rFonts w:ascii="Times New Roman" w:hAnsi="Times New Roman" w:cs="Times New Roman" w:eastAsia="Times New Roman" w:hint="default"/>
        </w:rPr>
        <w:t>30</w:t>
      </w:r>
      <w:r>
        <w:rPr/>
        <w:t>日为评估基准日对上述子公司股东全部权益市场价值进行了评估并出具评估报告，股权转让对价基于经评估股东全 部权益市场价值的份额确定。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2"/>
        <w:ind w:right="189"/>
        <w:jc w:val="left"/>
        <w:rPr>
          <w:b w:val="0"/>
          <w:bCs w:val="0"/>
        </w:rPr>
      </w:pPr>
      <w:bookmarkStart w:name="（4）使用企业集团资产和清偿企业集团债务的重大限制" w:id="426"/>
      <w:bookmarkEnd w:id="42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9"/>
        <w:jc w:val="left"/>
        <w:rPr>
          <w:b w:val="0"/>
          <w:bCs w:val="0"/>
        </w:rPr>
      </w:pPr>
      <w:bookmarkStart w:name="（5）向纳入合并财务报表范围的结构化主体提供的财务支持或其他支持" w:id="427"/>
      <w:bookmarkEnd w:id="42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8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89"/>
        <w:jc w:val="left"/>
        <w:rPr>
          <w:b w:val="0"/>
          <w:bCs w:val="0"/>
        </w:rPr>
      </w:pPr>
      <w:bookmarkStart w:name="2、在子公司的所有者权益份额发生变化且仍控制子公司的交易" w:id="428"/>
      <w:bookmarkEnd w:id="42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9"/>
        <w:jc w:val="left"/>
        <w:rPr>
          <w:b w:val="0"/>
          <w:bCs w:val="0"/>
        </w:rPr>
      </w:pPr>
      <w:bookmarkStart w:name="（1）在子公司所有者权益份额发生变化的情况说明" w:id="429"/>
      <w:bookmarkEnd w:id="42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94" w:hanging="1"/>
        <w:jc w:val="left"/>
      </w:pPr>
      <w:r>
        <w:rPr>
          <w:spacing w:val="-3"/>
        </w:rPr>
        <w:t>本公司于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w:t>
      </w:r>
      <w:r>
        <w:rPr>
          <w:spacing w:val="-3"/>
        </w:rPr>
        <w:t>日，设立了全资子公司朗新云商科技有限公司及朗新数据科技有限公司，注册资本均为</w:t>
      </w:r>
      <w:r>
        <w:rPr>
          <w:rFonts w:ascii="Times New Roman" w:hAnsi="Times New Roman" w:cs="Times New Roman" w:eastAsia="Times New Roman" w:hint="default"/>
          <w:spacing w:val="-3"/>
        </w:rPr>
        <w:t>50,000,000.00</w:t>
      </w:r>
      <w:r>
        <w:rPr>
          <w:spacing w:val="-3"/>
        </w:rPr>
        <w:t>元，</w:t>
      </w:r>
      <w:r>
        <w:rPr>
          <w:spacing w:val="-30"/>
        </w:rPr>
        <w:t> </w:t>
      </w:r>
      <w:r>
        <w:rPr>
          <w:spacing w:val="-2"/>
        </w:rPr>
        <w:t>实缴资本均为</w:t>
      </w:r>
      <w:r>
        <w:rPr>
          <w:rFonts w:ascii="Times New Roman" w:hAnsi="Times New Roman" w:cs="Times New Roman" w:eastAsia="Times New Roman" w:hint="default"/>
          <w:spacing w:val="-2"/>
        </w:rPr>
        <w:t>5,000,000.00</w:t>
      </w:r>
      <w:r>
        <w:rPr>
          <w:spacing w:val="-2"/>
        </w:rPr>
        <w:t>元。于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日，本公司将朗新云商</w:t>
      </w:r>
      <w:r>
        <w:rPr>
          <w:rFonts w:ascii="Times New Roman" w:hAnsi="Times New Roman" w:cs="Times New Roman" w:eastAsia="Times New Roman" w:hint="default"/>
          <w:spacing w:val="-2"/>
        </w:rPr>
        <w:t>49%</w:t>
      </w:r>
      <w:r>
        <w:rPr>
          <w:spacing w:val="-2"/>
        </w:rPr>
        <w:t>的股份及朗新数据</w:t>
      </w:r>
      <w:r>
        <w:rPr>
          <w:rFonts w:ascii="Times New Roman" w:hAnsi="Times New Roman" w:cs="Times New Roman" w:eastAsia="Times New Roman" w:hint="default"/>
          <w:spacing w:val="-2"/>
        </w:rPr>
        <w:t>40%</w:t>
      </w:r>
      <w:r>
        <w:rPr>
          <w:spacing w:val="-2"/>
        </w:rPr>
        <w:t>的股份分别转让给朗新投资</w:t>
      </w:r>
      <w:r>
        <w:rPr>
          <w:spacing w:val="-33"/>
        </w:rPr>
        <w:t> </w:t>
      </w:r>
      <w:r>
        <w:rPr/>
        <w:t>与事业合伙人共同设立的合伙企业，分别对应</w:t>
      </w:r>
      <w:r>
        <w:rPr>
          <w:rFonts w:ascii="Times New Roman" w:hAnsi="Times New Roman" w:cs="Times New Roman" w:eastAsia="Times New Roman" w:hint="default"/>
        </w:rPr>
        <w:t>2,450,000.00</w:t>
      </w:r>
      <w:r>
        <w:rPr/>
        <w:t>元及</w:t>
      </w:r>
      <w:r>
        <w:rPr>
          <w:rFonts w:ascii="Times New Roman" w:hAnsi="Times New Roman" w:cs="Times New Roman" w:eastAsia="Times New Roman" w:hint="default"/>
        </w:rPr>
        <w:t>2,000,000.00</w:t>
      </w:r>
      <w:r>
        <w:rPr/>
        <w:t>元的初始投资额。于此同时，本公司将新耀能源 </w:t>
      </w:r>
      <w:r>
        <w:rPr>
          <w:rFonts w:ascii="Times New Roman" w:hAnsi="Times New Roman" w:cs="Times New Roman" w:eastAsia="Times New Roman" w:hint="default"/>
          <w:spacing w:val="-4"/>
        </w:rPr>
        <w:t>40%</w:t>
      </w:r>
      <w:r>
        <w:rPr>
          <w:spacing w:val="-4"/>
        </w:rPr>
        <w:t>的股份转让与上述合伙企业，对应</w:t>
      </w:r>
      <w:r>
        <w:rPr>
          <w:rFonts w:ascii="Times New Roman" w:hAnsi="Times New Roman" w:cs="Times New Roman" w:eastAsia="Times New Roman" w:hint="default"/>
          <w:spacing w:val="-4"/>
        </w:rPr>
        <w:t>4,600,000.00</w:t>
      </w:r>
      <w:r>
        <w:rPr>
          <w:spacing w:val="-4"/>
        </w:rPr>
        <w:t>元的初始投资额（附注七</w:t>
      </w:r>
      <w:r>
        <w:rPr>
          <w:rFonts w:ascii="Times New Roman" w:hAnsi="Times New Roman" w:cs="Times New Roman" w:eastAsia="Times New Roman" w:hint="default"/>
          <w:spacing w:val="-4"/>
        </w:rPr>
        <w:t>(17)</w:t>
      </w:r>
      <w:r>
        <w:rPr>
          <w:spacing w:val="-4"/>
        </w:rPr>
        <w:t>）。本公司聘请银信资产评估有限公司以</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6</w:t>
      </w:r>
      <w:r>
        <w:rPr/>
        <w:t>与</w:t>
      </w:r>
      <w:r>
        <w:rPr>
          <w:rFonts w:ascii="Times New Roman" w:hAnsi="Times New Roman" w:cs="Times New Roman" w:eastAsia="Times New Roman" w:hint="default"/>
        </w:rPr>
        <w:t>30</w:t>
      </w:r>
      <w:r>
        <w:rPr/>
        <w:t>日为评估基准日对上述子公司股东全部权益市场价值进行了评估并出具评估报告，股权转让对价基于经评估股东全 部权益市场价值的份额确定。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2"/>
        <w:ind w:right="189"/>
        <w:jc w:val="left"/>
        <w:rPr>
          <w:b w:val="0"/>
          <w:bCs w:val="0"/>
        </w:rPr>
      </w:pPr>
      <w:bookmarkStart w:name="（2）交易对于少数股东权益及归属于母公司所有者权益的影响" w:id="430"/>
      <w:bookmarkEnd w:id="43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新耀能源</w:t>
            </w:r>
          </w:p>
        </w:tc>
        <w:tc>
          <w:tcPr>
            <w:tcW w:w="239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朗新数据</w:t>
            </w:r>
          </w:p>
        </w:tc>
        <w:tc>
          <w:tcPr>
            <w:tcW w:w="239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朗新云商</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5,160,000.00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2,450,000.00</w:t>
            </w:r>
            <w:r>
              <w:rPr>
                <w:rFonts w:ascii="Times New Roman"/>
                <w:sz w:val="18"/>
              </w:rPr>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5,160,000.00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5,160,000.00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2,450,000.00</w:t>
            </w:r>
            <w:r>
              <w:rPr>
                <w:rFonts w:ascii="Times New Roman"/>
                <w:sz w:val="18"/>
              </w:rPr>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减：按取得</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处置的股权比例计</w:t>
            </w:r>
            <w:r>
              <w:rPr>
                <w:rFonts w:ascii="宋体" w:hAnsi="宋体" w:cs="宋体" w:eastAsia="宋体" w:hint="default"/>
                <w:sz w:val="18"/>
                <w:szCs w:val="18"/>
              </w:rPr>
              <w:t> 算的子公司净资产份额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4,603,656.03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1,837,795.12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2,277,562.91</w:t>
            </w:r>
            <w:r>
              <w:rPr>
                <w:rFonts w:ascii="Times New Roman"/>
                <w:sz w:val="18"/>
              </w:rPr>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556,343.97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162,204.88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172,437.09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556,343.97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162,204.88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172,437.09</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3、在合营安排或联营企业中的权益" w:id="431"/>
      <w:bookmarkEnd w:id="43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重要的合营企业或联营企业" w:id="432"/>
      <w:bookmarkEnd w:id="43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165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邦道科技有限公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6" w:right="17"/>
              <w:jc w:val="both"/>
              <w:rPr>
                <w:rFonts w:ascii="宋体" w:hAnsi="宋体" w:cs="宋体" w:eastAsia="宋体" w:hint="default"/>
                <w:sz w:val="18"/>
                <w:szCs w:val="18"/>
              </w:rPr>
            </w:pPr>
            <w:r>
              <w:rPr>
                <w:rFonts w:ascii="宋体" w:hAnsi="宋体" w:cs="宋体" w:eastAsia="宋体" w:hint="default"/>
                <w:sz w:val="18"/>
                <w:szCs w:val="18"/>
              </w:rPr>
              <w:t>公共事业行业专 业化</w:t>
            </w:r>
            <w:r>
              <w:rPr>
                <w:rFonts w:ascii="宋体" w:hAnsi="宋体" w:cs="宋体" w:eastAsia="宋体" w:hint="default"/>
                <w:spacing w:val="-42"/>
                <w:sz w:val="18"/>
                <w:szCs w:val="18"/>
              </w:rPr>
              <w:t> </w:t>
            </w:r>
            <w:r>
              <w:rPr>
                <w:rFonts w:ascii="Times New Roman" w:hAnsi="Times New Roman" w:cs="Times New Roman" w:eastAsia="Times New Roman" w:hint="default"/>
                <w:spacing w:val="-10"/>
                <w:sz w:val="18"/>
                <w:szCs w:val="18"/>
              </w:rPr>
              <w:t>EBPP</w:t>
            </w:r>
            <w:r>
              <w:rPr>
                <w:rFonts w:ascii="宋体" w:hAnsi="宋体" w:cs="宋体" w:eastAsia="宋体" w:hint="default"/>
                <w:spacing w:val="-10"/>
                <w:sz w:val="18"/>
                <w:szCs w:val="18"/>
              </w:rPr>
              <w:t>（电子</w:t>
            </w:r>
            <w:r>
              <w:rPr>
                <w:rFonts w:ascii="宋体" w:hAnsi="宋体" w:cs="宋体" w:eastAsia="宋体" w:hint="default"/>
                <w:sz w:val="18"/>
                <w:szCs w:val="18"/>
              </w:rPr>
              <w:t> 账单处理及支付 系统）技术与运 营服务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50"/>
        <w:jc w:val="left"/>
      </w:pPr>
      <w:r>
        <w:rPr/>
        <w:t>在合营企业或联营企业的持股比例不同于表决权比例的说明：</w:t>
      </w:r>
    </w:p>
    <w:p>
      <w:pPr>
        <w:pStyle w:val="BodyText"/>
        <w:spacing w:line="240" w:lineRule="auto" w:before="115"/>
        <w:ind w:right="150"/>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8"/>
        </w:rPr>
        <w:t> </w:t>
      </w:r>
      <w:r>
        <w:rPr>
          <w:rFonts w:ascii="Times New Roman" w:hAnsi="Times New Roman" w:cs="Times New Roman" w:eastAsia="Times New Roman" w:hint="default"/>
        </w:rPr>
        <w:t>20%</w:t>
      </w:r>
      <w:r>
        <w:rPr/>
        <w:t>或以上表决权但不具有重大影响的依据：</w:t>
      </w:r>
    </w:p>
    <w:p>
      <w:pPr>
        <w:spacing w:line="240" w:lineRule="auto" w:before="2"/>
        <w:rPr>
          <w:rFonts w:ascii="宋体" w:hAnsi="宋体" w:cs="宋体" w:eastAsia="宋体" w:hint="default"/>
          <w:sz w:val="26"/>
          <w:szCs w:val="26"/>
        </w:rPr>
      </w:pPr>
    </w:p>
    <w:p>
      <w:pPr>
        <w:pStyle w:val="Heading3"/>
        <w:spacing w:line="240" w:lineRule="auto"/>
        <w:ind w:right="150"/>
        <w:jc w:val="left"/>
        <w:rPr>
          <w:b w:val="0"/>
          <w:bCs w:val="0"/>
        </w:rPr>
      </w:pPr>
      <w:bookmarkStart w:name="（2）重要合营企业的主要财务信息" w:id="433"/>
      <w:bookmarkEnd w:id="43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2"/>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10" w:space="0" w:color="D4D4D4"/>
              <w:bottom w:val="single" w:sz="4" w:space="0" w:color="000000"/>
              <w:right w:val="single" w:sz="4" w:space="0" w:color="000000"/>
            </w:tcBorders>
            <w:shd w:val="clear" w:color="auto" w:fill="E1FFFF"/>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邦道科技</w:t>
            </w: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邦道科技</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172,582,693.65</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63,570,764.37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39,158,624.77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15,480,650.28</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488,736.08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155,233.37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173,071,429.73</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63,725,997.74</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28,143,323.22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9,259,699.55</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375,000.00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28,643,323.22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9,634,699.55</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144,428,106.51</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54,091,298.19</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57,771,242.60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21,636,819.63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57,771,242.60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21,636,819.63</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128,321,520.08</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47,360,220.89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2"/>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-263,759.50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-205,259.03</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90,367,137.98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29,091,298.19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90,367,137.98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29,091,298.19</w:t>
            </w:r>
          </w:p>
        </w:tc>
      </w:tr>
    </w:tbl>
    <w:p>
      <w:pPr>
        <w:pStyle w:val="BodyText"/>
        <w:spacing w:line="240" w:lineRule="auto" w:before="49"/>
        <w:ind w:right="150"/>
        <w:jc w:val="left"/>
      </w:pPr>
      <w:r>
        <w:rPr/>
        <w:t>其他说明</w:t>
      </w:r>
    </w:p>
    <w:p>
      <w:pPr>
        <w:pStyle w:val="BodyText"/>
        <w:spacing w:line="300" w:lineRule="auto" w:before="115"/>
        <w:ind w:right="150"/>
        <w:jc w:val="left"/>
      </w:pPr>
      <w:r>
        <w:rPr/>
        <w:t>根据邦道科技有限公司的公司章程，其决策机制要求重要事项需要拥有</w:t>
      </w:r>
      <w:r>
        <w:rPr>
          <w:rFonts w:ascii="Times New Roman" w:hAnsi="Times New Roman" w:cs="Times New Roman" w:eastAsia="Times New Roman" w:hint="default"/>
        </w:rPr>
        <w:t>2/3</w:t>
      </w:r>
      <w:r>
        <w:rPr/>
        <w:t>以上股权的股东投票同意方能通过，而本公司与 </w:t>
      </w:r>
      <w:r>
        <w:rPr>
          <w:spacing w:val="-4"/>
        </w:rPr>
        <w:t>上海云钜和无锡朴元各持有邦道科技有限公司</w:t>
      </w:r>
      <w:r>
        <w:rPr>
          <w:rFonts w:ascii="Times New Roman" w:hAnsi="Times New Roman" w:cs="Times New Roman" w:eastAsia="Times New Roman" w:hint="default"/>
          <w:spacing w:val="-4"/>
        </w:rPr>
        <w:t>40%</w:t>
      </w:r>
      <w:r>
        <w:rPr>
          <w:spacing w:val="-4"/>
        </w:rPr>
        <w:t>，</w:t>
      </w:r>
      <w:r>
        <w:rPr>
          <w:rFonts w:ascii="Times New Roman" w:hAnsi="Times New Roman" w:cs="Times New Roman" w:eastAsia="Times New Roman" w:hint="default"/>
          <w:spacing w:val="-4"/>
        </w:rPr>
        <w:t>40%</w:t>
      </w:r>
      <w:r>
        <w:rPr>
          <w:spacing w:val="-4"/>
        </w:rPr>
        <w:t>和</w:t>
      </w:r>
      <w:r>
        <w:rPr>
          <w:rFonts w:ascii="Times New Roman" w:hAnsi="Times New Roman" w:cs="Times New Roman" w:eastAsia="Times New Roman" w:hint="default"/>
          <w:spacing w:val="-4"/>
        </w:rPr>
        <w:t>20%</w:t>
      </w:r>
      <w:r>
        <w:rPr>
          <w:spacing w:val="-4"/>
        </w:rPr>
        <w:t>的股权，因此本公司与上海云钜共同控制邦道科技有限公司。</w:t>
      </w:r>
    </w:p>
    <w:p>
      <w:pPr>
        <w:spacing w:line="240" w:lineRule="auto" w:before="4"/>
        <w:rPr>
          <w:rFonts w:ascii="宋体" w:hAnsi="宋体" w:cs="宋体" w:eastAsia="宋体" w:hint="default"/>
          <w:sz w:val="22"/>
          <w:szCs w:val="22"/>
        </w:rPr>
      </w:pPr>
    </w:p>
    <w:p>
      <w:pPr>
        <w:pStyle w:val="Heading3"/>
        <w:spacing w:line="240" w:lineRule="auto"/>
        <w:ind w:right="150"/>
        <w:jc w:val="left"/>
        <w:rPr>
          <w:b w:val="0"/>
          <w:bCs w:val="0"/>
        </w:rPr>
      </w:pPr>
      <w:bookmarkStart w:name="（3）重要联营企业的主要财务信息" w:id="434"/>
      <w:bookmarkEnd w:id="43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2"/>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10" w:space="0" w:color="D4D4D4"/>
              <w:bottom w:val="single" w:sz="4" w:space="0" w:color="000000"/>
              <w:right w:val="single" w:sz="4" w:space="0" w:color="000000"/>
            </w:tcBorders>
            <w:shd w:val="clear" w:color="auto" w:fill="E1FFFF"/>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4）不重要的合营企业和联营企业的汇总财务信息" w:id="435"/>
      <w:bookmarkEnd w:id="43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50"/>
        <w:jc w:val="left"/>
        <w:rPr>
          <w:b w:val="0"/>
          <w:bCs w:val="0"/>
        </w:rPr>
      </w:pPr>
      <w:bookmarkStart w:name="（5）合营企业或联营企业向本公司转移资金的能力存在重大限制的说明" w:id="436"/>
      <w:bookmarkEnd w:id="436"/>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6）合营企业或联营企业发生的超额亏损" w:id="437"/>
      <w:bookmarkEnd w:id="437"/>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0"/>
        <w:gridCol w:w="2395"/>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50" w:right="19"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7）与合营企业投资相关的未确认承诺" w:id="438"/>
      <w:bookmarkEnd w:id="438"/>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8）与合营企业或联营企业投资相关的或有负债" w:id="439"/>
      <w:bookmarkEnd w:id="439"/>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4、重要的共同经营" w:id="440"/>
      <w:bookmarkEnd w:id="440"/>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3176"/>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1594"/>
        <w:gridCol w:w="1583"/>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0"/>
        <w:ind w:right="4594"/>
        <w:jc w:val="left"/>
      </w:pPr>
      <w:r>
        <w:rPr/>
        <w:t>在共同经营中的持股比例或享有的份额不同于表决权比例的说明： 共同经营为单独主体的，分类为共同经营的依据：</w:t>
      </w:r>
    </w:p>
    <w:p>
      <w:pPr>
        <w:pStyle w:val="BodyText"/>
        <w:spacing w:line="240" w:lineRule="auto" w:before="29"/>
        <w:ind w:right="189"/>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3"/>
        <w:spacing w:line="240" w:lineRule="auto"/>
        <w:ind w:right="189"/>
        <w:jc w:val="left"/>
        <w:rPr>
          <w:b w:val="0"/>
          <w:bCs w:val="0"/>
        </w:rPr>
      </w:pPr>
      <w:bookmarkStart w:name="5、在未纳入合并财务报表范围的结构化主体中的权益" w:id="441"/>
      <w:bookmarkEnd w:id="441"/>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89"/>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0"/>
        <w:ind w:right="189"/>
        <w:jc w:val="left"/>
        <w:rPr>
          <w:b w:val="0"/>
          <w:bCs w:val="0"/>
        </w:rPr>
      </w:pPr>
      <w:bookmarkStart w:name="6、其他" w:id="442"/>
      <w:bookmarkEnd w:id="442"/>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89"/>
        <w:jc w:val="left"/>
        <w:rPr>
          <w:b w:val="0"/>
          <w:bCs w:val="0"/>
        </w:rPr>
      </w:pPr>
      <w:bookmarkStart w:name="十、与金融工具相关的风险" w:id="443"/>
      <w:bookmarkEnd w:id="443"/>
      <w:r>
        <w:rPr>
          <w:b w:val="0"/>
          <w:bCs w:val="0"/>
        </w:rPr>
      </w: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9"/>
        <w:jc w:val="left"/>
      </w:pPr>
      <w:r>
        <w:rPr>
          <w:spacing w:val="-2"/>
        </w:rPr>
        <w:t>本集团的经营活动会面临各种金融风险：市场风险（主要为外汇风险和利率风险）、信用风险和流动性风险。本集团整体的</w:t>
      </w:r>
      <w:r>
        <w:rPr>
          <w:spacing w:val="-67"/>
        </w:rPr>
        <w:t> </w:t>
      </w:r>
      <w:r>
        <w:rPr>
          <w:spacing w:val="-67"/>
        </w:rPr>
      </w:r>
      <w:r>
        <w:rPr/>
        <w:t>风险管理计划针对金融市场的不可预见性，力求减少对本集团财务业绩的潜在不利影响。</w:t>
      </w:r>
    </w:p>
    <w:p>
      <w:pPr>
        <w:pStyle w:val="BodyText"/>
        <w:spacing w:line="300" w:lineRule="auto" w:before="18"/>
        <w:ind w:left="212" w:right="8909" w:hanging="61"/>
        <w:jc w:val="left"/>
      </w:pPr>
      <w:r>
        <w:rPr>
          <w:rFonts w:ascii="Times New Roman" w:hAnsi="Times New Roman" w:cs="Times New Roman" w:eastAsia="Times New Roman" w:hint="default"/>
        </w:rPr>
        <w:t>1.</w:t>
      </w:r>
      <w:r>
        <w:rPr/>
        <w:t>市场风险 </w:t>
      </w:r>
      <w:r>
        <w:rPr>
          <w:rFonts w:ascii="Times New Roman" w:hAnsi="Times New Roman" w:cs="Times New Roman" w:eastAsia="Times New Roman" w:hint="default"/>
        </w:rPr>
        <w:t>a.</w:t>
      </w:r>
      <w:r>
        <w:rPr/>
        <w:t>外汇风险</w:t>
      </w:r>
    </w:p>
    <w:p>
      <w:pPr>
        <w:pStyle w:val="BodyText"/>
        <w:spacing w:line="240" w:lineRule="auto" w:before="13"/>
        <w:ind w:right="189"/>
        <w:jc w:val="left"/>
      </w:pPr>
      <w:r>
        <w:rPr/>
        <w:t>本集团的主要经营位于中国境内，主要业务基本以人民币结算，外币业务很少，因此无重大外汇风险。</w:t>
      </w:r>
    </w:p>
    <w:p>
      <w:pPr>
        <w:pStyle w:val="BodyText"/>
        <w:spacing w:line="309" w:lineRule="auto" w:before="76"/>
        <w:ind w:right="3694"/>
        <w:jc w:val="left"/>
      </w:pPr>
      <w:r>
        <w:rPr>
          <w:rFonts w:ascii="Times New Roman" w:hAnsi="Times New Roman" w:cs="Times New Roman" w:eastAsia="Times New Roman" w:hint="default"/>
        </w:rPr>
        <w:t>b.</w:t>
      </w:r>
      <w:r>
        <w:rPr/>
        <w:t>利率风险 本公司于报告期内并未发生重大的长期外部带息债务，不存在重大利率风险。 </w:t>
      </w:r>
      <w:r>
        <w:rPr>
          <w:rFonts w:ascii="Times New Roman" w:hAnsi="Times New Roman" w:cs="Times New Roman" w:eastAsia="Times New Roman" w:hint="default"/>
        </w:rPr>
        <w:t>2.</w:t>
      </w:r>
      <w:r>
        <w:rPr/>
        <w:t>信用风险</w:t>
      </w:r>
    </w:p>
    <w:p>
      <w:pPr>
        <w:pStyle w:val="BodyText"/>
        <w:spacing w:line="316" w:lineRule="auto" w:before="5"/>
        <w:ind w:right="94"/>
        <w:jc w:val="left"/>
      </w:pPr>
      <w:r>
        <w:rPr/>
        <w:t>本集团对信用风险按组合分类进行管理。信用风险主要产生于银行存款、应收账款、其他应收款和应收票据等。 </w:t>
      </w:r>
      <w:r>
        <w:rPr>
          <w:spacing w:val="-2"/>
        </w:rPr>
        <w:t>本集团银行存款主要存放于国有银行和其他大中型上市银行，本集团认为其不存在重大的信用风险，不会产生因对方单位违</w:t>
      </w:r>
      <w:r>
        <w:rPr>
          <w:spacing w:val="-64"/>
        </w:rPr>
        <w:t> </w:t>
      </w:r>
      <w:r>
        <w:rPr>
          <w:spacing w:val="-64"/>
        </w:rPr>
      </w:r>
      <w:r>
        <w:rPr/>
        <w:t>约而导致的任何重大损失。 此外，对于应收账款、其他应收款和应收票据，本集团设定相关政策以控制信用风险敞口。本集团基于对客户的财务状况、</w:t>
      </w:r>
      <w:r>
        <w:rPr>
          <w:spacing w:val="-83"/>
        </w:rPr>
        <w:t> </w:t>
      </w:r>
      <w:r>
        <w:rPr>
          <w:spacing w:val="-83"/>
        </w:rPr>
      </w:r>
      <w:r>
        <w:rPr>
          <w:spacing w:val="-2"/>
        </w:rPr>
        <w:t>从第三方获取担保的可能性、信用记录及其他因素诸如目前市场状况等评估客户的信用资质并设置相应信用期。本集团会定</w:t>
      </w:r>
      <w:r>
        <w:rPr>
          <w:spacing w:val="-64"/>
        </w:rPr>
        <w:t> </w:t>
      </w:r>
      <w:r>
        <w:rPr>
          <w:spacing w:val="-64"/>
        </w:rPr>
      </w:r>
      <w:r>
        <w:rPr>
          <w:spacing w:val="-2"/>
        </w:rPr>
        <w:t>期对客户信用记录进行监控，对于信用记录不良的客户，本集团会采用书面催款、缩短信用期或取消信用期等方式，以确保</w:t>
      </w:r>
      <w:r>
        <w:rPr>
          <w:spacing w:val="-65"/>
        </w:rPr>
        <w:t> </w:t>
      </w:r>
      <w:r>
        <w:rPr>
          <w:spacing w:val="-65"/>
        </w:rPr>
      </w:r>
      <w:r>
        <w:rPr/>
        <w:t>本集团的整体信用风险在可控的范围内。</w:t>
      </w:r>
    </w:p>
    <w:p>
      <w:pPr>
        <w:pStyle w:val="BodyText"/>
        <w:spacing w:line="314" w:lineRule="auto" w:before="18"/>
        <w:ind w:left="212" w:right="214" w:hanging="61"/>
        <w:jc w:val="left"/>
      </w:pPr>
      <w:r>
        <w:rPr>
          <w:rFonts w:ascii="Times New Roman" w:hAnsi="Times New Roman" w:cs="Times New Roman" w:eastAsia="Times New Roman" w:hint="default"/>
        </w:rPr>
        <w:t>3.</w:t>
      </w:r>
      <w:r>
        <w:rPr/>
        <w:t>流动性风险 本集团内各子公司负责其自身的现金流量预测。总部财务部门在汇总各子公司现金流量预测的基础上，在集团层面持续监 控短期和长期的资金需求，以确保维持充裕的现金储备和可供随时变现的有价证券；同时持续监控是否符合借款协议的规 定，从主要金融机构获得提供足够备用资金的承诺，以满足短期和长期的资金需求。于报告期内各资产负债表日，本集团 的各项金融资产及负债均为一年内到期。</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2"/>
        <w:spacing w:line="240" w:lineRule="auto"/>
        <w:ind w:right="189"/>
        <w:jc w:val="left"/>
        <w:rPr>
          <w:b w:val="0"/>
          <w:bCs w:val="0"/>
        </w:rPr>
      </w:pPr>
      <w:bookmarkStart w:name="十一、公允价值的披露" w:id="444"/>
      <w:bookmarkEnd w:id="444"/>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89"/>
        <w:jc w:val="left"/>
        <w:rPr>
          <w:b w:val="0"/>
          <w:bCs w:val="0"/>
        </w:rPr>
      </w:pPr>
      <w:bookmarkStart w:name="1、以公允价值计量的资产和负债的期末公允价值" w:id="445"/>
      <w:bookmarkEnd w:id="44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after="0" w:line="240" w:lineRule="auto"/>
        <w:jc w:val="right"/>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3"/>
        <w:gridCol w:w="1836"/>
        <w:gridCol w:w="1913"/>
        <w:gridCol w:w="1913"/>
        <w:gridCol w:w="1915"/>
      </w:tblGrid>
      <w:tr>
        <w:trPr>
          <w:trHeight w:val="402" w:hRule="exact"/>
        </w:trPr>
        <w:tc>
          <w:tcPr>
            <w:tcW w:w="19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3"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持续和非持续第一层次公允价值计量项目市价的确定依据" w:id="446"/>
      <w:bookmarkEnd w:id="446"/>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3、持续和非持续第二层次公允价值计量项目，采用的估值技术和重要参数的定性及定量信" w:id="447"/>
      <w:bookmarkEnd w:id="447"/>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4、持续和非持续第三层次公允价值计量项目，采用的估值技术和重要参数的定性及定量信" w:id="448"/>
      <w:bookmarkEnd w:id="448"/>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5、持续的第三层次公允价值计量项目，期初与期末账面价值间的调节信息及不可观察参数" w:id="449"/>
      <w:bookmarkEnd w:id="449"/>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6、持续的公允价值计量项目，本期内发生各层级之间转换的，转换的原因及确定转换时点" w:id="450"/>
      <w:bookmarkEnd w:id="450"/>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7、本期内发生的估值技术变更及变更原因" w:id="451"/>
      <w:bookmarkEnd w:id="451"/>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8、不以公允价值计量的金融资产和金融负债的公允价值情况" w:id="452"/>
      <w:bookmarkEnd w:id="452"/>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9、其他" w:id="453"/>
      <w:bookmarkEnd w:id="453"/>
      <w:r>
        <w:rPr>
          <w:b w:val="0"/>
          <w:bCs w:val="0"/>
        </w:rPr>
      </w:r>
      <w:r>
        <w:rPr>
          <w:rFonts w:ascii="Times New Roman" w:hAnsi="Times New Roman" w:cs="Times New Roman" w:eastAsia="Times New Roman" w:hint="default"/>
        </w:rPr>
        <w:t>9</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2" w:right="1134"/>
        <w:jc w:val="left"/>
      </w:pPr>
      <w:r>
        <w:rPr/>
        <w:t>公允价值计量结果所属的层次，由对公允价值计量整体而言具有重要意义的输入值所属的最低层次决定： 第一层次：相同资产或负债在活跃市场上未经调整的报价。 第二层次：除第一层次输入值外相关资产或负债直接或间接可观察的输入值。 第三层次：相关资产或负债的不可观察输入值。</w:t>
      </w:r>
    </w:p>
    <w:p>
      <w:pPr>
        <w:pStyle w:val="BodyText"/>
        <w:spacing w:line="316" w:lineRule="auto" w:before="18"/>
        <w:ind w:right="150" w:firstLine="43"/>
        <w:jc w:val="left"/>
      </w:pPr>
      <w:r>
        <w:rPr/>
        <w:t>于报告期内，本公司不存在持续和非持续以公允价值计量的资产，也不存在不以公允价值计量但披露其公允价值的资产和</w:t>
      </w:r>
      <w:r>
        <w:rPr>
          <w:spacing w:val="-86"/>
        </w:rPr>
        <w:t> </w:t>
      </w:r>
      <w:r>
        <w:rPr>
          <w:spacing w:val="-86"/>
        </w:rPr>
      </w:r>
      <w:r>
        <w:rPr/>
        <w:t>负债。 本集团以摊余成本计量的金融资产和金融负债主要包括应收款项、应付款项等，不以公允价值计量的金融资产和金融负债 的账面价值与公允价值差异并不重大。</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150"/>
        <w:jc w:val="left"/>
        <w:rPr>
          <w:b w:val="0"/>
          <w:bCs w:val="0"/>
        </w:rPr>
      </w:pPr>
      <w:bookmarkStart w:name="十二、关联方及关联交易" w:id="454"/>
      <w:bookmarkEnd w:id="454"/>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0"/>
        <w:jc w:val="left"/>
        <w:rPr>
          <w:b w:val="0"/>
          <w:bCs w:val="0"/>
        </w:rPr>
      </w:pPr>
      <w:bookmarkStart w:name="1、本企业的母公司情况" w:id="455"/>
      <w:bookmarkEnd w:id="455"/>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598"/>
        <w:gridCol w:w="1594"/>
        <w:gridCol w:w="1594"/>
        <w:gridCol w:w="1594"/>
        <w:gridCol w:w="1594"/>
        <w:gridCol w:w="1593"/>
      </w:tblGrid>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43" w:right="69"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5" w:hRule="exact"/>
        </w:trPr>
        <w:tc>
          <w:tcPr>
            <w:tcW w:w="1598" w:type="dxa"/>
            <w:tcBorders>
              <w:top w:val="single" w:sz="4" w:space="0" w:color="000000"/>
              <w:left w:val="nil" w:sz="6" w:space="0" w:color="auto"/>
              <w:bottom w:val="nil" w:sz="6" w:space="0" w:color="auto"/>
              <w:right w:val="nil" w:sz="6" w:space="0" w:color="auto"/>
            </w:tcBorders>
          </w:tcPr>
          <w:p>
            <w:pPr>
              <w:pStyle w:val="TableParagraph"/>
              <w:spacing w:line="362" w:lineRule="auto" w:before="91"/>
              <w:ind w:left="109" w:right="740"/>
              <w:jc w:val="left"/>
              <w:rPr>
                <w:rFonts w:ascii="Times New Roman" w:hAnsi="Times New Roman" w:cs="Times New Roman" w:eastAsia="Times New Roman" w:hint="default"/>
                <w:sz w:val="18"/>
                <w:szCs w:val="18"/>
              </w:rPr>
            </w:pPr>
            <w:r>
              <w:rPr>
                <w:rFonts w:ascii="Times New Roman"/>
                <w:sz w:val="18"/>
              </w:rPr>
              <w:t>YUE QI</w:t>
            </w:r>
            <w:r>
              <w:rPr>
                <w:rFonts w:ascii="Times New Roman"/>
                <w:spacing w:val="-1"/>
                <w:w w:val="99"/>
                <w:sz w:val="18"/>
              </w:rPr>
              <w:t> </w:t>
            </w:r>
            <w:r>
              <w:rPr>
                <w:rFonts w:ascii="Times New Roman"/>
                <w:spacing w:val="-3"/>
                <w:sz w:val="18"/>
              </w:rPr>
              <w:t>CAPITAL</w:t>
            </w:r>
            <w:r>
              <w:rPr>
                <w:rFonts w:ascii="Times New Roman"/>
                <w:spacing w:val="-40"/>
                <w:sz w:val="18"/>
              </w:rPr>
              <w:t> </w:t>
            </w:r>
            <w:r>
              <w:rPr>
                <w:rFonts w:ascii="Times New Roman"/>
                <w:spacing w:val="-40"/>
                <w:sz w:val="18"/>
              </w:rPr>
            </w:r>
            <w:r>
              <w:rPr>
                <w:rFonts w:ascii="Times New Roman"/>
                <w:sz w:val="18"/>
              </w:rPr>
              <w:t>LIMITED</w:t>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9,434,801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w:t>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24.02%</w:t>
            </w:r>
          </w:p>
        </w:tc>
        <w:tc>
          <w:tcPr>
            <w:tcW w:w="1593"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24.02%</w:t>
            </w:r>
          </w:p>
        </w:tc>
      </w:tr>
      <w:tr>
        <w:trPr>
          <w:trHeight w:val="292"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9" w:right="0"/>
              <w:jc w:val="left"/>
              <w:rPr>
                <w:rFonts w:ascii="宋体" w:hAnsi="宋体" w:cs="宋体" w:eastAsia="宋体" w:hint="default"/>
                <w:sz w:val="18"/>
                <w:szCs w:val="18"/>
              </w:rPr>
            </w:pPr>
            <w:r>
              <w:rPr>
                <w:rFonts w:ascii="宋体" w:hAnsi="宋体" w:cs="宋体" w:eastAsia="宋体" w:hint="default"/>
                <w:sz w:val="18"/>
                <w:szCs w:val="18"/>
              </w:rPr>
              <w:t>无锡朴华股权投</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非证券类股权投</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20.22%</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5"/>
              <w:jc w:val="right"/>
              <w:rPr>
                <w:rFonts w:ascii="Times New Roman" w:hAnsi="Times New Roman" w:cs="Times New Roman" w:eastAsia="Times New Roman" w:hint="default"/>
                <w:sz w:val="18"/>
                <w:szCs w:val="18"/>
              </w:rPr>
            </w:pPr>
            <w:r>
              <w:rPr>
                <w:rFonts w:ascii="Times New Roman"/>
                <w:sz w:val="18"/>
              </w:rPr>
              <w:t>20.22%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1625"/>
        <w:gridCol w:w="1175"/>
        <w:gridCol w:w="1953"/>
        <w:gridCol w:w="2008"/>
        <w:gridCol w:w="1656"/>
        <w:gridCol w:w="1278"/>
      </w:tblGrid>
      <w:tr>
        <w:trPr>
          <w:trHeight w:val="679" w:hRule="exact"/>
        </w:trPr>
        <w:tc>
          <w:tcPr>
            <w:tcW w:w="1625"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资合伙企业</w:t>
            </w:r>
          </w:p>
        </w:tc>
        <w:tc>
          <w:tcPr>
            <w:tcW w:w="1175" w:type="dxa"/>
            <w:tcBorders>
              <w:top w:val="single" w:sz="6" w:space="0" w:color="000000"/>
              <w:left w:val="nil" w:sz="6" w:space="0" w:color="auto"/>
              <w:bottom w:val="nil" w:sz="6" w:space="0" w:color="auto"/>
              <w:right w:val="nil" w:sz="6" w:space="0" w:color="auto"/>
            </w:tcBorders>
          </w:tcPr>
          <w:p>
            <w:pPr/>
          </w:p>
        </w:tc>
        <w:tc>
          <w:tcPr>
            <w:tcW w:w="1953"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526" w:right="0"/>
              <w:jc w:val="left"/>
              <w:rPr>
                <w:rFonts w:ascii="宋体" w:hAnsi="宋体" w:cs="宋体" w:eastAsia="宋体" w:hint="default"/>
                <w:sz w:val="18"/>
                <w:szCs w:val="18"/>
              </w:rPr>
            </w:pPr>
            <w:r>
              <w:rPr>
                <w:rFonts w:ascii="宋体" w:hAnsi="宋体" w:cs="宋体" w:eastAsia="宋体" w:hint="default"/>
                <w:sz w:val="18"/>
                <w:szCs w:val="18"/>
              </w:rPr>
              <w:t>资</w:t>
            </w:r>
          </w:p>
        </w:tc>
        <w:tc>
          <w:tcPr>
            <w:tcW w:w="2008" w:type="dxa"/>
            <w:tcBorders>
              <w:top w:val="single" w:sz="6" w:space="0" w:color="000000"/>
              <w:left w:val="nil" w:sz="6" w:space="0" w:color="auto"/>
              <w:bottom w:val="nil" w:sz="6" w:space="0" w:color="auto"/>
              <w:right w:val="nil" w:sz="6" w:space="0" w:color="auto"/>
            </w:tcBorders>
          </w:tcPr>
          <w:p>
            <w:pPr/>
          </w:p>
        </w:tc>
        <w:tc>
          <w:tcPr>
            <w:tcW w:w="1656" w:type="dxa"/>
            <w:tcBorders>
              <w:top w:val="single" w:sz="6" w:space="0" w:color="000000"/>
              <w:left w:val="nil" w:sz="6" w:space="0" w:color="auto"/>
              <w:bottom w:val="nil" w:sz="6" w:space="0" w:color="auto"/>
              <w:right w:val="nil" w:sz="6" w:space="0" w:color="auto"/>
            </w:tcBorders>
          </w:tcPr>
          <w:p>
            <w:pPr/>
          </w:p>
        </w:tc>
        <w:tc>
          <w:tcPr>
            <w:tcW w:w="1278" w:type="dxa"/>
            <w:tcBorders>
              <w:top w:val="single" w:sz="6" w:space="0" w:color="000000"/>
              <w:left w:val="nil" w:sz="6" w:space="0" w:color="auto"/>
              <w:bottom w:val="nil" w:sz="6" w:space="0" w:color="auto"/>
              <w:right w:val="nil" w:sz="6" w:space="0" w:color="auto"/>
            </w:tcBorders>
          </w:tcPr>
          <w:p>
            <w:pPr/>
          </w:p>
        </w:tc>
      </w:tr>
      <w:tr>
        <w:trPr>
          <w:trHeight w:val="703"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314" w:lineRule="auto" w:before="51"/>
              <w:ind w:left="136" w:right="226"/>
              <w:jc w:val="left"/>
              <w:rPr>
                <w:rFonts w:ascii="宋体" w:hAnsi="宋体" w:cs="宋体" w:eastAsia="宋体" w:hint="default"/>
                <w:sz w:val="18"/>
                <w:szCs w:val="18"/>
              </w:rPr>
            </w:pPr>
            <w:r>
              <w:rPr>
                <w:rFonts w:ascii="宋体" w:hAnsi="宋体" w:cs="宋体" w:eastAsia="宋体" w:hint="default"/>
                <w:sz w:val="18"/>
                <w:szCs w:val="18"/>
              </w:rPr>
              <w:t>无锡群英股权投 资合伙企业</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953" w:type="dxa"/>
            <w:tcBorders>
              <w:top w:val="nil" w:sz="6" w:space="0" w:color="auto"/>
              <w:left w:val="nil" w:sz="6" w:space="0" w:color="auto"/>
              <w:bottom w:val="nil" w:sz="6" w:space="0" w:color="auto"/>
              <w:right w:val="nil" w:sz="6" w:space="0" w:color="auto"/>
            </w:tcBorders>
          </w:tcPr>
          <w:p>
            <w:pPr>
              <w:pStyle w:val="TableParagraph"/>
              <w:spacing w:line="314" w:lineRule="auto" w:before="51"/>
              <w:ind w:left="526" w:right="165"/>
              <w:jc w:val="left"/>
              <w:rPr>
                <w:rFonts w:ascii="宋体" w:hAnsi="宋体" w:cs="宋体" w:eastAsia="宋体" w:hint="default"/>
                <w:sz w:val="18"/>
                <w:szCs w:val="18"/>
              </w:rPr>
            </w:pPr>
            <w:r>
              <w:rPr>
                <w:rFonts w:ascii="宋体" w:hAnsi="宋体" w:cs="宋体" w:eastAsia="宋体" w:hint="default"/>
                <w:sz w:val="18"/>
                <w:szCs w:val="18"/>
              </w:rPr>
              <w:t>非证券类股权投 资</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19"/>
              <w:jc w:val="right"/>
              <w:rPr>
                <w:rFonts w:ascii="Times New Roman" w:hAnsi="Times New Roman" w:cs="Times New Roman" w:eastAsia="Times New Roman" w:hint="default"/>
                <w:sz w:val="18"/>
                <w:szCs w:val="18"/>
              </w:rPr>
            </w:pPr>
            <w:r>
              <w:rPr>
                <w:rFonts w:ascii="Times New Roman"/>
                <w:sz w:val="18"/>
              </w:rPr>
              <w:t>8.10%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01"/>
              <w:jc w:val="right"/>
              <w:rPr>
                <w:rFonts w:ascii="Times New Roman" w:hAnsi="Times New Roman" w:cs="Times New Roman" w:eastAsia="Times New Roman" w:hint="default"/>
                <w:sz w:val="18"/>
                <w:szCs w:val="18"/>
              </w:rPr>
            </w:pPr>
            <w:r>
              <w:rPr>
                <w:rFonts w:ascii="Times New Roman"/>
                <w:sz w:val="18"/>
              </w:rPr>
              <w:t>8.10%</w:t>
            </w:r>
          </w:p>
        </w:tc>
      </w:tr>
      <w:tr>
        <w:trPr>
          <w:trHeight w:val="704"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316" w:lineRule="auto" w:before="51"/>
              <w:ind w:left="136" w:right="226"/>
              <w:jc w:val="left"/>
              <w:rPr>
                <w:rFonts w:ascii="宋体" w:hAnsi="宋体" w:cs="宋体" w:eastAsia="宋体" w:hint="default"/>
                <w:sz w:val="18"/>
                <w:szCs w:val="18"/>
              </w:rPr>
            </w:pPr>
            <w:r>
              <w:rPr>
                <w:rFonts w:ascii="宋体" w:hAnsi="宋体" w:cs="宋体" w:eastAsia="宋体" w:hint="default"/>
                <w:sz w:val="18"/>
                <w:szCs w:val="18"/>
              </w:rPr>
              <w:t>无锡富赡股权投 资合伙企业</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953" w:type="dxa"/>
            <w:tcBorders>
              <w:top w:val="nil" w:sz="6" w:space="0" w:color="auto"/>
              <w:left w:val="nil" w:sz="6" w:space="0" w:color="auto"/>
              <w:bottom w:val="nil" w:sz="6" w:space="0" w:color="auto"/>
              <w:right w:val="nil" w:sz="6" w:space="0" w:color="auto"/>
            </w:tcBorders>
          </w:tcPr>
          <w:p>
            <w:pPr>
              <w:pStyle w:val="TableParagraph"/>
              <w:spacing w:line="316" w:lineRule="auto" w:before="51"/>
              <w:ind w:left="526" w:right="164"/>
              <w:jc w:val="left"/>
              <w:rPr>
                <w:rFonts w:ascii="宋体" w:hAnsi="宋体" w:cs="宋体" w:eastAsia="宋体" w:hint="default"/>
                <w:sz w:val="18"/>
                <w:szCs w:val="18"/>
              </w:rPr>
            </w:pPr>
            <w:r>
              <w:rPr>
                <w:rFonts w:ascii="宋体" w:hAnsi="宋体" w:cs="宋体" w:eastAsia="宋体" w:hint="default"/>
                <w:sz w:val="18"/>
                <w:szCs w:val="18"/>
              </w:rPr>
              <w:t>非证券类股权投 资</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4829000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19"/>
              <w:jc w:val="right"/>
              <w:rPr>
                <w:rFonts w:ascii="Times New Roman" w:hAnsi="Times New Roman" w:cs="Times New Roman" w:eastAsia="Times New Roman" w:hint="default"/>
                <w:sz w:val="18"/>
                <w:szCs w:val="18"/>
              </w:rPr>
            </w:pPr>
            <w:r>
              <w:rPr>
                <w:rFonts w:ascii="Times New Roman"/>
                <w:sz w:val="18"/>
              </w:rPr>
              <w:t>2.26%</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01"/>
              <w:jc w:val="right"/>
              <w:rPr>
                <w:rFonts w:ascii="Times New Roman" w:hAnsi="Times New Roman" w:cs="Times New Roman" w:eastAsia="Times New Roman" w:hint="default"/>
                <w:sz w:val="18"/>
                <w:szCs w:val="18"/>
              </w:rPr>
            </w:pPr>
            <w:r>
              <w:rPr>
                <w:rFonts w:ascii="Times New Roman"/>
                <w:sz w:val="18"/>
              </w:rPr>
              <w:t>2.26%</w:t>
            </w:r>
          </w:p>
        </w:tc>
      </w:tr>
      <w:tr>
        <w:trPr>
          <w:trHeight w:val="704"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316" w:lineRule="auto" w:before="50"/>
              <w:ind w:left="137" w:right="226"/>
              <w:jc w:val="left"/>
              <w:rPr>
                <w:rFonts w:ascii="宋体" w:hAnsi="宋体" w:cs="宋体" w:eastAsia="宋体" w:hint="default"/>
                <w:sz w:val="18"/>
                <w:szCs w:val="18"/>
              </w:rPr>
            </w:pPr>
            <w:r>
              <w:rPr>
                <w:rFonts w:ascii="宋体" w:hAnsi="宋体" w:cs="宋体" w:eastAsia="宋体" w:hint="default"/>
                <w:sz w:val="18"/>
                <w:szCs w:val="18"/>
              </w:rPr>
              <w:t>无锡羲华股权投 资合伙企业</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953" w:type="dxa"/>
            <w:tcBorders>
              <w:top w:val="nil" w:sz="6" w:space="0" w:color="auto"/>
              <w:left w:val="nil" w:sz="6" w:space="0" w:color="auto"/>
              <w:bottom w:val="nil" w:sz="6" w:space="0" w:color="auto"/>
              <w:right w:val="nil" w:sz="6" w:space="0" w:color="auto"/>
            </w:tcBorders>
          </w:tcPr>
          <w:p>
            <w:pPr>
              <w:pStyle w:val="TableParagraph"/>
              <w:spacing w:line="316" w:lineRule="auto" w:before="50"/>
              <w:ind w:left="526" w:right="164"/>
              <w:jc w:val="left"/>
              <w:rPr>
                <w:rFonts w:ascii="宋体" w:hAnsi="宋体" w:cs="宋体" w:eastAsia="宋体" w:hint="default"/>
                <w:sz w:val="18"/>
                <w:szCs w:val="18"/>
              </w:rPr>
            </w:pPr>
            <w:r>
              <w:rPr>
                <w:rFonts w:ascii="宋体" w:hAnsi="宋体" w:cs="宋体" w:eastAsia="宋体" w:hint="default"/>
                <w:sz w:val="18"/>
                <w:szCs w:val="18"/>
              </w:rPr>
              <w:t>非证券类股权投 资</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4169935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19"/>
              <w:jc w:val="right"/>
              <w:rPr>
                <w:rFonts w:ascii="Times New Roman" w:hAnsi="Times New Roman" w:cs="Times New Roman" w:eastAsia="Times New Roman" w:hint="default"/>
                <w:sz w:val="18"/>
                <w:szCs w:val="18"/>
              </w:rPr>
            </w:pPr>
            <w:r>
              <w:rPr>
                <w:rFonts w:ascii="Times New Roman"/>
                <w:sz w:val="18"/>
              </w:rPr>
              <w:t>1.95%</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1"/>
              <w:jc w:val="right"/>
              <w:rPr>
                <w:rFonts w:ascii="Times New Roman" w:hAnsi="Times New Roman" w:cs="Times New Roman" w:eastAsia="Times New Roman" w:hint="default"/>
                <w:sz w:val="18"/>
                <w:szCs w:val="18"/>
              </w:rPr>
            </w:pPr>
            <w:r>
              <w:rPr>
                <w:rFonts w:ascii="Times New Roman"/>
                <w:sz w:val="18"/>
              </w:rPr>
              <w:t>1.95%</w:t>
            </w:r>
          </w:p>
        </w:tc>
      </w:tr>
      <w:tr>
        <w:trPr>
          <w:trHeight w:val="703"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314" w:lineRule="auto" w:before="51"/>
              <w:ind w:left="137" w:right="225"/>
              <w:jc w:val="left"/>
              <w:rPr>
                <w:rFonts w:ascii="宋体" w:hAnsi="宋体" w:cs="宋体" w:eastAsia="宋体" w:hint="default"/>
                <w:sz w:val="18"/>
                <w:szCs w:val="18"/>
              </w:rPr>
            </w:pPr>
            <w:r>
              <w:rPr>
                <w:rFonts w:ascii="宋体" w:hAnsi="宋体" w:cs="宋体" w:eastAsia="宋体" w:hint="default"/>
                <w:sz w:val="18"/>
                <w:szCs w:val="18"/>
              </w:rPr>
              <w:t>无锡道元股权投 资合伙企业</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953" w:type="dxa"/>
            <w:tcBorders>
              <w:top w:val="nil" w:sz="6" w:space="0" w:color="auto"/>
              <w:left w:val="nil" w:sz="6" w:space="0" w:color="auto"/>
              <w:bottom w:val="nil" w:sz="6" w:space="0" w:color="auto"/>
              <w:right w:val="nil" w:sz="6" w:space="0" w:color="auto"/>
            </w:tcBorders>
          </w:tcPr>
          <w:p>
            <w:pPr>
              <w:pStyle w:val="TableParagraph"/>
              <w:spacing w:line="314" w:lineRule="auto" w:before="51"/>
              <w:ind w:left="526" w:right="164"/>
              <w:jc w:val="left"/>
              <w:rPr>
                <w:rFonts w:ascii="宋体" w:hAnsi="宋体" w:cs="宋体" w:eastAsia="宋体" w:hint="default"/>
                <w:sz w:val="18"/>
                <w:szCs w:val="18"/>
              </w:rPr>
            </w:pPr>
            <w:r>
              <w:rPr>
                <w:rFonts w:ascii="宋体" w:hAnsi="宋体" w:cs="宋体" w:eastAsia="宋体" w:hint="default"/>
                <w:sz w:val="18"/>
                <w:szCs w:val="18"/>
              </w:rPr>
              <w:t>非证券类股权投 资</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3807265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20"/>
              <w:jc w:val="right"/>
              <w:rPr>
                <w:rFonts w:ascii="Times New Roman" w:hAnsi="Times New Roman" w:cs="Times New Roman" w:eastAsia="Times New Roman" w:hint="default"/>
                <w:sz w:val="18"/>
                <w:szCs w:val="18"/>
              </w:rPr>
            </w:pPr>
            <w:r>
              <w:rPr>
                <w:rFonts w:ascii="Times New Roman"/>
                <w:sz w:val="18"/>
              </w:rPr>
              <w:t>1.78%</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01"/>
              <w:jc w:val="right"/>
              <w:rPr>
                <w:rFonts w:ascii="Times New Roman" w:hAnsi="Times New Roman" w:cs="Times New Roman" w:eastAsia="Times New Roman" w:hint="default"/>
                <w:sz w:val="18"/>
                <w:szCs w:val="18"/>
              </w:rPr>
            </w:pPr>
            <w:r>
              <w:rPr>
                <w:rFonts w:ascii="Times New Roman"/>
                <w:sz w:val="18"/>
              </w:rPr>
              <w:t>1.78%</w:t>
            </w:r>
          </w:p>
        </w:tc>
      </w:tr>
      <w:tr>
        <w:trPr>
          <w:trHeight w:val="1016"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316" w:lineRule="auto" w:before="51"/>
              <w:ind w:left="137" w:right="105"/>
              <w:jc w:val="both"/>
              <w:rPr>
                <w:rFonts w:ascii="宋体" w:hAnsi="宋体" w:cs="宋体" w:eastAsia="宋体" w:hint="default"/>
                <w:sz w:val="18"/>
                <w:szCs w:val="18"/>
              </w:rPr>
            </w:pPr>
            <w:r>
              <w:rPr>
                <w:rFonts w:ascii="宋体" w:hAnsi="宋体" w:cs="宋体" w:eastAsia="宋体" w:hint="default"/>
                <w:spacing w:val="-8"/>
                <w:sz w:val="18"/>
                <w:szCs w:val="18"/>
              </w:rPr>
              <w:t>国开博裕一期（上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海）股权投资合伙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26"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4,890,000,000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16"/>
              <w:jc w:val="right"/>
              <w:rPr>
                <w:rFonts w:ascii="Times New Roman" w:hAnsi="Times New Roman" w:cs="Times New Roman" w:eastAsia="Times New Roman" w:hint="default"/>
                <w:sz w:val="18"/>
                <w:szCs w:val="18"/>
              </w:rPr>
            </w:pPr>
            <w:r>
              <w:rPr>
                <w:rFonts w:ascii="Times New Roman"/>
                <w:sz w:val="18"/>
              </w:rPr>
              <w:t>12.94%</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98"/>
              <w:jc w:val="right"/>
              <w:rPr>
                <w:rFonts w:ascii="Times New Roman" w:hAnsi="Times New Roman" w:cs="Times New Roman" w:eastAsia="Times New Roman" w:hint="default"/>
                <w:sz w:val="18"/>
                <w:szCs w:val="18"/>
              </w:rPr>
            </w:pPr>
            <w:r>
              <w:rPr>
                <w:rFonts w:ascii="Times New Roman"/>
                <w:sz w:val="18"/>
              </w:rPr>
              <w:t>12.94%</w:t>
            </w:r>
          </w:p>
        </w:tc>
      </w:tr>
      <w:tr>
        <w:trPr>
          <w:trHeight w:val="704"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316" w:lineRule="auto" w:before="50"/>
              <w:ind w:left="137" w:right="225"/>
              <w:jc w:val="left"/>
              <w:rPr>
                <w:rFonts w:ascii="宋体" w:hAnsi="宋体" w:cs="宋体" w:eastAsia="宋体" w:hint="default"/>
                <w:sz w:val="18"/>
                <w:szCs w:val="18"/>
              </w:rPr>
            </w:pPr>
            <w:r>
              <w:rPr>
                <w:rFonts w:ascii="宋体" w:hAnsi="宋体" w:cs="宋体" w:eastAsia="宋体" w:hint="default"/>
                <w:sz w:val="18"/>
                <w:szCs w:val="18"/>
              </w:rPr>
              <w:t>天津诚柏股权投 资合伙企业</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953" w:type="dxa"/>
            <w:tcBorders>
              <w:top w:val="nil" w:sz="6" w:space="0" w:color="auto"/>
              <w:left w:val="nil" w:sz="6" w:space="0" w:color="auto"/>
              <w:bottom w:val="nil" w:sz="6" w:space="0" w:color="auto"/>
              <w:right w:val="nil" w:sz="6" w:space="0" w:color="auto"/>
            </w:tcBorders>
          </w:tcPr>
          <w:p>
            <w:pPr>
              <w:pStyle w:val="TableParagraph"/>
              <w:spacing w:line="316" w:lineRule="auto" w:before="50"/>
              <w:ind w:left="526" w:right="164"/>
              <w:jc w:val="left"/>
              <w:rPr>
                <w:rFonts w:ascii="宋体" w:hAnsi="宋体" w:cs="宋体" w:eastAsia="宋体" w:hint="default"/>
                <w:sz w:val="18"/>
                <w:szCs w:val="18"/>
              </w:rPr>
            </w:pPr>
            <w:r>
              <w:rPr>
                <w:rFonts w:ascii="宋体" w:hAnsi="宋体" w:cs="宋体" w:eastAsia="宋体" w:hint="default"/>
                <w:sz w:val="18"/>
                <w:szCs w:val="18"/>
              </w:rPr>
              <w:t>非证券类股权投 资</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1,460,700,000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20"/>
              <w:jc w:val="right"/>
              <w:rPr>
                <w:rFonts w:ascii="Times New Roman" w:hAnsi="Times New Roman" w:cs="Times New Roman" w:eastAsia="Times New Roman" w:hint="default"/>
                <w:sz w:val="18"/>
                <w:szCs w:val="18"/>
              </w:rPr>
            </w:pPr>
            <w:r>
              <w:rPr>
                <w:rFonts w:ascii="Times New Roman"/>
                <w:sz w:val="18"/>
              </w:rPr>
              <w:t>4.53%</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1"/>
              <w:jc w:val="right"/>
              <w:rPr>
                <w:rFonts w:ascii="Times New Roman" w:hAnsi="Times New Roman" w:cs="Times New Roman" w:eastAsia="Times New Roman" w:hint="default"/>
                <w:sz w:val="18"/>
                <w:szCs w:val="18"/>
              </w:rPr>
            </w:pPr>
            <w:r>
              <w:rPr>
                <w:rFonts w:ascii="Times New Roman"/>
                <w:sz w:val="18"/>
              </w:rPr>
              <w:t>4.53%</w:t>
            </w:r>
          </w:p>
        </w:tc>
      </w:tr>
      <w:tr>
        <w:trPr>
          <w:trHeight w:val="703"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314" w:lineRule="auto" w:before="51"/>
              <w:ind w:left="137" w:right="225"/>
              <w:jc w:val="left"/>
              <w:rPr>
                <w:rFonts w:ascii="宋体" w:hAnsi="宋体" w:cs="宋体" w:eastAsia="宋体" w:hint="default"/>
                <w:sz w:val="18"/>
                <w:szCs w:val="18"/>
              </w:rPr>
            </w:pPr>
            <w:r>
              <w:rPr>
                <w:rFonts w:ascii="宋体" w:hAnsi="宋体" w:cs="宋体" w:eastAsia="宋体" w:hint="default"/>
                <w:sz w:val="18"/>
                <w:szCs w:val="18"/>
              </w:rPr>
              <w:t>海南华兴合创创 业投资中心</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26"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18"/>
              <w:jc w:val="right"/>
              <w:rPr>
                <w:rFonts w:ascii="Times New Roman" w:hAnsi="Times New Roman" w:cs="Times New Roman" w:eastAsia="Times New Roman" w:hint="default"/>
                <w:sz w:val="18"/>
                <w:szCs w:val="18"/>
              </w:rPr>
            </w:pPr>
            <w:r>
              <w:rPr>
                <w:rFonts w:ascii="Times New Roman"/>
                <w:sz w:val="18"/>
              </w:rPr>
              <w:t>1.94%</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01"/>
              <w:jc w:val="right"/>
              <w:rPr>
                <w:rFonts w:ascii="Times New Roman" w:hAnsi="Times New Roman" w:cs="Times New Roman" w:eastAsia="Times New Roman" w:hint="default"/>
                <w:sz w:val="18"/>
                <w:szCs w:val="18"/>
              </w:rPr>
            </w:pPr>
            <w:r>
              <w:rPr>
                <w:rFonts w:ascii="Times New Roman"/>
                <w:sz w:val="18"/>
              </w:rPr>
              <w:t>1.94%</w:t>
            </w:r>
          </w:p>
        </w:tc>
      </w:tr>
      <w:tr>
        <w:trPr>
          <w:trHeight w:val="704"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316" w:lineRule="auto" w:before="51"/>
              <w:ind w:left="137" w:right="225"/>
              <w:jc w:val="left"/>
              <w:rPr>
                <w:rFonts w:ascii="宋体" w:hAnsi="宋体" w:cs="宋体" w:eastAsia="宋体" w:hint="default"/>
                <w:sz w:val="18"/>
                <w:szCs w:val="18"/>
              </w:rPr>
            </w:pPr>
            <w:r>
              <w:rPr>
                <w:rFonts w:ascii="宋体" w:hAnsi="宋体" w:cs="宋体" w:eastAsia="宋体" w:hint="default"/>
                <w:sz w:val="18"/>
                <w:szCs w:val="18"/>
              </w:rPr>
              <w:t>上海云鑫投资管 理有限公司</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451,782,336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18"/>
              <w:jc w:val="right"/>
              <w:rPr>
                <w:rFonts w:ascii="Times New Roman" w:hAnsi="Times New Roman" w:cs="Times New Roman" w:eastAsia="Times New Roman" w:hint="default"/>
                <w:sz w:val="18"/>
                <w:szCs w:val="18"/>
              </w:rPr>
            </w:pPr>
            <w:r>
              <w:rPr>
                <w:rFonts w:ascii="Times New Roman"/>
                <w:sz w:val="18"/>
              </w:rPr>
              <w:t>8.64%</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00"/>
              <w:jc w:val="right"/>
              <w:rPr>
                <w:rFonts w:ascii="Times New Roman" w:hAnsi="Times New Roman" w:cs="Times New Roman" w:eastAsia="Times New Roman" w:hint="default"/>
                <w:sz w:val="18"/>
                <w:szCs w:val="18"/>
              </w:rPr>
            </w:pPr>
            <w:r>
              <w:rPr>
                <w:rFonts w:ascii="Times New Roman"/>
                <w:sz w:val="18"/>
              </w:rPr>
              <w:t>8.64%</w:t>
            </w:r>
          </w:p>
        </w:tc>
      </w:tr>
      <w:tr>
        <w:trPr>
          <w:trHeight w:val="1016"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309" w:lineRule="auto" w:before="50"/>
              <w:ind w:left="137" w:right="194"/>
              <w:jc w:val="both"/>
              <w:rPr>
                <w:rFonts w:ascii="宋体" w:hAnsi="宋体" w:cs="宋体" w:eastAsia="宋体" w:hint="default"/>
                <w:sz w:val="18"/>
                <w:szCs w:val="18"/>
              </w:rPr>
            </w:pPr>
            <w:r>
              <w:rPr>
                <w:rFonts w:ascii="宋体" w:hAnsi="宋体" w:cs="宋体" w:eastAsia="宋体" w:hint="default"/>
                <w:sz w:val="18"/>
                <w:szCs w:val="18"/>
              </w:rPr>
              <w:t>境内上市人民币 普通股</w:t>
            </w:r>
            <w:r>
              <w:rPr>
                <w:rFonts w:ascii="宋体" w:hAnsi="宋体" w:cs="宋体" w:eastAsia="宋体" w:hint="default"/>
                <w:spacing w:val="-45"/>
                <w:sz w:val="18"/>
                <w:szCs w:val="18"/>
              </w:rPr>
              <w:t> </w:t>
            </w:r>
            <w:r>
              <w:rPr>
                <w:rFonts w:ascii="Arial" w:hAnsi="Arial" w:cs="Arial" w:eastAsia="Arial" w:hint="default"/>
                <w:sz w:val="18"/>
                <w:szCs w:val="18"/>
              </w:rPr>
              <w:t>A</w:t>
            </w:r>
            <w:r>
              <w:rPr>
                <w:rFonts w:ascii="Arial" w:hAnsi="Arial" w:cs="Arial" w:eastAsia="Arial" w:hint="default"/>
                <w:spacing w:val="-5"/>
                <w:sz w:val="18"/>
                <w:szCs w:val="18"/>
              </w:rPr>
              <w:t> </w:t>
            </w:r>
            <w:r>
              <w:rPr>
                <w:rFonts w:ascii="宋体" w:hAnsi="宋体" w:cs="宋体" w:eastAsia="宋体" w:hint="default"/>
                <w:sz w:val="18"/>
                <w:szCs w:val="18"/>
              </w:rPr>
              <w:t>股持有 人</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2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16"/>
              <w:jc w:val="right"/>
              <w:rPr>
                <w:rFonts w:ascii="Times New Roman" w:hAnsi="Times New Roman" w:cs="Times New Roman" w:eastAsia="Times New Roman" w:hint="default"/>
                <w:sz w:val="18"/>
                <w:szCs w:val="18"/>
              </w:rPr>
            </w:pPr>
            <w:r>
              <w:rPr>
                <w:rFonts w:ascii="Times New Roman"/>
                <w:sz w:val="18"/>
              </w:rPr>
              <w:t>10.80%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8"/>
              <w:jc w:val="right"/>
              <w:rPr>
                <w:rFonts w:ascii="Times New Roman" w:hAnsi="Times New Roman" w:cs="Times New Roman" w:eastAsia="Times New Roman" w:hint="default"/>
                <w:sz w:val="18"/>
                <w:szCs w:val="18"/>
              </w:rPr>
            </w:pPr>
            <w:r>
              <w:rPr>
                <w:rFonts w:ascii="Times New Roman"/>
                <w:sz w:val="18"/>
              </w:rPr>
              <w:t>10.80%</w:t>
            </w:r>
          </w:p>
        </w:tc>
      </w:tr>
      <w:tr>
        <w:trPr>
          <w:trHeight w:val="596" w:hRule="exact"/>
        </w:trPr>
        <w:tc>
          <w:tcPr>
            <w:tcW w:w="1625" w:type="dxa"/>
            <w:tcBorders>
              <w:top w:val="nil" w:sz="6" w:space="0" w:color="auto"/>
              <w:left w:val="nil" w:sz="6" w:space="0" w:color="auto"/>
              <w:bottom w:val="nil" w:sz="6" w:space="0" w:color="auto"/>
              <w:right w:val="nil" w:sz="6" w:space="0" w:color="auto"/>
            </w:tcBorders>
          </w:tcPr>
          <w:p>
            <w:pPr>
              <w:pStyle w:val="TableParagraph"/>
              <w:spacing w:line="310" w:lineRule="exact" w:before="13"/>
              <w:ind w:left="137" w:right="225"/>
              <w:jc w:val="left"/>
              <w:rPr>
                <w:rFonts w:ascii="宋体" w:hAnsi="宋体" w:cs="宋体" w:eastAsia="宋体" w:hint="default"/>
                <w:sz w:val="18"/>
                <w:szCs w:val="18"/>
              </w:rPr>
            </w:pPr>
            <w:r>
              <w:rPr>
                <w:rFonts w:ascii="宋体" w:hAnsi="宋体" w:cs="宋体" w:eastAsia="宋体" w:hint="default"/>
                <w:sz w:val="18"/>
                <w:szCs w:val="18"/>
              </w:rPr>
              <w:t>限制性股票激励 对象</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20"/>
              <w:jc w:val="right"/>
              <w:rPr>
                <w:rFonts w:ascii="Times New Roman" w:hAnsi="Times New Roman" w:cs="Times New Roman" w:eastAsia="Times New Roman" w:hint="default"/>
                <w:sz w:val="18"/>
                <w:szCs w:val="18"/>
              </w:rPr>
            </w:pPr>
            <w:r>
              <w:rPr>
                <w:rFonts w:ascii="Times New Roman"/>
                <w:sz w:val="18"/>
              </w:rPr>
              <w:t>2.82%</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02"/>
              <w:jc w:val="right"/>
              <w:rPr>
                <w:rFonts w:ascii="Times New Roman" w:hAnsi="Times New Roman" w:cs="Times New Roman" w:eastAsia="Times New Roman" w:hint="default"/>
                <w:sz w:val="18"/>
                <w:szCs w:val="18"/>
              </w:rPr>
            </w:pPr>
            <w:r>
              <w:rPr>
                <w:rFonts w:ascii="Times New Roman"/>
                <w:sz w:val="18"/>
              </w:rPr>
              <w:t>2.82%</w:t>
            </w:r>
          </w:p>
        </w:tc>
      </w:tr>
    </w:tbl>
    <w:p>
      <w:pPr>
        <w:spacing w:line="240" w:lineRule="auto" w:before="9"/>
        <w:rPr>
          <w:rFonts w:ascii="宋体" w:hAnsi="宋体" w:cs="宋体" w:eastAsia="宋体" w:hint="default"/>
          <w:b/>
          <w:bCs/>
          <w:sz w:val="8"/>
          <w:szCs w:val="8"/>
        </w:rPr>
      </w:pPr>
    </w:p>
    <w:p>
      <w:pPr>
        <w:pStyle w:val="BodyText"/>
        <w:spacing w:line="357" w:lineRule="auto" w:before="44"/>
        <w:ind w:left="133" w:right="5973"/>
        <w:jc w:val="left"/>
      </w:pPr>
      <w:r>
        <w:rPr/>
        <w:t>本企业的母公司情况的说明 本企业最终控制方是徐长军先生和郑新标先生。 其他说明：</w:t>
      </w:r>
    </w:p>
    <w:p>
      <w:pPr>
        <w:spacing w:line="240" w:lineRule="auto" w:before="6"/>
        <w:rPr>
          <w:rFonts w:ascii="宋体" w:hAnsi="宋体" w:cs="宋体" w:eastAsia="宋体" w:hint="default"/>
          <w:sz w:val="20"/>
          <w:szCs w:val="20"/>
        </w:rPr>
      </w:pPr>
    </w:p>
    <w:p>
      <w:pPr>
        <w:pStyle w:val="Heading3"/>
        <w:spacing w:line="240" w:lineRule="auto"/>
        <w:ind w:left="132" w:right="5973"/>
        <w:jc w:val="left"/>
        <w:rPr>
          <w:b w:val="0"/>
          <w:bCs w:val="0"/>
        </w:rPr>
      </w:pPr>
      <w:bookmarkStart w:name="2、本企业的子公司情况" w:id="456"/>
      <w:bookmarkEnd w:id="456"/>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2" w:right="5973"/>
        <w:jc w:val="left"/>
      </w:pPr>
      <w:r>
        <w:rPr/>
        <w:t>本企业子公司的情况详见附注九。</w:t>
      </w:r>
    </w:p>
    <w:p>
      <w:pPr>
        <w:spacing w:line="240" w:lineRule="auto" w:before="0"/>
        <w:rPr>
          <w:rFonts w:ascii="宋体" w:hAnsi="宋体" w:cs="宋体" w:eastAsia="宋体" w:hint="default"/>
          <w:sz w:val="18"/>
          <w:szCs w:val="18"/>
        </w:rPr>
      </w:pPr>
    </w:p>
    <w:p>
      <w:pPr>
        <w:pStyle w:val="Heading3"/>
        <w:spacing w:line="240" w:lineRule="auto" w:before="118"/>
        <w:ind w:left="132" w:right="5973"/>
        <w:jc w:val="left"/>
        <w:rPr>
          <w:b w:val="0"/>
          <w:bCs w:val="0"/>
        </w:rPr>
      </w:pPr>
      <w:bookmarkStart w:name="3、本企业合营和联营企业情况" w:id="457"/>
      <w:bookmarkEnd w:id="457"/>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32" w:right="1294"/>
        <w:jc w:val="left"/>
      </w:pPr>
      <w:r>
        <w:rPr>
          <w:spacing w:val="-9"/>
        </w:rPr>
        <w:t>本企业重要的合营或联营企业详见附注九（</w:t>
      </w:r>
      <w:r>
        <w:rPr>
          <w:rFonts w:ascii="Times New Roman" w:hAnsi="Times New Roman" w:cs="Times New Roman" w:eastAsia="Times New Roman" w:hint="default"/>
          <w:spacing w:val="-9"/>
        </w:rPr>
        <w:t>3</w:t>
      </w:r>
      <w:r>
        <w:rPr>
          <w:spacing w:val="-9"/>
        </w:rPr>
        <w:t>）。</w:t>
      </w:r>
      <w:r>
        <w:rPr>
          <w:spacing w:val="-75"/>
        </w:rPr>
        <w:t> </w:t>
      </w:r>
      <w:r>
        <w:rPr/>
        <w:t>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邦道科技有限公司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本企业之合营企业</w:t>
            </w:r>
          </w:p>
        </w:tc>
      </w:tr>
    </w:tbl>
    <w:p>
      <w:pPr>
        <w:pStyle w:val="BodyText"/>
        <w:spacing w:line="240" w:lineRule="auto" w:before="49"/>
        <w:ind w:left="132" w:right="5973"/>
        <w:jc w:val="left"/>
      </w:pPr>
      <w:r>
        <w:rPr/>
        <w:t>其他说明</w:t>
      </w:r>
    </w:p>
    <w:p>
      <w:pPr>
        <w:spacing w:after="0" w:line="240" w:lineRule="auto"/>
        <w:jc w:val="left"/>
        <w:sectPr>
          <w:pgSz w:w="11910" w:h="16840"/>
          <w:pgMar w:header="745" w:footer="982" w:top="1060" w:bottom="1180" w:left="1000" w:right="100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3"/>
        <w:spacing w:line="240" w:lineRule="auto" w:before="36"/>
        <w:ind w:right="150"/>
        <w:jc w:val="left"/>
        <w:rPr>
          <w:b w:val="0"/>
          <w:bCs w:val="0"/>
        </w:rPr>
      </w:pPr>
      <w:bookmarkStart w:name="4、其他关联方情况" w:id="458"/>
      <w:bookmarkEnd w:id="45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易视腾科技股份有限公司（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易视腾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受本公司股东控制</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邦道科技有限公司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本公司之合营企业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支付宝</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网络技术有限公司（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支付宝网络</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与本公司股东上海云鑫受同一最终控制人控制</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北京朗新天霁软件技术有限公司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受本公司股东控制</w:t>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5、关联交易情况" w:id="459"/>
      <w:bookmarkEnd w:id="45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1）购销商品、提供和接受劳务的关联交易" w:id="460"/>
      <w:bookmarkEnd w:id="46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接受系统服务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0" w:right="0"/>
              <w:jc w:val="left"/>
              <w:rPr>
                <w:rFonts w:ascii="Times New Roman" w:hAnsi="Times New Roman" w:cs="Times New Roman" w:eastAsia="Times New Roman" w:hint="default"/>
                <w:sz w:val="18"/>
                <w:szCs w:val="18"/>
              </w:rPr>
            </w:pPr>
            <w:r>
              <w:rPr>
                <w:rFonts w:ascii="Times New Roman"/>
                <w:sz w:val="18"/>
              </w:rPr>
              <w:t>28,301.89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3" w:right="0"/>
              <w:jc w:val="left"/>
              <w:rPr>
                <w:rFonts w:ascii="Times New Roman" w:hAnsi="Times New Roman" w:cs="Times New Roman" w:eastAsia="Times New Roman" w:hint="default"/>
                <w:sz w:val="18"/>
                <w:szCs w:val="18"/>
              </w:rPr>
            </w:pPr>
            <w:r>
              <w:rPr>
                <w:rFonts w:ascii="Times New Roman"/>
                <w:sz w:val="18"/>
              </w:rPr>
              <w:t>200,000.00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5" w:right="0"/>
              <w:jc w:val="left"/>
              <w:rPr>
                <w:rFonts w:ascii="Times New Roman" w:hAnsi="Times New Roman" w:cs="Times New Roman" w:eastAsia="Times New Roman" w:hint="default"/>
                <w:sz w:val="18"/>
                <w:szCs w:val="18"/>
              </w:rPr>
            </w:pPr>
            <w:r>
              <w:rPr>
                <w:rFonts w:ascii="Times New Roman"/>
                <w:sz w:val="18"/>
              </w:rPr>
              <w:t>28,301.89</w:t>
            </w:r>
          </w:p>
        </w:tc>
      </w:tr>
    </w:tbl>
    <w:p>
      <w:pPr>
        <w:pStyle w:val="BodyText"/>
        <w:spacing w:line="240" w:lineRule="auto" w:before="49"/>
        <w:ind w:right="15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平台管理费收入</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1,214,190.26</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750,411.18</w:t>
            </w:r>
            <w:r>
              <w:rPr>
                <w:rFonts w:ascii="Times New Roman"/>
                <w:sz w:val="18"/>
              </w:rPr>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定制软件开发</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530,326.00</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维护服务收入</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268,744.29</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707,547.17</w:t>
            </w:r>
          </w:p>
        </w:tc>
      </w:tr>
    </w:tbl>
    <w:p>
      <w:pPr>
        <w:pStyle w:val="BodyText"/>
        <w:spacing w:line="357" w:lineRule="auto" w:before="49"/>
        <w:ind w:right="6354"/>
        <w:jc w:val="left"/>
      </w:pPr>
      <w:r>
        <w:rPr/>
        <w:t>购销商品、提供和接受劳务的关联交易说明 上述关联交易均为市场定价。</w:t>
      </w:r>
    </w:p>
    <w:p>
      <w:pPr>
        <w:spacing w:line="240" w:lineRule="auto" w:before="6"/>
        <w:rPr>
          <w:rFonts w:ascii="宋体" w:hAnsi="宋体" w:cs="宋体" w:eastAsia="宋体" w:hint="default"/>
          <w:sz w:val="20"/>
          <w:szCs w:val="20"/>
        </w:rPr>
      </w:pPr>
    </w:p>
    <w:p>
      <w:pPr>
        <w:pStyle w:val="Heading3"/>
        <w:spacing w:line="240" w:lineRule="auto"/>
        <w:ind w:right="150"/>
        <w:jc w:val="left"/>
        <w:rPr>
          <w:b w:val="0"/>
          <w:bCs w:val="0"/>
        </w:rPr>
      </w:pPr>
      <w:bookmarkStart w:name="（2）关联受托管理/承包及委托管理/出包情况" w:id="461"/>
      <w:bookmarkEnd w:id="46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2" w:right="3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pStyle w:val="BodyText"/>
        <w:spacing w:line="340"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2544" w:space="6283"/>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92" w:right="3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50"/>
        <w:jc w:val="left"/>
      </w:pPr>
      <w:r>
        <w:rPr/>
        <w:t>关联管理</w:t>
      </w:r>
      <w:r>
        <w:rPr>
          <w:rFonts w:ascii="Times New Roman" w:hAnsi="Times New Roman" w:cs="Times New Roman" w:eastAsia="Times New Roman" w:hint="default"/>
        </w:rPr>
        <w:t>/</w:t>
      </w:r>
      <w:r>
        <w:rPr/>
        <w:t>出包情况说明</w:t>
      </w:r>
    </w:p>
    <w:p>
      <w:pPr>
        <w:spacing w:after="0" w:line="24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3）关联租赁情况" w:id="462"/>
      <w:bookmarkEnd w:id="46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0"/>
        <w:jc w:val="left"/>
      </w:pPr>
      <w:r>
        <w:rPr/>
        <w:t>本公司作为出租方：</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0"/>
        <w:ind w:right="150"/>
        <w:jc w:val="left"/>
      </w:pPr>
      <w:r>
        <w:rPr/>
        <w:t>本公司作为承租方：</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15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4）关联担保情况" w:id="463"/>
      <w:bookmarkEnd w:id="46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0"/>
        <w:jc w:val="left"/>
      </w:pPr>
      <w:r>
        <w:rPr/>
        <w:t>本公司作为担保方</w:t>
      </w:r>
    </w:p>
    <w:p>
      <w:pPr>
        <w:pStyle w:val="BodyText"/>
        <w:spacing w:line="240" w:lineRule="auto" w:before="117"/>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50"/>
        <w:jc w:val="left"/>
      </w:pPr>
      <w:r>
        <w:rPr/>
        <w:t>本公司作为被担保方</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50"/>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5）关联方资金拆借" w:id="464"/>
      <w:bookmarkEnd w:id="46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3"/>
        <w:spacing w:line="240" w:lineRule="auto" w:before="36"/>
        <w:ind w:right="150"/>
        <w:jc w:val="left"/>
        <w:rPr>
          <w:b w:val="0"/>
          <w:bCs w:val="0"/>
        </w:rPr>
      </w:pPr>
      <w:bookmarkStart w:name="（6）关联方资产转让、债务重组情况" w:id="465"/>
      <w:bookmarkEnd w:id="46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7）关键管理人员报酬" w:id="466"/>
      <w:bookmarkEnd w:id="46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4,383,105.75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3,520,000.00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8）其他关联交易" w:id="467"/>
      <w:bookmarkEnd w:id="467"/>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6、关联方应收应付款项" w:id="468"/>
      <w:bookmarkEnd w:id="46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1）应收项目" w:id="469"/>
      <w:bookmarkEnd w:id="46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易视腾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291,852.74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2,918.53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支付宝网络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31,861.70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318.62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6,328,122.45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63,281.22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562,145.89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5,621.46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1,340,855.61</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65,337.00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653.37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应付项目" w:id="470"/>
      <w:bookmarkEnd w:id="47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80,081.42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7、关联方承诺" w:id="471"/>
      <w:bookmarkEnd w:id="47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7772" w:hanging="1"/>
        <w:jc w:val="left"/>
        <w:rPr>
          <w:rFonts w:ascii="宋体" w:hAnsi="宋体" w:cs="宋体" w:eastAsia="宋体" w:hint="default"/>
          <w:sz w:val="21"/>
          <w:szCs w:val="21"/>
        </w:rPr>
      </w:pPr>
      <w:bookmarkStart w:name="8、其他" w:id="472"/>
      <w:bookmarkEnd w:id="47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73"/>
      <w:bookmarkEnd w:id="473"/>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4"/>
      <w:bookmarkEnd w:id="47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153,236,709.00</w:t>
            </w:r>
            <w:r>
              <w:rPr>
                <w:rFonts w:ascii="Times New Roman"/>
                <w:sz w:val="18"/>
              </w:rPr>
            </w:r>
          </w:p>
        </w:tc>
      </w:tr>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2546"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）根据朗新科技《关于向激励对象授予限制性股 </w:t>
            </w:r>
            <w:r>
              <w:rPr>
                <w:rFonts w:ascii="宋体" w:hAnsi="宋体" w:cs="宋体" w:eastAsia="宋体" w:hint="default"/>
                <w:spacing w:val="-11"/>
                <w:sz w:val="18"/>
                <w:szCs w:val="18"/>
              </w:rPr>
              <w:t>票的议案》，公司于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月完成向激励对象授 </w:t>
            </w:r>
            <w:r>
              <w:rPr>
                <w:rFonts w:ascii="宋体" w:hAnsi="宋体" w:cs="宋体" w:eastAsia="宋体" w:hint="default"/>
                <w:spacing w:val="-8"/>
                <w:sz w:val="18"/>
                <w:szCs w:val="18"/>
              </w:rPr>
              <w:t>予限制性股票。（</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）朗新科技限制性股票激励计划拟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在登记日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个月后分三次解锁，每次解锁的限制性股票比例分别</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为授予总量的</w:t>
            </w:r>
            <w:r>
              <w:rPr>
                <w:rFonts w:ascii="宋体" w:hAnsi="宋体" w:cs="宋体" w:eastAsia="宋体" w:hint="default"/>
                <w:spacing w:val="-39"/>
                <w:sz w:val="18"/>
                <w:szCs w:val="18"/>
              </w:rPr>
              <w:t> </w:t>
            </w:r>
            <w:r>
              <w:rPr>
                <w:rFonts w:ascii="Times New Roman" w:hAnsi="Times New Roman" w:cs="Times New Roman" w:eastAsia="Times New Roman" w:hint="default"/>
                <w:spacing w:val="-7"/>
                <w:sz w:val="18"/>
                <w:szCs w:val="18"/>
              </w:rPr>
              <w:t>20%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）限制性股票激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励计划中的解锁业绩条件为朗新科技相比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2017 </w:t>
            </w:r>
            <w:r>
              <w:rPr>
                <w:rFonts w:ascii="宋体" w:hAnsi="宋体" w:cs="宋体" w:eastAsia="宋体" w:hint="default"/>
                <w:spacing w:val="-8"/>
                <w:sz w:val="18"/>
                <w:szCs w:val="18"/>
              </w:rPr>
              <w:t>年、</w:t>
            </w:r>
            <w:r>
              <w:rPr>
                <w:rFonts w:ascii="Times New Roman" w:hAnsi="Times New Roman" w:cs="Times New Roman" w:eastAsia="Times New Roman" w:hint="default"/>
                <w:spacing w:val="-8"/>
                <w:sz w:val="18"/>
                <w:szCs w:val="18"/>
              </w:rPr>
              <w:t>2018 </w:t>
            </w:r>
            <w:r>
              <w:rPr>
                <w:rFonts w:ascii="宋体" w:hAnsi="宋体" w:cs="宋体" w:eastAsia="宋体" w:hint="default"/>
                <w:spacing w:val="-8"/>
                <w:sz w:val="18"/>
                <w:szCs w:val="18"/>
              </w:rPr>
              <w:t>年、</w:t>
            </w:r>
            <w:r>
              <w:rPr>
                <w:rFonts w:ascii="Times New Roman" w:hAnsi="Times New Roman" w:cs="Times New Roman" w:eastAsia="Times New Roman" w:hint="default"/>
                <w:spacing w:val="-8"/>
                <w:sz w:val="18"/>
                <w:szCs w:val="18"/>
              </w:rPr>
              <w:t>2019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年扣除非经常性损益和股份</w:t>
            </w:r>
          </w:p>
        </w:tc>
      </w:tr>
    </w:tbl>
    <w:p>
      <w:pPr>
        <w:spacing w:after="0" w:line="302"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674"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01"/>
              <w:jc w:val="left"/>
              <w:rPr>
                <w:rFonts w:ascii="宋体" w:hAnsi="宋体" w:cs="宋体" w:eastAsia="宋体" w:hint="default"/>
                <w:sz w:val="18"/>
                <w:szCs w:val="18"/>
              </w:rPr>
            </w:pPr>
            <w:r>
              <w:rPr>
                <w:rFonts w:ascii="宋体" w:hAnsi="宋体" w:cs="宋体" w:eastAsia="宋体" w:hint="default"/>
                <w:sz w:val="18"/>
                <w:szCs w:val="18"/>
              </w:rPr>
              <w:t>支付费用影响后的净利润增长率分别不低于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8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89"/>
        <w:jc w:val="left"/>
        <w:rPr>
          <w:b w:val="0"/>
          <w:bCs w:val="0"/>
        </w:rPr>
      </w:pPr>
      <w:bookmarkStart w:name="2、以权益结算的股份支付情况" w:id="475"/>
      <w:bookmarkEnd w:id="47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斯科尔期权定价模型</w:t>
            </w:r>
          </w:p>
        </w:tc>
      </w:tr>
      <w:tr>
        <w:trPr>
          <w:trHeight w:val="71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根据最新取得的可行权职工数、业绩变动等后续信息进行 估计</w:t>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7,965,462.95</w:t>
            </w:r>
            <w:r>
              <w:rPr>
                <w:rFonts w:ascii="Times New Roman"/>
                <w:sz w:val="18"/>
              </w:rPr>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7,965,462.95</w:t>
            </w:r>
            <w:r>
              <w:rPr>
                <w:rFonts w:ascii="Times New Roman"/>
                <w:sz w:val="18"/>
              </w:rPr>
            </w:r>
          </w:p>
        </w:tc>
      </w:tr>
    </w:tbl>
    <w:p>
      <w:pPr>
        <w:pStyle w:val="BodyText"/>
        <w:spacing w:line="240" w:lineRule="auto" w:before="49"/>
        <w:ind w:right="189"/>
        <w:jc w:val="left"/>
      </w:pPr>
      <w:r>
        <w:rPr/>
        <w:t>其他说明</w:t>
      </w:r>
    </w:p>
    <w:p>
      <w:pPr>
        <w:pStyle w:val="BodyText"/>
        <w:spacing w:line="300" w:lineRule="auto" w:before="115"/>
        <w:ind w:right="190" w:firstLine="288"/>
        <w:jc w:val="both"/>
      </w:pPr>
      <w:r>
        <w:rPr>
          <w:spacing w:val="-1"/>
        </w:rPr>
        <w:t>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日召开的</w:t>
      </w:r>
      <w:r>
        <w:rPr>
          <w:rFonts w:ascii="Times New Roman" w:hAnsi="Times New Roman" w:cs="Times New Roman" w:eastAsia="Times New Roman" w:hint="default"/>
          <w:spacing w:val="-1"/>
        </w:rPr>
        <w:t>2017</w:t>
      </w:r>
      <w:r>
        <w:rPr>
          <w:spacing w:val="-1"/>
        </w:rPr>
        <w:t>年第二次临时股东大会审议并通过了《关于</w:t>
      </w:r>
      <w:r>
        <w:rPr>
          <w:rFonts w:ascii="Times New Roman" w:hAnsi="Times New Roman" w:cs="Times New Roman" w:eastAsia="Times New Roman" w:hint="default"/>
          <w:spacing w:val="-1"/>
        </w:rPr>
        <w:t>&lt;</w:t>
      </w:r>
      <w:r>
        <w:rPr>
          <w:spacing w:val="-1"/>
        </w:rPr>
        <w:t>朗新科技股份有限公司</w:t>
      </w:r>
      <w:r>
        <w:rPr>
          <w:rFonts w:ascii="Times New Roman" w:hAnsi="Times New Roman" w:cs="Times New Roman" w:eastAsia="Times New Roman" w:hint="default"/>
          <w:spacing w:val="-1"/>
        </w:rPr>
        <w:t>2017</w:t>
      </w:r>
      <w:r>
        <w:rPr>
          <w:spacing w:val="-1"/>
        </w:rPr>
        <w:t>年度限制性</w:t>
      </w:r>
      <w:r>
        <w:rPr/>
        <w:t> 股票激励计划（草案）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2017</w:t>
      </w:r>
      <w:r>
        <w:rPr/>
        <w:t>年度限制性股票激励计划实施考核管理办</w:t>
      </w:r>
      <w:r>
        <w:rPr>
          <w:spacing w:val="-27"/>
        </w:rPr>
        <w:t> </w:t>
      </w:r>
      <w:r>
        <w:rPr>
          <w:spacing w:val="-27"/>
        </w:rPr>
      </w:r>
      <w:r>
        <w:rPr/>
        <w:t>法</w:t>
      </w:r>
      <w:r>
        <w:rPr>
          <w:rFonts w:ascii="Times New Roman" w:hAnsi="Times New Roman" w:cs="Times New Roman" w:eastAsia="Times New Roman" w:hint="default"/>
        </w:rPr>
        <w:t>&gt;</w:t>
      </w:r>
      <w:r>
        <w:rPr/>
        <w:t>的议案》、《关于提请股东大会授权董事会办理限制性股票激励相关事宜的议案》，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日召开的第二届董事</w:t>
      </w:r>
      <w:r>
        <w:rPr>
          <w:spacing w:val="-19"/>
        </w:rPr>
        <w:t> </w:t>
      </w:r>
      <w:r>
        <w:rPr>
          <w:spacing w:val="-19"/>
        </w:rPr>
      </w:r>
      <w:r>
        <w:rPr/>
        <w:t>会第七次会议审议并通过了《关于调整</w:t>
      </w:r>
      <w:r>
        <w:rPr>
          <w:rFonts w:ascii="Times New Roman" w:hAnsi="Times New Roman" w:cs="Times New Roman" w:eastAsia="Times New Roman" w:hint="default"/>
        </w:rPr>
        <w:t>2017 </w:t>
      </w:r>
      <w:r>
        <w:rPr/>
        <w:t>年度限制性股票激励计划激励对象名单及授予权益数量的议案》、《关于向激</w:t>
      </w:r>
      <w:r>
        <w:rPr>
          <w:spacing w:val="-85"/>
        </w:rPr>
        <w:t> </w:t>
      </w:r>
      <w:r>
        <w:rPr>
          <w:spacing w:val="-85"/>
        </w:rPr>
      </w:r>
      <w:r>
        <w:rPr/>
        <w:t>励对象授予限制性股票的议案》。</w:t>
      </w:r>
    </w:p>
    <w:p>
      <w:pPr>
        <w:pStyle w:val="BodyText"/>
        <w:spacing w:line="300" w:lineRule="auto" w:before="31"/>
        <w:ind w:right="188" w:firstLine="288"/>
        <w:jc w:val="both"/>
      </w:pPr>
      <w:r>
        <w:rPr/>
        <w:t>根据上述</w:t>
      </w:r>
      <w:r>
        <w:rPr>
          <w:rFonts w:ascii="Times New Roman" w:hAnsi="Times New Roman" w:cs="Times New Roman" w:eastAsia="Times New Roman" w:hint="default"/>
        </w:rPr>
        <w:t>2017</w:t>
      </w:r>
      <w:r>
        <w:rPr/>
        <w:t>年度限制性股票激励计划（以下简称</w:t>
      </w:r>
      <w:r>
        <w:rPr>
          <w:rFonts w:ascii="Times New Roman" w:hAnsi="Times New Roman" w:cs="Times New Roman" w:eastAsia="Times New Roman" w:hint="default"/>
        </w:rPr>
        <w:t>“</w:t>
      </w:r>
      <w:r>
        <w:rPr/>
        <w:t>限制性股票激励计划</w:t>
      </w:r>
      <w:r>
        <w:rPr>
          <w:rFonts w:ascii="Times New Roman" w:hAnsi="Times New Roman" w:cs="Times New Roman" w:eastAsia="Times New Roman" w:hint="default"/>
        </w:rPr>
        <w:t>”</w:t>
      </w:r>
      <w:r>
        <w:rPr/>
        <w:t>），本公司以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日为授予日，向</w:t>
      </w:r>
      <w:r>
        <w:rPr>
          <w:rFonts w:ascii="Times New Roman" w:hAnsi="Times New Roman" w:cs="Times New Roman" w:eastAsia="Times New Roman" w:hint="default"/>
        </w:rPr>
        <w:t>334</w:t>
      </w:r>
      <w:r>
        <w:rPr>
          <w:rFonts w:ascii="Times New Roman" w:hAnsi="Times New Roman" w:cs="Times New Roman" w:eastAsia="Times New Roman" w:hint="default"/>
          <w:spacing w:val="-2"/>
        </w:rPr>
        <w:t> </w:t>
      </w:r>
      <w:r>
        <w:rPr>
          <w:spacing w:val="-3"/>
        </w:rPr>
        <w:t>名公司董事、高级管理人员、中层管理人员、核心技术及业务人员（以下简称</w:t>
      </w:r>
      <w:r>
        <w:rPr>
          <w:rFonts w:ascii="Times New Roman" w:hAnsi="Times New Roman" w:cs="Times New Roman" w:eastAsia="Times New Roman" w:hint="default"/>
          <w:spacing w:val="-3"/>
        </w:rPr>
        <w:t>“</w:t>
      </w:r>
      <w:r>
        <w:rPr>
          <w:spacing w:val="-3"/>
        </w:rPr>
        <w:t>限制性股票激励对象</w:t>
      </w:r>
      <w:r>
        <w:rPr>
          <w:rFonts w:ascii="Times New Roman" w:hAnsi="Times New Roman" w:cs="Times New Roman" w:eastAsia="Times New Roman" w:hint="default"/>
          <w:spacing w:val="-3"/>
        </w:rPr>
        <w:t>”</w:t>
      </w:r>
      <w:r>
        <w:rPr>
          <w:spacing w:val="-3"/>
        </w:rPr>
        <w:t>）定向发行了</w:t>
      </w:r>
      <w:r>
        <w:rPr>
          <w:rFonts w:ascii="Times New Roman" w:hAnsi="Times New Roman" w:cs="Times New Roman" w:eastAsia="Times New Roman" w:hint="default"/>
          <w:spacing w:val="-3"/>
        </w:rPr>
        <w:t>11,760,300</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股限制性普通股</w:t>
      </w:r>
      <w:r>
        <w:rPr>
          <w:rFonts w:ascii="Times New Roman" w:hAnsi="Times New Roman" w:cs="Times New Roman" w:eastAsia="Times New Roman" w:hint="default"/>
        </w:rPr>
        <w:t>A</w:t>
      </w:r>
      <w:r>
        <w:rPr/>
        <w:t>股，每股面值为人民币</w:t>
      </w:r>
      <w:r>
        <w:rPr>
          <w:rFonts w:ascii="Times New Roman" w:hAnsi="Times New Roman" w:cs="Times New Roman" w:eastAsia="Times New Roman" w:hint="default"/>
        </w:rPr>
        <w:t>1</w:t>
      </w:r>
      <w:r>
        <w:rPr/>
        <w:t>元，授予价格为每股人民币</w:t>
      </w:r>
      <w:r>
        <w:rPr>
          <w:rFonts w:ascii="Times New Roman" w:hAnsi="Times New Roman" w:cs="Times New Roman" w:eastAsia="Times New Roman" w:hint="default"/>
        </w:rPr>
        <w:t>13.03</w:t>
      </w:r>
      <w:r>
        <w:rPr/>
        <w:t>元。</w:t>
      </w:r>
    </w:p>
    <w:p>
      <w:pPr>
        <w:pStyle w:val="BodyText"/>
        <w:spacing w:line="309" w:lineRule="auto" w:before="13"/>
        <w:ind w:right="190" w:firstLine="432"/>
        <w:jc w:val="both"/>
      </w:pPr>
      <w:r>
        <w:rPr/>
        <w:t>限制性股票激励对象获授限制性股票之限售期规定请参见附注七</w:t>
      </w:r>
      <w:r>
        <w:rPr>
          <w:rFonts w:ascii="Times New Roman" w:hAnsi="Times New Roman" w:cs="Times New Roman" w:eastAsia="Times New Roman" w:hint="default"/>
        </w:rPr>
        <w:t>(41)</w:t>
      </w:r>
      <w:r>
        <w:rPr/>
        <w:t>，解锁前需满足限制性股票激励计划规定的限制 </w:t>
      </w:r>
      <w:r>
        <w:rPr>
          <w:spacing w:val="-2"/>
        </w:rPr>
        <w:t>性股票解锁条件。对于解锁日未达到解锁条件的限制性股票，由公司以授予价格回购并注销。限制性股票激励对象根据该计</w:t>
      </w:r>
      <w:r>
        <w:rPr>
          <w:spacing w:val="-63"/>
        </w:rPr>
        <w:t> </w:t>
      </w:r>
      <w:r>
        <w:rPr>
          <w:spacing w:val="-63"/>
        </w:rPr>
      </w:r>
      <w:r>
        <w:rPr/>
        <w:t>划获授的限制性股票在解除限售前不得转让、用于担保或偿还债务。</w:t>
      </w:r>
    </w:p>
    <w:p>
      <w:pPr>
        <w:pStyle w:val="BodyText"/>
        <w:spacing w:line="316" w:lineRule="auto" w:before="24"/>
        <w:ind w:right="190" w:firstLine="288"/>
        <w:jc w:val="both"/>
      </w:pPr>
      <w:r>
        <w:rPr>
          <w:spacing w:val="-1"/>
        </w:rPr>
        <w:t>此外，根据《公司法》、《证券法》的相关规定，激励对象为公司董事、高级管理人员的，需遵守包括在任职期间每年</w:t>
      </w:r>
      <w:r>
        <w:rPr/>
        <w:t> 转让的股份不得超过其所持有本公司股份总数的</w:t>
      </w:r>
      <w:r>
        <w:rPr>
          <w:rFonts w:ascii="Times New Roman" w:hAnsi="Times New Roman" w:cs="Times New Roman" w:eastAsia="Times New Roman" w:hint="default"/>
        </w:rPr>
        <w:t>25%</w:t>
      </w:r>
      <w:r>
        <w:rPr/>
        <w:t>在内的禁售期限规定。</w:t>
      </w:r>
    </w:p>
    <w:p>
      <w:pPr>
        <w:pStyle w:val="BodyText"/>
        <w:spacing w:line="304" w:lineRule="auto"/>
        <w:ind w:right="102" w:firstLine="288"/>
        <w:jc w:val="left"/>
      </w:pPr>
      <w:r>
        <w:rPr/>
        <w:t>通过授予限制性股票所获取员工服务的公允价值参考所授权益工具的公允价值计量。除本公司董事及高级管理人员之外 的其他激励对象所获取限制性股票的公允价值为授予日本公司人民币普通股</w:t>
      </w:r>
      <w:r>
        <w:rPr>
          <w:rFonts w:ascii="Times New Roman" w:hAnsi="Times New Roman" w:cs="Times New Roman" w:eastAsia="Times New Roman" w:hint="default"/>
        </w:rPr>
        <w:t>A</w:t>
      </w:r>
      <w:r>
        <w:rPr/>
        <w:t>股的市场价格；就董事及高级管理人员所获限 制性股票，由于其在任职期间每年转让的股份不得超过其所持有本公司股份总数的</w:t>
      </w:r>
      <w:r>
        <w:rPr>
          <w:rFonts w:ascii="Times New Roman" w:hAnsi="Times New Roman" w:cs="Times New Roman" w:eastAsia="Times New Roman" w:hint="default"/>
        </w:rPr>
        <w:t>25%</w:t>
      </w:r>
      <w:r>
        <w:rPr/>
        <w:t>，需要承担限制性股票解除限售但不 能转让的限制，对应一定的限制陈本，本公司采用</w:t>
      </w:r>
      <w:r>
        <w:rPr>
          <w:rFonts w:ascii="Times New Roman" w:hAnsi="Times New Roman" w:cs="Times New Roman" w:eastAsia="Times New Roman" w:hint="default"/>
        </w:rPr>
        <w:t>Black-Scholes</w:t>
      </w:r>
      <w:r>
        <w:rPr/>
        <w:t>模型估计该禁售条款对该部分限制性股票公允价值的影响，</w:t>
      </w:r>
      <w:r>
        <w:rPr>
          <w:spacing w:val="-55"/>
        </w:rPr>
        <w:t> </w:t>
      </w:r>
      <w:r>
        <w:rPr>
          <w:spacing w:val="-55"/>
        </w:rPr>
      </w:r>
      <w:r>
        <w:rPr>
          <w:spacing w:val="-2"/>
        </w:rPr>
        <w:t>并将加权平均禁售期、授予价格、授予日股价、预计股价波动率、预计股利、解除限售及解除禁售期内的无风险利率作为模</w:t>
      </w:r>
      <w:r>
        <w:rPr>
          <w:spacing w:val="-67"/>
        </w:rPr>
        <w:t> </w:t>
      </w:r>
      <w:r>
        <w:rPr>
          <w:spacing w:val="-67"/>
        </w:rPr>
      </w:r>
      <w:r>
        <w:rPr>
          <w:spacing w:val="-2"/>
        </w:rPr>
        <w:t>型的输入变量。于授予日，上述限制性股票的加权平均公允价值为</w:t>
      </w:r>
      <w:r>
        <w:rPr>
          <w:rFonts w:ascii="Times New Roman" w:hAnsi="Times New Roman" w:cs="Times New Roman" w:eastAsia="Times New Roman" w:hint="default"/>
          <w:spacing w:val="-2"/>
        </w:rPr>
        <w:t>9.11</w:t>
      </w:r>
      <w:r>
        <w:rPr>
          <w:spacing w:val="-2"/>
        </w:rPr>
        <w:t>元</w:t>
      </w:r>
      <w:r>
        <w:rPr>
          <w:rFonts w:ascii="Times New Roman" w:hAnsi="Times New Roman" w:cs="Times New Roman" w:eastAsia="Times New Roman" w:hint="default"/>
          <w:spacing w:val="-2"/>
        </w:rPr>
        <w:t>/</w:t>
      </w:r>
      <w:r>
        <w:rPr>
          <w:spacing w:val="-2"/>
        </w:rPr>
        <w:t>股。就未来可达到解锁条件的限制性股票数量，管</w:t>
      </w:r>
      <w:r>
        <w:rPr>
          <w:spacing w:val="-67"/>
        </w:rPr>
        <w:t> </w:t>
      </w:r>
      <w:r>
        <w:rPr>
          <w:spacing w:val="-67"/>
        </w:rPr>
      </w:r>
      <w:r>
        <w:rPr>
          <w:spacing w:val="-2"/>
        </w:rPr>
        <w:t>理层基于截至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日止各项解锁条件实际完成情况及未来预期进行最佳估计，并将于等待期内的每个资产负债表日</w:t>
      </w:r>
      <w:r>
        <w:rPr>
          <w:spacing w:val="-60"/>
        </w:rPr>
        <w:t> </w:t>
      </w:r>
      <w:r>
        <w:rPr>
          <w:spacing w:val="-60"/>
        </w:rPr>
      </w:r>
      <w:r>
        <w:rPr/>
        <w:t>重新估计。于</w:t>
      </w:r>
      <w:r>
        <w:rPr>
          <w:rFonts w:ascii="Times New Roman" w:hAnsi="Times New Roman" w:cs="Times New Roman" w:eastAsia="Times New Roman" w:hint="default"/>
        </w:rPr>
        <w:t>2017</w:t>
      </w:r>
      <w:r>
        <w:rPr/>
        <w:t>年度，本集团因取得的上述激励对象的服务而计入相关成本或费用并相应增加资本公积</w:t>
      </w:r>
      <w:r>
        <w:rPr>
          <w:rFonts w:ascii="Times New Roman" w:hAnsi="Times New Roman" w:cs="Times New Roman" w:eastAsia="Times New Roman" w:hint="default"/>
        </w:rPr>
        <w:t>796.55</w:t>
      </w:r>
      <w:r>
        <w:rPr/>
        <w:t>万元。</w:t>
      </w:r>
    </w:p>
    <w:p>
      <w:pPr>
        <w:pStyle w:val="BodyText"/>
        <w:spacing w:line="240" w:lineRule="auto" w:before="9"/>
        <w:ind w:left="440" w:right="189"/>
        <w:jc w:val="left"/>
      </w:pPr>
      <w:r>
        <w:rPr/>
        <w:t>根据附注七</w:t>
      </w:r>
      <w:r>
        <w:rPr>
          <w:rFonts w:ascii="宋体" w:hAnsi="宋体" w:cs="宋体" w:eastAsia="宋体" w:hint="default"/>
        </w:rPr>
        <w:t>(41)</w:t>
      </w:r>
      <w:r>
        <w:rPr/>
        <w:t>所述限售期，于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日，本集团未解锁限制性股票加权平均合同剩余期限为</w:t>
      </w:r>
      <w:r>
        <w:rPr>
          <w:rFonts w:ascii="宋体" w:hAnsi="宋体" w:cs="宋体" w:eastAsia="宋体" w:hint="default"/>
        </w:rPr>
        <w:t>2.1</w:t>
      </w:r>
      <w:r>
        <w:rPr/>
        <w:t>年。</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3、以现金结算的股份支付情况" w:id="476"/>
      <w:bookmarkEnd w:id="47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69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4、股份支付的修改、终止情况" w:id="477"/>
      <w:bookmarkEnd w:id="477"/>
      <w:r>
        <w:rPr>
          <w:rFonts w:ascii="宋体" w:hAnsi="宋体" w:cs="宋体" w:eastAsia="宋体" w:hint="default"/>
          <w:sz w:val="18"/>
          <w:szCs w:val="18"/>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line="487" w:lineRule="auto" w:before="127"/>
        <w:ind w:left="152" w:right="7365" w:firstLine="0"/>
        <w:jc w:val="left"/>
        <w:rPr>
          <w:rFonts w:ascii="宋体" w:hAnsi="宋体" w:cs="宋体" w:eastAsia="宋体" w:hint="default"/>
          <w:sz w:val="21"/>
          <w:szCs w:val="21"/>
        </w:rPr>
      </w:pPr>
      <w:bookmarkStart w:name="5、其他" w:id="478"/>
      <w:bookmarkEnd w:id="47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479"/>
      <w:bookmarkEnd w:id="479"/>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80"/>
      <w:bookmarkEnd w:id="48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5"/>
        <w:ind w:right="150"/>
        <w:jc w:val="left"/>
      </w:pPr>
      <w:r>
        <w:rPr/>
        <w:t>资产负债表日存在的重要承诺</w:t>
      </w:r>
    </w:p>
    <w:p>
      <w:pPr>
        <w:pStyle w:val="BodyText"/>
        <w:spacing w:line="309" w:lineRule="auto" w:before="115"/>
        <w:ind w:right="5814"/>
        <w:jc w:val="left"/>
      </w:pPr>
      <w:r>
        <w:rPr>
          <w:rFonts w:ascii="Times New Roman" w:hAnsi="Times New Roman" w:cs="Times New Roman" w:eastAsia="Times New Roman" w:hint="default"/>
        </w:rPr>
        <w:t>(1)</w:t>
      </w:r>
      <w:r>
        <w:rPr/>
        <w:t>资本支出承诺事项</w:t>
      </w:r>
      <w:r>
        <w:rPr>
          <w:w w:val="99"/>
        </w:rPr>
        <w:t> </w:t>
      </w:r>
      <w:r>
        <w:rPr/>
        <w:t>截至报告日，本集团并无重大资本支出承诺事项。</w:t>
      </w:r>
      <w:r>
        <w:rPr>
          <w:w w:val="99"/>
        </w:rPr>
        <w:t> </w:t>
      </w:r>
      <w:r>
        <w:rPr>
          <w:rFonts w:ascii="Times New Roman" w:hAnsi="Times New Roman" w:cs="Times New Roman" w:eastAsia="Times New Roman" w:hint="default"/>
        </w:rPr>
        <w:t>(2)</w:t>
      </w:r>
      <w:r>
        <w:rPr/>
        <w:t>经营租赁承诺事项</w:t>
      </w:r>
    </w:p>
    <w:p>
      <w:pPr>
        <w:pStyle w:val="BodyText"/>
        <w:spacing w:line="240" w:lineRule="auto" w:before="5"/>
        <w:ind w:right="150"/>
        <w:jc w:val="left"/>
      </w:pPr>
      <w:r>
        <w:rPr/>
        <w:t>根据已签订的不可撤销的经营性租赁合同，本集团未来最低应支付租金汇总如下：</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820"/>
        <w:gridCol w:w="2004"/>
        <w:gridCol w:w="1702"/>
      </w:tblGrid>
      <w:tr>
        <w:trPr>
          <w:trHeight w:val="34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w w:val="100"/>
                <w:sz w:val="16"/>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2017</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12</w:t>
            </w:r>
            <w:r>
              <w:rPr>
                <w:rFonts w:ascii="宋体" w:hAnsi="宋体" w:cs="宋体" w:eastAsia="宋体" w:hint="default"/>
                <w:spacing w:val="-1"/>
                <w:sz w:val="16"/>
                <w:szCs w:val="16"/>
              </w:rPr>
              <w:t>月</w:t>
            </w:r>
            <w:r>
              <w:rPr>
                <w:rFonts w:ascii="Times New Roman" w:hAnsi="Times New Roman" w:cs="Times New Roman" w:eastAsia="Times New Roman" w:hint="default"/>
                <w:spacing w:val="-1"/>
                <w:sz w:val="16"/>
                <w:szCs w:val="16"/>
              </w:rPr>
              <w:t>31</w:t>
            </w:r>
            <w:r>
              <w:rPr>
                <w:rFonts w:ascii="宋体" w:hAnsi="宋体" w:cs="宋体" w:eastAsia="宋体" w:hint="default"/>
                <w:spacing w:val="-1"/>
                <w:sz w:val="16"/>
                <w:szCs w:val="16"/>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2016</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12</w:t>
            </w:r>
            <w:r>
              <w:rPr>
                <w:rFonts w:ascii="宋体" w:hAnsi="宋体" w:cs="宋体" w:eastAsia="宋体" w:hint="default"/>
                <w:spacing w:val="-1"/>
                <w:sz w:val="16"/>
                <w:szCs w:val="16"/>
              </w:rPr>
              <w:t>月</w:t>
            </w:r>
            <w:r>
              <w:rPr>
                <w:rFonts w:ascii="Times New Roman" w:hAnsi="Times New Roman" w:cs="Times New Roman" w:eastAsia="Times New Roman" w:hint="default"/>
                <w:spacing w:val="-1"/>
                <w:sz w:val="16"/>
                <w:szCs w:val="16"/>
              </w:rPr>
              <w:t>31</w:t>
            </w:r>
            <w:r>
              <w:rPr>
                <w:rFonts w:ascii="宋体" w:hAnsi="宋体" w:cs="宋体" w:eastAsia="宋体" w:hint="default"/>
                <w:spacing w:val="-1"/>
                <w:sz w:val="16"/>
                <w:szCs w:val="16"/>
              </w:rPr>
              <w:t>日</w:t>
            </w:r>
          </w:p>
        </w:tc>
      </w:tr>
      <w:tr>
        <w:trPr>
          <w:trHeight w:val="34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一年以内</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13,989,154.85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15,062,939.13</w:t>
            </w:r>
          </w:p>
        </w:tc>
      </w:tr>
      <w:tr>
        <w:trPr>
          <w:trHeight w:val="34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left"/>
              <w:rPr>
                <w:rFonts w:ascii="宋体" w:hAnsi="宋体" w:cs="宋体" w:eastAsia="宋体" w:hint="default"/>
                <w:sz w:val="16"/>
                <w:szCs w:val="16"/>
              </w:rPr>
            </w:pPr>
            <w:r>
              <w:rPr>
                <w:rFonts w:ascii="宋体" w:hAnsi="宋体" w:cs="宋体" w:eastAsia="宋体" w:hint="default"/>
                <w:sz w:val="16"/>
                <w:szCs w:val="16"/>
              </w:rPr>
              <w:t>一到二年</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1"/>
                <w:sz w:val="16"/>
              </w:rPr>
              <w:t>8,712,408.40</w:t>
            </w:r>
            <w:r>
              <w:rPr>
                <w:rFonts w:ascii="Times New Roman"/>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Times New Roman" w:hAnsi="Times New Roman" w:cs="Times New Roman" w:eastAsia="Times New Roman" w:hint="default"/>
                <w:sz w:val="16"/>
                <w:szCs w:val="16"/>
              </w:rPr>
            </w:pPr>
            <w:r>
              <w:rPr>
                <w:rFonts w:ascii="Times New Roman"/>
                <w:spacing w:val="-1"/>
                <w:sz w:val="16"/>
              </w:rPr>
              <w:t>11,074,857.60</w:t>
            </w:r>
          </w:p>
        </w:tc>
      </w:tr>
      <w:tr>
        <w:trPr>
          <w:trHeight w:val="341"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二到三年</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5,308,249.58</w:t>
            </w:r>
            <w:r>
              <w:rPr>
                <w:rFonts w:ascii="Times New Roman"/>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spacing w:val="-1"/>
                <w:sz w:val="16"/>
              </w:rPr>
              <w:t>7,875,698.40</w:t>
            </w:r>
            <w:r>
              <w:rPr>
                <w:rFonts w:ascii="Times New Roman"/>
                <w:sz w:val="16"/>
              </w:rPr>
            </w:r>
          </w:p>
        </w:tc>
      </w:tr>
      <w:tr>
        <w:trPr>
          <w:trHeight w:val="34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left"/>
              <w:rPr>
                <w:rFonts w:ascii="宋体" w:hAnsi="宋体" w:cs="宋体" w:eastAsia="宋体" w:hint="default"/>
                <w:sz w:val="16"/>
                <w:szCs w:val="16"/>
              </w:rPr>
            </w:pPr>
            <w:r>
              <w:rPr>
                <w:rFonts w:ascii="宋体" w:hAnsi="宋体" w:cs="宋体" w:eastAsia="宋体" w:hint="default"/>
                <w:sz w:val="16"/>
                <w:szCs w:val="16"/>
              </w:rPr>
              <w:t>三年以上</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Times New Roman" w:hAnsi="Times New Roman" w:cs="Times New Roman" w:eastAsia="Times New Roman" w:hint="default"/>
                <w:sz w:val="16"/>
                <w:szCs w:val="16"/>
              </w:rPr>
            </w:pPr>
            <w:r>
              <w:rPr>
                <w:rFonts w:ascii="Times New Roman"/>
                <w:spacing w:val="-1"/>
                <w:sz w:val="16"/>
              </w:rPr>
              <w:t>870,035.65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6"/>
                <w:szCs w:val="16"/>
              </w:rPr>
            </w:pPr>
            <w:r>
              <w:rPr>
                <w:rFonts w:ascii="Times New Roman"/>
                <w:spacing w:val="-1"/>
                <w:sz w:val="16"/>
              </w:rPr>
              <w:t>4,699,111.90</w:t>
            </w:r>
            <w:r>
              <w:rPr>
                <w:rFonts w:ascii="Times New Roman"/>
                <w:sz w:val="16"/>
              </w:rPr>
            </w:r>
          </w:p>
        </w:tc>
      </w:tr>
      <w:tr>
        <w:trPr>
          <w:trHeight w:val="343"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28,879,848.48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38,712,607.03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spacing w:line="240" w:lineRule="auto" w:before="36"/>
        <w:ind w:right="150"/>
        <w:jc w:val="left"/>
        <w:rPr>
          <w:b w:val="0"/>
          <w:bCs w:val="0"/>
        </w:rPr>
      </w:pPr>
      <w:bookmarkStart w:name="2、或有事项" w:id="481"/>
      <w:bookmarkEnd w:id="48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1）资产负债表日存在的重要或有事项" w:id="482"/>
      <w:bookmarkEnd w:id="48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t>截止报告日，本公司无需要披露的重大或有事项。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150"/>
        <w:jc w:val="left"/>
        <w:rPr>
          <w:b w:val="0"/>
          <w:bCs w:val="0"/>
        </w:rPr>
      </w:pPr>
      <w:bookmarkStart w:name="（2）公司没有需要披露的重要或有事项，也应予以说明" w:id="483"/>
      <w:bookmarkEnd w:id="48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0"/>
        <w:jc w:val="left"/>
      </w:pPr>
      <w:r>
        <w:rPr/>
        <w:t>公司不存在需要披露的重要或有事项。</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line="487" w:lineRule="auto" w:before="36"/>
        <w:ind w:left="152" w:right="6883" w:firstLine="0"/>
        <w:jc w:val="left"/>
        <w:rPr>
          <w:rFonts w:ascii="宋体" w:hAnsi="宋体" w:cs="宋体" w:eastAsia="宋体" w:hint="default"/>
          <w:sz w:val="21"/>
          <w:szCs w:val="21"/>
        </w:rPr>
      </w:pPr>
      <w:bookmarkStart w:name="3、其他" w:id="484"/>
      <w:bookmarkEnd w:id="48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485"/>
      <w:bookmarkEnd w:id="485"/>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486"/>
      <w:bookmarkEnd w:id="48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5"/>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利润分配情况" w:id="487"/>
      <w:bookmarkEnd w:id="48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21,254,775.30</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3、销售退回" w:id="488"/>
      <w:bookmarkEnd w:id="488"/>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4、其他资产负债表日后事项说明" w:id="489"/>
      <w:bookmarkEnd w:id="489"/>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spacing w:val="5"/>
        </w:rPr>
        <w:t>根据</w:t>
      </w:r>
      <w:r>
        <w:rPr>
          <w:rFonts w:ascii="Arial" w:hAnsi="Arial" w:cs="Arial" w:eastAsia="Arial" w:hint="default"/>
          <w:spacing w:val="5"/>
        </w:rPr>
        <w:t>2018</w:t>
      </w:r>
      <w:r>
        <w:rPr>
          <w:rFonts w:ascii="Arial" w:hAnsi="Arial" w:cs="Arial" w:eastAsia="Arial" w:hint="default"/>
          <w:spacing w:val="-32"/>
        </w:rPr>
        <w:t> </w:t>
      </w:r>
      <w:r>
        <w:rPr>
          <w:spacing w:val="7"/>
        </w:rPr>
        <w:t>年</w:t>
      </w:r>
      <w:r>
        <w:rPr>
          <w:rFonts w:ascii="Arial" w:hAnsi="Arial" w:cs="Arial" w:eastAsia="Arial" w:hint="default"/>
          <w:spacing w:val="7"/>
        </w:rPr>
        <w:t>3</w:t>
      </w:r>
      <w:r>
        <w:rPr>
          <w:rFonts w:ascii="Arial" w:hAnsi="Arial" w:cs="Arial" w:eastAsia="Arial" w:hint="default"/>
          <w:spacing w:val="-32"/>
        </w:rPr>
        <w:t> </w:t>
      </w:r>
      <w:r>
        <w:rPr/>
        <w:t>月</w:t>
      </w:r>
      <w:r>
        <w:rPr>
          <w:spacing w:val="-73"/>
        </w:rPr>
        <w:t> </w:t>
      </w:r>
      <w:r>
        <w:rPr>
          <w:rFonts w:ascii="Arial" w:hAnsi="Arial" w:cs="Arial" w:eastAsia="Arial" w:hint="default"/>
        </w:rPr>
        <w:t>29</w:t>
      </w:r>
      <w:r>
        <w:rPr>
          <w:rFonts w:ascii="Arial" w:hAnsi="Arial" w:cs="Arial" w:eastAsia="Arial" w:hint="default"/>
          <w:spacing w:val="-32"/>
        </w:rPr>
        <w:t> </w:t>
      </w:r>
      <w:r>
        <w:rPr>
          <w:spacing w:val="13"/>
        </w:rPr>
        <w:t>日董事会决议，董事会提议本公司向全体股东派发现金股利每股人民币</w:t>
      </w:r>
      <w:r>
        <w:rPr>
          <w:rFonts w:ascii="Arial" w:hAnsi="Arial" w:cs="Arial" w:eastAsia="Arial" w:hint="default"/>
          <w:spacing w:val="13"/>
        </w:rPr>
        <w:t>0.051</w:t>
      </w:r>
      <w:r>
        <w:rPr>
          <w:rFonts w:ascii="Arial" w:hAnsi="Arial" w:cs="Arial" w:eastAsia="Arial" w:hint="default"/>
          <w:spacing w:val="-30"/>
        </w:rPr>
        <w:t> </w:t>
      </w:r>
      <w:r>
        <w:rPr>
          <w:spacing w:val="13"/>
        </w:rPr>
        <w:t>元，按已发行股份</w:t>
      </w:r>
    </w:p>
    <w:p>
      <w:pPr>
        <w:pStyle w:val="BodyText"/>
        <w:spacing w:line="240" w:lineRule="auto" w:before="63"/>
        <w:ind w:right="150"/>
        <w:jc w:val="left"/>
      </w:pPr>
      <w:r>
        <w:rPr>
          <w:rFonts w:ascii="Arial" w:hAnsi="Arial" w:cs="Arial" w:eastAsia="Arial" w:hint="default"/>
        </w:rPr>
        <w:t>416,760,300</w:t>
      </w:r>
      <w:r>
        <w:rPr/>
        <w:t>计算，拟派发现金股利共计</w:t>
      </w:r>
      <w:r>
        <w:rPr>
          <w:rFonts w:ascii="Arial" w:hAnsi="Arial" w:cs="Arial" w:eastAsia="Arial" w:hint="default"/>
        </w:rPr>
        <w:t>21,254,775.30</w:t>
      </w:r>
      <w:r>
        <w:rPr/>
        <w:t>元，上述提议尚待股东大会批准。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8"/>
        <w:ind w:right="150"/>
        <w:jc w:val="left"/>
        <w:rPr>
          <w:b w:val="0"/>
          <w:bCs w:val="0"/>
        </w:rPr>
      </w:pPr>
      <w:bookmarkStart w:name="十六、其他重要事项" w:id="490"/>
      <w:bookmarkEnd w:id="490"/>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0"/>
        <w:jc w:val="left"/>
        <w:rPr>
          <w:b w:val="0"/>
          <w:bCs w:val="0"/>
        </w:rPr>
      </w:pPr>
      <w:bookmarkStart w:name="1、前期会计差错更正" w:id="491"/>
      <w:bookmarkEnd w:id="491"/>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追溯重述法" w:id="492"/>
      <w:bookmarkEnd w:id="492"/>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未来适用法" w:id="493"/>
      <w:bookmarkEnd w:id="493"/>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150"/>
        <w:jc w:val="left"/>
        <w:rPr>
          <w:b w:val="0"/>
          <w:bCs w:val="0"/>
        </w:rPr>
      </w:pPr>
      <w:bookmarkStart w:name="2、债务重组" w:id="494"/>
      <w:bookmarkEnd w:id="49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3、资产置换" w:id="495"/>
      <w:bookmarkEnd w:id="49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1）非货币性资产交换" w:id="496"/>
      <w:bookmarkEnd w:id="49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2）其他资产置换" w:id="497"/>
      <w:bookmarkEnd w:id="49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4、年金计划" w:id="498"/>
      <w:bookmarkEnd w:id="49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5、终止经营" w:id="499"/>
      <w:bookmarkEnd w:id="49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3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0"/>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6、分部信息" w:id="500"/>
      <w:bookmarkEnd w:id="50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报告分部的确定依据与会计政策" w:id="501"/>
      <w:bookmarkEnd w:id="50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2）报告分部的财务信息" w:id="502"/>
      <w:bookmarkEnd w:id="50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3）公司无报告分部的，或者不能披露各报告分部的资产总额和负债总额的，应说明原因" w:id="503"/>
      <w:bookmarkEnd w:id="50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4）其他说明" w:id="504"/>
      <w:bookmarkEnd w:id="50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7、其他对投资者决策有影响的重要交易和事项" w:id="505"/>
      <w:bookmarkEnd w:id="50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5919" w:firstLine="0"/>
        <w:jc w:val="left"/>
        <w:rPr>
          <w:rFonts w:ascii="宋体" w:hAnsi="宋体" w:cs="宋体" w:eastAsia="宋体" w:hint="default"/>
          <w:sz w:val="21"/>
          <w:szCs w:val="21"/>
        </w:rPr>
      </w:pPr>
      <w:bookmarkStart w:name="8、其他" w:id="506"/>
      <w:bookmarkEnd w:id="50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七、母公司财务报表主要项目注释" w:id="507"/>
      <w:bookmarkEnd w:id="507"/>
      <w:r>
        <w:rPr>
          <w:rFonts w:ascii="宋体" w:hAnsi="宋体" w:cs="宋体" w:eastAsia="宋体" w:hint="default"/>
          <w:b/>
          <w:bCs/>
          <w:w w:val="100"/>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08"/>
      <w:bookmarkEnd w:id="50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1"/>
        <w:ind w:right="150"/>
        <w:jc w:val="left"/>
        <w:rPr>
          <w:b w:val="0"/>
          <w:bCs w:val="0"/>
        </w:rPr>
      </w:pPr>
      <w:bookmarkStart w:name="（1）应收账款分类披露" w:id="509"/>
      <w:bookmarkEnd w:id="50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3838"/>
        <w:gridCol w:w="4084"/>
      </w:tblGrid>
      <w:tr>
        <w:trPr>
          <w:trHeight w:val="401"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153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4D4D4"/>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62" w:hRule="exact"/>
        </w:trPr>
        <w:tc>
          <w:tcPr>
            <w:tcW w:w="1624" w:type="dxa"/>
            <w:vMerge/>
            <w:tcBorders>
              <w:left w:val="single" w:sz="4" w:space="0" w:color="000000"/>
              <w:right w:val="single" w:sz="4" w:space="0" w:color="000000"/>
            </w:tcBorders>
            <w:shd w:val="clear" w:color="auto" w:fill="D4D4D4"/>
          </w:tcPr>
          <w:p>
            <w:pPr/>
          </w:p>
        </w:tc>
        <w:tc>
          <w:tcPr>
            <w:tcW w:w="774"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763" w:type="dxa"/>
            <w:tcBorders>
              <w:top w:val="single" w:sz="4" w:space="0" w:color="000000"/>
              <w:left w:val="single" w:sz="4" w:space="0" w:color="000000"/>
              <w:bottom w:val="nil" w:sz="6" w:space="0" w:color="auto"/>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24" w:type="dxa"/>
            <w:vMerge/>
            <w:tcBorders>
              <w:left w:val="single" w:sz="4" w:space="0" w:color="000000"/>
              <w:right w:val="single" w:sz="4" w:space="0" w:color="000000"/>
            </w:tcBorders>
            <w:shd w:val="clear" w:color="auto" w:fill="D4D4D4"/>
          </w:tcPr>
          <w:p>
            <w:pPr/>
          </w:p>
        </w:tc>
        <w:tc>
          <w:tcPr>
            <w:tcW w:w="77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24"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665,788,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250.80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26,842,9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62.20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4.03%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638,945,2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88.60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580,933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,632.33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23,977,50</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3.47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556,956,12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8.86</w:t>
            </w:r>
          </w:p>
        </w:tc>
      </w:tr>
      <w:tr>
        <w:trPr>
          <w:trHeight w:val="163" w:hRule="exact"/>
        </w:trPr>
        <w:tc>
          <w:tcPr>
            <w:tcW w:w="1624"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665,788,</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250.80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26,842,9</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62.20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4.03%</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638,945,2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88.60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580,933</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,632.33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23,977,50</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3.47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4.13%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556,956,12</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8.86</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4"/>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2482" w:type="dxa"/>
            <w:vMerge/>
            <w:tcBorders>
              <w:left w:val="single" w:sz="4" w:space="0" w:color="000000"/>
              <w:bottom w:val="nil" w:sz="6" w:space="0" w:color="auto"/>
              <w:right w:val="single" w:sz="4" w:space="0" w:color="000000"/>
            </w:tcBorders>
            <w:shd w:val="clear" w:color="auto" w:fill="D4D4D4"/>
          </w:tcPr>
          <w:p>
            <w:pPr/>
          </w:p>
        </w:tc>
        <w:tc>
          <w:tcPr>
            <w:tcW w:w="22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536,400,857.97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4,251,649.02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81,672,376.10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8,129,622.09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34,113,492.05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6,822,698.41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9,514,563.01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4,757,281.51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4,017,501.67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2,812,251.17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69,460.00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69,460.00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665,788,250.80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26,842,962.20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w:t>
            </w:r>
          </w:p>
        </w:tc>
      </w:tr>
    </w:tbl>
    <w:p>
      <w:pPr>
        <w:pStyle w:val="BodyText"/>
        <w:spacing w:line="360" w:lineRule="auto" w:before="49"/>
        <w:ind w:right="5454"/>
        <w:jc w:val="left"/>
      </w:pPr>
      <w:r>
        <w:rPr/>
        <w:t>确定该组合依据的说明： 组合中，采用余额百分比法计提坏账准备的应收账款：</w:t>
      </w:r>
    </w:p>
    <w:p>
      <w:pPr>
        <w:pStyle w:val="BodyText"/>
        <w:spacing w:line="340" w:lineRule="auto" w:before="2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5"/>
        <w:rPr>
          <w:rFonts w:ascii="宋体" w:hAnsi="宋体" w:cs="宋体" w:eastAsia="宋体" w:hint="default"/>
          <w:sz w:val="21"/>
          <w:szCs w:val="21"/>
        </w:rPr>
      </w:pPr>
    </w:p>
    <w:p>
      <w:pPr>
        <w:pStyle w:val="Heading3"/>
        <w:spacing w:line="240" w:lineRule="auto"/>
        <w:ind w:right="150"/>
        <w:jc w:val="left"/>
        <w:rPr>
          <w:b w:val="0"/>
          <w:bCs w:val="0"/>
        </w:rPr>
      </w:pPr>
      <w:bookmarkStart w:name="（2）本期计提、收回或转回的坏账准备情况" w:id="510"/>
      <w:bookmarkEnd w:id="51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80" w:left="980" w:right="980"/>
        </w:sectPr>
      </w:pPr>
    </w:p>
    <w:p>
      <w:pPr>
        <w:pStyle w:val="BodyText"/>
        <w:spacing w:line="338" w:lineRule="auto" w:before="44"/>
        <w:ind w:right="-13"/>
        <w:jc w:val="left"/>
      </w:pPr>
      <w:r>
        <w:rPr/>
        <w:t>本期计提坏账准备金额</w:t>
      </w:r>
      <w:r>
        <w:rPr>
          <w:spacing w:val="-48"/>
        </w:rPr>
        <w:t> </w:t>
      </w:r>
      <w:r>
        <w:rPr>
          <w:rFonts w:ascii="Times New Roman" w:hAnsi="Times New Roman" w:cs="Times New Roman" w:eastAsia="Times New Roman" w:hint="default"/>
        </w:rPr>
        <w:t>2,971,458.73</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050" w:space="2777"/>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089"/>
      </w:tblGrid>
      <w:tr>
        <w:trPr>
          <w:trHeight w:val="401"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3）本期实际核销的应收账款情况" w:id="511"/>
      <w:bookmarkEnd w:id="51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2"/>
        <w:gridCol w:w="4586"/>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核销的应收款项</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106,000.00</w:t>
            </w:r>
          </w:p>
        </w:tc>
      </w:tr>
    </w:tbl>
    <w:p>
      <w:pPr>
        <w:pStyle w:val="BodyText"/>
        <w:spacing w:line="240" w:lineRule="auto" w:before="49"/>
        <w:ind w:right="150"/>
        <w:jc w:val="left"/>
      </w:pPr>
      <w:r>
        <w:rPr/>
        <w:t>其中重要的应收账款核销情况：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5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4）按欠款方归集的期末余额前五名的应收账款情况" w:id="512"/>
      <w:bookmarkEnd w:id="51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1" w:type="dxa"/>
        <w:tblLayout w:type="fixed"/>
        <w:tblCellMar>
          <w:top w:w="0" w:type="dxa"/>
          <w:left w:w="0" w:type="dxa"/>
          <w:bottom w:w="0" w:type="dxa"/>
          <w:right w:w="0" w:type="dxa"/>
        </w:tblCellMar>
        <w:tblLook w:val="01E0"/>
      </w:tblPr>
      <w:tblGrid>
        <w:gridCol w:w="2582"/>
        <w:gridCol w:w="1699"/>
        <w:gridCol w:w="1702"/>
        <w:gridCol w:w="1560"/>
      </w:tblGrid>
      <w:tr>
        <w:trPr>
          <w:trHeight w:val="650" w:hRule="exact"/>
        </w:trPr>
        <w:tc>
          <w:tcPr>
            <w:tcW w:w="2582" w:type="dxa"/>
            <w:tcBorders>
              <w:top w:val="nil" w:sz="6" w:space="0" w:color="auto"/>
              <w:left w:val="nil" w:sz="6" w:space="0" w:color="auto"/>
              <w:bottom w:val="single" w:sz="6" w:space="0" w:color="000000"/>
              <w:right w:val="single" w:sz="6" w:space="0" w:color="000000"/>
            </w:tcBorders>
          </w:tcPr>
          <w:p>
            <w:pPr>
              <w:pStyle w:val="TableParagraph"/>
              <w:spacing w:line="240" w:lineRule="auto" w:before="34"/>
              <w:ind w:left="26" w:right="0"/>
              <w:jc w:val="left"/>
              <w:rPr>
                <w:rFonts w:ascii="宋体" w:hAnsi="宋体" w:cs="宋体" w:eastAsia="宋体" w:hint="default"/>
                <w:sz w:val="16"/>
                <w:szCs w:val="16"/>
              </w:rPr>
            </w:pPr>
            <w:r>
              <w:rPr>
                <w:rFonts w:ascii="宋体"/>
                <w:w w:val="100"/>
                <w:sz w:val="16"/>
              </w:rPr>
              <w:t> </w:t>
            </w:r>
          </w:p>
        </w:tc>
        <w:tc>
          <w:tcPr>
            <w:tcW w:w="169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6"/>
              <w:ind w:left="681" w:right="0"/>
              <w:jc w:val="left"/>
              <w:rPr>
                <w:rFonts w:ascii="宋体" w:hAnsi="宋体" w:cs="宋体" w:eastAsia="宋体" w:hint="default"/>
                <w:sz w:val="16"/>
                <w:szCs w:val="16"/>
              </w:rPr>
            </w:pPr>
            <w:r>
              <w:rPr>
                <w:rFonts w:ascii="宋体" w:hAnsi="宋体" w:cs="宋体" w:eastAsia="宋体" w:hint="default"/>
                <w:sz w:val="16"/>
                <w:szCs w:val="16"/>
              </w:rPr>
              <w:t>余额</w:t>
            </w:r>
          </w:p>
        </w:tc>
        <w:tc>
          <w:tcPr>
            <w:tcW w:w="170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6"/>
              <w:ind w:left="364" w:right="0"/>
              <w:jc w:val="left"/>
              <w:rPr>
                <w:rFonts w:ascii="宋体" w:hAnsi="宋体" w:cs="宋体" w:eastAsia="宋体" w:hint="default"/>
                <w:sz w:val="16"/>
                <w:szCs w:val="16"/>
              </w:rPr>
            </w:pPr>
            <w:r>
              <w:rPr>
                <w:rFonts w:ascii="宋体" w:hAnsi="宋体" w:cs="宋体" w:eastAsia="宋体" w:hint="default"/>
                <w:sz w:val="16"/>
                <w:szCs w:val="16"/>
              </w:rPr>
              <w:t>坏账准备金额</w:t>
            </w:r>
          </w:p>
        </w:tc>
        <w:tc>
          <w:tcPr>
            <w:tcW w:w="1560" w:type="dxa"/>
            <w:tcBorders>
              <w:top w:val="nil" w:sz="6" w:space="0" w:color="auto"/>
              <w:left w:val="single" w:sz="6" w:space="0" w:color="000000"/>
              <w:bottom w:val="single" w:sz="6" w:space="0" w:color="000000"/>
              <w:right w:val="single" w:sz="6" w:space="0" w:color="000000"/>
            </w:tcBorders>
          </w:tcPr>
          <w:p>
            <w:pPr>
              <w:pStyle w:val="TableParagraph"/>
              <w:spacing w:line="357" w:lineRule="auto" w:before="36"/>
              <w:ind w:left="614" w:right="48" w:hanging="562"/>
              <w:jc w:val="left"/>
              <w:rPr>
                <w:rFonts w:ascii="宋体" w:hAnsi="宋体" w:cs="宋体" w:eastAsia="宋体" w:hint="default"/>
                <w:sz w:val="16"/>
                <w:szCs w:val="16"/>
              </w:rPr>
            </w:pPr>
            <w:r>
              <w:rPr>
                <w:rFonts w:ascii="宋体" w:hAnsi="宋体" w:cs="宋体" w:eastAsia="宋体" w:hint="default"/>
                <w:sz w:val="16"/>
                <w:szCs w:val="16"/>
              </w:rPr>
              <w:t>占应收账款余额总额</w:t>
            </w:r>
            <w:r>
              <w:rPr>
                <w:rFonts w:ascii="宋体" w:hAnsi="宋体" w:cs="宋体" w:eastAsia="宋体" w:hint="default"/>
                <w:w w:val="100"/>
                <w:sz w:val="16"/>
                <w:szCs w:val="16"/>
              </w:rPr>
              <w:t> </w:t>
            </w:r>
            <w:r>
              <w:rPr>
                <w:rFonts w:ascii="宋体" w:hAnsi="宋体" w:cs="宋体" w:eastAsia="宋体" w:hint="default"/>
                <w:sz w:val="16"/>
                <w:szCs w:val="16"/>
              </w:rPr>
              <w:t>比例</w:t>
            </w:r>
          </w:p>
        </w:tc>
      </w:tr>
      <w:tr>
        <w:trPr>
          <w:trHeight w:val="338" w:hRule="exact"/>
        </w:trPr>
        <w:tc>
          <w:tcPr>
            <w:tcW w:w="25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26" w:right="0"/>
              <w:jc w:val="left"/>
              <w:rPr>
                <w:rFonts w:ascii="宋体" w:hAnsi="宋体" w:cs="宋体" w:eastAsia="宋体" w:hint="default"/>
                <w:sz w:val="16"/>
                <w:szCs w:val="16"/>
              </w:rPr>
            </w:pPr>
            <w:r>
              <w:rPr>
                <w:rFonts w:ascii="宋体" w:hAnsi="宋体" w:cs="宋体" w:eastAsia="宋体" w:hint="default"/>
                <w:sz w:val="16"/>
                <w:szCs w:val="16"/>
              </w:rPr>
              <w:t>余额前五名的应收账款总额</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681" w:right="0"/>
              <w:jc w:val="left"/>
              <w:rPr>
                <w:rFonts w:ascii="Times New Roman" w:hAnsi="Times New Roman" w:cs="Times New Roman" w:eastAsia="Times New Roman" w:hint="default"/>
                <w:sz w:val="16"/>
                <w:szCs w:val="16"/>
              </w:rPr>
            </w:pPr>
            <w:r>
              <w:rPr>
                <w:rFonts w:ascii="Times New Roman"/>
                <w:sz w:val="16"/>
              </w:rPr>
              <w:t>156,383,023.89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844" w:right="0"/>
              <w:jc w:val="left"/>
              <w:rPr>
                <w:rFonts w:ascii="Times New Roman" w:hAnsi="Times New Roman" w:cs="Times New Roman" w:eastAsia="Times New Roman" w:hint="default"/>
                <w:sz w:val="16"/>
                <w:szCs w:val="16"/>
              </w:rPr>
            </w:pPr>
            <w:r>
              <w:rPr>
                <w:rFonts w:ascii="Times New Roman"/>
                <w:sz w:val="16"/>
              </w:rPr>
              <w:t>9,135,987.14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6"/>
                <w:szCs w:val="16"/>
              </w:rPr>
            </w:pPr>
            <w:r>
              <w:rPr>
                <w:rFonts w:ascii="Times New Roman"/>
                <w:spacing w:val="-1"/>
                <w:sz w:val="16"/>
              </w:rPr>
              <w:t>23.49%</w:t>
            </w:r>
          </w:p>
        </w:tc>
      </w:tr>
    </w:tbl>
    <w:p>
      <w:pPr>
        <w:spacing w:line="240" w:lineRule="auto" w:before="3"/>
        <w:rPr>
          <w:rFonts w:ascii="宋体" w:hAnsi="宋体" w:cs="宋体" w:eastAsia="宋体" w:hint="default"/>
          <w:b/>
          <w:bCs/>
          <w:sz w:val="19"/>
          <w:szCs w:val="19"/>
        </w:rPr>
      </w:pPr>
    </w:p>
    <w:p>
      <w:pPr>
        <w:pStyle w:val="Heading3"/>
        <w:spacing w:line="240" w:lineRule="auto" w:before="36"/>
        <w:ind w:right="150"/>
        <w:jc w:val="left"/>
        <w:rPr>
          <w:b w:val="0"/>
          <w:bCs w:val="0"/>
        </w:rPr>
      </w:pPr>
      <w:bookmarkStart w:name="（5）因金融资产转移而终止确认的应收账款" w:id="513"/>
      <w:bookmarkEnd w:id="51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6）转移应收账款且继续涉入形成的资产、负债金额" w:id="514"/>
      <w:bookmarkEnd w:id="51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2、其他应收款" w:id="515"/>
      <w:bookmarkEnd w:id="51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0"/>
        <w:jc w:val="left"/>
        <w:rPr>
          <w:b w:val="0"/>
          <w:bCs w:val="0"/>
        </w:rPr>
      </w:pPr>
      <w:bookmarkStart w:name="（1）其他应收款分类披露" w:id="516"/>
      <w:bookmarkEnd w:id="51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2"/>
        <w:gridCol w:w="763"/>
        <w:gridCol w:w="761"/>
        <w:gridCol w:w="763"/>
        <w:gridCol w:w="763"/>
        <w:gridCol w:w="787"/>
        <w:gridCol w:w="655"/>
        <w:gridCol w:w="761"/>
        <w:gridCol w:w="814"/>
        <w:gridCol w:w="934"/>
        <w:gridCol w:w="931"/>
      </w:tblGrid>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4D4D4"/>
          </w:tcPr>
          <w:p>
            <w:pP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2" w:type="dxa"/>
            <w:vMerge/>
            <w:tcBorders>
              <w:left w:val="single" w:sz="4" w:space="0" w:color="000000"/>
              <w:bottom w:val="nil" w:sz="6" w:space="0" w:color="auto"/>
              <w:right w:val="single" w:sz="4" w:space="0" w:color="000000"/>
            </w:tcBorders>
            <w:shd w:val="clear" w:color="auto" w:fill="D4D4D4"/>
          </w:tcPr>
          <w:p>
            <w:pPr/>
          </w:p>
        </w:tc>
        <w:tc>
          <w:tcPr>
            <w:tcW w:w="152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2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1524"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22" w:type="dxa"/>
            <w:vMerge/>
            <w:tcBorders>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2" w:type="dxa"/>
            <w:vMerge w:val="restart"/>
            <w:tcBorders>
              <w:top w:val="single" w:sz="4" w:space="0" w:color="FFFFFF"/>
              <w:left w:val="single" w:sz="4" w:space="0" w:color="000000"/>
              <w:right w:val="single" w:sz="4" w:space="0" w:color="000000"/>
            </w:tcBorders>
            <w:shd w:val="clear" w:color="auto" w:fill="D4D4D4"/>
          </w:tcPr>
          <w:p>
            <w:pP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622" w:type="dxa"/>
            <w:vMerge/>
            <w:tcBorders>
              <w:left w:val="single" w:sz="4" w:space="0" w:color="000000"/>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2"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2"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38,297,7</w:t>
            </w:r>
          </w:p>
          <w:p>
            <w:pPr>
              <w:pStyle w:val="TableParagraph"/>
              <w:spacing w:line="240" w:lineRule="auto" w:before="102"/>
              <w:ind w:left="315" w:right="0"/>
              <w:jc w:val="left"/>
              <w:rPr>
                <w:rFonts w:ascii="Times New Roman" w:hAnsi="Times New Roman" w:cs="Times New Roman" w:eastAsia="Times New Roman" w:hint="default"/>
                <w:sz w:val="18"/>
                <w:szCs w:val="18"/>
              </w:rPr>
            </w:pPr>
            <w:r>
              <w:rPr>
                <w:rFonts w:ascii="Times New Roman"/>
                <w:sz w:val="18"/>
              </w:rPr>
              <w:t>90.54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2,177,86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6.61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5.69%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36,119,92</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3.93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21,042,</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354.40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99.76%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2,007,509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19,034,844.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46</w:t>
            </w:r>
          </w:p>
        </w:tc>
      </w:tr>
      <w:tr>
        <w:trPr>
          <w:trHeight w:val="1025" w:hRule="exact"/>
        </w:trPr>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2,314,25</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4.50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2,314,254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49,771.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0.24%</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49,771.95</w:t>
            </w:r>
          </w:p>
        </w:tc>
      </w:tr>
      <w:tr>
        <w:trPr>
          <w:trHeight w:val="163" w:hRule="exact"/>
        </w:trPr>
        <w:tc>
          <w:tcPr>
            <w:tcW w:w="1622" w:type="dxa"/>
            <w:tcBorders>
              <w:top w:val="single" w:sz="4" w:space="0" w:color="000000"/>
              <w:left w:val="single" w:sz="4" w:space="0" w:color="000000"/>
              <w:bottom w:val="nil" w:sz="6" w:space="0" w:color="auto"/>
              <w:right w:val="single" w:sz="4" w:space="0" w:color="000000"/>
            </w:tcBorders>
            <w:shd w:val="clear" w:color="auto" w:fill="D4D4D4"/>
          </w:tcPr>
          <w:p>
            <w:pPr/>
          </w:p>
        </w:tc>
        <w:tc>
          <w:tcPr>
            <w:tcW w:w="763" w:type="dxa"/>
            <w:vMerge w:val="restart"/>
            <w:tcBorders>
              <w:top w:val="single" w:sz="4" w:space="0" w:color="000000"/>
              <w:left w:val="single" w:sz="9" w:space="0" w:color="D4D4D4"/>
              <w:right w:val="single" w:sz="4" w:space="0" w:color="000000"/>
            </w:tcBorders>
          </w:tcPr>
          <w:p>
            <w:pPr>
              <w:pStyle w:val="TableParagraph"/>
              <w:spacing w:line="240" w:lineRule="auto" w:before="93"/>
              <w:ind w:left="94" w:right="0"/>
              <w:jc w:val="left"/>
              <w:rPr>
                <w:rFonts w:ascii="Times New Roman" w:hAnsi="Times New Roman" w:cs="Times New Roman" w:eastAsia="Times New Roman" w:hint="default"/>
                <w:sz w:val="18"/>
                <w:szCs w:val="18"/>
              </w:rPr>
            </w:pPr>
            <w:r>
              <w:rPr>
                <w:rFonts w:ascii="Times New Roman"/>
                <w:sz w:val="18"/>
              </w:rPr>
              <w:t>40,612,0</w:t>
            </w:r>
          </w:p>
          <w:p>
            <w:pPr>
              <w:pStyle w:val="TableParagraph"/>
              <w:spacing w:line="240" w:lineRule="auto" w:before="102"/>
              <w:ind w:left="320" w:right="0"/>
              <w:jc w:val="left"/>
              <w:rPr>
                <w:rFonts w:ascii="Times New Roman" w:hAnsi="Times New Roman" w:cs="Times New Roman" w:eastAsia="Times New Roman" w:hint="default"/>
                <w:sz w:val="18"/>
                <w:szCs w:val="18"/>
              </w:rPr>
            </w:pPr>
            <w:r>
              <w:rPr>
                <w:rFonts w:ascii="Times New Roman"/>
                <w:sz w:val="18"/>
              </w:rPr>
              <w:t>45.04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2,177,86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6.61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5.69%</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38,434,17</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8.43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21,092,</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126.35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2,007,509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9.54%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19,084,616.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41</w:t>
            </w:r>
          </w:p>
        </w:tc>
      </w:tr>
      <w:tr>
        <w:trPr>
          <w:trHeight w:val="391" w:hRule="exact"/>
        </w:trPr>
        <w:tc>
          <w:tcPr>
            <w:tcW w:w="16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50"/>
        <w:jc w:val="left"/>
      </w:pPr>
      <w:r>
        <w:rPr/>
        <w:t>期末单项金额重大并单项计提坏账准备的其他应收款：</w:t>
      </w:r>
    </w:p>
    <w:p>
      <w:pPr>
        <w:pStyle w:val="BodyText"/>
        <w:spacing w:line="340" w:lineRule="auto" w:before="11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4"/>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482" w:type="dxa"/>
            <w:vMerge/>
            <w:tcBorders>
              <w:left w:val="single" w:sz="4" w:space="0" w:color="000000"/>
              <w:bottom w:val="nil" w:sz="6" w:space="0" w:color="auto"/>
              <w:right w:val="single" w:sz="4" w:space="0" w:color="000000"/>
            </w:tcBorders>
            <w:shd w:val="clear" w:color="auto" w:fill="D4D4D4"/>
          </w:tcPr>
          <w:p>
            <w:pPr/>
          </w:p>
        </w:tc>
        <w:tc>
          <w:tcPr>
            <w:tcW w:w="22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32,088,270.44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320,882.70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2,873,907.35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287,390.74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374,044.03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74,808.81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2,921,568.72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1,460,784.36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38,297,790.54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2,177,866.61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0"/>
        <w:jc w:val="left"/>
        <w:rPr>
          <w:b w:val="0"/>
          <w:bCs w:val="0"/>
        </w:rPr>
      </w:pPr>
      <w:bookmarkStart w:name="（2）本期计提、收回或转回的坏账准备情况" w:id="517"/>
      <w:bookmarkEnd w:id="51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23"/>
          <w:pgSz w:w="11910" w:h="16840"/>
          <w:pgMar w:footer="982" w:header="745" w:top="1060" w:bottom="1180" w:left="980" w:right="980"/>
          <w:pgNumType w:start="165"/>
        </w:sectPr>
      </w:pPr>
    </w:p>
    <w:p>
      <w:pPr>
        <w:pStyle w:val="BodyText"/>
        <w:spacing w:line="338" w:lineRule="auto" w:before="44"/>
        <w:ind w:right="-8"/>
        <w:jc w:val="left"/>
      </w:pPr>
      <w:r>
        <w:rPr/>
        <w:t>本期计提坏账准备金额</w:t>
      </w:r>
      <w:r>
        <w:rPr>
          <w:spacing w:val="-47"/>
        </w:rPr>
        <w:t> </w:t>
      </w:r>
      <w:r>
        <w:rPr>
          <w:rFonts w:ascii="Times New Roman" w:hAnsi="Times New Roman" w:cs="Times New Roman" w:eastAsia="Times New Roman" w:hint="default"/>
        </w:rPr>
        <w:t>176,439.24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324" w:space="2504"/>
            <w:col w:w="1122"/>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089"/>
      </w:tblGrid>
      <w:tr>
        <w:trPr>
          <w:trHeight w:val="401"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3）本期实际核销的其他应收款情况" w:id="518"/>
      <w:bookmarkEnd w:id="51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2"/>
        <w:gridCol w:w="4586"/>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6,082.57</w:t>
            </w:r>
          </w:p>
        </w:tc>
      </w:tr>
    </w:tbl>
    <w:p>
      <w:pPr>
        <w:pStyle w:val="BodyText"/>
        <w:spacing w:line="240" w:lineRule="auto" w:before="49"/>
        <w:ind w:right="150"/>
        <w:jc w:val="left"/>
      </w:pPr>
      <w:r>
        <w:rPr/>
        <w:t>其中重要的其他应收款核销情况：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5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4）其他应收款按款项性质分类情况" w:id="519"/>
      <w:bookmarkEnd w:id="51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转入从兴电力业务应收款及代垫款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4,989,408.52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6,329,616.12</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暂付及单位往来款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3,719,110.11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305,554.96</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应收员工借款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1,420,737.42</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1,488,179.27</w:t>
            </w:r>
            <w:r>
              <w:rPr>
                <w:rFonts w:ascii="Times New Roman"/>
                <w:sz w:val="18"/>
              </w:rPr>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应收押金及保证金款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30,482,788.99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12,968,776.00</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40,612,045.04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21,092,126.35</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5）按欠款方归集的期末余额前五名的其他应收款情况" w:id="520"/>
      <w:bookmarkEnd w:id="52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10,119,100.00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一年以内及一到两 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24.92%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173,011.00</w:t>
            </w:r>
            <w:r>
              <w:rPr>
                <w:rFonts w:ascii="Times New Roman"/>
                <w:sz w:val="18"/>
              </w:rPr>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转入从兴电力业务 应收款及代垫款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4,989,408.52</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一到两年及三到四 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12.29%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1,657,968.34</w:t>
            </w:r>
            <w:r>
              <w:rPr>
                <w:rFonts w:ascii="Times New Roman"/>
                <w:sz w:val="18"/>
              </w:rPr>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1,884,000.00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18,840.00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1,340,855.61</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一年以内及一到两 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19,288.82</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1,310,156.50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一年以内及一到两 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32,933.65</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19,643,520.63</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48.38%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1,902,041.81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6）涉及政府补助的应收款项" w:id="521"/>
      <w:bookmarkEnd w:id="52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5" w:hRule="exact"/>
        </w:trPr>
        <w:tc>
          <w:tcPr>
            <w:tcW w:w="20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7）因金融资产转移而终止确认的其他应收款" w:id="522"/>
      <w:bookmarkEnd w:id="52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8）转移其他应收款且继续涉入形成的资产、负债金额" w:id="523"/>
      <w:bookmarkEnd w:id="52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0"/>
        <w:jc w:val="left"/>
        <w:rPr>
          <w:b w:val="0"/>
          <w:bCs w:val="0"/>
        </w:rPr>
      </w:pPr>
      <w:bookmarkStart w:name="3、长期股权投资" w:id="524"/>
      <w:bookmarkEnd w:id="52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4102"/>
        <w:gridCol w:w="4091"/>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8"/>
        <w:gridCol w:w="1366"/>
        <w:gridCol w:w="1368"/>
      </w:tblGrid>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153,435,342.50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153,435,342.50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148,475,242.50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148,475,242.50</w:t>
            </w:r>
            <w:r>
              <w:rPr>
                <w:rFonts w:ascii="Times New Roman"/>
                <w:sz w:val="18"/>
              </w:rPr>
            </w:r>
          </w:p>
        </w:tc>
      </w:tr>
      <w:tr>
        <w:trPr>
          <w:trHeight w:val="71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57,771,242.60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57,771,242.60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21,636,819.63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21,636,819.63</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211,206,585.10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211,206,585.10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170,112,062.13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170,112,062.13</w:t>
            </w: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1）对子公司投资" w:id="525"/>
      <w:bookmarkEnd w:id="52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北京朗新科技有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杭州朗新智能技 术有限公司</w:t>
            </w:r>
            <w:r>
              <w:rPr>
                <w:rFonts w:ascii="Times New Roman" w:hAnsi="Times New Roman" w:cs="Times New Roman" w:eastAsia="Times New Roman" w:hint="default"/>
                <w:sz w:val="18"/>
                <w:szCs w:val="18"/>
              </w:rPr>
              <w:t>(i)</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9"/>
              <w:jc w:val="left"/>
              <w:rPr>
                <w:rFonts w:ascii="Times New Roman" w:hAnsi="Times New Roman" w:cs="Times New Roman" w:eastAsia="Times New Roman" w:hint="default"/>
                <w:sz w:val="18"/>
                <w:szCs w:val="18"/>
              </w:rPr>
            </w:pPr>
            <w:r>
              <w:rPr>
                <w:rFonts w:ascii="Times New Roman"/>
                <w:spacing w:val="-1"/>
                <w:sz w:val="18"/>
              </w:rPr>
              <w:t>LongShineTechnol</w:t>
            </w:r>
            <w:r>
              <w:rPr>
                <w:rFonts w:ascii="Times New Roman"/>
                <w:spacing w:val="-42"/>
                <w:sz w:val="18"/>
              </w:rPr>
              <w:t> </w:t>
            </w:r>
            <w:r>
              <w:rPr>
                <w:rFonts w:ascii="Times New Roman"/>
                <w:spacing w:val="-42"/>
                <w:sz w:val="18"/>
              </w:rPr>
            </w:r>
            <w:r>
              <w:rPr>
                <w:rFonts w:ascii="Times New Roman"/>
                <w:sz w:val="18"/>
              </w:rPr>
              <w:t>ogyCo.,Ltd</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153,142.50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153,142.50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合肥新耀科技有 限公司</w:t>
            </w:r>
            <w:r>
              <w:rPr>
                <w:rFonts w:ascii="Times New Roman" w:hAnsi="Times New Roman" w:cs="Times New Roman" w:eastAsia="Times New Roman" w:hint="default"/>
                <w:sz w:val="18"/>
                <w:szCs w:val="18"/>
              </w:rPr>
              <w:t>(ii)</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新耀能源科技有 限公司（附注九）</w:t>
            </w:r>
          </w:p>
        </w:tc>
        <w:tc>
          <w:tcPr>
            <w:tcW w:w="13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4,600,000.00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6,900,000.00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北京天正信华科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20,822,100.00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20,822,100.00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无锡朗新金关信 息科技有限公司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朗新云商科技有 限公司（附注九）</w:t>
            </w:r>
          </w:p>
        </w:tc>
        <w:tc>
          <w:tcPr>
            <w:tcW w:w="1337" w:type="dxa"/>
            <w:tcBorders>
              <w:top w:val="single" w:sz="4" w:space="0" w:color="000000"/>
              <w:left w:val="single" w:sz="13" w:space="0" w:color="FFFFFF"/>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2,450,000.00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2,550,000.00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朗新数据科技有 限公司（附注九）</w:t>
            </w:r>
          </w:p>
        </w:tc>
        <w:tc>
          <w:tcPr>
            <w:tcW w:w="1337" w:type="dxa"/>
            <w:tcBorders>
              <w:top w:val="single" w:sz="4" w:space="0" w:color="000000"/>
              <w:left w:val="single" w:sz="13" w:space="0" w:color="FFFFFF"/>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朗新科技投资管 理无锡有限公司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148,475,242.50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25,010,100.00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153,435,342.50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2）对联营、合营企业投资" w:id="526"/>
      <w:bookmarkEnd w:id="52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5" w:hRule="exact"/>
        </w:trPr>
        <w:tc>
          <w:tcPr>
            <w:tcW w:w="79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0"/>
              <w:ind w:left="33" w:right="35"/>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0"/>
              <w:ind w:left="33" w:right="31"/>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362"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邦道科技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21,636,81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36,134,42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57,771,24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10" w:space="0" w:color="D4D4D4"/>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21,636,81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9.63</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36,134,42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2.97</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57,771,24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2.60</w:t>
            </w: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4D4D4"/>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10" w:space="0" w:color="D4D4D4"/>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10" w:space="0" w:color="D4D4D4"/>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21,636,81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9.63</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57,771,24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2.60</w:t>
            </w: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vMerge/>
            <w:tcBorders>
              <w:left w:val="single" w:sz="10" w:space="0" w:color="D4D4D4"/>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10" w:space="0" w:color="D4D4D4"/>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0"/>
        <w:jc w:val="left"/>
        <w:rPr>
          <w:b w:val="0"/>
          <w:bCs w:val="0"/>
        </w:rPr>
      </w:pPr>
      <w:bookmarkStart w:name="（3）其他说明" w:id="527"/>
      <w:bookmarkEnd w:id="52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50"/>
        <w:jc w:val="left"/>
      </w:pPr>
      <w:r>
        <w:rPr>
          <w:rFonts w:ascii="Times New Roman" w:hAnsi="Times New Roman" w:cs="Times New Roman" w:eastAsia="Times New Roman" w:hint="default"/>
        </w:rPr>
        <w:t>(i)</w:t>
      </w: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日召开的股东会决议，朗新科技对杭州朗新减资人民币</w:t>
      </w:r>
      <w:r>
        <w:rPr>
          <w:rFonts w:ascii="Times New Roman" w:hAnsi="Times New Roman" w:cs="Times New Roman" w:eastAsia="Times New Roman" w:hint="default"/>
        </w:rPr>
        <w:t>1000</w:t>
      </w:r>
      <w:r>
        <w:rPr/>
        <w:t>万元，本次减资后，杭州朗新的注册资本由</w:t>
      </w:r>
      <w:r>
        <w:rPr>
          <w:spacing w:val="-78"/>
        </w:rPr>
        <w:t> </w:t>
      </w:r>
      <w:r>
        <w:rPr>
          <w:spacing w:val="-78"/>
        </w:rPr>
      </w:r>
      <w:r>
        <w:rPr/>
        <w:t>人民币</w:t>
      </w:r>
      <w:r>
        <w:rPr>
          <w:rFonts w:ascii="Times New Roman" w:hAnsi="Times New Roman" w:cs="Times New Roman" w:eastAsia="Times New Roman" w:hint="default"/>
        </w:rPr>
        <w:t>2,000</w:t>
      </w:r>
      <w:r>
        <w:rPr/>
        <w:t>万元减少至人民币</w:t>
      </w:r>
      <w:r>
        <w:rPr>
          <w:rFonts w:ascii="Times New Roman" w:hAnsi="Times New Roman" w:cs="Times New Roman" w:eastAsia="Times New Roman" w:hint="default"/>
        </w:rPr>
        <w:t>1,000</w:t>
      </w:r>
      <w:r>
        <w:rPr/>
        <w:t>万元；</w:t>
      </w:r>
      <w:r>
        <w:rPr>
          <w:w w:val="99"/>
        </w:rPr>
        <w:t> </w:t>
      </w:r>
      <w:r>
        <w:rPr>
          <w:rFonts w:ascii="Times New Roman" w:hAnsi="Times New Roman" w:cs="Times New Roman" w:eastAsia="Times New Roman" w:hint="default"/>
        </w:rPr>
        <w:t>(ii)2017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日，朗新科技股份有限公司将其持有合肥新耀</w:t>
      </w:r>
      <w:r>
        <w:rPr>
          <w:rFonts w:ascii="Times New Roman" w:hAnsi="Times New Roman" w:cs="Times New Roman" w:eastAsia="Times New Roman" w:hint="default"/>
        </w:rPr>
        <w:t>100%</w:t>
      </w:r>
      <w:r>
        <w:rPr/>
        <w:t>股权转让给新耀能源科技有限公司，本次股权转让价格</w:t>
      </w:r>
      <w:r>
        <w:rPr>
          <w:spacing w:val="-22"/>
        </w:rPr>
        <w:t> </w:t>
      </w:r>
      <w:r>
        <w:rPr>
          <w:spacing w:val="-22"/>
        </w:rPr>
      </w:r>
      <w:r>
        <w:rPr/>
        <w:t>为人民币</w:t>
      </w:r>
      <w:r>
        <w:rPr>
          <w:rFonts w:ascii="Times New Roman" w:hAnsi="Times New Roman" w:cs="Times New Roman" w:eastAsia="Times New Roman" w:hint="default"/>
        </w:rPr>
        <w:t>94.50</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150"/>
        <w:jc w:val="left"/>
        <w:rPr>
          <w:b w:val="0"/>
          <w:bCs w:val="0"/>
        </w:rPr>
      </w:pPr>
      <w:bookmarkStart w:name="4、营业收入和营业成本" w:id="528"/>
      <w:bookmarkEnd w:id="52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8"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996" w:type="dxa"/>
            <w:vMerge/>
            <w:tcBorders>
              <w:left w:val="single" w:sz="4" w:space="0" w:color="000000"/>
              <w:bottom w:val="nil" w:sz="6" w:space="0" w:color="auto"/>
              <w:right w:val="single" w:sz="4" w:space="0" w:color="000000"/>
            </w:tcBorders>
            <w:shd w:val="clear" w:color="auto" w:fill="D4D4D4"/>
          </w:tcPr>
          <w:p>
            <w:pPr/>
          </w:p>
        </w:tc>
        <w:tc>
          <w:tcPr>
            <w:tcW w:w="183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83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771,957,915.71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387,401,097.75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740,269,184.41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383,864,005.74</w:t>
            </w:r>
            <w:r>
              <w:rPr>
                <w:rFonts w:ascii="Times New Roman"/>
                <w:sz w:val="18"/>
              </w:rPr>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2,518,011.81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1,421,618.47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750,411.18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750,411.18</w:t>
            </w:r>
            <w:r>
              <w:rPr>
                <w:rFonts w:ascii="Times New Roman"/>
                <w:sz w:val="18"/>
              </w:rPr>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774,475,927.52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388,822,716.22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741,019,595.59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384,614,416.92</w:t>
            </w:r>
            <w:r>
              <w:rPr>
                <w:rFonts w:ascii="Times New Roman"/>
                <w:sz w:val="18"/>
              </w:rPr>
            </w:r>
          </w:p>
        </w:tc>
      </w:tr>
    </w:tbl>
    <w:p>
      <w:pPr>
        <w:pStyle w:val="BodyText"/>
        <w:spacing w:line="240" w:lineRule="auto" w:before="49"/>
        <w:ind w:right="15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0"/>
        <w:jc w:val="left"/>
        <w:rPr>
          <w:b w:val="0"/>
          <w:bCs w:val="0"/>
        </w:rPr>
      </w:pPr>
      <w:bookmarkStart w:name="5、投资收益" w:id="529"/>
      <w:bookmarkEnd w:id="52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2"/>
        <w:gridCol w:w="3060"/>
        <w:gridCol w:w="3185"/>
      </w:tblGrid>
      <w:tr>
        <w:trPr>
          <w:trHeight w:val="401" w:hRule="exact"/>
        </w:trPr>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36,134,422.97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11,636,519.63</w:t>
            </w:r>
            <w:r>
              <w:rPr>
                <w:rFonts w:ascii="Times New Roman"/>
                <w:sz w:val="18"/>
              </w:rPr>
            </w:r>
          </w:p>
        </w:tc>
      </w:tr>
      <w:tr>
        <w:trPr>
          <w:trHeight w:val="401" w:hRule="exact"/>
        </w:trPr>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505,028.34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2,048,861.55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38,688,312.86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11,636,519.63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6、其他" w:id="530"/>
      <w:bookmarkEnd w:id="530"/>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50"/>
        <w:jc w:val="left"/>
        <w:rPr>
          <w:b w:val="0"/>
          <w:bCs w:val="0"/>
        </w:rPr>
      </w:pPr>
      <w:bookmarkStart w:name="十八、补充资料" w:id="531"/>
      <w:bookmarkEnd w:id="531"/>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0"/>
        <w:jc w:val="left"/>
        <w:rPr>
          <w:b w:val="0"/>
          <w:bCs w:val="0"/>
        </w:rPr>
      </w:pPr>
      <w:bookmarkStart w:name="1、当期非经常性损益明细表" w:id="532"/>
      <w:bookmarkEnd w:id="53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-28,040.09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29,555,375.00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2,048,861.55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6,691.39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3,151,353.49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104.08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28,431,430.28</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0"/>
        <w:jc w:val="left"/>
        <w:rPr>
          <w:b w:val="0"/>
          <w:bCs w:val="0"/>
        </w:rPr>
      </w:pPr>
      <w:bookmarkStart w:name="2、净资产收益率及每股收益" w:id="533"/>
      <w:bookmarkEnd w:id="53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308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4D4D4"/>
          </w:tcPr>
          <w:p>
            <w:pPr/>
          </w:p>
        </w:tc>
        <w:tc>
          <w:tcPr>
            <w:tcW w:w="3082" w:type="dxa"/>
            <w:vMerge/>
            <w:tcBorders>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30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0.37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0.37</w:t>
            </w:r>
            <w:r>
              <w:rPr>
                <w:rFonts w:ascii="Times New Roman"/>
                <w:sz w:val="18"/>
              </w:rPr>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11.70%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0.30</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before="36"/>
        <w:ind w:right="150"/>
        <w:jc w:val="left"/>
        <w:rPr>
          <w:b w:val="0"/>
          <w:bCs w:val="0"/>
        </w:rPr>
      </w:pPr>
      <w:bookmarkStart w:name="3、境内外会计准则下会计数据差异" w:id="534"/>
      <w:bookmarkEnd w:id="53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0"/>
        <w:jc w:val="left"/>
        <w:rPr>
          <w:b w:val="0"/>
          <w:bCs w:val="0"/>
        </w:rPr>
      </w:pPr>
      <w:bookmarkStart w:name="（1）同时按照国际会计准则与按中国会计准则披露的财务报告中净利润和净资产差异情况" w:id="535"/>
      <w:bookmarkEnd w:id="53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0"/>
        <w:jc w:val="left"/>
        <w:rPr>
          <w:b w:val="0"/>
          <w:bCs w:val="0"/>
        </w:rPr>
      </w:pPr>
      <w:bookmarkStart w:name="（2）同时按照境外会计准则与按中国会计准则披露的财务报告中净利润和净资产差异情况" w:id="536"/>
      <w:bookmarkEnd w:id="53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150"/>
        <w:jc w:val="left"/>
        <w:rPr>
          <w:b w:val="0"/>
          <w:bCs w:val="0"/>
        </w:rPr>
      </w:pPr>
      <w:bookmarkStart w:name="（3）境内外会计准则下会计数据差异原因说明，对已经境外审计机构审计的数据进行差异" w:id="537"/>
      <w:bookmarkEnd w:id="537"/>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0"/>
        <w:jc w:val="left"/>
        <w:rPr>
          <w:b w:val="0"/>
          <w:bCs w:val="0"/>
        </w:rPr>
      </w:pPr>
      <w:bookmarkStart w:name="4、其他" w:id="538"/>
      <w:bookmarkEnd w:id="538"/>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4" w:right="150"/>
        <w:jc w:val="left"/>
        <w:rPr>
          <w:b w:val="0"/>
          <w:bCs w:val="0"/>
        </w:rPr>
      </w:pPr>
      <w:bookmarkStart w:name="第十二节 备查文件目录" w:id="539"/>
      <w:bookmarkEnd w:id="539"/>
      <w:r>
        <w:rPr>
          <w:b w:val="0"/>
          <w:bCs w:val="0"/>
        </w:rPr>
      </w:r>
      <w:bookmarkStart w:name="_bookmark10" w:id="540"/>
      <w:bookmarkEnd w:id="540"/>
      <w:r>
        <w:rPr>
          <w:b w:val="0"/>
          <w:bCs w:val="0"/>
        </w:rPr>
      </w:r>
      <w:r>
        <w:rPr/>
        <w:t>第十二节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57" w:lineRule="auto"/>
        <w:ind w:right="1674"/>
        <w:jc w:val="left"/>
      </w:pPr>
      <w:r>
        <w:rPr/>
        <w:t>一、载有公司法定代表人、主管会计工作的公司负责人、公司会计机构负责人签名并盖章的财务报表。 二、载有会计师事务所签章、注册会计师签名并盖章的审计报告原件。 三、报告期内在中国证监会指定网站上公开披露过的所有公司文件的正本及公告的原稿。 四、以上备查文件的备置地点：公司证券投资部、深圳交易所。</w:t>
      </w:r>
    </w:p>
    <w:sectPr>
      <w:pgSz w:w="11910" w:h="16840"/>
      <w:pgMar w:header="745"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17944pt;width:6.5pt;height:11pt;mso-position-horizontal-relative:page;mso-position-vertical-relative:page;z-index:-9321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932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932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26</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932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54</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9320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931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931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931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931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165</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pt;margin-top:36.265610pt;width:177.6pt;height:11.5pt;mso-position-horizontal-relative:page;mso-position-vertical-relative:page;z-index:-932128" type="#_x0000_t202" filled="false" stroked="false">
          <v:textbox inset="0,0,0,0">
            <w:txbxContent>
              <w:p>
                <w:pPr>
                  <w:pStyle w:val="BodyText"/>
                  <w:spacing w:line="214" w:lineRule="exact"/>
                  <w:ind w:left="20" w:right="0"/>
                  <w:jc w:val="left"/>
                </w:pPr>
                <w:r>
                  <w:rPr/>
                  <w:t>朗新科技股份有限公司</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963"/>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36"/>
      <w:ind w:left="152"/>
      <w:outlineLvl w:val="4"/>
    </w:pPr>
    <w:rPr>
      <w:rFonts w:ascii="宋体" w:hAnsi="宋体" w:eastAsia="宋体"/>
      <w:sz w:val="21"/>
      <w:szCs w:val="21"/>
    </w:rPr>
  </w:style>
  <w:style w:styleId="Heading5" w:type="paragraph">
    <w:name w:val="Heading 5"/>
    <w:basedOn w:val="Normal"/>
    <w:uiPriority w:val="1"/>
    <w:qFormat/>
    <w:pPr>
      <w:ind w:left="15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longshine.com/" TargetMode="External"/><Relationship Id="rId10" Type="http://schemas.openxmlformats.org/officeDocument/2006/relationships/hyperlink" Target="mailto:ir@longshine.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hyperlink" Target="http://www.cninfo.com.cn/information/c" TargetMode="External"/><Relationship Id="rId14" Type="http://schemas.openxmlformats.org/officeDocument/2006/relationships/image" Target="media/image2.png"/><Relationship Id="rId15" Type="http://schemas.openxmlformats.org/officeDocument/2006/relationships/footer" Target="footer4.xml"/><Relationship Id="rId16" Type="http://schemas.openxmlformats.org/officeDocument/2006/relationships/hyperlink" Target="http://www.cninfo.co/" TargetMode="External"/><Relationship Id="rId17" Type="http://schemas.openxmlformats.org/officeDocument/2006/relationships/hyperlink" Target="http://www.cninfo.com.cn/cninfo-new/index" TargetMode="Externa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image" Target="media/image3.png"/><Relationship Id="rId22" Type="http://schemas.openxmlformats.org/officeDocument/2006/relationships/footer" Target="footer8.xml"/><Relationship Id="rId23"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朗新科技股份有限公司</dc:creator>
  <dc:title>朗新科技股份有限公司2017年年度报告全文</dc:title>
  <dcterms:created xsi:type="dcterms:W3CDTF">2020-05-03T01:19:55Z</dcterms:created>
  <dcterms:modified xsi:type="dcterms:W3CDTF">2020-05-03T01:19:55Z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2018-06-01T00:00:00Z</vt:filetime>
  </property>
  <property fmtid="{D5CDD505-2E9C-101B-9397-08002B2CF9AE}" pid="3" name="Creator">
    <vt:lpwstr>Acrobat PDFMaker 15 Word 版</vt:lpwstr>
  </property>
  <property fmtid="{D5CDD505-2E9C-101B-9397-08002B2CF9AE}" pid="4" name="LastSaved">
    <vt:filetime>2020-05-02T00:00:00Z</vt:filetime>
  </property>
</Properties>
</file>